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64D5D2" w14:textId="4042B0D0" w:rsidR="00454FA9" w:rsidRDefault="00454FA9" w:rsidP="00454FA9">
      <w:pPr>
        <w:pStyle w:val="Heading1"/>
      </w:pPr>
      <w:r>
        <w:t xml:space="preserve">Affirmative – </w:t>
      </w:r>
      <w:r w:rsidR="002E524B">
        <w:t>Hybrid Statutes</w:t>
      </w:r>
    </w:p>
    <w:p w14:paraId="5985E285" w14:textId="51B64391" w:rsidR="00AD1257" w:rsidRDefault="00AD1257" w:rsidP="00AD1257">
      <w:r>
        <w:t>The following people produced this file and deserve more credit than I do:</w:t>
      </w:r>
    </w:p>
    <w:p w14:paraId="211B7368" w14:textId="77777777" w:rsidR="00AD1257" w:rsidRDefault="00AD1257" w:rsidP="00AD1257">
      <w:r>
        <w:t>Alex Huang</w:t>
      </w:r>
    </w:p>
    <w:p w14:paraId="394FB43C" w14:textId="77777777" w:rsidR="00AD1257" w:rsidRDefault="00AD1257" w:rsidP="00AD1257">
      <w:r>
        <w:t>John Marshall</w:t>
      </w:r>
    </w:p>
    <w:p w14:paraId="54626348" w14:textId="77777777" w:rsidR="00AD1257" w:rsidRDefault="00AD1257" w:rsidP="00AD1257">
      <w:r>
        <w:t>Jacob Miller</w:t>
      </w:r>
    </w:p>
    <w:p w14:paraId="375A6E69" w14:textId="77777777" w:rsidR="00AD1257" w:rsidRDefault="00AD1257" w:rsidP="00AD1257">
      <w:r>
        <w:t>Jack Pacconi</w:t>
      </w:r>
    </w:p>
    <w:p w14:paraId="7E844D3B" w14:textId="77777777" w:rsidR="00AD1257" w:rsidRDefault="00AD1257" w:rsidP="00AD1257">
      <w:r>
        <w:t>Jiyoon Park</w:t>
      </w:r>
    </w:p>
    <w:p w14:paraId="26CBC28C" w14:textId="77777777" w:rsidR="00AD1257" w:rsidRDefault="00AD1257" w:rsidP="00AD1257">
      <w:r>
        <w:t>Rayeed Rahman</w:t>
      </w:r>
    </w:p>
    <w:p w14:paraId="250060F2" w14:textId="584AF9D4" w:rsidR="00AD1257" w:rsidRDefault="00AD1257" w:rsidP="00AD1257">
      <w:r>
        <w:t>Lukas Rhoades</w:t>
      </w:r>
    </w:p>
    <w:p w14:paraId="4F5F0D8F" w14:textId="0C981519" w:rsidR="00AD1257" w:rsidRDefault="00AD1257" w:rsidP="00AD1257"/>
    <w:p w14:paraId="416E1402" w14:textId="5B3EA80C" w:rsidR="00AD1257" w:rsidRDefault="00AD1257" w:rsidP="00AD1257">
      <w:r>
        <w:t>Included in this file you will find:</w:t>
      </w:r>
    </w:p>
    <w:p w14:paraId="0DC1C355" w14:textId="45FC4B5E" w:rsidR="00AD1257" w:rsidRDefault="00AD1257" w:rsidP="00AD1257">
      <w:r>
        <w:t>An affirmative.</w:t>
      </w:r>
    </w:p>
    <w:p w14:paraId="0CAD6C43" w14:textId="37274633" w:rsidR="00AD1257" w:rsidRDefault="00AD1257" w:rsidP="00AD1257">
      <w:r>
        <w:t>A disad intrinsic to that affirmative.</w:t>
      </w:r>
    </w:p>
    <w:p w14:paraId="320F4E33" w14:textId="1037C250" w:rsidR="00AD1257" w:rsidRDefault="00AD1257" w:rsidP="00AD1257">
      <w:r>
        <w:t>Some counterplans that might compete against that affirmative.</w:t>
      </w:r>
    </w:p>
    <w:p w14:paraId="0C0501EB" w14:textId="0BD0BFAD" w:rsidR="00AD1257" w:rsidRDefault="00851B6A" w:rsidP="00AD1257">
      <w:r>
        <w:t>Some trickily</w:t>
      </w:r>
      <w:r w:rsidR="00AD1257">
        <w:t xml:space="preserve"> placed extinction first cards that should get out before wave 2.</w:t>
      </w:r>
    </w:p>
    <w:p w14:paraId="6256121F" w14:textId="1B020F49" w:rsidR="00D431CF" w:rsidRDefault="00D431CF" w:rsidP="00AD1257"/>
    <w:p w14:paraId="39112169" w14:textId="4418D81C" w:rsidR="00D431CF" w:rsidRDefault="00641201" w:rsidP="00AD1257">
      <w:r>
        <w:t>Best</w:t>
      </w:r>
      <w:r w:rsidR="00D431CF">
        <w:t>,</w:t>
      </w:r>
    </w:p>
    <w:p w14:paraId="26D7DCBB" w14:textId="0ED36570" w:rsidR="00D431CF" w:rsidRDefault="00D431CF" w:rsidP="00AD1257">
      <w:r>
        <w:t>Brandon</w:t>
      </w:r>
    </w:p>
    <w:p w14:paraId="22E8AFEE" w14:textId="601E1FB3" w:rsidR="00220A46" w:rsidRDefault="00220A46" w:rsidP="00220A46">
      <w:pPr>
        <w:pStyle w:val="Heading2"/>
      </w:pPr>
      <w:r>
        <w:t>1AC</w:t>
      </w:r>
    </w:p>
    <w:p w14:paraId="53B2155A" w14:textId="69133885" w:rsidR="00300852" w:rsidRDefault="00230F4D" w:rsidP="00300852">
      <w:pPr>
        <w:pStyle w:val="Heading3"/>
      </w:pPr>
      <w:r>
        <w:t>1AC – Plan</w:t>
      </w:r>
      <w:r w:rsidR="00454FA9">
        <w:t xml:space="preserve"> for the Brave</w:t>
      </w:r>
    </w:p>
    <w:p w14:paraId="3828F02D" w14:textId="1E79F2F4" w:rsidR="008D503C" w:rsidRDefault="008D503C" w:rsidP="008D503C">
      <w:pPr>
        <w:pStyle w:val="Heading4"/>
      </w:pPr>
      <w:r>
        <w:t xml:space="preserve">The United States </w:t>
      </w:r>
      <w:r w:rsidR="00454FA9">
        <w:t xml:space="preserve">federal judiciary </w:t>
      </w:r>
      <w:r>
        <w:t xml:space="preserve">should, when interpreting ambiguous statutes that serve both criminal and civil functions, favor the criminal defendant rather than defer to </w:t>
      </w:r>
      <w:r w:rsidR="0037709D">
        <w:t>agency interpretations of the statutes under</w:t>
      </w:r>
      <w:r>
        <w:t xml:space="preserve"> </w:t>
      </w:r>
      <w:r w:rsidR="0037709D">
        <w:t xml:space="preserve">the method of statutory interpretation outlined in </w:t>
      </w:r>
      <w:r w:rsidR="0037709D" w:rsidRPr="0037709D">
        <w:rPr>
          <w:i/>
          <w:iCs w:val="0"/>
        </w:rPr>
        <w:t>Chevron U.S.A., Inc. v. Natural Resources Defense Council, Inc</w:t>
      </w:r>
      <w:r w:rsidR="0037709D">
        <w:t>.</w:t>
      </w:r>
      <w:r w:rsidR="00454FA9">
        <w:t xml:space="preserve"> 467 US 837 (1984).</w:t>
      </w:r>
    </w:p>
    <w:p w14:paraId="1592B2E9" w14:textId="495C41BE" w:rsidR="008A6DFA" w:rsidRPr="008A6DFA" w:rsidRDefault="00454FA9" w:rsidP="00454FA9">
      <w:pPr>
        <w:pStyle w:val="Heading3"/>
      </w:pPr>
      <w:r>
        <w:t xml:space="preserve">1AC – Plan for </w:t>
      </w:r>
      <w:r w:rsidR="006966A8">
        <w:t xml:space="preserve">the </w:t>
      </w:r>
      <w:r>
        <w:t>Coward</w:t>
      </w:r>
    </w:p>
    <w:p w14:paraId="5D982843" w14:textId="5A85FCA4" w:rsidR="00600EF8" w:rsidRPr="00600EF8" w:rsidRDefault="00346EA7" w:rsidP="00454FA9">
      <w:pPr>
        <w:pStyle w:val="Heading4"/>
      </w:pPr>
      <w:r>
        <w:t xml:space="preserve">The United States federal government should favor criminal defendants when interpreting ambiguous </w:t>
      </w:r>
      <w:r w:rsidR="000D25BD">
        <w:t xml:space="preserve">hybrid </w:t>
      </w:r>
      <w:r>
        <w:t>statutes.</w:t>
      </w:r>
    </w:p>
    <w:p w14:paraId="3FBA6911" w14:textId="77777777" w:rsidR="0037709D" w:rsidRDefault="00FF690F" w:rsidP="0037709D">
      <w:pPr>
        <w:pStyle w:val="Heading3"/>
      </w:pPr>
      <w:r>
        <w:t xml:space="preserve">1AC – </w:t>
      </w:r>
      <w:r w:rsidR="00197115">
        <w:t>Executive Criminalization</w:t>
      </w:r>
    </w:p>
    <w:p w14:paraId="6D5D932E" w14:textId="1C93C91F" w:rsidR="005D2327" w:rsidRDefault="005D2327" w:rsidP="005D2327">
      <w:pPr>
        <w:pStyle w:val="Heading4"/>
      </w:pPr>
      <w:r>
        <w:t xml:space="preserve">Advantage </w:t>
      </w:r>
      <w:r w:rsidR="00600EF8">
        <w:t xml:space="preserve">one is </w:t>
      </w:r>
      <w:r w:rsidR="00600EF8" w:rsidRPr="00600EF8">
        <w:rPr>
          <w:u w:val="single"/>
        </w:rPr>
        <w:t>executive criminalization</w:t>
      </w:r>
      <w:r>
        <w:t>:</w:t>
      </w:r>
    </w:p>
    <w:p w14:paraId="39E43C07" w14:textId="77777777" w:rsidR="005D2327" w:rsidRPr="005D2327" w:rsidRDefault="005D2327" w:rsidP="005D2327"/>
    <w:p w14:paraId="03DFBD2D" w14:textId="7F6F5679" w:rsidR="006642FA" w:rsidRPr="006642FA" w:rsidRDefault="006642FA" w:rsidP="006642FA">
      <w:pPr>
        <w:pStyle w:val="Heading4"/>
      </w:pPr>
      <w:r>
        <w:t xml:space="preserve">A circuit court opinion </w:t>
      </w:r>
      <w:r>
        <w:rPr>
          <w:u w:val="single"/>
        </w:rPr>
        <w:t>empowers</w:t>
      </w:r>
      <w:r>
        <w:t xml:space="preserve"> federal agencies to interpret the meaning of </w:t>
      </w:r>
      <w:r>
        <w:rPr>
          <w:u w:val="single"/>
        </w:rPr>
        <w:t>hybrid statutes</w:t>
      </w:r>
      <w:r>
        <w:t xml:space="preserve"> – such a decision </w:t>
      </w:r>
      <w:r w:rsidR="00A70A31" w:rsidRPr="000D25BD">
        <w:rPr>
          <w:u w:val="single"/>
        </w:rPr>
        <w:t>emblazons</w:t>
      </w:r>
      <w:r>
        <w:t xml:space="preserve"> a </w:t>
      </w:r>
      <w:r>
        <w:rPr>
          <w:u w:val="single"/>
        </w:rPr>
        <w:t>sticker shock</w:t>
      </w:r>
      <w:r>
        <w:t xml:space="preserve"> to the American constitution</w:t>
      </w:r>
      <w:r w:rsidR="003C53D7">
        <w:t>, appointing</w:t>
      </w:r>
      <w:r>
        <w:t xml:space="preserve"> agencies as </w:t>
      </w:r>
      <w:r w:rsidR="003C53D7">
        <w:rPr>
          <w:u w:val="single"/>
        </w:rPr>
        <w:t>criminal law whisperers</w:t>
      </w:r>
      <w:r>
        <w:t>.</w:t>
      </w:r>
    </w:p>
    <w:p w14:paraId="396918A7" w14:textId="77777777" w:rsidR="006642FA" w:rsidRPr="00045D11" w:rsidRDefault="006642FA" w:rsidP="006642FA">
      <w:r w:rsidRPr="00D8577A">
        <w:rPr>
          <w:rStyle w:val="Style13ptBold"/>
        </w:rPr>
        <w:t>Sutton 16</w:t>
      </w:r>
      <w:r w:rsidRPr="00D8577A">
        <w:t xml:space="preserve"> – Jeff Sutton, a renowned Circuit Judge of the United States Court of Appeals for the Sixth Circuit</w:t>
      </w:r>
      <w:r w:rsidR="003E3EF0">
        <w:t>, feeder to the United States Supreme Court, clerked for the Supreme Court under the guidance of Antonin Scalia</w:t>
      </w:r>
      <w:r w:rsidRPr="00D8577A">
        <w:t>. [Esquivel-Quintana v. Lynch, United States Court of Appeals for The Sixth Circuit, No. 15-3101, https://www.opn.ca6.uscourts.gov/opinions.pdf/16a0012p-06.pdf]//BPS</w:t>
      </w:r>
    </w:p>
    <w:p w14:paraId="0FE38614" w14:textId="77777777" w:rsidR="006642FA" w:rsidRPr="004D690C" w:rsidRDefault="006642FA" w:rsidP="006642FA">
      <w:pPr>
        <w:rPr>
          <w:sz w:val="16"/>
        </w:rPr>
      </w:pPr>
      <w:r w:rsidRPr="00300852">
        <w:rPr>
          <w:rStyle w:val="StyleUnderline"/>
        </w:rPr>
        <w:t>SUTTON</w:t>
      </w:r>
      <w:r w:rsidRPr="004D690C">
        <w:rPr>
          <w:sz w:val="16"/>
        </w:rPr>
        <w:t xml:space="preserve">, Circuit Judge, concurring in part and </w:t>
      </w:r>
      <w:r w:rsidRPr="00300852">
        <w:rPr>
          <w:rStyle w:val="Emphasis"/>
        </w:rPr>
        <w:t>dissenting</w:t>
      </w:r>
      <w:r w:rsidRPr="004D690C">
        <w:rPr>
          <w:sz w:val="16"/>
        </w:rPr>
        <w:t xml:space="preserve"> in part. </w:t>
      </w:r>
      <w:r w:rsidRPr="00854A86">
        <w:rPr>
          <w:rStyle w:val="StyleUnderline"/>
        </w:rPr>
        <w:t xml:space="preserve">I agree with every part of the court’s opinion but one: that </w:t>
      </w:r>
      <w:r w:rsidRPr="00854A86">
        <w:rPr>
          <w:rStyle w:val="Emphasis"/>
        </w:rPr>
        <w:t>a sentence</w:t>
      </w:r>
      <w:r w:rsidRPr="00854A86">
        <w:rPr>
          <w:rStyle w:val="StyleUnderline"/>
        </w:rPr>
        <w:t xml:space="preserve"> from </w:t>
      </w:r>
      <w:r w:rsidRPr="00E44345">
        <w:rPr>
          <w:rStyle w:val="Emphasis"/>
        </w:rPr>
        <w:t>a footnote</w:t>
      </w:r>
      <w:r w:rsidRPr="00E44345">
        <w:rPr>
          <w:rStyle w:val="StyleUnderline"/>
        </w:rPr>
        <w:t xml:space="preserve"> in</w:t>
      </w:r>
      <w:r w:rsidRPr="00854A86">
        <w:rPr>
          <w:rStyle w:val="StyleUnderline"/>
        </w:rPr>
        <w:t xml:space="preserve"> </w:t>
      </w:r>
      <w:r w:rsidRPr="00854A86">
        <w:rPr>
          <w:rStyle w:val="Emphasis"/>
        </w:rPr>
        <w:t>a 1995 Supreme Court opinion</w:t>
      </w:r>
      <w:r w:rsidRPr="00854A86">
        <w:rPr>
          <w:rStyle w:val="StyleUnderline"/>
        </w:rPr>
        <w:t xml:space="preserve"> requires us to apply </w:t>
      </w:r>
      <w:r w:rsidRPr="00854A86">
        <w:rPr>
          <w:rStyle w:val="Emphasis"/>
        </w:rPr>
        <w:t>Chevron deference</w:t>
      </w:r>
      <w:r w:rsidRPr="00854A86">
        <w:rPr>
          <w:rStyle w:val="StyleUnderline"/>
        </w:rPr>
        <w:t xml:space="preserve">, as opposed to the rule of lenity, to </w:t>
      </w:r>
      <w:r w:rsidRPr="00854A86">
        <w:rPr>
          <w:rStyle w:val="Emphasis"/>
        </w:rPr>
        <w:t>an agency interpretation</w:t>
      </w:r>
      <w:r w:rsidRPr="00854A86">
        <w:rPr>
          <w:rStyle w:val="StyleUnderline"/>
        </w:rPr>
        <w:t xml:space="preserve"> of </w:t>
      </w:r>
      <w:r w:rsidRPr="00854A86">
        <w:rPr>
          <w:rStyle w:val="Emphasis"/>
        </w:rPr>
        <w:t>an ambiguous statute</w:t>
      </w:r>
      <w:r w:rsidRPr="00854A86">
        <w:rPr>
          <w:rStyle w:val="StyleUnderline"/>
        </w:rPr>
        <w:t xml:space="preserve"> that has </w:t>
      </w:r>
      <w:r w:rsidRPr="00854A86">
        <w:rPr>
          <w:rStyle w:val="Emphasis"/>
        </w:rPr>
        <w:t>civil and criminal applications</w:t>
      </w:r>
      <w:r w:rsidRPr="004D690C">
        <w:rPr>
          <w:sz w:val="16"/>
        </w:rPr>
        <w:t xml:space="preserve">. See Babbitt v. Sweet Home Chapter of Communities for a Great Or., 515 U.S. 687, 794 n.18 (1995). </w:t>
      </w:r>
    </w:p>
    <w:p w14:paraId="269B64B7" w14:textId="77777777" w:rsidR="006642FA" w:rsidRPr="004D690C" w:rsidRDefault="006642FA" w:rsidP="006642FA">
      <w:pPr>
        <w:rPr>
          <w:sz w:val="16"/>
        </w:rPr>
      </w:pPr>
      <w:r w:rsidRPr="004D690C">
        <w:rPr>
          <w:sz w:val="16"/>
        </w:rPr>
        <w:t>Let me start with our many areas of agreement.</w:t>
      </w:r>
    </w:p>
    <w:p w14:paraId="327383D8" w14:textId="77777777" w:rsidR="006642FA" w:rsidRPr="004D690C" w:rsidRDefault="006642FA" w:rsidP="006642FA">
      <w:pPr>
        <w:rPr>
          <w:sz w:val="16"/>
        </w:rPr>
      </w:pPr>
      <w:r w:rsidRPr="004D690C">
        <w:rPr>
          <w:sz w:val="16"/>
        </w:rPr>
        <w:t>Chevron permits agencies to fill gaps in civil statutes that Congress has delegated authority to the agency to interpret. Chevron, U.S.A., Inc. v. Nat. Res. Def. Council, Inc., 467 U.S. 837 (1984). Under the doctrine, courts presume that, when Congress leaves an ambiguity in an agency-administered statute, it intends the agency to fill the gap. Id. at 843–44.</w:t>
      </w:r>
    </w:p>
    <w:p w14:paraId="1495B443" w14:textId="77777777" w:rsidR="006642FA" w:rsidRPr="004501D6" w:rsidRDefault="006642FA" w:rsidP="006642FA">
      <w:pPr>
        <w:rPr>
          <w:sz w:val="16"/>
        </w:rPr>
      </w:pPr>
      <w:r w:rsidRPr="004501D6">
        <w:rPr>
          <w:sz w:val="16"/>
        </w:rPr>
        <w:t xml:space="preserve">But </w:t>
      </w:r>
      <w:r w:rsidRPr="00456038">
        <w:rPr>
          <w:rStyle w:val="StyleUnderline"/>
          <w:highlight w:val="cyan"/>
        </w:rPr>
        <w:t xml:space="preserve">Chevron has </w:t>
      </w:r>
      <w:r w:rsidRPr="00456038">
        <w:rPr>
          <w:rStyle w:val="Emphasis"/>
          <w:highlight w:val="cyan"/>
        </w:rPr>
        <w:t>no role</w:t>
      </w:r>
      <w:r w:rsidRPr="004501D6">
        <w:rPr>
          <w:rStyle w:val="StyleUnderline"/>
        </w:rPr>
        <w:t xml:space="preserve"> to play </w:t>
      </w:r>
      <w:r w:rsidRPr="00456038">
        <w:rPr>
          <w:rStyle w:val="StyleUnderline"/>
          <w:highlight w:val="cyan"/>
        </w:rPr>
        <w:t>in</w:t>
      </w:r>
      <w:r w:rsidRPr="004501D6">
        <w:rPr>
          <w:rStyle w:val="StyleUnderline"/>
        </w:rPr>
        <w:t xml:space="preserve"> construing </w:t>
      </w:r>
      <w:r w:rsidRPr="00456038">
        <w:rPr>
          <w:rStyle w:val="Emphasis"/>
          <w:highlight w:val="cyan"/>
        </w:rPr>
        <w:t>criminal statutes</w:t>
      </w:r>
      <w:r w:rsidRPr="004501D6">
        <w:rPr>
          <w:sz w:val="16"/>
        </w:rPr>
        <w:t xml:space="preserve">. In 227 years and counting, the federal courts have never presumed that, when an ambiguity arises in a criminal statute, the congressional silence signals that Congress wants an executive-branch agency to fill the gap. For all of the theories of Chevron that have filled the U.S. Reports and the Federal Reporter, to say nothing of the law journals, the idea that Chevron is a tool for construing criminal statutes has yet to make an </w:t>
      </w:r>
      <w:r w:rsidRPr="00331867">
        <w:rPr>
          <w:sz w:val="16"/>
        </w:rPr>
        <w:t xml:space="preserve">appearance. That is because </w:t>
      </w:r>
      <w:r w:rsidRPr="00331867">
        <w:rPr>
          <w:rStyle w:val="StyleUnderline"/>
        </w:rPr>
        <w:t>criminal statutes “are for courts, not for the Government, to construe.”</w:t>
      </w:r>
      <w:r w:rsidRPr="00331867">
        <w:rPr>
          <w:sz w:val="16"/>
        </w:rPr>
        <w:t xml:space="preserve"> Abramski v. United States, 134 S. Ct. 2259, 2274 (2014). </w:t>
      </w:r>
      <w:r w:rsidRPr="00331867">
        <w:rPr>
          <w:rStyle w:val="StyleUnderline"/>
        </w:rPr>
        <w:t>The doctrine does not give</w:t>
      </w:r>
      <w:r w:rsidRPr="00331867">
        <w:rPr>
          <w:sz w:val="16"/>
        </w:rPr>
        <w:t xml:space="preserve"> the Department of Justice (or for that matter </w:t>
      </w:r>
      <w:r w:rsidRPr="00331867">
        <w:rPr>
          <w:rStyle w:val="Emphasis"/>
        </w:rPr>
        <w:t>any</w:t>
      </w:r>
      <w:r w:rsidRPr="00331867">
        <w:rPr>
          <w:sz w:val="16"/>
        </w:rPr>
        <w:t xml:space="preserve"> other </w:t>
      </w:r>
      <w:r w:rsidRPr="00331867">
        <w:rPr>
          <w:rStyle w:val="StyleUnderline"/>
        </w:rPr>
        <w:t>federal agency</w:t>
      </w:r>
      <w:r w:rsidRPr="00331867">
        <w:rPr>
          <w:sz w:val="16"/>
        </w:rPr>
        <w:t xml:space="preserve">) implied </w:t>
      </w:r>
      <w:r w:rsidRPr="00331867">
        <w:rPr>
          <w:rStyle w:val="Emphasis"/>
        </w:rPr>
        <w:t>gap-filling authority</w:t>
      </w:r>
      <w:r w:rsidRPr="004501D6">
        <w:rPr>
          <w:rStyle w:val="StyleUnderline"/>
        </w:rPr>
        <w:t xml:space="preserve"> over </w:t>
      </w:r>
      <w:r w:rsidRPr="004501D6">
        <w:rPr>
          <w:rStyle w:val="Emphasis"/>
        </w:rPr>
        <w:t>ambiguous criminal statutes</w:t>
      </w:r>
      <w:r w:rsidRPr="004501D6">
        <w:rPr>
          <w:sz w:val="16"/>
        </w:rPr>
        <w:t>.</w:t>
      </w:r>
    </w:p>
    <w:p w14:paraId="4E312A0F" w14:textId="77777777" w:rsidR="006642FA" w:rsidRPr="004D690C" w:rsidRDefault="006642FA" w:rsidP="006642FA">
      <w:pPr>
        <w:rPr>
          <w:sz w:val="16"/>
        </w:rPr>
      </w:pPr>
      <w:r w:rsidRPr="004501D6">
        <w:rPr>
          <w:sz w:val="16"/>
        </w:rPr>
        <w:t xml:space="preserve">Otherwise, </w:t>
      </w:r>
      <w:r w:rsidRPr="004501D6">
        <w:rPr>
          <w:rStyle w:val="StyleUnderline"/>
        </w:rPr>
        <w:t xml:space="preserve">that would leave this </w:t>
      </w:r>
      <w:r w:rsidRPr="004501D6">
        <w:rPr>
          <w:rStyle w:val="Emphasis"/>
        </w:rPr>
        <w:t>distasteful combination</w:t>
      </w:r>
      <w:r w:rsidRPr="004501D6">
        <w:rPr>
          <w:rStyle w:val="StyleUnderline"/>
        </w:rPr>
        <w:t>:</w:t>
      </w:r>
      <w:r w:rsidRPr="00854A86">
        <w:rPr>
          <w:rStyle w:val="StyleUnderline"/>
        </w:rPr>
        <w:t xml:space="preserve"> </w:t>
      </w:r>
      <w:r w:rsidRPr="00456038">
        <w:rPr>
          <w:rStyle w:val="StyleUnderline"/>
          <w:highlight w:val="cyan"/>
        </w:rPr>
        <w:t>The prosecutor would have</w:t>
      </w:r>
      <w:r w:rsidRPr="00854A86">
        <w:rPr>
          <w:rStyle w:val="StyleUnderline"/>
        </w:rPr>
        <w:t xml:space="preserve"> </w:t>
      </w:r>
      <w:r w:rsidRPr="00854A86">
        <w:rPr>
          <w:rStyle w:val="Emphasis"/>
        </w:rPr>
        <w:t xml:space="preserve">the explicit </w:t>
      </w:r>
      <w:r w:rsidRPr="00456038">
        <w:rPr>
          <w:rStyle w:val="Emphasis"/>
          <w:highlight w:val="cyan"/>
        </w:rPr>
        <w:t>(executive) power</w:t>
      </w:r>
      <w:r w:rsidRPr="00456038">
        <w:rPr>
          <w:rStyle w:val="StyleUnderline"/>
          <w:highlight w:val="cyan"/>
        </w:rPr>
        <w:t xml:space="preserve"> to enforce</w:t>
      </w:r>
      <w:r w:rsidRPr="00854A86">
        <w:rPr>
          <w:rStyle w:val="StyleUnderline"/>
        </w:rPr>
        <w:t xml:space="preserve"> </w:t>
      </w:r>
      <w:r w:rsidRPr="00854A86">
        <w:rPr>
          <w:rStyle w:val="Emphasis"/>
        </w:rPr>
        <w:t xml:space="preserve">the </w:t>
      </w:r>
      <w:r w:rsidRPr="00456038">
        <w:rPr>
          <w:rStyle w:val="Emphasis"/>
          <w:highlight w:val="cyan"/>
        </w:rPr>
        <w:t>criminal laws</w:t>
      </w:r>
      <w:r w:rsidRPr="00854A86">
        <w:rPr>
          <w:rStyle w:val="StyleUnderline"/>
        </w:rPr>
        <w:t xml:space="preserve">, an implied </w:t>
      </w:r>
      <w:r w:rsidRPr="00456038">
        <w:rPr>
          <w:rStyle w:val="StyleUnderline"/>
          <w:highlight w:val="cyan"/>
        </w:rPr>
        <w:t>(legislative) power to fill</w:t>
      </w:r>
      <w:r w:rsidRPr="00854A86">
        <w:rPr>
          <w:rStyle w:val="StyleUnderline"/>
        </w:rPr>
        <w:t xml:space="preserve"> </w:t>
      </w:r>
      <w:r w:rsidRPr="00854A86">
        <w:rPr>
          <w:rStyle w:val="Emphasis"/>
        </w:rPr>
        <w:t xml:space="preserve">policy </w:t>
      </w:r>
      <w:r w:rsidRPr="00456038">
        <w:rPr>
          <w:rStyle w:val="Emphasis"/>
          <w:highlight w:val="cyan"/>
        </w:rPr>
        <w:t>gaps</w:t>
      </w:r>
      <w:r w:rsidRPr="00456038">
        <w:rPr>
          <w:rStyle w:val="StyleUnderline"/>
          <w:highlight w:val="cyan"/>
        </w:rPr>
        <w:t xml:space="preserve"> in</w:t>
      </w:r>
      <w:r w:rsidRPr="00854A86">
        <w:rPr>
          <w:rStyle w:val="StyleUnderline"/>
        </w:rPr>
        <w:t xml:space="preserve"> ambiguous criminal </w:t>
      </w:r>
      <w:r w:rsidRPr="00456038">
        <w:rPr>
          <w:rStyle w:val="StyleUnderline"/>
          <w:highlight w:val="cyan"/>
        </w:rPr>
        <w:t>statutes, and</w:t>
      </w:r>
      <w:r w:rsidRPr="00854A86">
        <w:rPr>
          <w:rStyle w:val="StyleUnderline"/>
        </w:rPr>
        <w:t xml:space="preserve"> an implied </w:t>
      </w:r>
      <w:r w:rsidRPr="00456038">
        <w:rPr>
          <w:rStyle w:val="StyleUnderline"/>
          <w:highlight w:val="cyan"/>
        </w:rPr>
        <w:t xml:space="preserve">(judicial) power to interpret </w:t>
      </w:r>
      <w:r w:rsidRPr="00456038">
        <w:rPr>
          <w:rStyle w:val="Emphasis"/>
          <w:highlight w:val="cyan"/>
        </w:rPr>
        <w:t>ambiguous</w:t>
      </w:r>
      <w:r w:rsidRPr="00854A86">
        <w:rPr>
          <w:rStyle w:val="Emphasis"/>
        </w:rPr>
        <w:t xml:space="preserve"> criminal </w:t>
      </w:r>
      <w:r w:rsidRPr="00456038">
        <w:rPr>
          <w:rStyle w:val="Emphasis"/>
          <w:highlight w:val="cyan"/>
        </w:rPr>
        <w:t>laws</w:t>
      </w:r>
      <w:r w:rsidRPr="004D690C">
        <w:rPr>
          <w:sz w:val="16"/>
        </w:rPr>
        <w:t xml:space="preserve">. Cf. The Federalist No. 47, at 297–99 (James Madison) (Clinton Rossiter ed., 1961). And </w:t>
      </w:r>
      <w:r w:rsidRPr="00456038">
        <w:rPr>
          <w:rStyle w:val="StyleUnderline"/>
          <w:highlight w:val="cyan"/>
        </w:rPr>
        <w:t>it would permit</w:t>
      </w:r>
      <w:r w:rsidRPr="004501D6">
        <w:rPr>
          <w:rStyle w:val="StyleUnderline"/>
        </w:rPr>
        <w:t xml:space="preserve"> </w:t>
      </w:r>
      <w:r w:rsidRPr="004501D6">
        <w:rPr>
          <w:rStyle w:val="Emphasis"/>
        </w:rPr>
        <w:t xml:space="preserve">this </w:t>
      </w:r>
      <w:r w:rsidRPr="00456038">
        <w:rPr>
          <w:rStyle w:val="Emphasis"/>
          <w:highlight w:val="cyan"/>
        </w:rPr>
        <w:t>aggregation of power</w:t>
      </w:r>
      <w:r w:rsidRPr="00854A86">
        <w:rPr>
          <w:rStyle w:val="StyleUnderline"/>
        </w:rPr>
        <w:t xml:space="preserve"> in the one area </w:t>
      </w:r>
      <w:r w:rsidRPr="00456038">
        <w:rPr>
          <w:rStyle w:val="StyleUnderline"/>
          <w:highlight w:val="cyan"/>
        </w:rPr>
        <w:t>where</w:t>
      </w:r>
      <w:r w:rsidRPr="00854A86">
        <w:rPr>
          <w:rStyle w:val="StyleUnderline"/>
        </w:rPr>
        <w:t xml:space="preserve"> its </w:t>
      </w:r>
      <w:r w:rsidRPr="00456038">
        <w:rPr>
          <w:rStyle w:val="StyleUnderline"/>
          <w:highlight w:val="cyan"/>
        </w:rPr>
        <w:t>division matters most:</w:t>
      </w:r>
      <w:r w:rsidRPr="00854A86">
        <w:rPr>
          <w:rStyle w:val="StyleUnderline"/>
        </w:rPr>
        <w:t xml:space="preserve"> </w:t>
      </w:r>
      <w:r w:rsidRPr="00854A86">
        <w:rPr>
          <w:rStyle w:val="Emphasis"/>
        </w:rPr>
        <w:t xml:space="preserve">the </w:t>
      </w:r>
      <w:r w:rsidRPr="00456038">
        <w:rPr>
          <w:rStyle w:val="Emphasis"/>
          <w:highlight w:val="cyan"/>
        </w:rPr>
        <w:t>removal of citizens</w:t>
      </w:r>
      <w:r w:rsidRPr="004501D6">
        <w:rPr>
          <w:rStyle w:val="Emphasis"/>
        </w:rPr>
        <w:t xml:space="preserve"> from society</w:t>
      </w:r>
      <w:r w:rsidRPr="004D690C">
        <w:rPr>
          <w:sz w:val="16"/>
        </w:rPr>
        <w:t xml:space="preserve">. </w:t>
      </w:r>
    </w:p>
    <w:p w14:paraId="4F27525F" w14:textId="77777777" w:rsidR="006642FA" w:rsidRPr="004D690C" w:rsidRDefault="006642FA" w:rsidP="006642FA">
      <w:pPr>
        <w:rPr>
          <w:sz w:val="16"/>
        </w:rPr>
      </w:pPr>
      <w:r w:rsidRPr="004D690C">
        <w:rPr>
          <w:sz w:val="16"/>
        </w:rPr>
        <w:t>There may be good reason to debate the merits of Chevron today. Compare Philip Hamburger, Is Administrative Law Unlawful? (2014), with Adrian Vermeule, No, 93 Tex. L. Rev. 1547 (2015) (book review). But all can agree that, whatever the connection between ancient royal prerogatives and the like to modern agency law, Chevron has no role to play in the interpretation of criminal statutes.</w:t>
      </w:r>
    </w:p>
    <w:p w14:paraId="328FE6F2" w14:textId="77777777" w:rsidR="006642FA" w:rsidRPr="004D690C" w:rsidRDefault="006642FA" w:rsidP="006642FA">
      <w:pPr>
        <w:rPr>
          <w:sz w:val="16"/>
        </w:rPr>
      </w:pPr>
      <w:r w:rsidRPr="008747BA">
        <w:rPr>
          <w:rStyle w:val="StyleUnderline"/>
        </w:rPr>
        <w:t xml:space="preserve">The </w:t>
      </w:r>
      <w:r w:rsidRPr="00456038">
        <w:rPr>
          <w:rStyle w:val="StyleUnderline"/>
          <w:highlight w:val="cyan"/>
        </w:rPr>
        <w:t>application of Chevron to criminal laws</w:t>
      </w:r>
      <w:r w:rsidRPr="004D690C">
        <w:rPr>
          <w:sz w:val="16"/>
        </w:rPr>
        <w:t xml:space="preserve"> also </w:t>
      </w:r>
      <w:r w:rsidRPr="008747BA">
        <w:rPr>
          <w:rStyle w:val="StyleUnderline"/>
        </w:rPr>
        <w:t xml:space="preserve">would </w:t>
      </w:r>
      <w:r w:rsidRPr="00456038">
        <w:rPr>
          <w:rStyle w:val="StyleUnderline"/>
          <w:highlight w:val="cyan"/>
        </w:rPr>
        <w:t>leave no room for</w:t>
      </w:r>
      <w:r w:rsidRPr="008747BA">
        <w:rPr>
          <w:rStyle w:val="StyleUnderline"/>
        </w:rPr>
        <w:t xml:space="preserve"> </w:t>
      </w:r>
      <w:r w:rsidRPr="008747BA">
        <w:rPr>
          <w:rStyle w:val="Emphasis"/>
        </w:rPr>
        <w:t xml:space="preserve">the rule of </w:t>
      </w:r>
      <w:r w:rsidRPr="00456038">
        <w:rPr>
          <w:rStyle w:val="Emphasis"/>
          <w:highlight w:val="cyan"/>
        </w:rPr>
        <w:t>lenity</w:t>
      </w:r>
      <w:r w:rsidRPr="008747BA">
        <w:rPr>
          <w:rStyle w:val="StyleUnderline"/>
        </w:rPr>
        <w:t>, a rule that resolves ambiguities in criminal statutes in favor of the individual and a rule of construction that</w:t>
      </w:r>
      <w:r w:rsidRPr="004D690C">
        <w:rPr>
          <w:sz w:val="16"/>
        </w:rPr>
        <w:t xml:space="preserve"> Chief Justice </w:t>
      </w:r>
      <w:r w:rsidRPr="008747BA">
        <w:rPr>
          <w:rStyle w:val="StyleUnderline"/>
        </w:rPr>
        <w:t>Marshall described as “perhaps not much less old than construction itself.”</w:t>
      </w:r>
      <w:r w:rsidRPr="004D690C">
        <w:rPr>
          <w:sz w:val="16"/>
        </w:rPr>
        <w:t xml:space="preserve"> United States v. Wiltberger, 18 U.S. (5 Wheat.) 76, 95 (1820). The rule “rests on concerns about notice (the state ought to provide fair warning of what violates the criminal laws) and separation of powers (Congress, not agencies or courts, defines crimes).” Carter v. Welles-Bowen Realty, Inc., 736 F.3d 722, 729 (6th Cir. 2013) (Sutton, J., concurring).</w:t>
      </w:r>
    </w:p>
    <w:p w14:paraId="559BA2FC" w14:textId="77777777" w:rsidR="006642FA" w:rsidRPr="004D690C" w:rsidRDefault="006642FA" w:rsidP="006642FA">
      <w:pPr>
        <w:rPr>
          <w:sz w:val="16"/>
        </w:rPr>
      </w:pPr>
      <w:r w:rsidRPr="004D690C">
        <w:rPr>
          <w:sz w:val="16"/>
        </w:rPr>
        <w:t>So far so good.</w:t>
      </w:r>
    </w:p>
    <w:p w14:paraId="4EC88BEA" w14:textId="77777777" w:rsidR="006642FA" w:rsidRPr="004D690C" w:rsidRDefault="006642FA" w:rsidP="006642FA">
      <w:pPr>
        <w:rPr>
          <w:sz w:val="16"/>
        </w:rPr>
      </w:pPr>
      <w:r w:rsidRPr="000E12C0">
        <w:rPr>
          <w:rStyle w:val="StyleUnderline"/>
        </w:rPr>
        <w:t xml:space="preserve">But what happens when </w:t>
      </w:r>
      <w:r w:rsidRPr="000E12C0">
        <w:rPr>
          <w:rStyle w:val="Emphasis"/>
        </w:rPr>
        <w:t>the same statute</w:t>
      </w:r>
      <w:r w:rsidRPr="000E12C0">
        <w:rPr>
          <w:rStyle w:val="StyleUnderline"/>
        </w:rPr>
        <w:t xml:space="preserve"> has criminal and civil applications?</w:t>
      </w:r>
      <w:r w:rsidRPr="004D690C">
        <w:rPr>
          <w:sz w:val="16"/>
        </w:rPr>
        <w:t xml:space="preserve"> May Congress sidestep these requirements by giving criminal statutes a civil application? The answer is no. The courts must give dual-application statutes just one interpretation, and the criminal application controls. Statutes are not “chameleon[s]” that mean one thing in one setting and something else in another. Id. at 730. Because a single law should have a single meaning, the “lowest common denominator”—including all rules applicable to the interpretation of criminal laws—governs all of its applications. Clark v. Martinez, 543 U.S. 371, 380 (2005). That explains why United States v. Thompson/Center Arms Co. applied the rule of lenity to a civil tax case that turned on language that had civil and criminal applications. 504 U.S. 505, 517–18 &amp; n.10 (plurality opinion); id. at 519 (Scalia, J., concurring in the judgment). Time, time, and time again, the Court has confirmed that the one-interpretation rule means that the criminal-law construction of the statute (with the rule of lenity) prevails over the civil-law construction of it (without the rule of lenity). When a single statute has twin applications, the search for the least common denominator leads to the least liberty-infringing interpretation. See, e.g., Maracich v. Spears, 133 S. Ct. 2191, 2209 (2013); Kasten v. Saint-Gobain Performance Plastics Corp., 563 U.S. 1, 16 (2011); Clark, 543 U.S. at 380; Leocal v. Ashcroft, 543 U.S. 1, 11 n.8 (2004); Scheidler v. Nat’l Org. for Women, 537 U.S. 393, 408–09 (2003).</w:t>
      </w:r>
    </w:p>
    <w:p w14:paraId="7EAC7F33" w14:textId="77777777" w:rsidR="006642FA" w:rsidRPr="004D690C" w:rsidRDefault="006642FA" w:rsidP="006642FA">
      <w:pPr>
        <w:rPr>
          <w:sz w:val="16"/>
        </w:rPr>
      </w:pPr>
      <w:r w:rsidRPr="004D690C">
        <w:rPr>
          <w:sz w:val="16"/>
        </w:rPr>
        <w:t>The provision at issue in today’s case is subject to the one-statute/one-interpretation rule because it has criminal and civil applications. The Immigration and Nationality Act makes a state or federal conviction for “sexual abuse of a minor” an “aggravated felony.” 8 U.S.C. § 1101(a)(43)(A). The Act subjects aliens who have committed aggravated felonies (1) to civil consequences, most notably removal from the country, id. § 1227(a)(2)(A)(iii); see also id. § 1229b(a)(3), and (2) to criminal consequences, most notably increasing the maximum prison term for illegal reentry into the United States, id. § 1326(b)(2); see also id. § 1327.</w:t>
      </w:r>
    </w:p>
    <w:p w14:paraId="3A98B6A6" w14:textId="77777777" w:rsidR="006642FA" w:rsidRPr="004D690C" w:rsidRDefault="006642FA" w:rsidP="006642FA">
      <w:pPr>
        <w:rPr>
          <w:sz w:val="16"/>
        </w:rPr>
      </w:pPr>
      <w:r w:rsidRPr="004D690C">
        <w:rPr>
          <w:sz w:val="16"/>
        </w:rPr>
        <w:t>The phrase “sexual abuse of a minor” is ambiguous as applied to the California law that Esquivel-Quintana violated. The state law prohibits sexual intercourse with anyone under eighteen, provided the perpetrator is not the victim’s spouse and is more than three years older than the victim. Cal. Penal Code § 261.5(a), (c). The age requirement found in statutory-rape statutes like this one turns on the premise that those below a certain age generally cannot consent to sex. The ambiguity arises over when a “minor” can consent and when the sexual act ceases to be abusive. The minimum conduct criminalized by the California law involves seventeen-yearold victims. Id. § 261.5(a). Because the meaning of “sexual abuse of a minor” is a matter of federal law, the question is whether California’s statutory-rape law includes these victims under a “‘generic’ federal definition.” Moncrieffe v. Holder, 133 S. Ct. 1678, 1684 (2013).</w:t>
      </w:r>
    </w:p>
    <w:p w14:paraId="0FA3C02C" w14:textId="77777777" w:rsidR="006642FA" w:rsidRPr="004D690C" w:rsidRDefault="006642FA" w:rsidP="006642FA">
      <w:pPr>
        <w:rPr>
          <w:sz w:val="16"/>
        </w:rPr>
      </w:pPr>
      <w:r w:rsidRPr="004D690C">
        <w:rPr>
          <w:sz w:val="16"/>
        </w:rPr>
        <w:t>A division in the circuits over the point suggests this answer: maybe, maybe not. One court has concluded that the phrase includes statutory-rape convictions involving seventeen-yearold victims. See, e.g., Contreras v. Holder, 754 F.3d 286, 294–96 (5th Cir. 2014). One court has said it does not. E.g., Estrada-Espinoza v. Mukasey, 546 F.3d 1147, 1157 n.7, 1158–60 (9th Cir. 2008) (en banc). And at least one court isn’t sure. E.g., Velasco-Giron v. Holder, 773 F.3d 774, 776–78 (7th Cir. 2014).</w:t>
      </w:r>
    </w:p>
    <w:p w14:paraId="180FFE80" w14:textId="77777777" w:rsidR="006642FA" w:rsidRPr="004D690C" w:rsidRDefault="006642FA" w:rsidP="006642FA">
      <w:pPr>
        <w:rPr>
          <w:sz w:val="16"/>
        </w:rPr>
      </w:pPr>
      <w:r w:rsidRPr="004D690C">
        <w:rPr>
          <w:sz w:val="16"/>
        </w:rPr>
        <w:t>The rest of the federal criminal code doesn’t make things any easier. Title 18 includes a crime entitled “sexual abuse of a minor,” a statutory-rape crime that requires the victim to be under sixteen. 18 U.S.C. § 2243(a). But it also includes protections for “child” victims of “sexual abuse” in a setting in which the legislature uses the terms “minor” and “child” interchangeably, see id. § 2251, and applies those protections to victims under eighteen, id. § 3509(a)(2), (8). As a matter of history, the term “minor” has always been a fluid concept. It referred to those under twenty-one at the founding. See 1 William Blackstone, Commentaries *463.</w:t>
      </w:r>
    </w:p>
    <w:p w14:paraId="38A335EA" w14:textId="77777777" w:rsidR="006642FA" w:rsidRPr="004D690C" w:rsidRDefault="006642FA" w:rsidP="006642FA">
      <w:pPr>
        <w:rPr>
          <w:sz w:val="16"/>
        </w:rPr>
      </w:pPr>
      <w:r w:rsidRPr="004D690C">
        <w:rPr>
          <w:sz w:val="16"/>
        </w:rPr>
        <w:t>Adding to the ambiguity is the question of perspective—which of two ways the interpreter looks at the statute and how closely it ties the word “minor” to the term “sexual abuse.” Cf. United States v. Castleman, 134 S. Ct. 1405, 1411–12 (2014); id. at 1420 (Scalia, J., concurring in part and concurring in the judgment). At one end, the word “minor” taken by itself might generally be said to refer to “[s]omeone who has not reached full legal age.” Black’s Law Dictionary 1147 (10th ed. 2014). The full legal age, the “age of majority,” is typically eighteen—at least in most instances today. Id. at 73. This approach led the Fifth Circuit and the Board of Immigration Appeals to conclude “sexual abuse of a minor” captures many statutory rape crimes, with each State allowed to set an age (no higher than eighteen) below which minors generally cannot consent. Contreras, 754 F.3d at 294–96; In re Esquivel-Quintana, 26 I. &amp; N. Dec. 469, 471 (B.I.A. 2015); see also United States v. Rodriguez, 711 F.3d 541, 559–62 (5th Cir. 2013) (en banc).</w:t>
      </w:r>
    </w:p>
    <w:p w14:paraId="68581B6F" w14:textId="77777777" w:rsidR="006642FA" w:rsidRPr="004D690C" w:rsidRDefault="006642FA" w:rsidP="006642FA">
      <w:pPr>
        <w:rPr>
          <w:sz w:val="16"/>
        </w:rPr>
      </w:pPr>
      <w:r w:rsidRPr="004D690C">
        <w:rPr>
          <w:sz w:val="16"/>
        </w:rPr>
        <w:t>At the other end, a court might just as fairly focus on the reality that the word “minor” is tied to “sexual abuse” and statutory-rape laws. In that context, the word “minor” would not necessarily refer to “full legal age” but to the age at which a State no longer deems sex nonconsensual (and therefore abusive). See Black’s Law Dictionary 1451. That age, the “age of consent,” is typically sixteen. Id. at 73; see United States v. Rangel-Castaneda, 709 F.3d 373, 377 (4th Cir. 2013). This approach led the Ninth Circuit to decide that statutory-rape convictions amount to “sexual abuse of a minor” only if they require victims to be below the age of sixteen. Estrada-Espinoza, 546 F.3d at 1158. The Fourth Circuit took a similar approach when interpreting the same phrase in the Sentencing Guidelines. Rangel-Castaneda, 709 F.3d at 380– 81.</w:t>
      </w:r>
    </w:p>
    <w:p w14:paraId="172171D4" w14:textId="77777777" w:rsidR="006642FA" w:rsidRPr="004D690C" w:rsidRDefault="006642FA" w:rsidP="006642FA">
      <w:pPr>
        <w:rPr>
          <w:sz w:val="16"/>
        </w:rPr>
      </w:pPr>
      <w:r w:rsidRPr="004D690C">
        <w:rPr>
          <w:sz w:val="16"/>
        </w:rPr>
        <w:t xml:space="preserve">Either reading has much to commend it, making the phrase ambiguous and </w:t>
      </w:r>
      <w:r w:rsidRPr="00346EA7">
        <w:rPr>
          <w:sz w:val="16"/>
        </w:rPr>
        <w:t xml:space="preserve">making this a classic occasion for applying the rule of lenity. All clues considered, the phrase “sexual abuse of a minor” may, but may not, include convictions under California’s § 261.5(c), and for that reason </w:t>
      </w:r>
      <w:r w:rsidRPr="00346EA7">
        <w:rPr>
          <w:rStyle w:val="StyleUnderline"/>
        </w:rPr>
        <w:t xml:space="preserve">the rule of lenity should end the case in favor of </w:t>
      </w:r>
      <w:r w:rsidRPr="00346EA7">
        <w:rPr>
          <w:rStyle w:val="Emphasis"/>
        </w:rPr>
        <w:t>the immigrant</w:t>
      </w:r>
      <w:r w:rsidRPr="00346EA7">
        <w:rPr>
          <w:sz w:val="16"/>
        </w:rPr>
        <w:t>.</w:t>
      </w:r>
    </w:p>
    <w:p w14:paraId="79189932" w14:textId="77777777" w:rsidR="006642FA" w:rsidRPr="004D690C" w:rsidRDefault="006642FA" w:rsidP="006642FA">
      <w:pPr>
        <w:rPr>
          <w:sz w:val="16"/>
        </w:rPr>
      </w:pPr>
      <w:r w:rsidRPr="008747BA">
        <w:rPr>
          <w:rStyle w:val="StyleUnderline"/>
        </w:rPr>
        <w:t xml:space="preserve">The </w:t>
      </w:r>
      <w:r w:rsidRPr="00E44345">
        <w:rPr>
          <w:rStyle w:val="StyleUnderline"/>
        </w:rPr>
        <w:t>application</w:t>
      </w:r>
      <w:r w:rsidRPr="008747BA">
        <w:rPr>
          <w:rStyle w:val="StyleUnderline"/>
        </w:rPr>
        <w:t xml:space="preserve"> of </w:t>
      </w:r>
      <w:r w:rsidRPr="00E44345">
        <w:rPr>
          <w:rStyle w:val="StyleUnderline"/>
        </w:rPr>
        <w:t>Chevron</w:t>
      </w:r>
      <w:r w:rsidRPr="008747BA">
        <w:rPr>
          <w:rStyle w:val="StyleUnderline"/>
        </w:rPr>
        <w:t xml:space="preserve"> to </w:t>
      </w:r>
      <w:r w:rsidRPr="008747BA">
        <w:rPr>
          <w:rStyle w:val="Emphasis"/>
        </w:rPr>
        <w:t>this ambiguity</w:t>
      </w:r>
      <w:r w:rsidRPr="004D690C">
        <w:rPr>
          <w:sz w:val="16"/>
        </w:rPr>
        <w:t xml:space="preserve"> of course </w:t>
      </w:r>
      <w:r w:rsidRPr="008747BA">
        <w:rPr>
          <w:rStyle w:val="StyleUnderline"/>
        </w:rPr>
        <w:t xml:space="preserve">leads to </w:t>
      </w:r>
      <w:r w:rsidRPr="008747BA">
        <w:rPr>
          <w:rStyle w:val="Emphasis"/>
        </w:rPr>
        <w:t>a different result</w:t>
      </w:r>
      <w:r w:rsidRPr="008747BA">
        <w:rPr>
          <w:rStyle w:val="StyleUnderline"/>
        </w:rPr>
        <w:t xml:space="preserve">. A statute </w:t>
      </w:r>
      <w:r w:rsidRPr="008747BA">
        <w:rPr>
          <w:rStyle w:val="Emphasis"/>
        </w:rPr>
        <w:t>sufficiently</w:t>
      </w:r>
      <w:r w:rsidRPr="008747BA">
        <w:rPr>
          <w:rStyle w:val="StyleUnderline"/>
        </w:rPr>
        <w:t xml:space="preserve"> ambiguous to invoke the rule of lenity assuredly is </w:t>
      </w:r>
      <w:r w:rsidRPr="008747BA">
        <w:rPr>
          <w:rStyle w:val="Emphasis"/>
        </w:rPr>
        <w:t>sufficiently ambiguous</w:t>
      </w:r>
      <w:r w:rsidRPr="008747BA">
        <w:rPr>
          <w:rStyle w:val="StyleUnderline"/>
        </w:rPr>
        <w:t xml:space="preserve"> to trigger Chevron deference</w:t>
      </w:r>
      <w:r w:rsidRPr="004D690C">
        <w:rPr>
          <w:sz w:val="16"/>
        </w:rPr>
        <w:t xml:space="preserve">. And adjudicative </w:t>
      </w:r>
      <w:r w:rsidRPr="008747BA">
        <w:rPr>
          <w:rStyle w:val="StyleUnderline"/>
        </w:rPr>
        <w:t xml:space="preserve">decisions by the Board </w:t>
      </w:r>
      <w:r w:rsidRPr="008747BA">
        <w:rPr>
          <w:rStyle w:val="Emphasis"/>
        </w:rPr>
        <w:t>typically receive</w:t>
      </w:r>
      <w:r w:rsidRPr="008747BA">
        <w:rPr>
          <w:rStyle w:val="StyleUnderline"/>
        </w:rPr>
        <w:t xml:space="preserve"> Chevron deference</w:t>
      </w:r>
      <w:r w:rsidRPr="004D690C">
        <w:rPr>
          <w:sz w:val="16"/>
        </w:rPr>
        <w:t>. See, e.g., INS v. Aguirre-Aguirre, 526 U.S. 415, 424–25 (1999). That means, as the court explains, that the Board’s decision that Esquivel-Quintana’s § 261.5(c) conviction amounts to “sexual abuse of a minor” prevails under Chevron deference. But it also means, as the court explains, that this interpretation would not prevail under the rule of lenity, where “sexual abuse of a minor” would cover no more than those statutory-rape crimes that set the age of consent at sixteen or less.</w:t>
      </w:r>
    </w:p>
    <w:p w14:paraId="3FBA026F" w14:textId="77777777" w:rsidR="006642FA" w:rsidRDefault="006642FA" w:rsidP="006642FA">
      <w:pPr>
        <w:rPr>
          <w:sz w:val="16"/>
        </w:rPr>
      </w:pPr>
      <w:r w:rsidRPr="004D690C">
        <w:rPr>
          <w:sz w:val="16"/>
        </w:rPr>
        <w:t xml:space="preserve">Yet </w:t>
      </w:r>
      <w:r w:rsidRPr="000E12C0">
        <w:rPr>
          <w:rStyle w:val="StyleUnderline"/>
        </w:rPr>
        <w:t xml:space="preserve">the application of </w:t>
      </w:r>
      <w:r w:rsidRPr="00456038">
        <w:rPr>
          <w:rStyle w:val="StyleUnderline"/>
          <w:highlight w:val="cyan"/>
        </w:rPr>
        <w:t>Chevron in this setting</w:t>
      </w:r>
      <w:r w:rsidRPr="004D690C">
        <w:rPr>
          <w:sz w:val="16"/>
        </w:rPr>
        <w:t xml:space="preserve">, as the court acknowledges, </w:t>
      </w:r>
      <w:r w:rsidRPr="00456038">
        <w:rPr>
          <w:rStyle w:val="StyleUnderline"/>
          <w:highlight w:val="cyan"/>
        </w:rPr>
        <w:t>“threatens</w:t>
      </w:r>
      <w:r w:rsidRPr="000E12C0">
        <w:rPr>
          <w:rStyle w:val="StyleUnderline"/>
        </w:rPr>
        <w:t xml:space="preserve"> </w:t>
      </w:r>
      <w:r w:rsidRPr="000E12C0">
        <w:rPr>
          <w:rStyle w:val="Emphasis"/>
        </w:rPr>
        <w:t xml:space="preserve">a complete </w:t>
      </w:r>
      <w:r w:rsidRPr="00456038">
        <w:rPr>
          <w:rStyle w:val="Emphasis"/>
          <w:highlight w:val="cyan"/>
        </w:rPr>
        <w:t>undermining</w:t>
      </w:r>
      <w:r w:rsidRPr="000E12C0">
        <w:rPr>
          <w:rStyle w:val="StyleUnderline"/>
        </w:rPr>
        <w:t xml:space="preserve"> of </w:t>
      </w:r>
      <w:r w:rsidRPr="00456038">
        <w:rPr>
          <w:rStyle w:val="StyleUnderline"/>
          <w:highlight w:val="cyan"/>
        </w:rPr>
        <w:t>the Constitution’s s</w:t>
      </w:r>
      <w:r w:rsidRPr="000E12C0">
        <w:rPr>
          <w:rStyle w:val="StyleUnderline"/>
        </w:rPr>
        <w:t xml:space="preserve">eparation </w:t>
      </w:r>
      <w:r w:rsidRPr="00456038">
        <w:rPr>
          <w:rStyle w:val="StyleUnderline"/>
          <w:highlight w:val="cyan"/>
        </w:rPr>
        <w:t>o</w:t>
      </w:r>
      <w:r w:rsidRPr="000E12C0">
        <w:rPr>
          <w:rStyle w:val="StyleUnderline"/>
        </w:rPr>
        <w:t xml:space="preserve">f </w:t>
      </w:r>
      <w:r w:rsidRPr="00456038">
        <w:rPr>
          <w:rStyle w:val="StyleUnderline"/>
          <w:highlight w:val="cyan"/>
        </w:rPr>
        <w:t>p</w:t>
      </w:r>
      <w:r w:rsidRPr="000E12C0">
        <w:rPr>
          <w:rStyle w:val="StyleUnderline"/>
        </w:rPr>
        <w:t xml:space="preserve">owers,” </w:t>
      </w:r>
      <w:r w:rsidRPr="00456038">
        <w:rPr>
          <w:rStyle w:val="StyleUnderline"/>
          <w:highlight w:val="cyan"/>
        </w:rPr>
        <w:t>while</w:t>
      </w:r>
      <w:r w:rsidRPr="004D690C">
        <w:rPr>
          <w:sz w:val="16"/>
        </w:rPr>
        <w:t xml:space="preserve"> the application of </w:t>
      </w:r>
      <w:r w:rsidRPr="000E12C0">
        <w:rPr>
          <w:rStyle w:val="StyleUnderline"/>
        </w:rPr>
        <w:t xml:space="preserve">the rule of </w:t>
      </w:r>
      <w:r w:rsidRPr="00456038">
        <w:rPr>
          <w:rStyle w:val="StyleUnderline"/>
          <w:highlight w:val="cyan"/>
        </w:rPr>
        <w:t>lenity “</w:t>
      </w:r>
      <w:r w:rsidRPr="00456038">
        <w:rPr>
          <w:rStyle w:val="Emphasis"/>
          <w:highlight w:val="cyan"/>
        </w:rPr>
        <w:t>preserves</w:t>
      </w:r>
      <w:r w:rsidRPr="00456038">
        <w:rPr>
          <w:rStyle w:val="StyleUnderline"/>
          <w:highlight w:val="cyan"/>
        </w:rPr>
        <w:t>” them</w:t>
      </w:r>
      <w:r w:rsidRPr="000E12C0">
        <w:rPr>
          <w:rStyle w:val="StyleUnderline"/>
        </w:rPr>
        <w:t xml:space="preserve"> by </w:t>
      </w:r>
      <w:r w:rsidRPr="00456038">
        <w:rPr>
          <w:rStyle w:val="StyleUnderline"/>
          <w:highlight w:val="cyan"/>
        </w:rPr>
        <w:t xml:space="preserve">maintaining </w:t>
      </w:r>
      <w:r w:rsidRPr="00456038">
        <w:rPr>
          <w:rStyle w:val="Emphasis"/>
          <w:highlight w:val="cyan"/>
        </w:rPr>
        <w:t>the legislature</w:t>
      </w:r>
      <w:r w:rsidRPr="00456038">
        <w:rPr>
          <w:rStyle w:val="StyleUnderline"/>
          <w:highlight w:val="cyan"/>
        </w:rPr>
        <w:t xml:space="preserve"> as </w:t>
      </w:r>
      <w:r w:rsidRPr="00456038">
        <w:rPr>
          <w:rStyle w:val="Emphasis"/>
          <w:highlight w:val="cyan"/>
        </w:rPr>
        <w:t>the creator of crimes</w:t>
      </w:r>
      <w:r w:rsidRPr="004D690C">
        <w:rPr>
          <w:sz w:val="16"/>
        </w:rPr>
        <w:t xml:space="preserve">. Supra at 5–6. </w:t>
      </w:r>
      <w:r w:rsidRPr="00456038">
        <w:rPr>
          <w:rStyle w:val="StyleUnderline"/>
          <w:highlight w:val="cyan"/>
        </w:rPr>
        <w:t>Lenity</w:t>
      </w:r>
      <w:r w:rsidRPr="004D690C">
        <w:rPr>
          <w:sz w:val="16"/>
        </w:rPr>
        <w:t xml:space="preserve"> also </w:t>
      </w:r>
      <w:r w:rsidRPr="00456038">
        <w:rPr>
          <w:rStyle w:val="StyleUnderline"/>
          <w:highlight w:val="cyan"/>
        </w:rPr>
        <w:t>ensures</w:t>
      </w:r>
      <w:r w:rsidRPr="000E12C0">
        <w:rPr>
          <w:rStyle w:val="StyleUnderline"/>
        </w:rPr>
        <w:t xml:space="preserve"> </w:t>
      </w:r>
      <w:r w:rsidRPr="000E12C0">
        <w:rPr>
          <w:rStyle w:val="Emphasis"/>
        </w:rPr>
        <w:t xml:space="preserve">fair </w:t>
      </w:r>
      <w:r w:rsidRPr="00456038">
        <w:rPr>
          <w:rStyle w:val="Emphasis"/>
          <w:highlight w:val="cyan"/>
        </w:rPr>
        <w:t>notice</w:t>
      </w:r>
      <w:r w:rsidRPr="00456038">
        <w:rPr>
          <w:rStyle w:val="StyleUnderline"/>
          <w:highlight w:val="cyan"/>
        </w:rPr>
        <w:t xml:space="preserve"> of</w:t>
      </w:r>
      <w:r w:rsidRPr="000E12C0">
        <w:rPr>
          <w:rStyle w:val="StyleUnderline"/>
        </w:rPr>
        <w:t xml:space="preserve"> </w:t>
      </w:r>
      <w:r w:rsidRPr="000E12C0">
        <w:rPr>
          <w:rStyle w:val="Emphasis"/>
        </w:rPr>
        <w:t xml:space="preserve">criminal </w:t>
      </w:r>
      <w:r w:rsidRPr="00456038">
        <w:rPr>
          <w:rStyle w:val="Emphasis"/>
          <w:highlight w:val="cyan"/>
        </w:rPr>
        <w:t>consequences</w:t>
      </w:r>
      <w:r w:rsidRPr="00456038">
        <w:rPr>
          <w:rStyle w:val="StyleUnderline"/>
          <w:highlight w:val="cyan"/>
        </w:rPr>
        <w:t>, precludes</w:t>
      </w:r>
      <w:r w:rsidRPr="000E12C0">
        <w:rPr>
          <w:rStyle w:val="StyleUnderline"/>
        </w:rPr>
        <w:t xml:space="preserve"> </w:t>
      </w:r>
      <w:r w:rsidRPr="000E12C0">
        <w:rPr>
          <w:rStyle w:val="Emphasis"/>
        </w:rPr>
        <w:t xml:space="preserve">the same </w:t>
      </w:r>
      <w:r w:rsidRPr="00456038">
        <w:rPr>
          <w:rStyle w:val="Emphasis"/>
          <w:highlight w:val="cyan"/>
        </w:rPr>
        <w:t>agency</w:t>
      </w:r>
      <w:r w:rsidRPr="000E12C0">
        <w:rPr>
          <w:rStyle w:val="StyleUnderline"/>
        </w:rPr>
        <w:t xml:space="preserve"> from </w:t>
      </w:r>
      <w:r w:rsidRPr="00456038">
        <w:rPr>
          <w:rStyle w:val="StyleUnderline"/>
          <w:highlight w:val="cyan"/>
        </w:rPr>
        <w:t xml:space="preserve">altering criminal laws </w:t>
      </w:r>
      <w:r w:rsidRPr="00456038">
        <w:rPr>
          <w:rStyle w:val="Emphasis"/>
          <w:highlight w:val="cyan"/>
        </w:rPr>
        <w:t>back and forth</w:t>
      </w:r>
      <w:r w:rsidRPr="000E12C0">
        <w:rPr>
          <w:rStyle w:val="Emphasis"/>
        </w:rPr>
        <w:t xml:space="preserve"> over time</w:t>
      </w:r>
      <w:r w:rsidRPr="000E12C0">
        <w:rPr>
          <w:rStyle w:val="StyleUnderline"/>
        </w:rPr>
        <w:t xml:space="preserve"> (even </w:t>
      </w:r>
      <w:r w:rsidRPr="00E44345">
        <w:rPr>
          <w:rStyle w:val="StyleUnderline"/>
        </w:rPr>
        <w:t>over</w:t>
      </w:r>
      <w:r w:rsidRPr="000E12C0">
        <w:rPr>
          <w:rStyle w:val="StyleUnderline"/>
        </w:rPr>
        <w:t xml:space="preserve"> </w:t>
      </w:r>
      <w:r w:rsidRPr="000E12C0">
        <w:rPr>
          <w:rStyle w:val="Emphasis"/>
        </w:rPr>
        <w:t>conflicting judicial interpretations</w:t>
      </w:r>
      <w:r w:rsidRPr="000E12C0">
        <w:rPr>
          <w:rStyle w:val="StyleUnderline"/>
        </w:rPr>
        <w:t xml:space="preserve">, </w:t>
      </w:r>
      <w:r w:rsidRPr="00456038">
        <w:rPr>
          <w:rStyle w:val="StyleUnderline"/>
          <w:highlight w:val="cyan"/>
        </w:rPr>
        <w:t>see</w:t>
      </w:r>
      <w:r w:rsidRPr="004D690C">
        <w:rPr>
          <w:sz w:val="16"/>
        </w:rPr>
        <w:t xml:space="preserve"> Nat’l Cable &amp; Telecomm. Ass’n v. </w:t>
      </w:r>
      <w:r w:rsidRPr="00456038">
        <w:rPr>
          <w:rStyle w:val="Emphasis"/>
          <w:highlight w:val="cyan"/>
        </w:rPr>
        <w:t>Brand X</w:t>
      </w:r>
      <w:r w:rsidRPr="004D690C">
        <w:rPr>
          <w:sz w:val="16"/>
        </w:rPr>
        <w:t xml:space="preserve"> Internet Servs., 545 U.S. 967, 980–85 </w:t>
      </w:r>
      <w:r w:rsidRPr="000E12C0">
        <w:rPr>
          <w:rStyle w:val="StyleUnderline"/>
        </w:rPr>
        <w:t>(2</w:t>
      </w:r>
      <w:r w:rsidRPr="00E44345">
        <w:rPr>
          <w:rStyle w:val="StyleUnderline"/>
        </w:rPr>
        <w:t xml:space="preserve">005), </w:t>
      </w:r>
      <w:r w:rsidRPr="00456038">
        <w:rPr>
          <w:rStyle w:val="StyleUnderline"/>
          <w:highlight w:val="cyan"/>
        </w:rPr>
        <w:t>and</w:t>
      </w:r>
      <w:r w:rsidRPr="000E12C0">
        <w:rPr>
          <w:rStyle w:val="StyleUnderline"/>
        </w:rPr>
        <w:t xml:space="preserve"> even </w:t>
      </w:r>
      <w:r w:rsidRPr="00456038">
        <w:rPr>
          <w:rStyle w:val="Emphasis"/>
          <w:highlight w:val="cyan"/>
        </w:rPr>
        <w:t>without input</w:t>
      </w:r>
      <w:r w:rsidRPr="00456038">
        <w:rPr>
          <w:rStyle w:val="StyleUnderline"/>
          <w:highlight w:val="cyan"/>
        </w:rPr>
        <w:t xml:space="preserve"> from Congress), and ensures</w:t>
      </w:r>
      <w:r w:rsidRPr="004D690C">
        <w:rPr>
          <w:sz w:val="16"/>
        </w:rPr>
        <w:t xml:space="preserve"> that </w:t>
      </w:r>
      <w:r w:rsidRPr="00456038">
        <w:rPr>
          <w:rStyle w:val="StyleUnderline"/>
          <w:highlight w:val="cyan"/>
        </w:rPr>
        <w:t>the</w:t>
      </w:r>
      <w:r w:rsidRPr="000E12C0">
        <w:rPr>
          <w:rStyle w:val="StyleUnderline"/>
        </w:rPr>
        <w:t xml:space="preserve"> same “[r]ules of </w:t>
      </w:r>
      <w:r w:rsidRPr="00456038">
        <w:rPr>
          <w:rStyle w:val="StyleUnderline"/>
          <w:highlight w:val="cyan"/>
        </w:rPr>
        <w:t>interpretation bind all interpreters</w:t>
      </w:r>
      <w:r w:rsidRPr="000E12C0">
        <w:rPr>
          <w:rStyle w:val="StyleUnderline"/>
        </w:rPr>
        <w:t xml:space="preserve">, </w:t>
      </w:r>
      <w:r w:rsidRPr="000E12C0">
        <w:rPr>
          <w:rStyle w:val="Emphasis"/>
        </w:rPr>
        <w:t xml:space="preserve">administrative </w:t>
      </w:r>
      <w:r w:rsidRPr="00456038">
        <w:rPr>
          <w:rStyle w:val="Emphasis"/>
          <w:highlight w:val="cyan"/>
        </w:rPr>
        <w:t>agencies</w:t>
      </w:r>
      <w:r w:rsidRPr="00456038">
        <w:rPr>
          <w:rStyle w:val="StyleUnderline"/>
          <w:highlight w:val="cyan"/>
        </w:rPr>
        <w:t xml:space="preserve"> included.”</w:t>
      </w:r>
      <w:r w:rsidRPr="004D690C">
        <w:rPr>
          <w:sz w:val="16"/>
        </w:rPr>
        <w:t xml:space="preserve"> Carter, 736 F.3d at 729, 731 (Sutton, J., concurring). Lenity also avoids several “uninvited oddities [that] arise if courts but not agencies must adhere to the rule of lenity.” Id. at 732–33 (collecting some of them). </w:t>
      </w:r>
      <w:r w:rsidRPr="000E12C0">
        <w:rPr>
          <w:rStyle w:val="StyleUnderline"/>
        </w:rPr>
        <w:t xml:space="preserve">By applying </w:t>
      </w:r>
      <w:r w:rsidRPr="00456038">
        <w:rPr>
          <w:rStyle w:val="StyleUnderline"/>
          <w:highlight w:val="cyan"/>
        </w:rPr>
        <w:t>lenity</w:t>
      </w:r>
      <w:r w:rsidRPr="000E12C0">
        <w:rPr>
          <w:rStyle w:val="StyleUnderline"/>
        </w:rPr>
        <w:t xml:space="preserve"> in this setting</w:t>
      </w:r>
      <w:r w:rsidRPr="004D690C">
        <w:rPr>
          <w:sz w:val="16"/>
        </w:rPr>
        <w:t xml:space="preserve">, last of all, </w:t>
      </w:r>
      <w:r w:rsidRPr="000E12C0">
        <w:rPr>
          <w:rStyle w:val="StyleUnderline"/>
        </w:rPr>
        <w:t xml:space="preserve">courts </w:t>
      </w:r>
      <w:r w:rsidRPr="00456038">
        <w:rPr>
          <w:rStyle w:val="StyleUnderline"/>
          <w:highlight w:val="cyan"/>
        </w:rPr>
        <w:t xml:space="preserve">would avoid incentivizing Congress to enact </w:t>
      </w:r>
      <w:r w:rsidRPr="00456038">
        <w:rPr>
          <w:rStyle w:val="Emphasis"/>
          <w:highlight w:val="cyan"/>
        </w:rPr>
        <w:t>hybrid statutes</w:t>
      </w:r>
      <w:r w:rsidRPr="00456038">
        <w:rPr>
          <w:rStyle w:val="StyleUnderline"/>
          <w:highlight w:val="cyan"/>
        </w:rPr>
        <w:t xml:space="preserve"> that duck</w:t>
      </w:r>
      <w:r w:rsidRPr="000E12C0">
        <w:rPr>
          <w:rStyle w:val="StyleUnderline"/>
        </w:rPr>
        <w:t xml:space="preserve"> under </w:t>
      </w:r>
      <w:r w:rsidRPr="00456038">
        <w:rPr>
          <w:rStyle w:val="Emphasis"/>
          <w:highlight w:val="cyan"/>
        </w:rPr>
        <w:t>lenity</w:t>
      </w:r>
      <w:r w:rsidRPr="00E44345">
        <w:rPr>
          <w:rStyle w:val="Emphasis"/>
        </w:rPr>
        <w:t>’s im</w:t>
      </w:r>
      <w:r w:rsidRPr="000E12C0">
        <w:rPr>
          <w:rStyle w:val="Emphasis"/>
        </w:rPr>
        <w:t>peratives</w:t>
      </w:r>
      <w:r w:rsidRPr="000E12C0">
        <w:rPr>
          <w:rStyle w:val="StyleUnderline"/>
        </w:rPr>
        <w:t xml:space="preserve">, to say nothing of other imperatives in construing </w:t>
      </w:r>
      <w:r w:rsidRPr="000E12C0">
        <w:rPr>
          <w:rStyle w:val="Emphasis"/>
        </w:rPr>
        <w:t>criminal laws</w:t>
      </w:r>
      <w:r w:rsidRPr="004D690C">
        <w:rPr>
          <w:sz w:val="16"/>
        </w:rPr>
        <w:t>.</w:t>
      </w:r>
    </w:p>
    <w:p w14:paraId="32A40092" w14:textId="7C51A564" w:rsidR="00331867" w:rsidRDefault="00331867" w:rsidP="00331867">
      <w:pPr>
        <w:pStyle w:val="Heading4"/>
      </w:pPr>
      <w:r>
        <w:t xml:space="preserve">That makes </w:t>
      </w:r>
      <w:r>
        <w:rPr>
          <w:u w:val="single"/>
        </w:rPr>
        <w:t>criminal prosecution</w:t>
      </w:r>
      <w:r>
        <w:t xml:space="preserve"> depend on </w:t>
      </w:r>
      <w:r>
        <w:rPr>
          <w:u w:val="single"/>
        </w:rPr>
        <w:t>zip codes</w:t>
      </w:r>
      <w:r>
        <w:t>.</w:t>
      </w:r>
    </w:p>
    <w:p w14:paraId="58B69E7B" w14:textId="77777777" w:rsidR="00331867" w:rsidRDefault="00331867" w:rsidP="00331867">
      <w:r w:rsidRPr="000A3254">
        <w:rPr>
          <w:rStyle w:val="Style13ptBold"/>
        </w:rPr>
        <w:t>Hamburger et al. 19</w:t>
      </w:r>
      <w:r>
        <w:t xml:space="preserve"> – Philip Hamburger, Law Professor at Columbia University. Mark Chenoweth, an attorney advisor in the Office of Legal Policy at the U.S. Department of Justice, law clerk to Judge Danny J. Boggs on the U.S. Court of Appeals for the Sixth Circuit, the first chief of staff to Congressman Mike Pompeo, JD at the University of Chicago. Caleb Kruckenberg, JD at Temple University. Adi Dynar, JD at the University of Toledo Law. [Brief for the Petitioners Damien Guedes, et al., v. Bureau of Alcohol, Tobacco, Firearms and Explosives, et al., by the New Civil Liberties Alliance, 10-4-19, https://www.supremecourt.gov/DocketPDF/19/19-296/118243/20191004192538712_19-296 Amicus Brief of NCLA.pdf]//BPS</w:t>
      </w:r>
    </w:p>
    <w:p w14:paraId="70EAAC6C" w14:textId="77777777" w:rsidR="00331867" w:rsidRPr="00166D96" w:rsidRDefault="00331867" w:rsidP="00331867">
      <w:pPr>
        <w:rPr>
          <w:sz w:val="16"/>
        </w:rPr>
      </w:pPr>
      <w:r w:rsidRPr="00166D96">
        <w:rPr>
          <w:sz w:val="16"/>
        </w:rPr>
        <w:t xml:space="preserve">A. THIS COURT NEEDS TO </w:t>
      </w:r>
      <w:r w:rsidRPr="00456038">
        <w:rPr>
          <w:rStyle w:val="Emphasis"/>
          <w:highlight w:val="cyan"/>
        </w:rPr>
        <w:t>CLARIFY</w:t>
      </w:r>
      <w:r w:rsidRPr="00166D96">
        <w:rPr>
          <w:sz w:val="16"/>
        </w:rPr>
        <w:t xml:space="preserve"> THAT </w:t>
      </w:r>
      <w:r w:rsidRPr="00290FC9">
        <w:rPr>
          <w:rStyle w:val="StyleUnderline"/>
        </w:rPr>
        <w:t xml:space="preserve">THE RULE OF </w:t>
      </w:r>
      <w:r w:rsidRPr="00456038">
        <w:rPr>
          <w:rStyle w:val="StyleUnderline"/>
          <w:highlight w:val="cyan"/>
        </w:rPr>
        <w:t xml:space="preserve">LENITY CANNOT BE </w:t>
      </w:r>
      <w:r w:rsidRPr="00456038">
        <w:rPr>
          <w:rStyle w:val="Emphasis"/>
          <w:highlight w:val="cyan"/>
        </w:rPr>
        <w:t>CAST ASIDE</w:t>
      </w:r>
    </w:p>
    <w:p w14:paraId="75E59FF8" w14:textId="77777777" w:rsidR="00331867" w:rsidRPr="00166D96" w:rsidRDefault="00331867" w:rsidP="00331867">
      <w:pPr>
        <w:rPr>
          <w:sz w:val="16"/>
        </w:rPr>
      </w:pPr>
      <w:r w:rsidRPr="00CB0645">
        <w:rPr>
          <w:rStyle w:val="StyleUnderline"/>
        </w:rPr>
        <w:t xml:space="preserve">The rule of lenity is </w:t>
      </w:r>
      <w:r w:rsidRPr="00CB0645">
        <w:rPr>
          <w:rStyle w:val="Emphasis"/>
        </w:rPr>
        <w:t>constitutionally required</w:t>
      </w:r>
      <w:r w:rsidRPr="00166D96">
        <w:rPr>
          <w:sz w:val="16"/>
        </w:rPr>
        <w:t>. It dictates that any “ambiguity concerning the ambit of criminal statutes should be resolved in favor of lenity.” Skilling v. United States, 561 U.S. 358, 410 (2010); see also United States v. Kozminski, 487 U.S. 931, 952 (1988). The rule of lenity holds that a law must speak “in language that is clear and definite” if it is to render something a crime. United States v. Bass, 404 U.S. 336, 347 (1971) (citation and internal quotation marks omitted).</w:t>
      </w:r>
    </w:p>
    <w:p w14:paraId="0536ED4D" w14:textId="77777777" w:rsidR="00331867" w:rsidRPr="00166D96" w:rsidRDefault="00331867" w:rsidP="00331867">
      <w:pPr>
        <w:rPr>
          <w:sz w:val="16"/>
        </w:rPr>
      </w:pPr>
      <w:r w:rsidRPr="00CB0645">
        <w:rPr>
          <w:rStyle w:val="StyleUnderline"/>
        </w:rPr>
        <w:t xml:space="preserve">The rule has layered </w:t>
      </w:r>
      <w:r w:rsidRPr="00CB0645">
        <w:rPr>
          <w:rStyle w:val="Emphasis"/>
        </w:rPr>
        <w:t>constitutional foundations</w:t>
      </w:r>
      <w:r w:rsidRPr="00166D96">
        <w:rPr>
          <w:sz w:val="16"/>
        </w:rPr>
        <w:t xml:space="preserve">. “Ap-plication of the rule of lenity ensures that criminal statutes will provide fair warning concerning conduct rendered illegal and strikes the appropriate balance be-tween the legislature, the prosecutor, and the court in defining criminal liability.” Liparota v. United States, 471 U.S. 419, 427 (1985). “[E]qually important, [the rule of </w:t>
      </w:r>
      <w:r w:rsidRPr="00CB0645">
        <w:rPr>
          <w:rStyle w:val="StyleUnderline"/>
        </w:rPr>
        <w:t>lenity</w:t>
      </w:r>
      <w:r w:rsidRPr="00166D96">
        <w:rPr>
          <w:sz w:val="16"/>
        </w:rPr>
        <w:t xml:space="preserve">] </w:t>
      </w:r>
      <w:r w:rsidRPr="00CB0645">
        <w:rPr>
          <w:rStyle w:val="StyleUnderline"/>
        </w:rPr>
        <w:t xml:space="preserve">vindicates the principle </w:t>
      </w:r>
      <w:r w:rsidRPr="00A70A31">
        <w:rPr>
          <w:rStyle w:val="StyleUnderline"/>
        </w:rPr>
        <w:t xml:space="preserve">that </w:t>
      </w:r>
      <w:r w:rsidRPr="00A70A31">
        <w:rPr>
          <w:rStyle w:val="Emphasis"/>
        </w:rPr>
        <w:t>only the legislature</w:t>
      </w:r>
      <w:r w:rsidRPr="00A70A31">
        <w:rPr>
          <w:sz w:val="16"/>
        </w:rPr>
        <w:t xml:space="preserve"> may </w:t>
      </w:r>
      <w:r w:rsidRPr="00A70A31">
        <w:rPr>
          <w:rStyle w:val="StyleUnderline"/>
        </w:rPr>
        <w:t>define crimes and fix punishments. Congress cannot, through ambiguity, effectively leave that function to the courts</w:t>
      </w:r>
      <w:r w:rsidRPr="00CB0645">
        <w:rPr>
          <w:rStyle w:val="StyleUnderline"/>
        </w:rPr>
        <w:t>—</w:t>
      </w:r>
      <w:r w:rsidRPr="00CB0645">
        <w:rPr>
          <w:rStyle w:val="Emphasis"/>
        </w:rPr>
        <w:t>much less to the administrative bureaucracy</w:t>
      </w:r>
      <w:r w:rsidRPr="00166D96">
        <w:rPr>
          <w:sz w:val="16"/>
        </w:rPr>
        <w:t>.” Whitman v. United States, 135 S. Ct. 352, 353 (2014) (Scalia, J., statement regarding denial of certiorari, joined by Thomas, J.).</w:t>
      </w:r>
    </w:p>
    <w:p w14:paraId="273A4E5C" w14:textId="77777777" w:rsidR="00331867" w:rsidRPr="00166D96" w:rsidRDefault="00331867" w:rsidP="00331867">
      <w:pPr>
        <w:rPr>
          <w:sz w:val="16"/>
        </w:rPr>
      </w:pPr>
      <w:r w:rsidRPr="00166D96">
        <w:rPr>
          <w:sz w:val="16"/>
        </w:rPr>
        <w:t>This Court has emphatically declared, “criminal laws are for courts, not for the Government, to construe.” Abramski v. United States, 573 U.S. 169, 191 (2014); see also United States v. Apel, 571 U.S. 359, 369 (2014) (“[W]e have never held that the Government’s reading of a criminal statute is entitled to any deference.”). And this Court has repeatedly applied the rule of lenity to ambiguous statutes with both civil and criminal penalties, without regard to Chevron deference. See Leocal v. Ash-croft, 543 U.S. 1, 11 n. 8 (2004); United States v. Thomp-son/Center Arms Co., 504 U.S. 505, 517-18 (1992) (plu-rality op.); id. at 519 (Scalia, J., concurring).</w:t>
      </w:r>
    </w:p>
    <w:p w14:paraId="02DCD96C" w14:textId="77777777" w:rsidR="00331867" w:rsidRPr="00166D96" w:rsidRDefault="00331867" w:rsidP="00331867">
      <w:pPr>
        <w:rPr>
          <w:sz w:val="16"/>
        </w:rPr>
      </w:pPr>
      <w:r w:rsidRPr="00CB0645">
        <w:rPr>
          <w:rStyle w:val="StyleUnderline"/>
        </w:rPr>
        <w:t xml:space="preserve">Yet this Court’s opinion in </w:t>
      </w:r>
      <w:r w:rsidRPr="00456038">
        <w:rPr>
          <w:rStyle w:val="Emphasis"/>
          <w:highlight w:val="cyan"/>
        </w:rPr>
        <w:t>Babbitt</w:t>
      </w:r>
      <w:r w:rsidRPr="00166D96">
        <w:rPr>
          <w:sz w:val="16"/>
        </w:rPr>
        <w:t xml:space="preserve"> v. Sweet Home Chapter of Comm’s for a Great Oregon, 515 U.S. 687 (1995) </w:t>
      </w:r>
      <w:r w:rsidRPr="00CB0645">
        <w:rPr>
          <w:rStyle w:val="StyleUnderline"/>
        </w:rPr>
        <w:t xml:space="preserve">has </w:t>
      </w:r>
      <w:r w:rsidRPr="00456038">
        <w:rPr>
          <w:rStyle w:val="Emphasis"/>
          <w:highlight w:val="cyan"/>
        </w:rPr>
        <w:t>clouded</w:t>
      </w:r>
      <w:r w:rsidRPr="00456038">
        <w:rPr>
          <w:rStyle w:val="StyleUnderline"/>
          <w:highlight w:val="cyan"/>
        </w:rPr>
        <w:t xml:space="preserve"> the picture</w:t>
      </w:r>
      <w:r w:rsidRPr="00166D96">
        <w:rPr>
          <w:sz w:val="16"/>
        </w:rPr>
        <w:t>. In an opinion authored by Justice Stevens, this Court deferred to an agency interpretation of a civil statute with criminal penalties, and opined in a footnote that the Court had “never suggested that the rule of lenity should provide the standard for re-viewing facial challenges to administrative regulations whenever the governing statute authorizes criminal enforcement.” Id. at 704, n. 18.</w:t>
      </w:r>
    </w:p>
    <w:p w14:paraId="6D8DA7F9" w14:textId="77777777" w:rsidR="00331867" w:rsidRPr="00166D96" w:rsidRDefault="00331867" w:rsidP="00331867">
      <w:pPr>
        <w:rPr>
          <w:sz w:val="16"/>
        </w:rPr>
      </w:pPr>
      <w:r w:rsidRPr="00CB0645">
        <w:rPr>
          <w:rStyle w:val="StyleUnderline"/>
        </w:rPr>
        <w:t xml:space="preserve">Babbitt’s </w:t>
      </w:r>
      <w:r w:rsidRPr="00456038">
        <w:rPr>
          <w:rStyle w:val="Emphasis"/>
          <w:highlight w:val="cyan"/>
        </w:rPr>
        <w:t>“drive by” footnote</w:t>
      </w:r>
      <w:r w:rsidRPr="00CB0645">
        <w:rPr>
          <w:rStyle w:val="StyleUnderline"/>
        </w:rPr>
        <w:t xml:space="preserve"> has been </w:t>
      </w:r>
      <w:r w:rsidRPr="00CB0645">
        <w:rPr>
          <w:rStyle w:val="Emphasis"/>
        </w:rPr>
        <w:t xml:space="preserve">heavily </w:t>
      </w:r>
      <w:r w:rsidRPr="00456038">
        <w:rPr>
          <w:rStyle w:val="Emphasis"/>
          <w:highlight w:val="cyan"/>
        </w:rPr>
        <w:t>criticized</w:t>
      </w:r>
      <w:r w:rsidRPr="00BF768F">
        <w:rPr>
          <w:rStyle w:val="StyleUnderline"/>
        </w:rPr>
        <w:t xml:space="preserve"> by</w:t>
      </w:r>
      <w:r w:rsidRPr="00BF768F">
        <w:rPr>
          <w:sz w:val="16"/>
        </w:rPr>
        <w:t xml:space="preserve"> m</w:t>
      </w:r>
      <w:r w:rsidRPr="00166D96">
        <w:rPr>
          <w:sz w:val="16"/>
        </w:rPr>
        <w:t xml:space="preserve">embers of </w:t>
      </w:r>
      <w:r w:rsidRPr="00CB0645">
        <w:rPr>
          <w:rStyle w:val="Emphasis"/>
        </w:rPr>
        <w:t>this Court</w:t>
      </w:r>
      <w:r w:rsidRPr="00CB0645">
        <w:rPr>
          <w:rStyle w:val="StyleUnderline"/>
        </w:rPr>
        <w:t xml:space="preserve"> </w:t>
      </w:r>
      <w:r w:rsidRPr="00456038">
        <w:rPr>
          <w:rStyle w:val="StyleUnderline"/>
          <w:highlight w:val="cyan"/>
        </w:rPr>
        <w:t>as “contradict[ing]</w:t>
      </w:r>
      <w:r w:rsidRPr="00166D96">
        <w:rPr>
          <w:sz w:val="16"/>
        </w:rPr>
        <w:t xml:space="preserve"> the </w:t>
      </w:r>
      <w:r w:rsidRPr="00CB0645">
        <w:rPr>
          <w:rStyle w:val="Emphasis"/>
        </w:rPr>
        <w:t xml:space="preserve">many </w:t>
      </w:r>
      <w:r w:rsidRPr="00456038">
        <w:rPr>
          <w:rStyle w:val="Emphasis"/>
          <w:highlight w:val="cyan"/>
        </w:rPr>
        <w:t>cases</w:t>
      </w:r>
      <w:r w:rsidRPr="00166D96">
        <w:rPr>
          <w:sz w:val="16"/>
        </w:rPr>
        <w:t xml:space="preserve"> before and since holding </w:t>
      </w:r>
      <w:r w:rsidRPr="00CB0645">
        <w:rPr>
          <w:rStyle w:val="StyleUnderline"/>
        </w:rPr>
        <w:t xml:space="preserve">that, if a law has </w:t>
      </w:r>
      <w:r w:rsidRPr="00A70A31">
        <w:rPr>
          <w:rStyle w:val="StyleUnderline"/>
        </w:rPr>
        <w:t xml:space="preserve">both criminal and civil applications, the rule of lenity </w:t>
      </w:r>
      <w:r w:rsidRPr="00A70A31">
        <w:rPr>
          <w:rStyle w:val="Emphasis"/>
        </w:rPr>
        <w:t>governs</w:t>
      </w:r>
      <w:r w:rsidRPr="00A70A31">
        <w:rPr>
          <w:rStyle w:val="StyleUnderline"/>
        </w:rPr>
        <w:t xml:space="preserve"> its interpretation in </w:t>
      </w:r>
      <w:r w:rsidRPr="00A70A31">
        <w:rPr>
          <w:rStyle w:val="Emphasis"/>
        </w:rPr>
        <w:t>both settings</w:t>
      </w:r>
      <w:r w:rsidRPr="00A70A31">
        <w:rPr>
          <w:rStyle w:val="StyleUnderline"/>
        </w:rPr>
        <w:t>.”</w:t>
      </w:r>
      <w:r w:rsidRPr="00A70A31">
        <w:rPr>
          <w:sz w:val="16"/>
        </w:rPr>
        <w:t xml:space="preserve"> Whitman, 135 S. Ct. at 353-54. More significantly, </w:t>
      </w:r>
      <w:r w:rsidRPr="00A70A31">
        <w:rPr>
          <w:rStyle w:val="StyleUnderline"/>
        </w:rPr>
        <w:t>applying deference instead of</w:t>
      </w:r>
      <w:r w:rsidRPr="00A70A31">
        <w:rPr>
          <w:sz w:val="16"/>
        </w:rPr>
        <w:t xml:space="preserve"> the rule of </w:t>
      </w:r>
      <w:r w:rsidRPr="00A70A31">
        <w:rPr>
          <w:rStyle w:val="StyleUnderline"/>
        </w:rPr>
        <w:t>lenity would “</w:t>
      </w:r>
      <w:r w:rsidRPr="00A70A31">
        <w:rPr>
          <w:rStyle w:val="Emphasis"/>
        </w:rPr>
        <w:t>upend</w:t>
      </w:r>
      <w:r w:rsidRPr="00A70A31">
        <w:rPr>
          <w:rStyle w:val="StyleUnderline"/>
        </w:rPr>
        <w:t xml:space="preserve"> ordinary principles of interpretation” and allow “federal administrators [to] in effect </w:t>
      </w:r>
      <w:r w:rsidRPr="00A70A31">
        <w:rPr>
          <w:rStyle w:val="Emphasis"/>
        </w:rPr>
        <w:t>create (and uncreate)</w:t>
      </w:r>
      <w:r w:rsidRPr="00A70A31">
        <w:rPr>
          <w:rStyle w:val="StyleUnderline"/>
        </w:rPr>
        <w:t xml:space="preserve"> new crimes at will</w:t>
      </w:r>
      <w:r w:rsidRPr="00A70A31">
        <w:rPr>
          <w:sz w:val="16"/>
        </w:rPr>
        <w:t xml:space="preserve">, so long </w:t>
      </w:r>
      <w:r w:rsidRPr="00A70A31">
        <w:rPr>
          <w:rStyle w:val="StyleUnderline"/>
        </w:rPr>
        <w:t>as</w:t>
      </w:r>
      <w:r w:rsidRPr="00A70A31">
        <w:rPr>
          <w:sz w:val="16"/>
        </w:rPr>
        <w:t xml:space="preserve"> they do not roam beyond </w:t>
      </w:r>
      <w:r w:rsidRPr="00A70A31">
        <w:rPr>
          <w:rStyle w:val="StyleUnderline"/>
        </w:rPr>
        <w:t>ambiguities that the laws contain.”</w:t>
      </w:r>
      <w:r w:rsidRPr="00A70A31">
        <w:rPr>
          <w:sz w:val="16"/>
        </w:rPr>
        <w:t xml:space="preserve"> Id. at 353. As Justice Gorsuch has n</w:t>
      </w:r>
      <w:r w:rsidRPr="00166D96">
        <w:rPr>
          <w:sz w:val="16"/>
        </w:rPr>
        <w:t>oted, “Chevron invests the power to decide the meaning of the law, and to do so with legislative policy goals in mind, in the very entity charged with enforcing the law.” Gutierrez-Brizuela v. Lynch, 834 F.3d 1142, 1155 (10th Cir. 2016) (Gorsuch, J., concurring).</w:t>
      </w:r>
    </w:p>
    <w:p w14:paraId="6E71EDF3" w14:textId="77777777" w:rsidR="00331867" w:rsidRPr="00166D96" w:rsidRDefault="00331867" w:rsidP="00331867">
      <w:pPr>
        <w:rPr>
          <w:sz w:val="16"/>
        </w:rPr>
      </w:pPr>
      <w:r w:rsidRPr="00290FC9">
        <w:rPr>
          <w:rStyle w:val="StyleUnderline"/>
        </w:rPr>
        <w:t xml:space="preserve">The </w:t>
      </w:r>
      <w:r w:rsidRPr="00456038">
        <w:rPr>
          <w:rStyle w:val="StyleUnderline"/>
          <w:highlight w:val="cyan"/>
        </w:rPr>
        <w:t xml:space="preserve">D.C. Circuit concluded it was </w:t>
      </w:r>
      <w:r w:rsidRPr="00456038">
        <w:rPr>
          <w:rStyle w:val="Emphasis"/>
          <w:highlight w:val="cyan"/>
        </w:rPr>
        <w:t>bound</w:t>
      </w:r>
      <w:r w:rsidRPr="00456038">
        <w:rPr>
          <w:rStyle w:val="StyleUnderline"/>
          <w:highlight w:val="cyan"/>
        </w:rPr>
        <w:t xml:space="preserve"> by</w:t>
      </w:r>
      <w:r w:rsidRPr="00290FC9">
        <w:rPr>
          <w:rStyle w:val="StyleUnderline"/>
        </w:rPr>
        <w:t xml:space="preserve"> </w:t>
      </w:r>
      <w:r w:rsidRPr="00290FC9">
        <w:rPr>
          <w:rStyle w:val="Emphasis"/>
        </w:rPr>
        <w:t>Babbitt’s footnote</w:t>
      </w:r>
      <w:r w:rsidRPr="00290FC9">
        <w:rPr>
          <w:rStyle w:val="StyleUnderline"/>
        </w:rPr>
        <w:t xml:space="preserve"> and refused</w:t>
      </w:r>
      <w:r w:rsidRPr="00166D96">
        <w:rPr>
          <w:sz w:val="16"/>
        </w:rPr>
        <w:t xml:space="preserve"> to apply the rule of </w:t>
      </w:r>
      <w:r w:rsidRPr="00290FC9">
        <w:rPr>
          <w:rStyle w:val="StyleUnderline"/>
        </w:rPr>
        <w:t>lenity</w:t>
      </w:r>
      <w:r w:rsidRPr="00166D96">
        <w:rPr>
          <w:sz w:val="16"/>
        </w:rPr>
        <w:t xml:space="preserve"> at all. See Guedes, 920 F.3d at 27-28. It thus applied deference to expand the reach of a criminal law instead of the constitutional presumption of lenity. Id.</w:t>
      </w:r>
    </w:p>
    <w:p w14:paraId="23C262D0" w14:textId="77777777" w:rsidR="00331867" w:rsidRPr="00166D96" w:rsidRDefault="00331867" w:rsidP="00331867">
      <w:pPr>
        <w:rPr>
          <w:sz w:val="16"/>
        </w:rPr>
      </w:pPr>
      <w:r w:rsidRPr="00166D96">
        <w:rPr>
          <w:sz w:val="16"/>
        </w:rPr>
        <w:t xml:space="preserve">This case thus presents a perfect opportunity for this Court to resolve the conflict between Chevron deference and the rule of lenity and, moreover, to correct the constitutional harms that have been brought on by </w:t>
      </w:r>
      <w:r w:rsidRPr="00A70A31">
        <w:rPr>
          <w:rStyle w:val="Emphasis"/>
        </w:rPr>
        <w:t>Babbitt’s</w:t>
      </w:r>
      <w:r w:rsidRPr="00290FC9">
        <w:rPr>
          <w:rStyle w:val="Emphasis"/>
        </w:rPr>
        <w:t xml:space="preserve"> </w:t>
      </w:r>
      <w:r w:rsidRPr="00456038">
        <w:rPr>
          <w:rStyle w:val="Emphasis"/>
          <w:highlight w:val="cyan"/>
        </w:rPr>
        <w:t>ill-considered dicta</w:t>
      </w:r>
      <w:r w:rsidRPr="00166D96">
        <w:rPr>
          <w:sz w:val="16"/>
        </w:rPr>
        <w:t xml:space="preserve">. See Whitman, 135 S. Ct. at 354. </w:t>
      </w:r>
      <w:r w:rsidRPr="00456038">
        <w:rPr>
          <w:rStyle w:val="StyleUnderline"/>
          <w:highlight w:val="cyan"/>
        </w:rPr>
        <w:t>If Chevron prevails</w:t>
      </w:r>
      <w:r w:rsidRPr="00290FC9">
        <w:rPr>
          <w:rStyle w:val="StyleUnderline"/>
        </w:rPr>
        <w:t xml:space="preserve"> over lenity, then </w:t>
      </w:r>
      <w:r w:rsidRPr="00456038">
        <w:rPr>
          <w:rStyle w:val="Emphasis"/>
          <w:highlight w:val="cyan"/>
        </w:rPr>
        <w:t>no one</w:t>
      </w:r>
      <w:r w:rsidRPr="00456038">
        <w:rPr>
          <w:rStyle w:val="StyleUnderline"/>
          <w:highlight w:val="cyan"/>
        </w:rPr>
        <w:t xml:space="preserve"> has </w:t>
      </w:r>
      <w:r w:rsidRPr="00456038">
        <w:rPr>
          <w:rStyle w:val="Emphasis"/>
          <w:highlight w:val="cyan"/>
        </w:rPr>
        <w:t>fair notice</w:t>
      </w:r>
      <w:r w:rsidRPr="00456038">
        <w:rPr>
          <w:rStyle w:val="StyleUnderline"/>
          <w:highlight w:val="cyan"/>
        </w:rPr>
        <w:t xml:space="preserve"> of </w:t>
      </w:r>
      <w:r w:rsidRPr="00456038">
        <w:rPr>
          <w:rStyle w:val="Emphasis"/>
          <w:highlight w:val="cyan"/>
        </w:rPr>
        <w:t>a</w:t>
      </w:r>
      <w:r w:rsidRPr="00290FC9">
        <w:rPr>
          <w:rStyle w:val="Emphasis"/>
        </w:rPr>
        <w:t xml:space="preserve"> criminal </w:t>
      </w:r>
      <w:r w:rsidRPr="00456038">
        <w:rPr>
          <w:rStyle w:val="Emphasis"/>
          <w:highlight w:val="cyan"/>
        </w:rPr>
        <w:t>statute’s reach</w:t>
      </w:r>
      <w:r w:rsidRPr="00166D96">
        <w:rPr>
          <w:sz w:val="16"/>
        </w:rPr>
        <w:t xml:space="preserve">. As Judge Sutton has observed, “[I]f agencies are free to ignore the rule of lenity, </w:t>
      </w:r>
      <w:r w:rsidRPr="00290FC9">
        <w:rPr>
          <w:rStyle w:val="StyleUnderline"/>
        </w:rPr>
        <w:t xml:space="preserve">the state could make an act a crime in </w:t>
      </w:r>
      <w:r w:rsidRPr="00290FC9">
        <w:rPr>
          <w:rStyle w:val="Emphasis"/>
        </w:rPr>
        <w:t>a remote statement</w:t>
      </w:r>
      <w:r w:rsidRPr="00166D96">
        <w:rPr>
          <w:sz w:val="16"/>
        </w:rPr>
        <w:t xml:space="preserve"> issued by an administrative agency. </w:t>
      </w:r>
      <w:r w:rsidRPr="00290FC9">
        <w:rPr>
          <w:rStyle w:val="StyleUnderline"/>
        </w:rPr>
        <w:t>The</w:t>
      </w:r>
      <w:r w:rsidRPr="00166D96">
        <w:rPr>
          <w:sz w:val="16"/>
        </w:rPr>
        <w:t xml:space="preserve"> agency’s </w:t>
      </w:r>
      <w:r w:rsidRPr="00290FC9">
        <w:rPr>
          <w:rStyle w:val="StyleUnderline"/>
        </w:rPr>
        <w:t xml:space="preserve">pronouncement </w:t>
      </w:r>
      <w:r w:rsidRPr="00290FC9">
        <w:rPr>
          <w:rStyle w:val="Emphasis"/>
        </w:rPr>
        <w:t>need not even</w:t>
      </w:r>
      <w:r w:rsidRPr="00290FC9">
        <w:rPr>
          <w:rStyle w:val="StyleUnderline"/>
        </w:rPr>
        <w:t xml:space="preserve"> come in </w:t>
      </w:r>
      <w:r w:rsidRPr="00290FC9">
        <w:rPr>
          <w:rStyle w:val="Emphasis"/>
        </w:rPr>
        <w:t>a notice-and-comment rule</w:t>
      </w:r>
      <w:r w:rsidRPr="00A70A31">
        <w:rPr>
          <w:rStyle w:val="StyleUnderline"/>
        </w:rPr>
        <w:t>. All kinds of administrative documents</w:t>
      </w:r>
      <w:r w:rsidRPr="00290FC9">
        <w:rPr>
          <w:rStyle w:val="StyleUnderline"/>
        </w:rPr>
        <w:t xml:space="preserve">, ranging from </w:t>
      </w:r>
      <w:r w:rsidRPr="00A70A31">
        <w:rPr>
          <w:rStyle w:val="Emphasis"/>
        </w:rPr>
        <w:t>manuals</w:t>
      </w:r>
      <w:r w:rsidRPr="00290FC9">
        <w:rPr>
          <w:rStyle w:val="Emphasis"/>
        </w:rPr>
        <w:t xml:space="preserve"> to </w:t>
      </w:r>
      <w:r w:rsidRPr="00456038">
        <w:rPr>
          <w:rStyle w:val="Emphasis"/>
          <w:highlight w:val="cyan"/>
        </w:rPr>
        <w:t>opinion letters</w:t>
      </w:r>
      <w:r w:rsidRPr="00290FC9">
        <w:rPr>
          <w:rStyle w:val="StyleUnderline"/>
        </w:rPr>
        <w:t>,</w:t>
      </w:r>
      <w:r w:rsidRPr="00166D96">
        <w:rPr>
          <w:sz w:val="16"/>
        </w:rPr>
        <w:t xml:space="preserve"> sometimes </w:t>
      </w:r>
      <w:r w:rsidRPr="00456038">
        <w:rPr>
          <w:rStyle w:val="StyleUnderline"/>
          <w:highlight w:val="cyan"/>
        </w:rPr>
        <w:t>receive Chevron</w:t>
      </w:r>
      <w:r w:rsidRPr="00290FC9">
        <w:rPr>
          <w:rStyle w:val="StyleUnderline"/>
        </w:rPr>
        <w:t xml:space="preserve"> deference</w:t>
      </w:r>
      <w:r w:rsidRPr="00166D96">
        <w:rPr>
          <w:sz w:val="16"/>
        </w:rPr>
        <w:t xml:space="preserve">.” Carter v. Welles-Bowen Realty, Inc., 736 F.3d 722, 731-32 (6th Cir. 2013) (Sutton, J., concur-ring) (citing Barnhart v. Walton, 535 U.S. 212, 221-22 (2002)). </w:t>
      </w:r>
      <w:r w:rsidRPr="00456038">
        <w:rPr>
          <w:rStyle w:val="StyleUnderline"/>
          <w:highlight w:val="cyan"/>
        </w:rPr>
        <w:t>It is</w:t>
      </w:r>
      <w:r w:rsidRPr="00166D96">
        <w:rPr>
          <w:sz w:val="16"/>
        </w:rPr>
        <w:t xml:space="preserve"> therefore </w:t>
      </w:r>
      <w:r w:rsidRPr="00456038">
        <w:rPr>
          <w:rStyle w:val="Emphasis"/>
          <w:highlight w:val="cyan"/>
        </w:rPr>
        <w:t>essential</w:t>
      </w:r>
      <w:r w:rsidRPr="00166D96">
        <w:rPr>
          <w:sz w:val="16"/>
        </w:rPr>
        <w:t xml:space="preserve"> that </w:t>
      </w:r>
      <w:r w:rsidRPr="00456038">
        <w:rPr>
          <w:rStyle w:val="StyleUnderline"/>
          <w:highlight w:val="cyan"/>
        </w:rPr>
        <w:t xml:space="preserve">this Court </w:t>
      </w:r>
      <w:r w:rsidRPr="00456038">
        <w:rPr>
          <w:rStyle w:val="Emphasis"/>
          <w:highlight w:val="cyan"/>
        </w:rPr>
        <w:t>protect</w:t>
      </w:r>
      <w:r w:rsidRPr="00290FC9">
        <w:rPr>
          <w:rStyle w:val="StyleUnderline"/>
        </w:rPr>
        <w:t xml:space="preserve"> </w:t>
      </w:r>
      <w:r w:rsidRPr="00A70A31">
        <w:rPr>
          <w:rStyle w:val="StyleUnderline"/>
        </w:rPr>
        <w:t xml:space="preserve">the rule of </w:t>
      </w:r>
      <w:r w:rsidRPr="00456038">
        <w:rPr>
          <w:rStyle w:val="StyleUnderline"/>
          <w:highlight w:val="cyan"/>
        </w:rPr>
        <w:t>lenity from</w:t>
      </w:r>
      <w:r w:rsidRPr="00290FC9">
        <w:rPr>
          <w:rStyle w:val="StyleUnderline"/>
        </w:rPr>
        <w:t xml:space="preserve"> the </w:t>
      </w:r>
      <w:r w:rsidRPr="00456038">
        <w:rPr>
          <w:rStyle w:val="Emphasis"/>
          <w:highlight w:val="cyan"/>
        </w:rPr>
        <w:t>inroads</w:t>
      </w:r>
      <w:r w:rsidRPr="00456038">
        <w:rPr>
          <w:rStyle w:val="StyleUnderline"/>
          <w:highlight w:val="cyan"/>
        </w:rPr>
        <w:t xml:space="preserve"> created by</w:t>
      </w:r>
      <w:r w:rsidRPr="00290FC9">
        <w:rPr>
          <w:rStyle w:val="StyleUnderline"/>
        </w:rPr>
        <w:t xml:space="preserve"> </w:t>
      </w:r>
      <w:r w:rsidRPr="00290FC9">
        <w:rPr>
          <w:rStyle w:val="Emphasis"/>
        </w:rPr>
        <w:t xml:space="preserve">an </w:t>
      </w:r>
      <w:r w:rsidRPr="00456038">
        <w:rPr>
          <w:rStyle w:val="Emphasis"/>
          <w:highlight w:val="cyan"/>
        </w:rPr>
        <w:t>over-broad</w:t>
      </w:r>
      <w:r w:rsidRPr="00290FC9">
        <w:rPr>
          <w:rStyle w:val="Emphasis"/>
        </w:rPr>
        <w:t xml:space="preserve"> reading of </w:t>
      </w:r>
      <w:r w:rsidRPr="00456038">
        <w:rPr>
          <w:rStyle w:val="Emphasis"/>
          <w:highlight w:val="cyan"/>
        </w:rPr>
        <w:t>Chevron</w:t>
      </w:r>
      <w:r w:rsidRPr="00166D96">
        <w:rPr>
          <w:sz w:val="16"/>
        </w:rPr>
        <w:t>.</w:t>
      </w:r>
    </w:p>
    <w:p w14:paraId="73558FD0" w14:textId="77777777" w:rsidR="00331867" w:rsidRPr="00166D96" w:rsidRDefault="00331867" w:rsidP="00331867">
      <w:pPr>
        <w:rPr>
          <w:sz w:val="16"/>
        </w:rPr>
      </w:pPr>
      <w:r w:rsidRPr="00166D96">
        <w:rPr>
          <w:sz w:val="16"/>
        </w:rPr>
        <w:t xml:space="preserve">B. </w:t>
      </w:r>
      <w:r w:rsidRPr="00166D96">
        <w:rPr>
          <w:rStyle w:val="StyleUnderline"/>
        </w:rPr>
        <w:t xml:space="preserve">THE </w:t>
      </w:r>
      <w:r w:rsidRPr="00456038">
        <w:rPr>
          <w:rStyle w:val="StyleUnderline"/>
          <w:highlight w:val="cyan"/>
        </w:rPr>
        <w:t>CIRCUITS ARE</w:t>
      </w:r>
      <w:r w:rsidRPr="00166D96">
        <w:rPr>
          <w:rStyle w:val="StyleUnderline"/>
        </w:rPr>
        <w:t xml:space="preserve"> </w:t>
      </w:r>
      <w:r w:rsidRPr="00166D96">
        <w:rPr>
          <w:rStyle w:val="Emphasis"/>
        </w:rPr>
        <w:t xml:space="preserve">DEEPLY </w:t>
      </w:r>
      <w:r w:rsidRPr="00456038">
        <w:rPr>
          <w:rStyle w:val="Emphasis"/>
          <w:highlight w:val="cyan"/>
        </w:rPr>
        <w:t>SPLIT</w:t>
      </w:r>
      <w:r w:rsidRPr="00166D96">
        <w:rPr>
          <w:rStyle w:val="StyleUnderline"/>
        </w:rPr>
        <w:t xml:space="preserve"> OVER THE RULE OF LENITY’S RELATIONSHIP TO CHEVRON DEFERENCE</w:t>
      </w:r>
    </w:p>
    <w:p w14:paraId="347B1EFE" w14:textId="77777777" w:rsidR="00331867" w:rsidRPr="00A61F75" w:rsidRDefault="00331867" w:rsidP="00331867">
      <w:pPr>
        <w:rPr>
          <w:sz w:val="16"/>
        </w:rPr>
      </w:pPr>
      <w:r w:rsidRPr="00166D96">
        <w:rPr>
          <w:rStyle w:val="StyleUnderline"/>
        </w:rPr>
        <w:t xml:space="preserve">The courts of appeals are </w:t>
      </w:r>
      <w:r w:rsidRPr="00166D96">
        <w:rPr>
          <w:rStyle w:val="Emphasis"/>
        </w:rPr>
        <w:t>intractably divided</w:t>
      </w:r>
      <w:r w:rsidRPr="00A61F75">
        <w:rPr>
          <w:sz w:val="16"/>
        </w:rPr>
        <w:t xml:space="preserve"> on the role the rule of lenity plays when it confronts Chevron deference. </w:t>
      </w:r>
      <w:r w:rsidRPr="00456038">
        <w:rPr>
          <w:rStyle w:val="StyleUnderline"/>
          <w:highlight w:val="cyan"/>
        </w:rPr>
        <w:t>In addition to</w:t>
      </w:r>
      <w:r w:rsidRPr="00166D96">
        <w:rPr>
          <w:rStyle w:val="StyleUnderline"/>
        </w:rPr>
        <w:t xml:space="preserve"> </w:t>
      </w:r>
      <w:r w:rsidRPr="00A61F75">
        <w:rPr>
          <w:rStyle w:val="StyleUnderline"/>
        </w:rPr>
        <w:t xml:space="preserve">the </w:t>
      </w:r>
      <w:r w:rsidRPr="00456038">
        <w:rPr>
          <w:rStyle w:val="StyleUnderline"/>
          <w:highlight w:val="cyan"/>
        </w:rPr>
        <w:t>D.C.</w:t>
      </w:r>
      <w:r w:rsidRPr="00166D96">
        <w:rPr>
          <w:rStyle w:val="StyleUnderline"/>
        </w:rPr>
        <w:t xml:space="preserve"> Circuit</w:t>
      </w:r>
      <w:r w:rsidRPr="00A61F75">
        <w:rPr>
          <w:sz w:val="16"/>
        </w:rPr>
        <w:t xml:space="preserve"> in this case, </w:t>
      </w:r>
      <w:r w:rsidRPr="00456038">
        <w:rPr>
          <w:rStyle w:val="StyleUnderline"/>
          <w:highlight w:val="cyan"/>
        </w:rPr>
        <w:t>four circuits</w:t>
      </w:r>
      <w:r w:rsidRPr="00A61F75">
        <w:rPr>
          <w:rStyle w:val="StyleUnderline"/>
        </w:rPr>
        <w:t xml:space="preserve"> consider</w:t>
      </w:r>
      <w:r w:rsidRPr="00166D96">
        <w:rPr>
          <w:rStyle w:val="StyleUnderline"/>
        </w:rPr>
        <w:t xml:space="preserve"> themselves </w:t>
      </w:r>
      <w:r w:rsidRPr="00456038">
        <w:rPr>
          <w:rStyle w:val="StyleUnderline"/>
          <w:highlight w:val="cyan"/>
        </w:rPr>
        <w:t>bound by Babbitt</w:t>
      </w:r>
      <w:r w:rsidRPr="00A61F75">
        <w:rPr>
          <w:rStyle w:val="StyleUnderline"/>
        </w:rPr>
        <w:t>’s f</w:t>
      </w:r>
      <w:r w:rsidRPr="00166D96">
        <w:rPr>
          <w:rStyle w:val="StyleUnderline"/>
        </w:rPr>
        <w:t>ootnote</w:t>
      </w:r>
      <w:r w:rsidRPr="00A61F75">
        <w:rPr>
          <w:sz w:val="16"/>
        </w:rPr>
        <w:t>. See Sash v. Zenk, 439 F.3d 61, 67 (2d Cir. 2006) (“The Supreme Court has rejected the idea that the rule of lenity should trump the deference we traditionally af-ford to administrative regulations.”); Yi v. Fed. Bureau of Prisons, 412 F.3d 526 (4th Cir. 2005) (“Deference trumps lenity when courts are called upon to resolve disputes about ambiguous statutory language[.]”) (quoting Sash v. Zenk, 344 F.Supp.2d 376, 383 (E.D. N.Y. 2004)); Perez-Olivo v. Chavez, 394 F.3d 45, 48 (1st Cir. 2005) (“further-more, the rule of lenity does not foreclose deference to an administrative agency’s reasonable interpretation of a statute.”); Pacheco-Camacho v. Hood, 272 F.3d 1266, 1271 (9th Cir. 2001) (“The rule of lenity, however, does not prevent an agency from resolving statutory ambiguity through a valid regulation.”).</w:t>
      </w:r>
    </w:p>
    <w:p w14:paraId="7260B6A2" w14:textId="77777777" w:rsidR="00331867" w:rsidRPr="00166D96" w:rsidRDefault="00331867" w:rsidP="00331867">
      <w:pPr>
        <w:rPr>
          <w:sz w:val="16"/>
        </w:rPr>
      </w:pPr>
      <w:r w:rsidRPr="00A61F75">
        <w:rPr>
          <w:rStyle w:val="StyleUnderline"/>
        </w:rPr>
        <w:t>In contrast</w:t>
      </w:r>
      <w:r w:rsidRPr="00166D96">
        <w:rPr>
          <w:rStyle w:val="StyleUnderline"/>
        </w:rPr>
        <w:t xml:space="preserve">, </w:t>
      </w:r>
      <w:r w:rsidRPr="00456038">
        <w:rPr>
          <w:rStyle w:val="StyleUnderline"/>
          <w:highlight w:val="cyan"/>
        </w:rPr>
        <w:t>three circuits</w:t>
      </w:r>
      <w:r w:rsidRPr="00166D96">
        <w:rPr>
          <w:sz w:val="16"/>
        </w:rPr>
        <w:t xml:space="preserve"> have </w:t>
      </w:r>
      <w:r w:rsidRPr="00456038">
        <w:rPr>
          <w:rStyle w:val="Emphasis"/>
          <w:highlight w:val="cyan"/>
        </w:rPr>
        <w:t>acknowledged</w:t>
      </w:r>
      <w:r w:rsidRPr="00166D96">
        <w:rPr>
          <w:sz w:val="16"/>
        </w:rPr>
        <w:t xml:space="preserve"> that </w:t>
      </w:r>
      <w:r w:rsidRPr="00166D96">
        <w:rPr>
          <w:rStyle w:val="StyleUnderline"/>
        </w:rPr>
        <w:t xml:space="preserve">the rule of </w:t>
      </w:r>
      <w:r w:rsidRPr="00456038">
        <w:rPr>
          <w:rStyle w:val="StyleUnderline"/>
          <w:highlight w:val="cyan"/>
        </w:rPr>
        <w:t>lenity</w:t>
      </w:r>
      <w:r w:rsidRPr="00166D96">
        <w:rPr>
          <w:rStyle w:val="StyleUnderline"/>
        </w:rPr>
        <w:t xml:space="preserve"> has </w:t>
      </w:r>
      <w:r w:rsidRPr="00217DBC">
        <w:rPr>
          <w:rStyle w:val="StyleUnderline"/>
        </w:rPr>
        <w:t>continuing vitality</w:t>
      </w:r>
      <w:r w:rsidRPr="00166D96">
        <w:rPr>
          <w:sz w:val="16"/>
        </w:rPr>
        <w:t xml:space="preserve"> even when deference may otherwise apply. See United States v. Phifer, 909 F.3d 372, 383-84 (11th Cir. 2019) (“Auer deference does not apply in criminal cases,” “when a criminal regulation is ambiguous … the rule of lenity governs in-stead[.]”); United States v. Ortellana, 405 F.3d 360, 369, 371 (5th Cir. 2005) (noting that “the level of deference due an agency’s interpretation of a statute imposing criminal liability is uncertain” and applying the “rule of lenity” instead); N.L.R.B. v. Oklahoma Fixture Co., 332 F.3d 1284, 1287 (10th Cir. 2003) (en banc) (“If we deter-mine the statute is ambiguous, therefore, it is appropriate to afford some deference to the Board interpretation as long as it is a reasonable or permissible one, and not in conflict with interpretive norms regarding criminal statutes.”).</w:t>
      </w:r>
    </w:p>
    <w:p w14:paraId="034B662F" w14:textId="77777777" w:rsidR="00331867" w:rsidRPr="00166D96" w:rsidRDefault="00331867" w:rsidP="00331867">
      <w:pPr>
        <w:rPr>
          <w:sz w:val="16"/>
        </w:rPr>
      </w:pPr>
      <w:r w:rsidRPr="00A61F75">
        <w:rPr>
          <w:sz w:val="16"/>
        </w:rPr>
        <w:t xml:space="preserve">Other </w:t>
      </w:r>
      <w:r w:rsidRPr="00A61F75">
        <w:rPr>
          <w:rStyle w:val="StyleUnderline"/>
        </w:rPr>
        <w:t>judges</w:t>
      </w:r>
      <w:r w:rsidRPr="00A61F75">
        <w:rPr>
          <w:sz w:val="16"/>
        </w:rPr>
        <w:t xml:space="preserve"> have </w:t>
      </w:r>
      <w:r w:rsidRPr="00A61F75">
        <w:rPr>
          <w:rStyle w:val="StyleUnderline"/>
        </w:rPr>
        <w:t xml:space="preserve">emphasized </w:t>
      </w:r>
      <w:r w:rsidRPr="00A61F75">
        <w:rPr>
          <w:rStyle w:val="Emphasis"/>
        </w:rPr>
        <w:t>the constitutional</w:t>
      </w:r>
      <w:r w:rsidRPr="00166D96">
        <w:rPr>
          <w:rStyle w:val="Emphasis"/>
        </w:rPr>
        <w:t xml:space="preserve"> consequences</w:t>
      </w:r>
      <w:r w:rsidRPr="00166D96">
        <w:rPr>
          <w:rStyle w:val="StyleUnderline"/>
        </w:rPr>
        <w:t xml:space="preserve"> of replacing</w:t>
      </w:r>
      <w:r w:rsidRPr="00166D96">
        <w:rPr>
          <w:sz w:val="16"/>
        </w:rPr>
        <w:t xml:space="preserve"> the rule of </w:t>
      </w:r>
      <w:r w:rsidRPr="00166D96">
        <w:rPr>
          <w:rStyle w:val="StyleUnderline"/>
        </w:rPr>
        <w:t>lenity with</w:t>
      </w:r>
      <w:r w:rsidRPr="00166D96">
        <w:rPr>
          <w:sz w:val="16"/>
        </w:rPr>
        <w:t xml:space="preserve"> judicial deference. The application of Chevron deference in such a setting “threatens a complete undermining of the Con-stitution’s separation of powers, while the application of the rule of lenity preserves them by maintaining the leg-islature as the creator of crimes.” Esquivel-Quintana v. Lynch, 810 F.3d 1019, 1030 (6th Cir. 2016) (Sutton, J., concurring and dissenting in part) (emphasis added), re-versed on other grounds by 137 S.Ct. 1562 (2017); see also Guedes, 920 F.3d at 42 (Henderson, J., dissenting in part) (“Unlike with civil statutes, then, ambiguity in the criminal law is presumptively for the Congress—not the ATF—to resolve.”).</w:t>
      </w:r>
    </w:p>
    <w:p w14:paraId="7E9BB9F7" w14:textId="77777777" w:rsidR="00331867" w:rsidRPr="00166D96" w:rsidRDefault="00331867" w:rsidP="00331867">
      <w:pPr>
        <w:rPr>
          <w:sz w:val="16"/>
        </w:rPr>
      </w:pPr>
      <w:r w:rsidRPr="00166D96">
        <w:rPr>
          <w:rStyle w:val="StyleUnderline"/>
        </w:rPr>
        <w:t xml:space="preserve">The </w:t>
      </w:r>
      <w:r w:rsidRPr="00456038">
        <w:rPr>
          <w:rStyle w:val="StyleUnderline"/>
          <w:highlight w:val="cyan"/>
        </w:rPr>
        <w:t>circuits are</w:t>
      </w:r>
      <w:r w:rsidRPr="00166D96">
        <w:rPr>
          <w:rStyle w:val="StyleUnderline"/>
        </w:rPr>
        <w:t xml:space="preserve"> </w:t>
      </w:r>
      <w:r w:rsidRPr="00166D96">
        <w:rPr>
          <w:rStyle w:val="Emphasis"/>
        </w:rPr>
        <w:t xml:space="preserve">thus in </w:t>
      </w:r>
      <w:r w:rsidRPr="00456038">
        <w:rPr>
          <w:rStyle w:val="Emphasis"/>
          <w:highlight w:val="cyan"/>
        </w:rPr>
        <w:t>disarray</w:t>
      </w:r>
      <w:r w:rsidRPr="00456038">
        <w:rPr>
          <w:rStyle w:val="StyleUnderline"/>
          <w:highlight w:val="cyan"/>
        </w:rPr>
        <w:t>—making</w:t>
      </w:r>
      <w:r w:rsidRPr="00166D96">
        <w:rPr>
          <w:rStyle w:val="StyleUnderline"/>
        </w:rPr>
        <w:t xml:space="preserve"> </w:t>
      </w:r>
      <w:r w:rsidRPr="00166D96">
        <w:rPr>
          <w:rStyle w:val="Emphasis"/>
        </w:rPr>
        <w:t xml:space="preserve">the </w:t>
      </w:r>
      <w:r w:rsidRPr="00A61F75">
        <w:rPr>
          <w:rStyle w:val="Emphasis"/>
        </w:rPr>
        <w:t xml:space="preserve">validity of many </w:t>
      </w:r>
      <w:r w:rsidRPr="00456038">
        <w:rPr>
          <w:rStyle w:val="Emphasis"/>
          <w:highlight w:val="cyan"/>
        </w:rPr>
        <w:t>criminal prosecutions</w:t>
      </w:r>
      <w:r w:rsidRPr="00456038">
        <w:rPr>
          <w:rStyle w:val="StyleUnderline"/>
          <w:highlight w:val="cyan"/>
        </w:rPr>
        <w:t xml:space="preserve"> depend on </w:t>
      </w:r>
      <w:r w:rsidRPr="00456038">
        <w:rPr>
          <w:rStyle w:val="Emphasis"/>
          <w:highlight w:val="cyan"/>
        </w:rPr>
        <w:t>geography</w:t>
      </w:r>
      <w:r w:rsidRPr="00456038">
        <w:rPr>
          <w:rStyle w:val="StyleUnderline"/>
          <w:highlight w:val="cyan"/>
        </w:rPr>
        <w:t xml:space="preserve"> rather than </w:t>
      </w:r>
      <w:r w:rsidRPr="00A61F75">
        <w:rPr>
          <w:rStyle w:val="Emphasis"/>
        </w:rPr>
        <w:t xml:space="preserve">statutory </w:t>
      </w:r>
      <w:r w:rsidRPr="00456038">
        <w:rPr>
          <w:rStyle w:val="Emphasis"/>
          <w:highlight w:val="cyan"/>
        </w:rPr>
        <w:t>text</w:t>
      </w:r>
      <w:r w:rsidRPr="00166D96">
        <w:rPr>
          <w:sz w:val="16"/>
        </w:rPr>
        <w:t>. This presents yet another compelling reason for this Court to grant review.</w:t>
      </w:r>
    </w:p>
    <w:p w14:paraId="5DFC2C1F" w14:textId="77777777" w:rsidR="009E54C9" w:rsidRPr="00E7574B" w:rsidRDefault="009E54C9" w:rsidP="009E54C9">
      <w:pPr>
        <w:pStyle w:val="Heading4"/>
      </w:pPr>
      <w:r>
        <w:t xml:space="preserve">Amid </w:t>
      </w:r>
      <w:r>
        <w:rPr>
          <w:u w:val="single"/>
        </w:rPr>
        <w:t>two rules of law</w:t>
      </w:r>
      <w:r>
        <w:t xml:space="preserve">, the Supreme Court has given </w:t>
      </w:r>
      <w:r>
        <w:rPr>
          <w:u w:val="single"/>
        </w:rPr>
        <w:t>tea leaves</w:t>
      </w:r>
      <w:r>
        <w:t xml:space="preserve"> putting </w:t>
      </w:r>
      <w:r>
        <w:rPr>
          <w:i/>
          <w:iCs w:val="0"/>
        </w:rPr>
        <w:t>Chevron</w:t>
      </w:r>
      <w:r>
        <w:t xml:space="preserve"> on </w:t>
      </w:r>
      <w:r>
        <w:rPr>
          <w:u w:val="single"/>
        </w:rPr>
        <w:t>top</w:t>
      </w:r>
      <w:r>
        <w:t>.</w:t>
      </w:r>
    </w:p>
    <w:p w14:paraId="2E358C43" w14:textId="77777777" w:rsidR="009E54C9" w:rsidRPr="003F4393" w:rsidRDefault="009E54C9" w:rsidP="009E54C9">
      <w:r w:rsidRPr="00E7574B">
        <w:rPr>
          <w:rStyle w:val="Style13ptBold"/>
        </w:rPr>
        <w:t>Miller 17</w:t>
      </w:r>
      <w:r>
        <w:t xml:space="preserve"> – Caitlin Miller, JD at Hofstra University the same year. [The Balancing Act Between Chevron Deference and The Rule of Lenity, 18 Tex. Tech. Admin. L. J. 193, Nexis Uni]//BPS</w:t>
      </w:r>
    </w:p>
    <w:p w14:paraId="5752A880" w14:textId="77777777" w:rsidR="009E54C9" w:rsidRPr="003F4393" w:rsidRDefault="009E54C9" w:rsidP="009E54C9">
      <w:pPr>
        <w:rPr>
          <w:sz w:val="16"/>
        </w:rPr>
      </w:pPr>
      <w:r w:rsidRPr="003F4393">
        <w:rPr>
          <w:sz w:val="16"/>
        </w:rPr>
        <w:t>VI. WHEN BOTH RULES ARE APPLICABLE, WHICH ONE APPLIES?</w:t>
      </w:r>
    </w:p>
    <w:p w14:paraId="19171F41" w14:textId="77777777" w:rsidR="009E54C9" w:rsidRPr="003F4393" w:rsidRDefault="009E54C9" w:rsidP="009E54C9">
      <w:pPr>
        <w:rPr>
          <w:sz w:val="16"/>
        </w:rPr>
      </w:pPr>
      <w:r w:rsidRPr="00E7574B">
        <w:rPr>
          <w:rStyle w:val="StyleUnderline"/>
        </w:rPr>
        <w:t>In cases where both</w:t>
      </w:r>
      <w:r w:rsidRPr="00E7574B">
        <w:rPr>
          <w:sz w:val="16"/>
        </w:rPr>
        <w:t xml:space="preserve"> the rule of </w:t>
      </w:r>
      <w:r w:rsidRPr="00E7574B">
        <w:rPr>
          <w:rStyle w:val="StyleUnderline"/>
        </w:rPr>
        <w:t>lenity and Chevron</w:t>
      </w:r>
      <w:r w:rsidRPr="00E7574B">
        <w:rPr>
          <w:sz w:val="16"/>
        </w:rPr>
        <w:t xml:space="preserve"> Deference </w:t>
      </w:r>
      <w:r w:rsidRPr="00E7574B">
        <w:rPr>
          <w:rStyle w:val="StyleUnderline"/>
        </w:rPr>
        <w:t xml:space="preserve">can apply, </w:t>
      </w:r>
      <w:r w:rsidRPr="00E7574B">
        <w:rPr>
          <w:rStyle w:val="Emphasis"/>
        </w:rPr>
        <w:t>no set rule</w:t>
      </w:r>
      <w:r w:rsidRPr="00E7574B">
        <w:rPr>
          <w:rStyle w:val="StyleUnderline"/>
        </w:rPr>
        <w:t xml:space="preserve"> says</w:t>
      </w:r>
      <w:r w:rsidRPr="00E7574B">
        <w:rPr>
          <w:sz w:val="16"/>
        </w:rPr>
        <w:t xml:space="preserve"> that </w:t>
      </w:r>
      <w:r w:rsidRPr="00E7574B">
        <w:rPr>
          <w:rStyle w:val="Emphasis"/>
        </w:rPr>
        <w:t>one rule</w:t>
      </w:r>
      <w:r w:rsidRPr="00E7574B">
        <w:rPr>
          <w:rStyle w:val="StyleUnderline"/>
        </w:rPr>
        <w:t xml:space="preserve"> must b</w:t>
      </w:r>
      <w:r w:rsidRPr="00FB4529">
        <w:rPr>
          <w:rStyle w:val="StyleUnderline"/>
        </w:rPr>
        <w:t>e used over the other</w:t>
      </w:r>
      <w:r w:rsidRPr="003F4393">
        <w:rPr>
          <w:sz w:val="16"/>
        </w:rPr>
        <w:t xml:space="preserve">. A court cannot apply the rule of lenity to a case whenever the defendant finds an ambiguity because it would completely undermine the agency's authority to interpret any regulation they created, but at the same time, Due Process entitles a defendant to fair notice. </w:t>
      </w:r>
      <w:r w:rsidRPr="00456038">
        <w:rPr>
          <w:rStyle w:val="StyleUnderline"/>
          <w:highlight w:val="cyan"/>
        </w:rPr>
        <w:t>Courts</w:t>
      </w:r>
      <w:r w:rsidRPr="003F4393">
        <w:rPr>
          <w:sz w:val="16"/>
        </w:rPr>
        <w:t xml:space="preserve"> have </w:t>
      </w:r>
      <w:r w:rsidRPr="00456038">
        <w:rPr>
          <w:rStyle w:val="StyleUnderline"/>
          <w:highlight w:val="cyan"/>
        </w:rPr>
        <w:t>used</w:t>
      </w:r>
      <w:r w:rsidRPr="00E7574B">
        <w:rPr>
          <w:rStyle w:val="StyleUnderline"/>
        </w:rPr>
        <w:t xml:space="preserve"> </w:t>
      </w:r>
      <w:r w:rsidRPr="00E7574B">
        <w:rPr>
          <w:rStyle w:val="Emphasis"/>
        </w:rPr>
        <w:t xml:space="preserve">the </w:t>
      </w:r>
      <w:r w:rsidRPr="00456038">
        <w:rPr>
          <w:rStyle w:val="Emphasis"/>
          <w:highlight w:val="cyan"/>
        </w:rPr>
        <w:t>Babbitt</w:t>
      </w:r>
      <w:r w:rsidRPr="00FB4529">
        <w:rPr>
          <w:rStyle w:val="Emphasis"/>
        </w:rPr>
        <w:t xml:space="preserve"> </w:t>
      </w:r>
      <w:r w:rsidRPr="00E7574B">
        <w:rPr>
          <w:rStyle w:val="Emphasis"/>
        </w:rPr>
        <w:t>footnote</w:t>
      </w:r>
      <w:r w:rsidRPr="00FB4529">
        <w:rPr>
          <w:rStyle w:val="StyleUnderline"/>
        </w:rPr>
        <w:t xml:space="preserve"> </w:t>
      </w:r>
      <w:r w:rsidRPr="00456038">
        <w:rPr>
          <w:rStyle w:val="StyleUnderline"/>
          <w:highlight w:val="cyan"/>
        </w:rPr>
        <w:t>to allow Chevron</w:t>
      </w:r>
      <w:r w:rsidRPr="00FB4529">
        <w:rPr>
          <w:rStyle w:val="StyleUnderline"/>
        </w:rPr>
        <w:t xml:space="preserve"> Deference </w:t>
      </w:r>
      <w:r w:rsidRPr="00456038">
        <w:rPr>
          <w:rStyle w:val="StyleUnderline"/>
          <w:highlight w:val="cyan"/>
        </w:rPr>
        <w:t xml:space="preserve">to </w:t>
      </w:r>
      <w:r w:rsidRPr="00456038">
        <w:rPr>
          <w:rStyle w:val="Emphasis"/>
          <w:highlight w:val="cyan"/>
        </w:rPr>
        <w:t>trump</w:t>
      </w:r>
      <w:r w:rsidRPr="00FB4529">
        <w:rPr>
          <w:rStyle w:val="StyleUnderline"/>
        </w:rPr>
        <w:t xml:space="preserve"> the rule of </w:t>
      </w:r>
      <w:r w:rsidRPr="00456038">
        <w:rPr>
          <w:rStyle w:val="StyleUnderline"/>
          <w:highlight w:val="cyan"/>
        </w:rPr>
        <w:t>lenity</w:t>
      </w:r>
      <w:r w:rsidRPr="003F4393">
        <w:rPr>
          <w:sz w:val="16"/>
        </w:rPr>
        <w:t>. For ex</w:t>
      </w:r>
      <w:r w:rsidRPr="00331867">
        <w:rPr>
          <w:sz w:val="16"/>
        </w:rPr>
        <w:t xml:space="preserve">ample, </w:t>
      </w:r>
      <w:r w:rsidRPr="00331867">
        <w:rPr>
          <w:rStyle w:val="StyleUnderline"/>
        </w:rPr>
        <w:t>in Sash v. Zenk</w:t>
      </w:r>
      <w:r w:rsidRPr="00331867">
        <w:rPr>
          <w:sz w:val="16"/>
        </w:rPr>
        <w:t xml:space="preserve">, the court found: "The [c]ourt … left open the possibility that some regulatory interpretations of criminal statutes could be inadequate for purposes of fair warning, but clearly indicated that an administrative regulation may give adequate notice of criminal consequences for purposes of the rule of lenity." </w:t>
      </w:r>
      <w:r w:rsidRPr="00331867">
        <w:rPr>
          <w:rStyle w:val="StyleUnderline"/>
        </w:rPr>
        <w:t>The court</w:t>
      </w:r>
      <w:r w:rsidRPr="00331867">
        <w:rPr>
          <w:sz w:val="16"/>
        </w:rPr>
        <w:t xml:space="preserve"> further </w:t>
      </w:r>
      <w:r w:rsidRPr="00331867">
        <w:rPr>
          <w:rStyle w:val="StyleUnderline"/>
        </w:rPr>
        <w:t>held</w:t>
      </w:r>
      <w:r w:rsidRPr="00331867">
        <w:rPr>
          <w:sz w:val="16"/>
        </w:rPr>
        <w:t xml:space="preserve"> that </w:t>
      </w:r>
      <w:r w:rsidRPr="00331867">
        <w:rPr>
          <w:rStyle w:val="StyleUnderline"/>
        </w:rPr>
        <w:t xml:space="preserve">"[w]here a statute </w:t>
      </w:r>
      <w:r w:rsidRPr="00331867">
        <w:rPr>
          <w:rStyle w:val="Emphasis"/>
        </w:rPr>
        <w:t>properly delegates</w:t>
      </w:r>
      <w:r w:rsidRPr="00331867">
        <w:rPr>
          <w:rStyle w:val="StyleUnderline"/>
        </w:rPr>
        <w:t xml:space="preserve"> a question of </w:t>
      </w:r>
      <w:r w:rsidRPr="00331867">
        <w:rPr>
          <w:rStyle w:val="Emphasis"/>
        </w:rPr>
        <w:t>sentencing administration</w:t>
      </w:r>
      <w:r w:rsidRPr="00331867">
        <w:rPr>
          <w:rStyle w:val="StyleUnderline"/>
        </w:rPr>
        <w:t xml:space="preserve"> to an agency via </w:t>
      </w:r>
      <w:r w:rsidRPr="00331867">
        <w:rPr>
          <w:rStyle w:val="Emphasis"/>
        </w:rPr>
        <w:t>ambiguity</w:t>
      </w:r>
      <w:r w:rsidRPr="00331867">
        <w:rPr>
          <w:rStyle w:val="StyleUnderline"/>
        </w:rPr>
        <w:t xml:space="preserve">, and where the agency </w:t>
      </w:r>
      <w:r w:rsidRPr="00331867">
        <w:rPr>
          <w:rStyle w:val="Emphasis"/>
        </w:rPr>
        <w:t>properly interprets</w:t>
      </w:r>
      <w:r w:rsidRPr="00331867">
        <w:rPr>
          <w:rStyle w:val="StyleUnderline"/>
        </w:rPr>
        <w:t xml:space="preserve"> that regulation</w:t>
      </w:r>
      <w:r w:rsidRPr="00331867">
        <w:rPr>
          <w:sz w:val="16"/>
        </w:rPr>
        <w:t xml:space="preserve"> in a way that gives ample notice to all potential offenders, </w:t>
      </w:r>
      <w:r w:rsidRPr="00331867">
        <w:rPr>
          <w:rStyle w:val="StyleUnderline"/>
        </w:rPr>
        <w:t xml:space="preserve">there can be </w:t>
      </w:r>
      <w:r w:rsidRPr="00331867">
        <w:rPr>
          <w:rStyle w:val="Emphasis"/>
        </w:rPr>
        <w:t>no question</w:t>
      </w:r>
      <w:r w:rsidRPr="00331867">
        <w:rPr>
          <w:sz w:val="16"/>
        </w:rPr>
        <w:t xml:space="preserve"> that adequate notice has been given </w:t>
      </w:r>
      <w:r w:rsidRPr="00331867">
        <w:rPr>
          <w:rStyle w:val="StyleUnderline"/>
        </w:rPr>
        <w:t xml:space="preserve">for purposes of </w:t>
      </w:r>
      <w:r w:rsidRPr="00331867">
        <w:rPr>
          <w:rStyle w:val="Emphasis"/>
        </w:rPr>
        <w:t>the rule of lenity</w:t>
      </w:r>
      <w:r w:rsidRPr="00331867">
        <w:rPr>
          <w:rStyle w:val="StyleUnderline"/>
        </w:rPr>
        <w:t xml:space="preserve">." In </w:t>
      </w:r>
      <w:r w:rsidRPr="00331867">
        <w:rPr>
          <w:rStyle w:val="Emphasis"/>
        </w:rPr>
        <w:t>another case</w:t>
      </w:r>
      <w:r w:rsidRPr="00331867">
        <w:rPr>
          <w:rStyle w:val="StyleUnderline"/>
        </w:rPr>
        <w:t xml:space="preserve"> that same year, the court found</w:t>
      </w:r>
      <w:r w:rsidRPr="00331867">
        <w:rPr>
          <w:sz w:val="16"/>
        </w:rPr>
        <w:t xml:space="preserve"> that </w:t>
      </w:r>
      <w:r w:rsidRPr="00331867">
        <w:rPr>
          <w:rStyle w:val="StyleUnderline"/>
        </w:rPr>
        <w:t xml:space="preserve">the "application of the rule of lenity is </w:t>
      </w:r>
      <w:r w:rsidRPr="00331867">
        <w:rPr>
          <w:rStyle w:val="Emphasis"/>
        </w:rPr>
        <w:t>inappropriate</w:t>
      </w:r>
      <w:r w:rsidRPr="00331867">
        <w:rPr>
          <w:rStyle w:val="StyleUnderline"/>
        </w:rPr>
        <w:t xml:space="preserve"> … because </w:t>
      </w:r>
      <w:r w:rsidRPr="00331867">
        <w:rPr>
          <w:rStyle w:val="Emphasis"/>
        </w:rPr>
        <w:t>the BOP's interpretation</w:t>
      </w:r>
      <w:r w:rsidRPr="00331867">
        <w:rPr>
          <w:sz w:val="16"/>
        </w:rPr>
        <w:t xml:space="preserve"> has </w:t>
      </w:r>
      <w:r w:rsidRPr="00331867">
        <w:rPr>
          <w:rStyle w:val="StyleUnderline"/>
        </w:rPr>
        <w:t xml:space="preserve">clarified </w:t>
      </w:r>
      <w:r w:rsidRPr="00331867">
        <w:rPr>
          <w:rStyle w:val="Emphasis"/>
        </w:rPr>
        <w:t>any ambiguity</w:t>
      </w:r>
      <w:r w:rsidRPr="00331867">
        <w:rPr>
          <w:rStyle w:val="StyleUnderline"/>
        </w:rPr>
        <w:t xml:space="preserve">. Nor does the rule of lenity foreclose application of </w:t>
      </w:r>
      <w:r w:rsidRPr="00331867">
        <w:rPr>
          <w:rStyle w:val="Emphasis"/>
        </w:rPr>
        <w:t>Chevron [D]eference</w:t>
      </w:r>
      <w:r w:rsidRPr="00331867">
        <w:rPr>
          <w:rStyle w:val="StyleUnderline"/>
        </w:rPr>
        <w:t>."</w:t>
      </w:r>
      <w:r w:rsidRPr="00331867">
        <w:rPr>
          <w:sz w:val="16"/>
        </w:rPr>
        <w:t xml:space="preserve"> That court relied not only on the Ba</w:t>
      </w:r>
      <w:r w:rsidRPr="003F4393">
        <w:rPr>
          <w:sz w:val="16"/>
        </w:rPr>
        <w:t>bbitt footnote, but on other cases as well.</w:t>
      </w:r>
    </w:p>
    <w:p w14:paraId="2716B18B" w14:textId="77777777" w:rsidR="009E54C9" w:rsidRPr="00C60C68" w:rsidRDefault="009E54C9" w:rsidP="009E54C9">
      <w:pPr>
        <w:rPr>
          <w:u w:val="single"/>
        </w:rPr>
      </w:pPr>
      <w:r w:rsidRPr="003F4393">
        <w:rPr>
          <w:sz w:val="16"/>
        </w:rPr>
        <w:t xml:space="preserve">Courts now hold that when an agency has interpreted a statute and given the public a fair warning to its meaning, it satisfies the requirement for notice  [*214]  given by the rule of lenity. </w:t>
      </w:r>
      <w:r w:rsidRPr="00C60C68">
        <w:rPr>
          <w:rStyle w:val="StyleUnderline"/>
        </w:rPr>
        <w:t>Courts</w:t>
      </w:r>
      <w:r w:rsidRPr="003F4393">
        <w:rPr>
          <w:sz w:val="16"/>
        </w:rPr>
        <w:t xml:space="preserve"> also </w:t>
      </w:r>
      <w:r w:rsidRPr="00C60C68">
        <w:rPr>
          <w:rStyle w:val="StyleUnderline"/>
        </w:rPr>
        <w:t xml:space="preserve">hold that if Congress gives an agency power to make such regulation, even if the regulations have </w:t>
      </w:r>
      <w:r w:rsidRPr="00C60C68">
        <w:rPr>
          <w:rStyle w:val="Emphasis"/>
        </w:rPr>
        <w:t>criminal implications</w:t>
      </w:r>
      <w:r w:rsidRPr="00C60C68">
        <w:rPr>
          <w:rStyle w:val="StyleUnderline"/>
        </w:rPr>
        <w:t>, courts should interpret such regulations using Chevron Deference</w:t>
      </w:r>
      <w:r w:rsidRPr="003F4393">
        <w:rPr>
          <w:sz w:val="16"/>
        </w:rPr>
        <w:t xml:space="preserve">. Furthermore </w:t>
      </w:r>
      <w:r w:rsidRPr="00C60C68">
        <w:rPr>
          <w:rStyle w:val="StyleUnderline"/>
        </w:rPr>
        <w:t>in Sash, the court held:</w:t>
      </w:r>
    </w:p>
    <w:p w14:paraId="2CA5EC6D" w14:textId="77777777" w:rsidR="009E54C9" w:rsidRPr="003F4393" w:rsidRDefault="009E54C9" w:rsidP="009E54C9">
      <w:pPr>
        <w:ind w:left="720"/>
        <w:rPr>
          <w:sz w:val="16"/>
        </w:rPr>
      </w:pPr>
      <w:r w:rsidRPr="00C60C68">
        <w:rPr>
          <w:rStyle w:val="StyleUnderline"/>
        </w:rPr>
        <w:t xml:space="preserve">[D]eference </w:t>
      </w:r>
      <w:r w:rsidRPr="00C60C68">
        <w:rPr>
          <w:rStyle w:val="Emphasis"/>
        </w:rPr>
        <w:t>trumps</w:t>
      </w:r>
      <w:r w:rsidRPr="00C60C68">
        <w:rPr>
          <w:rStyle w:val="StyleUnderline"/>
        </w:rPr>
        <w:t xml:space="preserve"> lenity</w:t>
      </w:r>
      <w:r w:rsidRPr="003F4393">
        <w:rPr>
          <w:sz w:val="16"/>
        </w:rPr>
        <w:t xml:space="preserve"> when courts are called upon to resolve disputes about ambiguous statutory language, at least </w:t>
      </w:r>
      <w:r w:rsidRPr="00C60C68">
        <w:rPr>
          <w:rStyle w:val="StyleUnderline"/>
        </w:rPr>
        <w:t xml:space="preserve">where the agency interpreting the criminal statute is: (1) </w:t>
      </w:r>
      <w:r w:rsidRPr="003F4393">
        <w:rPr>
          <w:rStyle w:val="StyleUnderline"/>
        </w:rPr>
        <w:t>responsible</w:t>
      </w:r>
      <w:r w:rsidRPr="00C60C68">
        <w:rPr>
          <w:rStyle w:val="StyleUnderline"/>
        </w:rPr>
        <w:t xml:space="preserve"> for administering the statute; and (2) that agency</w:t>
      </w:r>
      <w:r w:rsidRPr="003F4393">
        <w:rPr>
          <w:sz w:val="16"/>
        </w:rPr>
        <w:t xml:space="preserve"> has </w:t>
      </w:r>
      <w:r w:rsidRPr="00C60C68">
        <w:rPr>
          <w:rStyle w:val="StyleUnderline"/>
        </w:rPr>
        <w:t>promulgated its interpretation pursuant to</w:t>
      </w:r>
      <w:r w:rsidRPr="003F4393">
        <w:rPr>
          <w:sz w:val="16"/>
        </w:rPr>
        <w:t xml:space="preserve"> the notice and comment provisions of </w:t>
      </w:r>
      <w:r w:rsidRPr="00C60C68">
        <w:rPr>
          <w:rStyle w:val="StyleUnderline"/>
        </w:rPr>
        <w:t>the A</w:t>
      </w:r>
      <w:r w:rsidRPr="003F4393">
        <w:rPr>
          <w:sz w:val="16"/>
        </w:rPr>
        <w:t xml:space="preserve">dministrative </w:t>
      </w:r>
      <w:r w:rsidRPr="00C60C68">
        <w:rPr>
          <w:rStyle w:val="StyleUnderline"/>
        </w:rPr>
        <w:t>P</w:t>
      </w:r>
      <w:r w:rsidRPr="003F4393">
        <w:rPr>
          <w:sz w:val="16"/>
        </w:rPr>
        <w:t xml:space="preserve">rocedure </w:t>
      </w:r>
      <w:r w:rsidRPr="00C60C68">
        <w:rPr>
          <w:rStyle w:val="StyleUnderline"/>
        </w:rPr>
        <w:t>A</w:t>
      </w:r>
      <w:r w:rsidRPr="003F4393">
        <w:rPr>
          <w:sz w:val="16"/>
        </w:rPr>
        <w:t>ct.</w:t>
      </w:r>
    </w:p>
    <w:p w14:paraId="746BDDA6" w14:textId="77777777" w:rsidR="009E54C9" w:rsidRPr="003F4393" w:rsidRDefault="009E54C9" w:rsidP="009E54C9">
      <w:pPr>
        <w:rPr>
          <w:sz w:val="16"/>
        </w:rPr>
      </w:pPr>
      <w:r w:rsidRPr="003F4393">
        <w:rPr>
          <w:sz w:val="16"/>
        </w:rPr>
        <w:t>Courts find that when an agency has made a public statement regarding its interpretation of the regulation or statute, the statement fulfills the notice requirement for the rule of lenity and the agency's interpretation can resolve ambiguity.</w:t>
      </w:r>
    </w:p>
    <w:p w14:paraId="69231127" w14:textId="77777777" w:rsidR="009E54C9" w:rsidRPr="003F4393" w:rsidRDefault="009E54C9" w:rsidP="009E54C9">
      <w:pPr>
        <w:rPr>
          <w:sz w:val="16"/>
        </w:rPr>
      </w:pPr>
      <w:r w:rsidRPr="00C60C68">
        <w:rPr>
          <w:rStyle w:val="Emphasis"/>
        </w:rPr>
        <w:t xml:space="preserve">Existing </w:t>
      </w:r>
      <w:r w:rsidRPr="00456038">
        <w:rPr>
          <w:rStyle w:val="Emphasis"/>
          <w:highlight w:val="cyan"/>
        </w:rPr>
        <w:t>conflicting</w:t>
      </w:r>
      <w:r w:rsidRPr="00C60C68">
        <w:rPr>
          <w:rStyle w:val="Emphasis"/>
        </w:rPr>
        <w:t xml:space="preserve"> court </w:t>
      </w:r>
      <w:r w:rsidRPr="00456038">
        <w:rPr>
          <w:rStyle w:val="Emphasis"/>
          <w:highlight w:val="cyan"/>
        </w:rPr>
        <w:t>rulings</w:t>
      </w:r>
      <w:r w:rsidRPr="00456038">
        <w:rPr>
          <w:rStyle w:val="StyleUnderline"/>
          <w:highlight w:val="cyan"/>
        </w:rPr>
        <w:t xml:space="preserve"> leave courts </w:t>
      </w:r>
      <w:r w:rsidRPr="00456038">
        <w:rPr>
          <w:rStyle w:val="Emphasis"/>
          <w:highlight w:val="cyan"/>
        </w:rPr>
        <w:t>perplexed</w:t>
      </w:r>
      <w:r w:rsidRPr="00456038">
        <w:rPr>
          <w:rStyle w:val="StyleUnderline"/>
          <w:highlight w:val="cyan"/>
        </w:rPr>
        <w:t xml:space="preserve"> as to which </w:t>
      </w:r>
      <w:r w:rsidRPr="00456038">
        <w:rPr>
          <w:rStyle w:val="Emphasis"/>
          <w:highlight w:val="cyan"/>
        </w:rPr>
        <w:t>rule</w:t>
      </w:r>
      <w:r w:rsidRPr="00C60C68">
        <w:rPr>
          <w:rStyle w:val="Emphasis"/>
        </w:rPr>
        <w:t xml:space="preserve"> of law </w:t>
      </w:r>
      <w:r w:rsidRPr="00456038">
        <w:rPr>
          <w:rStyle w:val="Emphasis"/>
          <w:highlight w:val="cyan"/>
        </w:rPr>
        <w:t>to apply</w:t>
      </w:r>
      <w:r w:rsidRPr="00C60C68">
        <w:rPr>
          <w:rStyle w:val="StyleUnderline"/>
        </w:rPr>
        <w:t xml:space="preserve"> and which court to follow</w:t>
      </w:r>
      <w:r w:rsidRPr="003F4393">
        <w:rPr>
          <w:sz w:val="16"/>
        </w:rPr>
        <w:t xml:space="preserve">. A recent court case, </w:t>
      </w:r>
      <w:r w:rsidRPr="00C60C68">
        <w:rPr>
          <w:rStyle w:val="StyleUnderline"/>
        </w:rPr>
        <w:t>U</w:t>
      </w:r>
      <w:r w:rsidRPr="003F4393">
        <w:rPr>
          <w:sz w:val="16"/>
        </w:rPr>
        <w:t xml:space="preserve">nited </w:t>
      </w:r>
      <w:r w:rsidRPr="00C60C68">
        <w:rPr>
          <w:rStyle w:val="StyleUnderline"/>
        </w:rPr>
        <w:t>S</w:t>
      </w:r>
      <w:r w:rsidRPr="003F4393">
        <w:rPr>
          <w:sz w:val="16"/>
        </w:rPr>
        <w:t xml:space="preserve">tates </w:t>
      </w:r>
      <w:r w:rsidRPr="00C60C68">
        <w:rPr>
          <w:rStyle w:val="StyleUnderline"/>
        </w:rPr>
        <w:t xml:space="preserve">v. Scully, </w:t>
      </w:r>
      <w:r w:rsidRPr="00C60C68">
        <w:rPr>
          <w:rStyle w:val="Emphasis"/>
        </w:rPr>
        <w:t>demonstrates</w:t>
      </w:r>
      <w:r w:rsidRPr="00C60C68">
        <w:rPr>
          <w:rStyle w:val="StyleUnderline"/>
        </w:rPr>
        <w:t xml:space="preserve"> this confusion</w:t>
      </w:r>
      <w:r w:rsidRPr="003F4393">
        <w:rPr>
          <w:sz w:val="16"/>
        </w:rPr>
        <w:t xml:space="preserve">. The court in Scully attempted to balance what the Supreme Court stated in Whitman v. United States with the concurrence of Justice Sutton and courts that follow the Babbitt footnote. When going through these cases, the Scully court discovered the circuit court rules, in relation to the rule of lenity and Chevron Deference balance, are less than desirable for determining which rule of law to apply.  [*215]  The court specifically relied on United States v. Grimaud, United States v. Eaton, Leocal v. Ashcroft, Babbitt v. Sweet Home Chapter of Communities for a Great Oregon, and the Sutton concurrence in Carter v. Welles-Bowen Realty, Inc., in an attempt to understand how to the rule of lenity and Chevron Deference coexist in one case. In both Grimaud and Eaton, the courts held that "if Congress wants to assign the executive branch discretion to define criminal conduct, it must speak 'distinctly.'" Furthermore, when looking to Leocal, the Scully court relied on the holding that lenity will apply when criminal and civil implications arise from the same statute. However, </w:t>
      </w:r>
      <w:r w:rsidRPr="00C60C68">
        <w:rPr>
          <w:rStyle w:val="StyleUnderline"/>
        </w:rPr>
        <w:t xml:space="preserve">the court </w:t>
      </w:r>
      <w:r w:rsidRPr="00BD08A4">
        <w:rPr>
          <w:rStyle w:val="StyleUnderline"/>
        </w:rPr>
        <w:t>went on to look</w:t>
      </w:r>
      <w:r w:rsidRPr="003F4393">
        <w:rPr>
          <w:sz w:val="16"/>
        </w:rPr>
        <w:t xml:space="preserve"> at Babbitt and Sash to interpret which rule should apply, </w:t>
      </w:r>
      <w:r w:rsidRPr="00C60C68">
        <w:rPr>
          <w:rStyle w:val="StyleUnderline"/>
        </w:rPr>
        <w:t xml:space="preserve">noting courts hold in favor of Chevron Deference </w:t>
      </w:r>
      <w:r w:rsidRPr="00C60C68">
        <w:rPr>
          <w:rStyle w:val="Emphasis"/>
        </w:rPr>
        <w:t>over</w:t>
      </w:r>
      <w:r w:rsidRPr="00C60C68">
        <w:rPr>
          <w:rStyle w:val="StyleUnderline"/>
        </w:rPr>
        <w:t xml:space="preserve"> the rule of lenity</w:t>
      </w:r>
      <w:r w:rsidRPr="003F4393">
        <w:rPr>
          <w:sz w:val="16"/>
        </w:rPr>
        <w:t>. The Scully court understood how influential the Babbit footnote had become in cases with both the rule of lenity and Chevron Deference, and saw how that influence applied in the Sash case, which is a Second Circuit precedent.</w:t>
      </w:r>
    </w:p>
    <w:p w14:paraId="0155FC15" w14:textId="77777777" w:rsidR="009E54C9" w:rsidRPr="003F4393" w:rsidRDefault="009E54C9" w:rsidP="009E54C9">
      <w:pPr>
        <w:rPr>
          <w:sz w:val="16"/>
        </w:rPr>
      </w:pPr>
      <w:r w:rsidRPr="003F4393">
        <w:rPr>
          <w:sz w:val="16"/>
        </w:rPr>
        <w:t xml:space="preserve">The Scully court went on to discuss how, for the case at hand, it is the notice component that is the most important. The defendant claimed not to have had notice that his actions were a crime because it was the Federal Drug Administration's (FDA) interpretation of a statute that made his actions a crime. The court understood that its interpretation of the rule of lenity did follow Sash, but the Scully court found, regardless of "clear Second Circuit guidance, the Court … f[ound] that it is reasonable to charge defendants with notice of the FDA's interpretation." </w:t>
      </w:r>
      <w:r w:rsidRPr="00456038">
        <w:rPr>
          <w:rStyle w:val="StyleUnderline"/>
          <w:highlight w:val="cyan"/>
        </w:rPr>
        <w:t xml:space="preserve">It was </w:t>
      </w:r>
      <w:r w:rsidRPr="00456038">
        <w:rPr>
          <w:rStyle w:val="Emphasis"/>
          <w:highlight w:val="cyan"/>
        </w:rPr>
        <w:t>clear</w:t>
      </w:r>
      <w:r w:rsidRPr="00456038">
        <w:rPr>
          <w:rStyle w:val="StyleUnderline"/>
          <w:highlight w:val="cyan"/>
        </w:rPr>
        <w:t xml:space="preserve"> the court was looking</w:t>
      </w:r>
      <w:r w:rsidRPr="00C60C68">
        <w:rPr>
          <w:rStyle w:val="StyleUnderline"/>
        </w:rPr>
        <w:t xml:space="preserve"> for </w:t>
      </w:r>
      <w:r w:rsidRPr="00C60C68">
        <w:rPr>
          <w:rStyle w:val="Emphasis"/>
        </w:rPr>
        <w:t>all interpretations</w:t>
      </w:r>
      <w:r w:rsidRPr="00C60C68">
        <w:rPr>
          <w:rStyle w:val="StyleUnderline"/>
        </w:rPr>
        <w:t xml:space="preserve"> of </w:t>
      </w:r>
      <w:r w:rsidRPr="00456038">
        <w:rPr>
          <w:rStyle w:val="Emphasis"/>
          <w:highlight w:val="cyan"/>
        </w:rPr>
        <w:t>the two rules of law</w:t>
      </w:r>
      <w:r w:rsidRPr="00C60C68">
        <w:rPr>
          <w:rStyle w:val="StyleUnderline"/>
        </w:rPr>
        <w:t xml:space="preserve">, attempting </w:t>
      </w:r>
      <w:r w:rsidRPr="00456038">
        <w:rPr>
          <w:rStyle w:val="StyleUnderline"/>
          <w:highlight w:val="cyan"/>
        </w:rPr>
        <w:t>to find a</w:t>
      </w:r>
      <w:r w:rsidRPr="00C60C68">
        <w:rPr>
          <w:rStyle w:val="StyleUnderline"/>
        </w:rPr>
        <w:t xml:space="preserve"> clear </w:t>
      </w:r>
      <w:r w:rsidRPr="00456038">
        <w:rPr>
          <w:rStyle w:val="StyleUnderline"/>
          <w:highlight w:val="cyan"/>
        </w:rPr>
        <w:t xml:space="preserve">rule, but was </w:t>
      </w:r>
      <w:r w:rsidRPr="00456038">
        <w:rPr>
          <w:rStyle w:val="Emphasis"/>
          <w:highlight w:val="cyan"/>
        </w:rPr>
        <w:t>unsuccessful</w:t>
      </w:r>
      <w:r w:rsidRPr="003F4393">
        <w:rPr>
          <w:sz w:val="16"/>
        </w:rPr>
        <w:t>.</w:t>
      </w:r>
    </w:p>
    <w:p w14:paraId="5AB46F38" w14:textId="77777777" w:rsidR="009E54C9" w:rsidRPr="003F4393" w:rsidRDefault="009E54C9" w:rsidP="009E54C9">
      <w:pPr>
        <w:rPr>
          <w:sz w:val="16"/>
        </w:rPr>
      </w:pPr>
      <w:r w:rsidRPr="003F4393">
        <w:rPr>
          <w:sz w:val="16"/>
        </w:rPr>
        <w:t xml:space="preserve"> [*216]  A. The Supreme Court Did Not Apply Chevron Deference or the Rule of Lenity in a Case with Ambiguous Criminal Implications</w:t>
      </w:r>
    </w:p>
    <w:p w14:paraId="571B9D06" w14:textId="77777777" w:rsidR="009E54C9" w:rsidRDefault="009E54C9" w:rsidP="009E54C9">
      <w:pPr>
        <w:rPr>
          <w:sz w:val="16"/>
        </w:rPr>
      </w:pPr>
      <w:r w:rsidRPr="003F4393">
        <w:rPr>
          <w:sz w:val="16"/>
        </w:rPr>
        <w:t xml:space="preserve">The Supreme Court did not use Chevron Deference in Abramski v. United States, which had criminal implications, because the statute did not meet the ambiguity standard, but the ruling could have potentially significant implications. The Court held that "criminal laws are for courts, not for the Government, to construe" and the agencies should not be the ones making all the rules. This concept is further explained by the dissent, which states, "the rule of lenity applies whenever, after all legitimate tools of interpretation have been exhausted, 'a reasonable doubt persists' regarding whether Congress has made the defendant's conduct a federal crime." Furthermore, the Supreme Court previously said, "this Court has never held that the Government's reading of a criminal statute is entitled to any deference." The majority in Abramski found the statute was not ambiguous enough to apply the rule of lenity, which Justice Scalia thought was a mistake. </w:t>
      </w:r>
      <w:r w:rsidRPr="00456038">
        <w:rPr>
          <w:rStyle w:val="StyleUnderline"/>
          <w:highlight w:val="cyan"/>
        </w:rPr>
        <w:t>Scalia, in</w:t>
      </w:r>
      <w:r w:rsidRPr="003F4393">
        <w:rPr>
          <w:rStyle w:val="StyleUnderline"/>
        </w:rPr>
        <w:t xml:space="preserve"> </w:t>
      </w:r>
      <w:r w:rsidRPr="003F4393">
        <w:rPr>
          <w:rStyle w:val="Emphasis"/>
        </w:rPr>
        <w:t xml:space="preserve">his </w:t>
      </w:r>
      <w:r w:rsidRPr="00456038">
        <w:rPr>
          <w:rStyle w:val="Emphasis"/>
          <w:highlight w:val="cyan"/>
        </w:rPr>
        <w:t>dissent</w:t>
      </w:r>
      <w:r w:rsidRPr="00456038">
        <w:rPr>
          <w:rStyle w:val="StyleUnderline"/>
          <w:highlight w:val="cyan"/>
        </w:rPr>
        <w:t xml:space="preserve">, expressed that "[b]y </w:t>
      </w:r>
      <w:r w:rsidRPr="00456038">
        <w:rPr>
          <w:rStyle w:val="Emphasis"/>
          <w:highlight w:val="cyan"/>
        </w:rPr>
        <w:t>refusing</w:t>
      </w:r>
      <w:r w:rsidRPr="003F4393">
        <w:rPr>
          <w:rStyle w:val="StyleUnderline"/>
        </w:rPr>
        <w:t xml:space="preserve"> to </w:t>
      </w:r>
      <w:r w:rsidRPr="00BD08A4">
        <w:rPr>
          <w:rStyle w:val="StyleUnderline"/>
        </w:rPr>
        <w:t>apply</w:t>
      </w:r>
      <w:r w:rsidRPr="003F4393">
        <w:rPr>
          <w:rStyle w:val="StyleUnderline"/>
        </w:rPr>
        <w:t xml:space="preserve"> </w:t>
      </w:r>
      <w:r w:rsidRPr="00456038">
        <w:rPr>
          <w:rStyle w:val="StyleUnderline"/>
          <w:highlight w:val="cyan"/>
        </w:rPr>
        <w:t xml:space="preserve">lenity </w:t>
      </w:r>
      <w:r w:rsidRPr="00456038">
        <w:rPr>
          <w:rStyle w:val="Emphasis"/>
          <w:highlight w:val="cyan"/>
        </w:rPr>
        <w:t>here</w:t>
      </w:r>
      <w:r w:rsidRPr="00456038">
        <w:rPr>
          <w:rStyle w:val="StyleUnderline"/>
          <w:highlight w:val="cyan"/>
        </w:rPr>
        <w:t xml:space="preserve">, the majority </w:t>
      </w:r>
      <w:r w:rsidRPr="00456038">
        <w:rPr>
          <w:rStyle w:val="Emphasis"/>
          <w:highlight w:val="cyan"/>
        </w:rPr>
        <w:t>turns</w:t>
      </w:r>
      <w:r w:rsidRPr="003F4393">
        <w:rPr>
          <w:rStyle w:val="Emphasis"/>
        </w:rPr>
        <w:t xml:space="preserve"> its back</w:t>
      </w:r>
      <w:r w:rsidRPr="003F4393">
        <w:rPr>
          <w:rStyle w:val="StyleUnderline"/>
        </w:rPr>
        <w:t xml:space="preserve"> </w:t>
      </w:r>
      <w:r w:rsidRPr="00456038">
        <w:rPr>
          <w:rStyle w:val="StyleUnderline"/>
          <w:highlight w:val="cyan"/>
        </w:rPr>
        <w:t xml:space="preserve">on </w:t>
      </w:r>
      <w:r w:rsidRPr="00456038">
        <w:rPr>
          <w:rStyle w:val="Emphasis"/>
          <w:highlight w:val="cyan"/>
        </w:rPr>
        <w:t>a liberty-</w:t>
      </w:r>
      <w:r w:rsidRPr="003F4393">
        <w:rPr>
          <w:rStyle w:val="Emphasis"/>
        </w:rPr>
        <w:t>protecting</w:t>
      </w:r>
      <w:r w:rsidRPr="003F4393">
        <w:rPr>
          <w:rStyle w:val="StyleUnderline"/>
        </w:rPr>
        <w:t xml:space="preserve"> </w:t>
      </w:r>
      <w:r w:rsidRPr="00456038">
        <w:rPr>
          <w:rStyle w:val="StyleUnderline"/>
          <w:highlight w:val="cyan"/>
        </w:rPr>
        <w:t xml:space="preserve">and </w:t>
      </w:r>
      <w:r w:rsidRPr="00456038">
        <w:rPr>
          <w:rStyle w:val="Emphasis"/>
          <w:highlight w:val="cyan"/>
        </w:rPr>
        <w:t>democracy-promoting rule</w:t>
      </w:r>
      <w:r w:rsidRPr="00BD08A4">
        <w:rPr>
          <w:rStyle w:val="StyleUnderline"/>
        </w:rPr>
        <w:t xml:space="preserve"> that is </w:t>
      </w:r>
      <w:r w:rsidRPr="00BD08A4">
        <w:rPr>
          <w:rStyle w:val="Emphasis"/>
        </w:rPr>
        <w:t>'per</w:t>
      </w:r>
      <w:r w:rsidRPr="003F4393">
        <w:rPr>
          <w:rStyle w:val="Emphasis"/>
        </w:rPr>
        <w:t>haps not much less old</w:t>
      </w:r>
      <w:r w:rsidRPr="003F4393">
        <w:rPr>
          <w:rStyle w:val="StyleUnderline"/>
        </w:rPr>
        <w:t xml:space="preserve"> than </w:t>
      </w:r>
      <w:r w:rsidRPr="003F4393">
        <w:rPr>
          <w:rStyle w:val="Emphasis"/>
        </w:rPr>
        <w:t>construction itself</w:t>
      </w:r>
      <w:r w:rsidRPr="003F4393">
        <w:rPr>
          <w:rStyle w:val="StyleUnderline"/>
        </w:rPr>
        <w:t>.'"</w:t>
      </w:r>
      <w:r w:rsidRPr="003F4393">
        <w:rPr>
          <w:sz w:val="16"/>
        </w:rPr>
        <w:t xml:space="preserve"> Justice Scalia went further to say that if courts do not apply the rule of lenity in a case where it is so desperately needed, the courts should disregard it completely. </w:t>
      </w:r>
      <w:r w:rsidRPr="00456038">
        <w:rPr>
          <w:rStyle w:val="StyleUnderline"/>
          <w:highlight w:val="cyan"/>
        </w:rPr>
        <w:t>By not using</w:t>
      </w:r>
      <w:r w:rsidRPr="003F4393">
        <w:rPr>
          <w:rStyle w:val="StyleUnderline"/>
        </w:rPr>
        <w:t xml:space="preserve"> the rule of </w:t>
      </w:r>
      <w:r w:rsidRPr="00456038">
        <w:rPr>
          <w:rStyle w:val="StyleUnderline"/>
          <w:highlight w:val="cyan"/>
        </w:rPr>
        <w:t>lenity</w:t>
      </w:r>
      <w:r w:rsidRPr="003F4393">
        <w:rPr>
          <w:rStyle w:val="StyleUnderline"/>
        </w:rPr>
        <w:t xml:space="preserve"> when</w:t>
      </w:r>
      <w:r w:rsidRPr="003F4393">
        <w:rPr>
          <w:sz w:val="16"/>
        </w:rPr>
        <w:t xml:space="preserve"> arguably </w:t>
      </w:r>
      <w:r w:rsidRPr="003F4393">
        <w:rPr>
          <w:rStyle w:val="Emphasis"/>
        </w:rPr>
        <w:t>applicable</w:t>
      </w:r>
      <w:r w:rsidRPr="003F4393">
        <w:rPr>
          <w:rStyle w:val="StyleUnderline"/>
        </w:rPr>
        <w:t xml:space="preserve">, </w:t>
      </w:r>
      <w:r w:rsidRPr="00456038">
        <w:rPr>
          <w:rStyle w:val="StyleUnderline"/>
          <w:highlight w:val="cyan"/>
        </w:rPr>
        <w:t>the</w:t>
      </w:r>
      <w:r w:rsidRPr="003F4393">
        <w:rPr>
          <w:sz w:val="16"/>
        </w:rPr>
        <w:t xml:space="preserve"> Supreme </w:t>
      </w:r>
      <w:r w:rsidRPr="00456038">
        <w:rPr>
          <w:rStyle w:val="StyleUnderline"/>
          <w:highlight w:val="cyan"/>
        </w:rPr>
        <w:t>Court</w:t>
      </w:r>
      <w:r w:rsidRPr="003F4393">
        <w:rPr>
          <w:rStyle w:val="StyleUnderline"/>
        </w:rPr>
        <w:t xml:space="preserve"> may have </w:t>
      </w:r>
      <w:r w:rsidRPr="00456038">
        <w:rPr>
          <w:rStyle w:val="Emphasis"/>
          <w:highlight w:val="cyan"/>
        </w:rPr>
        <w:t>turned</w:t>
      </w:r>
      <w:r w:rsidRPr="003F4393">
        <w:rPr>
          <w:rStyle w:val="Emphasis"/>
        </w:rPr>
        <w:t xml:space="preserve"> its back</w:t>
      </w:r>
      <w:r w:rsidRPr="003F4393">
        <w:rPr>
          <w:rStyle w:val="StyleUnderline"/>
        </w:rPr>
        <w:t xml:space="preserve"> </w:t>
      </w:r>
      <w:r w:rsidRPr="00456038">
        <w:rPr>
          <w:rStyle w:val="StyleUnderline"/>
          <w:highlight w:val="cyan"/>
        </w:rPr>
        <w:t xml:space="preserve">on the rule </w:t>
      </w:r>
      <w:r w:rsidRPr="00456038">
        <w:rPr>
          <w:rStyle w:val="Emphasis"/>
          <w:highlight w:val="cyan"/>
        </w:rPr>
        <w:t>completely</w:t>
      </w:r>
      <w:r w:rsidRPr="00456038">
        <w:rPr>
          <w:rStyle w:val="StyleUnderline"/>
          <w:highlight w:val="cyan"/>
        </w:rPr>
        <w:t xml:space="preserve">, paving the path for </w:t>
      </w:r>
      <w:r w:rsidRPr="00456038">
        <w:rPr>
          <w:rStyle w:val="Emphasis"/>
          <w:highlight w:val="cyan"/>
        </w:rPr>
        <w:t>Chevron</w:t>
      </w:r>
      <w:r w:rsidRPr="003F4393">
        <w:rPr>
          <w:rStyle w:val="Emphasis"/>
        </w:rPr>
        <w:t xml:space="preserve"> Deference</w:t>
      </w:r>
      <w:r w:rsidRPr="003F4393">
        <w:rPr>
          <w:rStyle w:val="StyleUnderline"/>
        </w:rPr>
        <w:t xml:space="preserve"> </w:t>
      </w:r>
      <w:r w:rsidRPr="00456038">
        <w:rPr>
          <w:rStyle w:val="StyleUnderline"/>
          <w:highlight w:val="cyan"/>
        </w:rPr>
        <w:t>to become</w:t>
      </w:r>
      <w:r w:rsidRPr="003F4393">
        <w:rPr>
          <w:rStyle w:val="StyleUnderline"/>
        </w:rPr>
        <w:t xml:space="preserve"> </w:t>
      </w:r>
      <w:r w:rsidRPr="003F4393">
        <w:rPr>
          <w:rStyle w:val="Emphasis"/>
        </w:rPr>
        <w:t xml:space="preserve">the </w:t>
      </w:r>
      <w:r w:rsidRPr="00456038">
        <w:rPr>
          <w:rStyle w:val="Emphasis"/>
          <w:highlight w:val="cyan"/>
        </w:rPr>
        <w:t>overpowering</w:t>
      </w:r>
      <w:r w:rsidRPr="003F4393">
        <w:rPr>
          <w:rStyle w:val="Emphasis"/>
        </w:rPr>
        <w:t xml:space="preserve"> rule</w:t>
      </w:r>
      <w:r w:rsidRPr="003F4393">
        <w:rPr>
          <w:sz w:val="16"/>
        </w:rPr>
        <w:t>.</w:t>
      </w:r>
    </w:p>
    <w:p w14:paraId="7B3578D5" w14:textId="77777777" w:rsidR="00624DAC" w:rsidRDefault="00624DAC" w:rsidP="00624DAC">
      <w:pPr>
        <w:pStyle w:val="Heading4"/>
      </w:pPr>
      <w:r>
        <w:t xml:space="preserve">That risks the </w:t>
      </w:r>
      <w:r w:rsidR="007B0732" w:rsidRPr="007B0732">
        <w:rPr>
          <w:u w:val="single"/>
        </w:rPr>
        <w:t>Constitution</w:t>
      </w:r>
      <w:r w:rsidR="007B0732">
        <w:t xml:space="preserve"> </w:t>
      </w:r>
      <w:r w:rsidR="00255B21">
        <w:t xml:space="preserve">and </w:t>
      </w:r>
      <w:r w:rsidR="00255B21" w:rsidRPr="00454FA9">
        <w:t xml:space="preserve">democracy </w:t>
      </w:r>
      <w:r w:rsidRPr="00454FA9">
        <w:t>itself</w:t>
      </w:r>
      <w:r w:rsidR="007B0732">
        <w:t xml:space="preserve"> – </w:t>
      </w:r>
      <w:r w:rsidR="007B0732">
        <w:rPr>
          <w:u w:val="single"/>
        </w:rPr>
        <w:t>anything less</w:t>
      </w:r>
      <w:r w:rsidR="007B0732">
        <w:t xml:space="preserve"> </w:t>
      </w:r>
      <w:r w:rsidR="001E0253">
        <w:t xml:space="preserve">than the plan </w:t>
      </w:r>
      <w:r w:rsidR="007B0732">
        <w:t xml:space="preserve">imbues the perception the President can </w:t>
      </w:r>
      <w:r w:rsidR="007B0732">
        <w:rPr>
          <w:u w:val="single"/>
        </w:rPr>
        <w:t>unilaterally</w:t>
      </w:r>
      <w:r w:rsidR="007B0732">
        <w:t xml:space="preserve"> criminalize behavior.</w:t>
      </w:r>
    </w:p>
    <w:p w14:paraId="4D697E43" w14:textId="77777777" w:rsidR="001E0253" w:rsidRPr="001E0253" w:rsidRDefault="001E0253" w:rsidP="001E0253">
      <w:r w:rsidRPr="001E0253">
        <w:rPr>
          <w:rStyle w:val="Style13ptBold"/>
        </w:rPr>
        <w:t>Markus et al. 16</w:t>
      </w:r>
      <w:r>
        <w:t xml:space="preserve"> – David Oscar Markus, magna cum laude graduate of Harvard Law School, Co-Chair, NACDL Amicus Committee. Ben Horwich, Counsel of Record at Munger, Tolles &amp; Olson LLP, filer of hundreds of briefs to the Supreme Court. Joshua Patashnik, JD at Stanford Law School, law clerk to Justice Anthony Kennedy and Judge Jeff Sutton. David J. Feder, JD from Harvard Law School, co-author with Justice Neil Gorsuch, attorney at Munger, Tolles &amp; Olson LLP. [Juan Esquivel-Quintana, Petitioner, v. Loretta E. Lynch, Respondent. On Writ of Certiorari to the United States Court of Appeals for the Sixth Circuit, Brief of The National Association of Criminal Defense Lawyers as Amicus Curiae in Support of Petitioner, https://www.scotusblog.com/wp-content/uploads/2016/12/16-54-amicus-petitioner-NACDL.pdf]//BPS</w:t>
      </w:r>
    </w:p>
    <w:p w14:paraId="631DA5FB" w14:textId="77777777" w:rsidR="00624DAC" w:rsidRPr="001E0253" w:rsidRDefault="00624DAC" w:rsidP="00624DAC">
      <w:pPr>
        <w:rPr>
          <w:sz w:val="16"/>
        </w:rPr>
      </w:pPr>
      <w:r w:rsidRPr="001E0253">
        <w:rPr>
          <w:sz w:val="16"/>
        </w:rPr>
        <w:t xml:space="preserve">B. Because Section 1101(a)(43) Has Criminal Law Consequences, </w:t>
      </w:r>
      <w:r w:rsidRPr="00205B1F">
        <w:rPr>
          <w:rStyle w:val="StyleUnderline"/>
        </w:rPr>
        <w:t xml:space="preserve">the Rule of Lenity Rather than Chevron Must Be Applied to Resolve </w:t>
      </w:r>
      <w:r w:rsidRPr="00205B1F">
        <w:rPr>
          <w:rStyle w:val="Emphasis"/>
        </w:rPr>
        <w:t>Statutory Ambiguities</w:t>
      </w:r>
    </w:p>
    <w:p w14:paraId="03757FA1" w14:textId="77777777" w:rsidR="00624DAC" w:rsidRPr="001E0253" w:rsidRDefault="00624DAC" w:rsidP="00624DAC">
      <w:pPr>
        <w:ind w:left="720"/>
        <w:rPr>
          <w:sz w:val="16"/>
        </w:rPr>
      </w:pPr>
      <w:r w:rsidRPr="001E0253">
        <w:rPr>
          <w:sz w:val="16"/>
        </w:rPr>
        <w:t>1. This Court’s Precedent Dictates that the Rule of Lenity Applies, Requiring “Aggravated Felony” to Be Construed Narrowly and in Favor of Petitioner</w:t>
      </w:r>
    </w:p>
    <w:p w14:paraId="4DADF71D" w14:textId="77777777" w:rsidR="00624DAC" w:rsidRPr="001E0253" w:rsidRDefault="00624DAC" w:rsidP="00624DAC">
      <w:pPr>
        <w:rPr>
          <w:sz w:val="16"/>
        </w:rPr>
      </w:pPr>
      <w:r w:rsidRPr="001E0253">
        <w:rPr>
          <w:sz w:val="16"/>
        </w:rPr>
        <w:t xml:space="preserve">It is a fundamental rule of statutory interpretation, “perhaps not much less old than construction itself,” United States v. Wiltberger, 18 U.S. (5 Wheat.) 76, 95 (1820) (Marshall, C.J.), that in construing a criminal statute, the rule of lenity requires that ambiguities be resolved in the defendant’s favor. Bass, 404 U.S. at 347; see also, e.g., Crandon v. United States, 494 U.S. 152, 158 (1990) (describing lenity as a “time-honored interpretive guideline”); 1 WILLIAM BLACKSTONE, COMMENTARIES ON THE LAWS OF ENGLAND *88 (describing lenity as a rule of strict construction); Zachary Price, The Rule of Lenity as a Rule of Structure, 72 Fordham L. Rev. 885, 897 (2004) (discussing the rule of lenity’s “origins in the efforts of common law courts in the seventeenth and eighteenth centuries”). </w:t>
      </w:r>
      <w:r w:rsidRPr="00205B1F">
        <w:rPr>
          <w:rStyle w:val="StyleUnderline"/>
        </w:rPr>
        <w:t xml:space="preserve">The </w:t>
      </w:r>
      <w:r w:rsidRPr="00456038">
        <w:rPr>
          <w:rStyle w:val="StyleUnderline"/>
          <w:highlight w:val="cyan"/>
        </w:rPr>
        <w:t>rule has</w:t>
      </w:r>
      <w:r w:rsidRPr="00205B1F">
        <w:rPr>
          <w:rStyle w:val="StyleUnderline"/>
        </w:rPr>
        <w:t xml:space="preserve"> </w:t>
      </w:r>
      <w:r w:rsidRPr="00205B1F">
        <w:rPr>
          <w:rStyle w:val="Emphasis"/>
        </w:rPr>
        <w:t xml:space="preserve">its </w:t>
      </w:r>
      <w:r w:rsidRPr="00456038">
        <w:rPr>
          <w:rStyle w:val="Emphasis"/>
          <w:highlight w:val="cyan"/>
        </w:rPr>
        <w:t>roots</w:t>
      </w:r>
      <w:r w:rsidRPr="00456038">
        <w:rPr>
          <w:rStyle w:val="StyleUnderline"/>
          <w:highlight w:val="cyan"/>
        </w:rPr>
        <w:t xml:space="preserve"> in</w:t>
      </w:r>
      <w:r w:rsidRPr="001E0253">
        <w:rPr>
          <w:sz w:val="16"/>
        </w:rPr>
        <w:t xml:space="preserve"> several </w:t>
      </w:r>
      <w:r w:rsidRPr="00456038">
        <w:rPr>
          <w:rStyle w:val="Emphasis"/>
          <w:highlight w:val="cyan"/>
        </w:rPr>
        <w:t>foundational</w:t>
      </w:r>
      <w:r w:rsidRPr="00205B1F">
        <w:rPr>
          <w:rStyle w:val="Emphasis"/>
        </w:rPr>
        <w:t xml:space="preserve"> principles of </w:t>
      </w:r>
      <w:r w:rsidRPr="00456038">
        <w:rPr>
          <w:rStyle w:val="Emphasis"/>
          <w:highlight w:val="cyan"/>
        </w:rPr>
        <w:t>American law</w:t>
      </w:r>
      <w:r w:rsidRPr="001E0253">
        <w:rPr>
          <w:sz w:val="16"/>
        </w:rPr>
        <w:t>: “to promote fair notice to those subject to the criminal laws, to minimize the risk of selective and arbitrary enforcement, and to maintain the proper balance between Congress, prosecutors, and courts.” Kozminski, 487 U.S. at 952.</w:t>
      </w:r>
    </w:p>
    <w:p w14:paraId="25EDF325" w14:textId="77777777" w:rsidR="00624DAC" w:rsidRPr="001E0253" w:rsidRDefault="00624DAC" w:rsidP="00624DAC">
      <w:pPr>
        <w:rPr>
          <w:sz w:val="16"/>
        </w:rPr>
      </w:pPr>
      <w:r w:rsidRPr="001E0253">
        <w:rPr>
          <w:sz w:val="16"/>
        </w:rPr>
        <w:t xml:space="preserve">It is also well established that, where a single statute has both civil and criminal applications, courts “must interpret the statute consistently, whether [they] encounter its application in a criminal or noncriminal context.” Leocal, 543 U.S. at 11 n.8; see also, e.g., Kasten v. Saint-Gobain Performance Plastics Corp., 563 U.S. 1, 16 (2011); Clark v. Martinez, 543 U.S. 371, 380 (2005); Scheidler v. Nat’l Org. for Women, Inc., 537 U.S. 393, 408-09 (2003); FCC v. ABC, 347 U.S. at 296 (“There cannot be one construction for the Federal Communications Commission and another for the Department of Justice.”). </w:t>
      </w:r>
      <w:r w:rsidRPr="00456038">
        <w:rPr>
          <w:rStyle w:val="StyleUnderline"/>
          <w:highlight w:val="cyan"/>
        </w:rPr>
        <w:t>Disregarding</w:t>
      </w:r>
      <w:r w:rsidRPr="001E0253">
        <w:rPr>
          <w:sz w:val="16"/>
        </w:rPr>
        <w:t xml:space="preserve"> this </w:t>
      </w:r>
      <w:r w:rsidRPr="00205B1F">
        <w:rPr>
          <w:rStyle w:val="Emphasis"/>
        </w:rPr>
        <w:t xml:space="preserve">unitary-meaning </w:t>
      </w:r>
      <w:r w:rsidRPr="00456038">
        <w:rPr>
          <w:rStyle w:val="Emphasis"/>
          <w:highlight w:val="cyan"/>
        </w:rPr>
        <w:t>principle</w:t>
      </w:r>
      <w:r w:rsidRPr="00456038">
        <w:rPr>
          <w:rStyle w:val="StyleUnderline"/>
          <w:highlight w:val="cyan"/>
        </w:rPr>
        <w:t xml:space="preserve"> “would render </w:t>
      </w:r>
      <w:r w:rsidRPr="00456038">
        <w:rPr>
          <w:rStyle w:val="Emphasis"/>
          <w:highlight w:val="cyan"/>
        </w:rPr>
        <w:t>every statute a chameleon</w:t>
      </w:r>
      <w:r w:rsidRPr="00205B1F">
        <w:rPr>
          <w:rStyle w:val="StyleUnderline"/>
        </w:rPr>
        <w:t xml:space="preserve">, its meaning </w:t>
      </w:r>
      <w:r w:rsidRPr="00205B1F">
        <w:rPr>
          <w:rStyle w:val="Emphasis"/>
        </w:rPr>
        <w:t>subject to change</w:t>
      </w:r>
      <w:r w:rsidRPr="00205B1F">
        <w:rPr>
          <w:rStyle w:val="StyleUnderline"/>
        </w:rPr>
        <w:t>” depending on the circumstances</w:t>
      </w:r>
      <w:r w:rsidRPr="001E0253">
        <w:rPr>
          <w:sz w:val="16"/>
        </w:rPr>
        <w:t>. Clark, 543 U.S. at 382.</w:t>
      </w:r>
    </w:p>
    <w:p w14:paraId="3495A397" w14:textId="77777777" w:rsidR="00624DAC" w:rsidRPr="001E0253" w:rsidRDefault="00624DAC" w:rsidP="00624DAC">
      <w:pPr>
        <w:rPr>
          <w:sz w:val="16"/>
        </w:rPr>
      </w:pPr>
      <w:r w:rsidRPr="00205B1F">
        <w:rPr>
          <w:rStyle w:val="StyleUnderline"/>
        </w:rPr>
        <w:t>Putting these</w:t>
      </w:r>
      <w:r w:rsidRPr="001E0253">
        <w:rPr>
          <w:sz w:val="16"/>
        </w:rPr>
        <w:t xml:space="preserve"> two rules </w:t>
      </w:r>
      <w:r w:rsidRPr="00205B1F">
        <w:rPr>
          <w:rStyle w:val="StyleUnderline"/>
        </w:rPr>
        <w:t>together leads to the conclusion</w:t>
      </w:r>
      <w:r w:rsidRPr="001E0253">
        <w:rPr>
          <w:sz w:val="16"/>
        </w:rPr>
        <w:t xml:space="preserve"> that </w:t>
      </w:r>
      <w:r w:rsidRPr="00205B1F">
        <w:rPr>
          <w:rStyle w:val="StyleUnderline"/>
        </w:rPr>
        <w:t xml:space="preserve">the rule of </w:t>
      </w:r>
      <w:r w:rsidRPr="00456038">
        <w:rPr>
          <w:rStyle w:val="StyleUnderline"/>
          <w:highlight w:val="cyan"/>
        </w:rPr>
        <w:t xml:space="preserve">lenity </w:t>
      </w:r>
      <w:r w:rsidRPr="00456038">
        <w:rPr>
          <w:rStyle w:val="Emphasis"/>
          <w:highlight w:val="cyan"/>
        </w:rPr>
        <w:t>must</w:t>
      </w:r>
      <w:r w:rsidRPr="00456038">
        <w:rPr>
          <w:rStyle w:val="StyleUnderline"/>
          <w:highlight w:val="cyan"/>
        </w:rPr>
        <w:t xml:space="preserve"> be applied to </w:t>
      </w:r>
      <w:r w:rsidRPr="00456038">
        <w:rPr>
          <w:rStyle w:val="Emphasis"/>
          <w:highlight w:val="cyan"/>
        </w:rPr>
        <w:t>“hybrid” statutes</w:t>
      </w:r>
      <w:r w:rsidRPr="00205B1F">
        <w:rPr>
          <w:rStyle w:val="StyleUnderline"/>
        </w:rPr>
        <w:t xml:space="preserve"> with both civil and criminal applications</w:t>
      </w:r>
      <w:r w:rsidRPr="001E0253">
        <w:rPr>
          <w:sz w:val="16"/>
        </w:rPr>
        <w:t>. This Court’s opinions say as much. See Leocal, 543 U.S. at 11 n.8; Kasten, 563 U.S. at 16; FCC v. ABC, 347 U.S. at 296; Thompson/Center Arms Co., 504 U.S. at 518 n.10 (plurality opinion) (rule of lenity applied to interpretation of civil tax provision with criminal applications); id. at 519 (Scalia, J., concurring in the judgment) (agreeing that the rule of lenity applies); cf. Clark, 543 U.S. at 380 (“It is not at all unusual to give a statute’s ambiguous language a limiting construction called for by one of the statute’s applications, even though other of the statute’s applications, standing alone, would not support the same limitation. The lowest common denominator, as it were, must govern.”). Indeed, in Leocal, the government itself acknowledged that deference to agency interpretation of a criminal statute is unwarranted even where that statute also has civil applications. See Brief for Respondent, Leocal v. Ashcroft, No. 03-583, 2004 WL 1617398, at *32-33 (U.S. July 14, 2004).</w:t>
      </w:r>
    </w:p>
    <w:p w14:paraId="6BB1A6D4" w14:textId="77777777" w:rsidR="00624DAC" w:rsidRPr="001E0253" w:rsidRDefault="00624DAC" w:rsidP="00624DAC">
      <w:pPr>
        <w:rPr>
          <w:sz w:val="16"/>
        </w:rPr>
      </w:pPr>
      <w:r w:rsidRPr="001E0253">
        <w:rPr>
          <w:sz w:val="16"/>
        </w:rPr>
        <w:t xml:space="preserve">Application of </w:t>
      </w:r>
      <w:r w:rsidRPr="00205B1F">
        <w:rPr>
          <w:rStyle w:val="StyleUnderline"/>
        </w:rPr>
        <w:t>the rul</w:t>
      </w:r>
      <w:r w:rsidRPr="000C65FE">
        <w:rPr>
          <w:rStyle w:val="StyleUnderline"/>
        </w:rPr>
        <w:t xml:space="preserve">e of lenity leaves </w:t>
      </w:r>
      <w:r w:rsidRPr="000C65FE">
        <w:rPr>
          <w:rStyle w:val="Emphasis"/>
        </w:rPr>
        <w:t>no place</w:t>
      </w:r>
      <w:r w:rsidRPr="000C65FE">
        <w:rPr>
          <w:rStyle w:val="StyleUnderline"/>
        </w:rPr>
        <w:t xml:space="preserve"> for</w:t>
      </w:r>
      <w:r w:rsidR="00205B1F" w:rsidRPr="000C65FE">
        <w:rPr>
          <w:rStyle w:val="StyleUnderline"/>
        </w:rPr>
        <w:t xml:space="preserve"> </w:t>
      </w:r>
      <w:r w:rsidRPr="000C65FE">
        <w:rPr>
          <w:rStyle w:val="Emphasis"/>
        </w:rPr>
        <w:t>Chevron deference</w:t>
      </w:r>
      <w:r w:rsidRPr="000C65FE">
        <w:rPr>
          <w:sz w:val="16"/>
        </w:rPr>
        <w:t>. Even if the Chevron framework</w:t>
      </w:r>
      <w:r w:rsidR="00205B1F" w:rsidRPr="000C65FE">
        <w:rPr>
          <w:sz w:val="16"/>
        </w:rPr>
        <w:t xml:space="preserve"> </w:t>
      </w:r>
      <w:r w:rsidRPr="000C65FE">
        <w:rPr>
          <w:sz w:val="16"/>
        </w:rPr>
        <w:t>were theoretically applicable to hybrid statutes, courts</w:t>
      </w:r>
      <w:r w:rsidR="00205B1F" w:rsidRPr="000C65FE">
        <w:rPr>
          <w:sz w:val="16"/>
        </w:rPr>
        <w:t xml:space="preserve"> </w:t>
      </w:r>
      <w:r w:rsidRPr="000C65FE">
        <w:rPr>
          <w:sz w:val="16"/>
        </w:rPr>
        <w:t>must apply the “traditional tools of statutory construction” before deeming a statute ambiguous and deferring to an agency’s interpretation. Chevron, 467 U.S.</w:t>
      </w:r>
      <w:r w:rsidR="00205B1F" w:rsidRPr="000C65FE">
        <w:rPr>
          <w:sz w:val="16"/>
        </w:rPr>
        <w:t xml:space="preserve"> </w:t>
      </w:r>
      <w:r w:rsidRPr="000C65FE">
        <w:rPr>
          <w:sz w:val="16"/>
        </w:rPr>
        <w:t>at 843 n.9. This includes the rule of lenity. See Nat’l</w:t>
      </w:r>
      <w:r w:rsidR="00205B1F" w:rsidRPr="000C65FE">
        <w:rPr>
          <w:sz w:val="16"/>
        </w:rPr>
        <w:t xml:space="preserve"> </w:t>
      </w:r>
      <w:r w:rsidRPr="000C65FE">
        <w:rPr>
          <w:sz w:val="16"/>
        </w:rPr>
        <w:t>Cable &amp; Telecomm. Ass’n v. Brand X Internet Servs.,</w:t>
      </w:r>
      <w:r w:rsidR="00205B1F" w:rsidRPr="000C65FE">
        <w:rPr>
          <w:sz w:val="16"/>
        </w:rPr>
        <w:t xml:space="preserve"> </w:t>
      </w:r>
      <w:r w:rsidRPr="000C65FE">
        <w:rPr>
          <w:sz w:val="16"/>
        </w:rPr>
        <w:t>545 U.S. 967, 985 (2005) (noting that lower court had</w:t>
      </w:r>
      <w:r w:rsidR="00205B1F" w:rsidRPr="000C65FE">
        <w:rPr>
          <w:sz w:val="16"/>
        </w:rPr>
        <w:t xml:space="preserve"> </w:t>
      </w:r>
      <w:r w:rsidRPr="000C65FE">
        <w:rPr>
          <w:sz w:val="16"/>
        </w:rPr>
        <w:t>“invoked no other rule of construction (such as the rule</w:t>
      </w:r>
      <w:r w:rsidR="00205B1F" w:rsidRPr="000C65FE">
        <w:rPr>
          <w:sz w:val="16"/>
        </w:rPr>
        <w:t xml:space="preserve"> </w:t>
      </w:r>
      <w:r w:rsidRPr="000C65FE">
        <w:rPr>
          <w:sz w:val="16"/>
        </w:rPr>
        <w:t>of lenity) requiring it to conclude that the statute was</w:t>
      </w:r>
      <w:r w:rsidR="00205B1F" w:rsidRPr="000C65FE">
        <w:rPr>
          <w:sz w:val="16"/>
        </w:rPr>
        <w:t xml:space="preserve"> </w:t>
      </w:r>
      <w:r w:rsidRPr="000C65FE">
        <w:rPr>
          <w:sz w:val="16"/>
        </w:rPr>
        <w:t>unambiguous” (emphasis added)); Carter, 736 F.3d at</w:t>
      </w:r>
      <w:r w:rsidR="00205B1F" w:rsidRPr="000C65FE">
        <w:rPr>
          <w:sz w:val="16"/>
        </w:rPr>
        <w:t xml:space="preserve"> </w:t>
      </w:r>
      <w:r w:rsidRPr="000C65FE">
        <w:rPr>
          <w:sz w:val="16"/>
        </w:rPr>
        <w:t>732 (Sutton, J., concurring) (noting that “Chevron</w:t>
      </w:r>
      <w:r w:rsidR="00205B1F" w:rsidRPr="000C65FE">
        <w:rPr>
          <w:sz w:val="16"/>
        </w:rPr>
        <w:t xml:space="preserve"> </w:t>
      </w:r>
      <w:r w:rsidRPr="000C65FE">
        <w:rPr>
          <w:sz w:val="16"/>
        </w:rPr>
        <w:t>accommodates rather than trumps the lenity principle”); William N. Eskridge, Jr. &amp; Philip P. Frickey,</w:t>
      </w:r>
      <w:r w:rsidR="00205B1F" w:rsidRPr="000C65FE">
        <w:rPr>
          <w:sz w:val="16"/>
        </w:rPr>
        <w:t xml:space="preserve"> </w:t>
      </w:r>
      <w:r w:rsidRPr="000C65FE">
        <w:rPr>
          <w:sz w:val="16"/>
        </w:rPr>
        <w:t>Foreword: Law As Equilibrium, 108 Harv. L. Rev. 26,</w:t>
      </w:r>
      <w:r w:rsidR="00205B1F" w:rsidRPr="000C65FE">
        <w:rPr>
          <w:sz w:val="16"/>
        </w:rPr>
        <w:t xml:space="preserve"> </w:t>
      </w:r>
      <w:r w:rsidRPr="000C65FE">
        <w:rPr>
          <w:sz w:val="16"/>
        </w:rPr>
        <w:t>68-69, 104 (1994) (explaining that lenity is a “substantive canon” of statutory construction).</w:t>
      </w:r>
      <w:r w:rsidR="00205B1F" w:rsidRPr="000C65FE">
        <w:rPr>
          <w:sz w:val="16"/>
        </w:rPr>
        <w:t xml:space="preserve"> </w:t>
      </w:r>
      <w:r w:rsidRPr="000C65FE">
        <w:rPr>
          <w:sz w:val="16"/>
        </w:rPr>
        <w:t xml:space="preserve">At the very least, the rule of lenity must take precedence over Chevron in cases involving “grievous” ambiguities—the standard this Court has set for application </w:t>
      </w:r>
      <w:r w:rsidR="00205B1F" w:rsidRPr="000C65FE">
        <w:rPr>
          <w:sz w:val="16"/>
        </w:rPr>
        <w:t>of the rule. E.g., Maracich v. Spears, 133 S. Ct. 2191, 2209 (2013). This is such a case: as Judge Sutton recognized, it is a “classic occasion for applying the rule of lenity.” Pet. App. 21a. The key statutory phrase at issue in this case—“sexual abuse of a minor”—contains just five words and provides virtually no contextual guidance to courts, agencies, or lawyers. And the ordinary approach one would use to determine whether “sexual abuse of a minor” categorically encompasses the conduct criminalized by Penal Code section 261.5(c)—looking to the laws of the 50 States, the federal governmen</w:t>
      </w:r>
      <w:r w:rsidR="00205B1F" w:rsidRPr="001E0253">
        <w:rPr>
          <w:sz w:val="16"/>
        </w:rPr>
        <w:t>t, and the Model Penal Code—strongly suggests the answer is no. See Petr. Br. 15-21. At a minimum, under the rule of lenity, the statutory text is not sufficiently clear to permit a holding that Penal Code section 261.5(c) categorically defines an aggravated felony.</w:t>
      </w:r>
    </w:p>
    <w:p w14:paraId="1959FE17" w14:textId="77777777" w:rsidR="00205B1F" w:rsidRPr="001E0253" w:rsidRDefault="00205B1F" w:rsidP="00624DAC">
      <w:pPr>
        <w:rPr>
          <w:sz w:val="16"/>
        </w:rPr>
      </w:pPr>
      <w:r w:rsidRPr="001E0253">
        <w:rPr>
          <w:sz w:val="16"/>
        </w:rPr>
        <w:t xml:space="preserve">2. </w:t>
      </w:r>
      <w:r w:rsidRPr="00456038">
        <w:rPr>
          <w:rStyle w:val="StyleUnderline"/>
          <w:highlight w:val="cyan"/>
        </w:rPr>
        <w:t>Applying</w:t>
      </w:r>
      <w:r w:rsidRPr="007B0732">
        <w:rPr>
          <w:rStyle w:val="StyleUnderline"/>
        </w:rPr>
        <w:t xml:space="preserve"> </w:t>
      </w:r>
      <w:r w:rsidRPr="007B0732">
        <w:rPr>
          <w:rStyle w:val="Emphasis"/>
        </w:rPr>
        <w:t xml:space="preserve">the Rule of </w:t>
      </w:r>
      <w:r w:rsidRPr="00456038">
        <w:rPr>
          <w:rStyle w:val="Emphasis"/>
          <w:highlight w:val="cyan"/>
        </w:rPr>
        <w:t>Lenity</w:t>
      </w:r>
      <w:r w:rsidRPr="000C65FE">
        <w:rPr>
          <w:rStyle w:val="Emphasis"/>
        </w:rPr>
        <w:t xml:space="preserve"> Rather than Chevron</w:t>
      </w:r>
      <w:r w:rsidRPr="007B0732">
        <w:rPr>
          <w:rStyle w:val="StyleUnderline"/>
        </w:rPr>
        <w:t xml:space="preserve"> </w:t>
      </w:r>
      <w:r w:rsidRPr="00456038">
        <w:rPr>
          <w:rStyle w:val="StyleUnderline"/>
          <w:highlight w:val="cyan"/>
        </w:rPr>
        <w:t xml:space="preserve">to Statutes with </w:t>
      </w:r>
      <w:r w:rsidRPr="00456038">
        <w:rPr>
          <w:rStyle w:val="Emphasis"/>
          <w:highlight w:val="cyan"/>
        </w:rPr>
        <w:t>Both</w:t>
      </w:r>
      <w:r w:rsidRPr="007B0732">
        <w:rPr>
          <w:rStyle w:val="Emphasis"/>
        </w:rPr>
        <w:t xml:space="preserve"> Civil and Criminal </w:t>
      </w:r>
      <w:r w:rsidRPr="00456038">
        <w:rPr>
          <w:rStyle w:val="Emphasis"/>
          <w:highlight w:val="cyan"/>
        </w:rPr>
        <w:t>Applications</w:t>
      </w:r>
      <w:r w:rsidRPr="007B0732">
        <w:rPr>
          <w:rStyle w:val="StyleUnderline"/>
        </w:rPr>
        <w:t xml:space="preserve"> Fulfills the Rule’s Purposes and </w:t>
      </w:r>
      <w:r w:rsidRPr="00456038">
        <w:rPr>
          <w:rStyle w:val="StyleUnderline"/>
          <w:highlight w:val="cyan"/>
        </w:rPr>
        <w:t>Protects</w:t>
      </w:r>
      <w:r w:rsidRPr="007B0732">
        <w:rPr>
          <w:rStyle w:val="StyleUnderline"/>
        </w:rPr>
        <w:t xml:space="preserve"> </w:t>
      </w:r>
      <w:r w:rsidRPr="007B0732">
        <w:rPr>
          <w:rStyle w:val="Emphasis"/>
        </w:rPr>
        <w:t xml:space="preserve">Core </w:t>
      </w:r>
      <w:r w:rsidRPr="00456038">
        <w:rPr>
          <w:rStyle w:val="Emphasis"/>
          <w:highlight w:val="cyan"/>
        </w:rPr>
        <w:t>Constitution</w:t>
      </w:r>
      <w:r w:rsidRPr="000C65FE">
        <w:rPr>
          <w:rStyle w:val="Emphasis"/>
        </w:rPr>
        <w:t>al</w:t>
      </w:r>
      <w:r w:rsidRPr="007B0732">
        <w:rPr>
          <w:rStyle w:val="Emphasis"/>
        </w:rPr>
        <w:t xml:space="preserve"> Values</w:t>
      </w:r>
    </w:p>
    <w:p w14:paraId="2C758190" w14:textId="77777777" w:rsidR="00205B1F" w:rsidRPr="001E0253" w:rsidRDefault="00205B1F" w:rsidP="00624DAC">
      <w:pPr>
        <w:rPr>
          <w:sz w:val="16"/>
        </w:rPr>
      </w:pPr>
      <w:r w:rsidRPr="001E0253">
        <w:rPr>
          <w:sz w:val="16"/>
        </w:rPr>
        <w:t>Applying the rule of lenity in cases like this one dovetails with the rule’s central purpose of requiring the government to provide “fair warning” of what the criminal laws prohibit. Bass, 404 U.S. at 348; McBoyle v. United States, 283 U.S. 25, 27 (1931). Deferring to an agency’s interpretation of a hybrid statute threatens to deprive the public of fair notice. The citizen must guess, among other things, whether a statute will be deemed ambiguous (courts often disagree) and whether an agency’s interpretation will be deemed reasonable (courts often disagree about this, too).</w:t>
      </w:r>
    </w:p>
    <w:p w14:paraId="32F8368C" w14:textId="77777777" w:rsidR="00205B1F" w:rsidRPr="001E0253" w:rsidRDefault="00205B1F" w:rsidP="00624DAC">
      <w:pPr>
        <w:rPr>
          <w:sz w:val="16"/>
        </w:rPr>
      </w:pPr>
      <w:r w:rsidRPr="00456038">
        <w:rPr>
          <w:rStyle w:val="Emphasis"/>
          <w:highlight w:val="cyan"/>
        </w:rPr>
        <w:t>Exacerbating</w:t>
      </w:r>
      <w:r w:rsidRPr="00456038">
        <w:rPr>
          <w:rStyle w:val="StyleUnderline"/>
          <w:highlight w:val="cyan"/>
        </w:rPr>
        <w:t xml:space="preserve"> this</w:t>
      </w:r>
      <w:r w:rsidRPr="001E0253">
        <w:rPr>
          <w:sz w:val="16"/>
        </w:rPr>
        <w:t xml:space="preserve"> problem, </w:t>
      </w:r>
      <w:r w:rsidRPr="00456038">
        <w:rPr>
          <w:rStyle w:val="StyleUnderline"/>
          <w:highlight w:val="cyan"/>
        </w:rPr>
        <w:t>agencies</w:t>
      </w:r>
      <w:r w:rsidRPr="007B0732">
        <w:rPr>
          <w:rStyle w:val="StyleUnderline"/>
        </w:rPr>
        <w:t xml:space="preserve"> </w:t>
      </w:r>
      <w:r w:rsidRPr="007B0732">
        <w:rPr>
          <w:rStyle w:val="Emphasis"/>
        </w:rPr>
        <w:t xml:space="preserve">routinely </w:t>
      </w:r>
      <w:r w:rsidRPr="00456038">
        <w:rPr>
          <w:rStyle w:val="Emphasis"/>
          <w:highlight w:val="cyan"/>
        </w:rPr>
        <w:t>change</w:t>
      </w:r>
      <w:r w:rsidRPr="007B0732">
        <w:rPr>
          <w:rStyle w:val="StyleUnderline"/>
        </w:rPr>
        <w:t xml:space="preserve"> their </w:t>
      </w:r>
      <w:r w:rsidRPr="00456038">
        <w:rPr>
          <w:rStyle w:val="StyleUnderline"/>
          <w:highlight w:val="cyan"/>
        </w:rPr>
        <w:t>interpretation</w:t>
      </w:r>
      <w:r w:rsidRPr="007B0732">
        <w:rPr>
          <w:rStyle w:val="StyleUnderline"/>
        </w:rPr>
        <w:t xml:space="preserve"> of statutory provisions. </w:t>
      </w:r>
      <w:r w:rsidRPr="00456038">
        <w:rPr>
          <w:rStyle w:val="StyleUnderline"/>
          <w:highlight w:val="cyan"/>
        </w:rPr>
        <w:t>Deference</w:t>
      </w:r>
      <w:r w:rsidRPr="001E0253">
        <w:rPr>
          <w:sz w:val="16"/>
        </w:rPr>
        <w:t xml:space="preserve"> thus </w:t>
      </w:r>
      <w:r w:rsidRPr="00456038">
        <w:rPr>
          <w:rStyle w:val="StyleUnderline"/>
          <w:highlight w:val="cyan"/>
        </w:rPr>
        <w:t>would “allow one admin</w:t>
      </w:r>
      <w:r w:rsidRPr="000C65FE">
        <w:rPr>
          <w:rStyle w:val="StyleUnderline"/>
        </w:rPr>
        <w:t xml:space="preserve">istration </w:t>
      </w:r>
      <w:r w:rsidRPr="00456038">
        <w:rPr>
          <w:rStyle w:val="StyleUnderline"/>
          <w:highlight w:val="cyan"/>
        </w:rPr>
        <w:t xml:space="preserve">to </w:t>
      </w:r>
      <w:r w:rsidRPr="00456038">
        <w:rPr>
          <w:rStyle w:val="Emphasis"/>
          <w:highlight w:val="cyan"/>
        </w:rPr>
        <w:t>criminalize</w:t>
      </w:r>
      <w:r w:rsidRPr="007B0732">
        <w:rPr>
          <w:rStyle w:val="StyleUnderline"/>
        </w:rPr>
        <w:t xml:space="preserve"> conduct within </w:t>
      </w:r>
      <w:r w:rsidRPr="007B0732">
        <w:rPr>
          <w:rStyle w:val="Emphasis"/>
        </w:rPr>
        <w:t xml:space="preserve">the scope of the </w:t>
      </w:r>
      <w:r w:rsidRPr="000C65FE">
        <w:rPr>
          <w:rStyle w:val="Emphasis"/>
        </w:rPr>
        <w:t>ambiguity</w:t>
      </w:r>
      <w:r w:rsidRPr="007B0732">
        <w:rPr>
          <w:rStyle w:val="StyleUnderline"/>
        </w:rPr>
        <w:t xml:space="preserve">, the </w:t>
      </w:r>
      <w:r w:rsidRPr="00456038">
        <w:rPr>
          <w:rStyle w:val="StyleUnderline"/>
          <w:highlight w:val="cyan"/>
        </w:rPr>
        <w:t>next</w:t>
      </w:r>
      <w:r w:rsidRPr="007B0732">
        <w:rPr>
          <w:rStyle w:val="StyleUnderline"/>
        </w:rPr>
        <w:t xml:space="preserve"> administration </w:t>
      </w:r>
      <w:r w:rsidRPr="00456038">
        <w:rPr>
          <w:rStyle w:val="StyleUnderline"/>
          <w:highlight w:val="cyan"/>
        </w:rPr>
        <w:t xml:space="preserve">to </w:t>
      </w:r>
      <w:r w:rsidRPr="00456038">
        <w:rPr>
          <w:rStyle w:val="Emphasis"/>
          <w:highlight w:val="cyan"/>
        </w:rPr>
        <w:t>decriminalize</w:t>
      </w:r>
      <w:r w:rsidRPr="007B0732">
        <w:rPr>
          <w:rStyle w:val="StyleUnderline"/>
        </w:rPr>
        <w:t xml:space="preserve"> it, </w:t>
      </w:r>
      <w:r w:rsidRPr="00456038">
        <w:rPr>
          <w:rStyle w:val="StyleUnderline"/>
          <w:highlight w:val="cyan"/>
        </w:rPr>
        <w:t xml:space="preserve">and the third to </w:t>
      </w:r>
      <w:r w:rsidRPr="00456038">
        <w:rPr>
          <w:rStyle w:val="Emphasis"/>
          <w:highlight w:val="cyan"/>
        </w:rPr>
        <w:t>recriminalize</w:t>
      </w:r>
      <w:r w:rsidRPr="007B0732">
        <w:rPr>
          <w:rStyle w:val="StyleUnderline"/>
        </w:rPr>
        <w:t xml:space="preserve"> it.”</w:t>
      </w:r>
      <w:r w:rsidRPr="001E0253">
        <w:rPr>
          <w:sz w:val="16"/>
        </w:rPr>
        <w:t xml:space="preserve"> Carter, 736 F.3d at 729 (Sutton, J., concurring). </w:t>
      </w:r>
      <w:r w:rsidRPr="00456038">
        <w:rPr>
          <w:rStyle w:val="StyleUnderline"/>
          <w:highlight w:val="cyan"/>
        </w:rPr>
        <w:t>If</w:t>
      </w:r>
      <w:r w:rsidRPr="007B0732">
        <w:rPr>
          <w:rStyle w:val="StyleUnderline"/>
        </w:rPr>
        <w:t xml:space="preserve"> the </w:t>
      </w:r>
      <w:r w:rsidRPr="00456038">
        <w:rPr>
          <w:rStyle w:val="StyleUnderline"/>
          <w:highlight w:val="cyan"/>
        </w:rPr>
        <w:t>meaning</w:t>
      </w:r>
      <w:r w:rsidRPr="007B0732">
        <w:rPr>
          <w:rStyle w:val="StyleUnderline"/>
        </w:rPr>
        <w:t xml:space="preserve"> of hybrid statutes </w:t>
      </w:r>
      <w:r w:rsidRPr="00456038">
        <w:rPr>
          <w:rStyle w:val="StyleUnderline"/>
          <w:highlight w:val="cyan"/>
        </w:rPr>
        <w:t xml:space="preserve">could </w:t>
      </w:r>
      <w:r w:rsidRPr="00456038">
        <w:rPr>
          <w:rStyle w:val="Emphasis"/>
          <w:highlight w:val="cyan"/>
        </w:rPr>
        <w:t>shift</w:t>
      </w:r>
      <w:r w:rsidRPr="00456038">
        <w:rPr>
          <w:rStyle w:val="StyleUnderline"/>
          <w:highlight w:val="cyan"/>
        </w:rPr>
        <w:t xml:space="preserve"> with</w:t>
      </w:r>
      <w:r w:rsidRPr="007B0732">
        <w:rPr>
          <w:rStyle w:val="StyleUnderline"/>
        </w:rPr>
        <w:t xml:space="preserve"> </w:t>
      </w:r>
      <w:r w:rsidRPr="007B0732">
        <w:rPr>
          <w:rStyle w:val="Emphasis"/>
        </w:rPr>
        <w:t xml:space="preserve">the political </w:t>
      </w:r>
      <w:r w:rsidRPr="00456038">
        <w:rPr>
          <w:rStyle w:val="Emphasis"/>
          <w:highlight w:val="cyan"/>
        </w:rPr>
        <w:t>winds</w:t>
      </w:r>
      <w:r w:rsidRPr="00456038">
        <w:rPr>
          <w:rStyle w:val="StyleUnderline"/>
          <w:highlight w:val="cyan"/>
        </w:rPr>
        <w:t>, individuals could</w:t>
      </w:r>
      <w:r w:rsidRPr="001E0253">
        <w:rPr>
          <w:sz w:val="16"/>
        </w:rPr>
        <w:t xml:space="preserve"> find themselves </w:t>
      </w:r>
      <w:r w:rsidRPr="00456038">
        <w:rPr>
          <w:rStyle w:val="StyleUnderline"/>
          <w:highlight w:val="cyan"/>
        </w:rPr>
        <w:t>fac</w:t>
      </w:r>
      <w:r w:rsidRPr="001E0253">
        <w:rPr>
          <w:sz w:val="16"/>
        </w:rPr>
        <w:t xml:space="preserve">ing </w:t>
      </w:r>
      <w:r w:rsidRPr="007B0732">
        <w:rPr>
          <w:rStyle w:val="StyleUnderline"/>
        </w:rPr>
        <w:t xml:space="preserve">criminal </w:t>
      </w:r>
      <w:r w:rsidRPr="00456038">
        <w:rPr>
          <w:rStyle w:val="StyleUnderline"/>
          <w:highlight w:val="cyan"/>
        </w:rPr>
        <w:t>prosecution</w:t>
      </w:r>
      <w:r w:rsidRPr="001E0253">
        <w:rPr>
          <w:sz w:val="16"/>
        </w:rPr>
        <w:t xml:space="preserve"> (or enhanced punishment) </w:t>
      </w:r>
      <w:r w:rsidRPr="00456038">
        <w:rPr>
          <w:rStyle w:val="StyleUnderline"/>
          <w:highlight w:val="cyan"/>
        </w:rPr>
        <w:t>based on</w:t>
      </w:r>
      <w:r w:rsidRPr="007B0732">
        <w:rPr>
          <w:rStyle w:val="StyleUnderline"/>
        </w:rPr>
        <w:t xml:space="preserve"> </w:t>
      </w:r>
      <w:r w:rsidRPr="007B0732">
        <w:rPr>
          <w:rStyle w:val="Emphasis"/>
        </w:rPr>
        <w:t xml:space="preserve">new </w:t>
      </w:r>
      <w:r w:rsidRPr="00456038">
        <w:rPr>
          <w:rStyle w:val="Emphasis"/>
          <w:highlight w:val="cyan"/>
        </w:rPr>
        <w:t>agency pronouncements</w:t>
      </w:r>
      <w:r w:rsidRPr="00456038">
        <w:rPr>
          <w:rStyle w:val="StyleUnderline"/>
          <w:highlight w:val="cyan"/>
        </w:rPr>
        <w:t xml:space="preserve"> for actions</w:t>
      </w:r>
      <w:r w:rsidRPr="007B0732">
        <w:rPr>
          <w:rStyle w:val="StyleUnderline"/>
        </w:rPr>
        <w:t xml:space="preserve"> that were </w:t>
      </w:r>
      <w:r w:rsidRPr="007B0732">
        <w:rPr>
          <w:rStyle w:val="Emphasis"/>
        </w:rPr>
        <w:t xml:space="preserve">perfectly </w:t>
      </w:r>
      <w:r w:rsidRPr="00456038">
        <w:rPr>
          <w:rStyle w:val="Emphasis"/>
          <w:highlight w:val="cyan"/>
        </w:rPr>
        <w:t>legal</w:t>
      </w:r>
      <w:r w:rsidRPr="001E0253">
        <w:rPr>
          <w:sz w:val="16"/>
        </w:rPr>
        <w:t xml:space="preserve"> (or were punished less harshly) just </w:t>
      </w:r>
      <w:r w:rsidRPr="00456038">
        <w:rPr>
          <w:rStyle w:val="StyleUnderline"/>
          <w:highlight w:val="cyan"/>
        </w:rPr>
        <w:t>weeks</w:t>
      </w:r>
      <w:r w:rsidRPr="001E0253">
        <w:rPr>
          <w:sz w:val="16"/>
        </w:rPr>
        <w:t xml:space="preserve"> or months </w:t>
      </w:r>
      <w:r w:rsidRPr="00456038">
        <w:rPr>
          <w:rStyle w:val="StyleUnderline"/>
          <w:highlight w:val="cyan"/>
        </w:rPr>
        <w:t>earlier</w:t>
      </w:r>
      <w:r w:rsidRPr="001E0253">
        <w:rPr>
          <w:sz w:val="16"/>
        </w:rPr>
        <w:t>. As applied in criminal cases, that would violate the Ex Post Facto Clause. See Peugh v. United States, 133 S. Ct. 2072, 2081 (2013). And the problem of “lack of fair notice,” which is one of the “central concerns of the Ex Post Facto Clause,” Lynce v. Mathis, 519 U.S. 433, 441 (1997), is a serious one in the immigration context as well, given instabilities in the BIA’s interpretations of many statutory provisions. See, e.g., Judulang v. Holder, 132 S. Ct. 476, 488 (2011) (unanimously rejecting the BIA’s interpretation while noting that the “BIA repeatedly vacillated” in determining whether § 212(c) of the INA permits the Attorney General to grant discretionary relief to a deportable non-citizen).</w:t>
      </w:r>
    </w:p>
    <w:p w14:paraId="77516C67" w14:textId="77777777" w:rsidR="00205B1F" w:rsidRPr="001E0253" w:rsidRDefault="00205B1F" w:rsidP="00624DAC">
      <w:pPr>
        <w:rPr>
          <w:sz w:val="16"/>
        </w:rPr>
      </w:pPr>
      <w:r w:rsidRPr="00456038">
        <w:rPr>
          <w:rStyle w:val="Emphasis"/>
          <w:highlight w:val="cyan"/>
        </w:rPr>
        <w:t>This</w:t>
      </w:r>
      <w:r w:rsidRPr="00255B21">
        <w:rPr>
          <w:rStyle w:val="Emphasis"/>
        </w:rPr>
        <w:t xml:space="preserve"> fair-notice </w:t>
      </w:r>
      <w:r w:rsidRPr="00456038">
        <w:rPr>
          <w:rStyle w:val="Emphasis"/>
          <w:highlight w:val="cyan"/>
        </w:rPr>
        <w:t>problem</w:t>
      </w:r>
      <w:r w:rsidRPr="001E0253">
        <w:rPr>
          <w:sz w:val="16"/>
        </w:rPr>
        <w:t xml:space="preserve">, moreover, </w:t>
      </w:r>
      <w:r w:rsidRPr="00456038">
        <w:rPr>
          <w:rStyle w:val="StyleUnderline"/>
          <w:highlight w:val="cyan"/>
        </w:rPr>
        <w:t>must</w:t>
      </w:r>
      <w:r w:rsidRPr="001E0253">
        <w:rPr>
          <w:sz w:val="16"/>
        </w:rPr>
        <w:t xml:space="preserve"> also </w:t>
      </w:r>
      <w:r w:rsidRPr="00456038">
        <w:rPr>
          <w:rStyle w:val="StyleUnderline"/>
          <w:highlight w:val="cyan"/>
        </w:rPr>
        <w:t>be</w:t>
      </w:r>
      <w:r w:rsidRPr="00255B21">
        <w:rPr>
          <w:rStyle w:val="StyleUnderline"/>
        </w:rPr>
        <w:t xml:space="preserve"> viewed </w:t>
      </w:r>
      <w:r w:rsidRPr="00456038">
        <w:rPr>
          <w:rStyle w:val="StyleUnderline"/>
          <w:highlight w:val="cyan"/>
        </w:rPr>
        <w:t>in</w:t>
      </w:r>
      <w:r w:rsidRPr="00255B21">
        <w:rPr>
          <w:rStyle w:val="StyleUnderline"/>
        </w:rPr>
        <w:t xml:space="preserve"> the </w:t>
      </w:r>
      <w:r w:rsidRPr="00456038">
        <w:rPr>
          <w:rStyle w:val="StyleUnderline"/>
          <w:highlight w:val="cyan"/>
        </w:rPr>
        <w:t>context of</w:t>
      </w:r>
      <w:r w:rsidRPr="00255B21">
        <w:rPr>
          <w:rStyle w:val="StyleUnderline"/>
        </w:rPr>
        <w:t xml:space="preserve"> the </w:t>
      </w:r>
      <w:r w:rsidRPr="00456038">
        <w:rPr>
          <w:rStyle w:val="Emphasis"/>
          <w:highlight w:val="cyan"/>
        </w:rPr>
        <w:t>increasing</w:t>
      </w:r>
      <w:r w:rsidRPr="00255B21">
        <w:rPr>
          <w:rStyle w:val="Emphasis"/>
        </w:rPr>
        <w:t xml:space="preserve"> number and </w:t>
      </w:r>
      <w:r w:rsidRPr="00456038">
        <w:rPr>
          <w:rStyle w:val="Emphasis"/>
          <w:highlight w:val="cyan"/>
        </w:rPr>
        <w:t>reach</w:t>
      </w:r>
      <w:r w:rsidRPr="00456038">
        <w:rPr>
          <w:rStyle w:val="StyleUnderline"/>
          <w:highlight w:val="cyan"/>
        </w:rPr>
        <w:t xml:space="preserve"> of criminal laws</w:t>
      </w:r>
      <w:r w:rsidRPr="001E0253">
        <w:rPr>
          <w:sz w:val="16"/>
        </w:rPr>
        <w:t xml:space="preserve"> since the middle of the twentieth century. See Carol S. Steiker, Punishment and Procedure: Punishment Theory and the Criminal-Civil Procedural Divide, 85 GEO. L.J. 775, 783-84 (1997). </w:t>
      </w:r>
      <w:r w:rsidRPr="00456038">
        <w:rPr>
          <w:rStyle w:val="StyleUnderline"/>
          <w:highlight w:val="cyan"/>
        </w:rPr>
        <w:t xml:space="preserve">There are </w:t>
      </w:r>
      <w:r w:rsidRPr="00456038">
        <w:rPr>
          <w:rStyle w:val="Emphasis"/>
          <w:highlight w:val="cyan"/>
        </w:rPr>
        <w:t>so many</w:t>
      </w:r>
      <w:r w:rsidRPr="00255B21">
        <w:rPr>
          <w:rStyle w:val="StyleUnderline"/>
        </w:rPr>
        <w:t xml:space="preserve"> federal </w:t>
      </w:r>
      <w:r w:rsidRPr="00456038">
        <w:rPr>
          <w:rStyle w:val="StyleUnderline"/>
          <w:highlight w:val="cyan"/>
        </w:rPr>
        <w:t>crimes</w:t>
      </w:r>
      <w:r w:rsidRPr="001E0253">
        <w:rPr>
          <w:sz w:val="16"/>
        </w:rPr>
        <w:t xml:space="preserve"> now that </w:t>
      </w:r>
      <w:r w:rsidRPr="00456038">
        <w:rPr>
          <w:rStyle w:val="StyleUnderline"/>
          <w:highlight w:val="cyan"/>
        </w:rPr>
        <w:t xml:space="preserve">it is </w:t>
      </w:r>
      <w:r w:rsidRPr="00456038">
        <w:rPr>
          <w:rStyle w:val="Emphasis"/>
          <w:highlight w:val="cyan"/>
        </w:rPr>
        <w:t>difficult</w:t>
      </w:r>
      <w:r w:rsidRPr="00456038">
        <w:rPr>
          <w:rStyle w:val="StyleUnderline"/>
          <w:highlight w:val="cyan"/>
        </w:rPr>
        <w:t xml:space="preserve"> to count</w:t>
      </w:r>
      <w:r w:rsidRPr="00255B21">
        <w:rPr>
          <w:rStyle w:val="StyleUnderline"/>
        </w:rPr>
        <w:t xml:space="preserve"> them, but there are at </w:t>
      </w:r>
      <w:r w:rsidRPr="00255B21">
        <w:rPr>
          <w:rStyle w:val="Emphasis"/>
        </w:rPr>
        <w:t>least several thousand</w:t>
      </w:r>
      <w:r w:rsidRPr="001E0253">
        <w:rPr>
          <w:sz w:val="16"/>
        </w:rPr>
        <w:t>. See, e.g., JOHN S. BAKER, JR. ET AL., THE FEDERALIST SOC’Y FOR LAW &amp; PUB. POLICY STUDIES, MEASURING THE EXPLOSIVE GROWTH OF FEDERAL CRIME LEGISLATION 3 (2004) (estimating that the U.S. Code contains over 4,000 criminal statutes).</w:t>
      </w:r>
    </w:p>
    <w:p w14:paraId="09B89991" w14:textId="77777777" w:rsidR="00205B1F" w:rsidRPr="001E0253" w:rsidRDefault="00205B1F" w:rsidP="00624DAC">
      <w:pPr>
        <w:rPr>
          <w:sz w:val="16"/>
        </w:rPr>
      </w:pPr>
      <w:r w:rsidRPr="001E0253">
        <w:rPr>
          <w:sz w:val="16"/>
        </w:rPr>
        <w:t xml:space="preserve">In this setting, </w:t>
      </w:r>
      <w:r w:rsidRPr="00255B21">
        <w:rPr>
          <w:rStyle w:val="StyleUnderline"/>
        </w:rPr>
        <w:t xml:space="preserve">the rule of </w:t>
      </w:r>
      <w:r w:rsidRPr="00456038">
        <w:rPr>
          <w:rStyle w:val="StyleUnderline"/>
          <w:highlight w:val="cyan"/>
        </w:rPr>
        <w:t>lenity helps “</w:t>
      </w:r>
      <w:r w:rsidRPr="00456038">
        <w:rPr>
          <w:rStyle w:val="Emphasis"/>
          <w:highlight w:val="cyan"/>
        </w:rPr>
        <w:t>minimize</w:t>
      </w:r>
      <w:r w:rsidRPr="001E0253">
        <w:rPr>
          <w:sz w:val="16"/>
        </w:rPr>
        <w:t xml:space="preserve"> the risk of </w:t>
      </w:r>
      <w:r w:rsidRPr="00255B21">
        <w:rPr>
          <w:rStyle w:val="StyleUnderline"/>
        </w:rPr>
        <w:t xml:space="preserve">selective or </w:t>
      </w:r>
      <w:r w:rsidRPr="00456038">
        <w:rPr>
          <w:rStyle w:val="StyleUnderline"/>
          <w:highlight w:val="cyan"/>
        </w:rPr>
        <w:t>arbitrary enforcement.”</w:t>
      </w:r>
      <w:r w:rsidRPr="001E0253">
        <w:rPr>
          <w:sz w:val="16"/>
        </w:rPr>
        <w:t xml:space="preserve"> Kozminski, 487 U.S. at 952; see also Dan M. Kahan, Lenity and Federal Common Law Crimes, 1994 Sup. Ct. Rev. 345, 406 (noting that the rule of lenity “reduce[s] the opportunities for prosecutorial abuse”). By contrast, </w:t>
      </w:r>
      <w:r w:rsidRPr="00456038">
        <w:rPr>
          <w:rStyle w:val="StyleUnderline"/>
          <w:highlight w:val="cyan"/>
        </w:rPr>
        <w:t>layering Chevron deference atop</w:t>
      </w:r>
      <w:r w:rsidRPr="00255B21">
        <w:rPr>
          <w:rStyle w:val="StyleUnderline"/>
        </w:rPr>
        <w:t xml:space="preserve"> </w:t>
      </w:r>
      <w:r w:rsidRPr="00255B21">
        <w:rPr>
          <w:rStyle w:val="Emphasis"/>
        </w:rPr>
        <w:t xml:space="preserve">the </w:t>
      </w:r>
      <w:r w:rsidRPr="00456038">
        <w:rPr>
          <w:rStyle w:val="Emphasis"/>
          <w:highlight w:val="cyan"/>
        </w:rPr>
        <w:t>increasing</w:t>
      </w:r>
      <w:r w:rsidRPr="000C65FE">
        <w:rPr>
          <w:rStyle w:val="Emphasis"/>
        </w:rPr>
        <w:t>ly</w:t>
      </w:r>
      <w:r w:rsidRPr="00255B21">
        <w:rPr>
          <w:rStyle w:val="Emphasis"/>
        </w:rPr>
        <w:t xml:space="preserve"> broad array</w:t>
      </w:r>
      <w:r w:rsidRPr="00255B21">
        <w:rPr>
          <w:rStyle w:val="StyleUnderline"/>
        </w:rPr>
        <w:t xml:space="preserve"> of </w:t>
      </w:r>
      <w:r w:rsidRPr="00456038">
        <w:rPr>
          <w:rStyle w:val="Emphasis"/>
          <w:highlight w:val="cyan"/>
        </w:rPr>
        <w:t>federal</w:t>
      </w:r>
      <w:r w:rsidRPr="00255B21">
        <w:rPr>
          <w:rStyle w:val="Emphasis"/>
        </w:rPr>
        <w:t xml:space="preserve"> criminal </w:t>
      </w:r>
      <w:r w:rsidRPr="00456038">
        <w:rPr>
          <w:rStyle w:val="Emphasis"/>
          <w:highlight w:val="cyan"/>
        </w:rPr>
        <w:t>laws</w:t>
      </w:r>
      <w:r w:rsidRPr="00456038">
        <w:rPr>
          <w:rStyle w:val="StyleUnderline"/>
          <w:highlight w:val="cyan"/>
        </w:rPr>
        <w:t xml:space="preserve"> would give</w:t>
      </w:r>
      <w:r w:rsidRPr="00255B21">
        <w:rPr>
          <w:rStyle w:val="StyleUnderline"/>
        </w:rPr>
        <w:t xml:space="preserve"> the </w:t>
      </w:r>
      <w:r w:rsidRPr="00456038">
        <w:rPr>
          <w:rStyle w:val="StyleUnderline"/>
          <w:highlight w:val="cyan"/>
        </w:rPr>
        <w:t>government</w:t>
      </w:r>
      <w:r w:rsidRPr="00255B21">
        <w:rPr>
          <w:rStyle w:val="StyleUnderline"/>
        </w:rPr>
        <w:t xml:space="preserve"> </w:t>
      </w:r>
      <w:r w:rsidRPr="00255B21">
        <w:rPr>
          <w:rStyle w:val="Emphasis"/>
        </w:rPr>
        <w:t xml:space="preserve">substantial </w:t>
      </w:r>
      <w:r w:rsidRPr="00456038">
        <w:rPr>
          <w:rStyle w:val="Emphasis"/>
          <w:highlight w:val="cyan"/>
        </w:rPr>
        <w:t>power</w:t>
      </w:r>
      <w:r w:rsidRPr="00456038">
        <w:rPr>
          <w:rStyle w:val="StyleUnderline"/>
          <w:highlight w:val="cyan"/>
        </w:rPr>
        <w:t xml:space="preserve"> to engage in </w:t>
      </w:r>
      <w:r w:rsidRPr="00456038">
        <w:rPr>
          <w:rStyle w:val="Emphasis"/>
          <w:highlight w:val="cyan"/>
        </w:rPr>
        <w:t>selective prosecution</w:t>
      </w:r>
      <w:r w:rsidRPr="00456038">
        <w:rPr>
          <w:rStyle w:val="StyleUnderline"/>
          <w:highlight w:val="cyan"/>
        </w:rPr>
        <w:t xml:space="preserve"> based on </w:t>
      </w:r>
      <w:r w:rsidRPr="00456038">
        <w:rPr>
          <w:rStyle w:val="Emphasis"/>
          <w:highlight w:val="cyan"/>
        </w:rPr>
        <w:t>obscure</w:t>
      </w:r>
      <w:r w:rsidRPr="00255B21">
        <w:rPr>
          <w:rStyle w:val="Emphasis"/>
        </w:rPr>
        <w:t xml:space="preserve"> administrative </w:t>
      </w:r>
      <w:r w:rsidRPr="00456038">
        <w:rPr>
          <w:rStyle w:val="Emphasis"/>
          <w:highlight w:val="cyan"/>
        </w:rPr>
        <w:t>pronouncements</w:t>
      </w:r>
      <w:r w:rsidRPr="00456038">
        <w:rPr>
          <w:rStyle w:val="StyleUnderline"/>
          <w:highlight w:val="cyan"/>
        </w:rPr>
        <w:t>.</w:t>
      </w:r>
      <w:r w:rsidRPr="00255B21">
        <w:rPr>
          <w:rStyle w:val="StyleUnderline"/>
        </w:rPr>
        <w:t xml:space="preserve"> “[W]hen </w:t>
      </w:r>
      <w:r w:rsidRPr="00255B21">
        <w:rPr>
          <w:rStyle w:val="Emphasis"/>
        </w:rPr>
        <w:t>the criminal code</w:t>
      </w:r>
      <w:r w:rsidRPr="00255B21">
        <w:rPr>
          <w:rStyle w:val="StyleUnderline"/>
        </w:rPr>
        <w:t xml:space="preserve"> comes to cover </w:t>
      </w:r>
      <w:r w:rsidRPr="00255B21">
        <w:rPr>
          <w:rStyle w:val="Emphasis"/>
        </w:rPr>
        <w:t>so many fac</w:t>
      </w:r>
      <w:r w:rsidRPr="009628BE">
        <w:rPr>
          <w:rStyle w:val="Emphasis"/>
        </w:rPr>
        <w:t>ets</w:t>
      </w:r>
      <w:r w:rsidRPr="009628BE">
        <w:rPr>
          <w:rStyle w:val="StyleUnderline"/>
        </w:rPr>
        <w:t xml:space="preserve"> of daily life, … prosecutors can almost choose their targets with </w:t>
      </w:r>
      <w:r w:rsidRPr="009628BE">
        <w:rPr>
          <w:rStyle w:val="Emphasis"/>
        </w:rPr>
        <w:t>impunity</w:t>
      </w:r>
      <w:r w:rsidRPr="009628BE">
        <w:rPr>
          <w:sz w:val="16"/>
        </w:rPr>
        <w:t xml:space="preserve">,” Neil M. </w:t>
      </w:r>
      <w:r w:rsidRPr="009628BE">
        <w:rPr>
          <w:rStyle w:val="StyleUnderline"/>
        </w:rPr>
        <w:t>Gorsuch, Law’s Irony</w:t>
      </w:r>
      <w:r w:rsidRPr="009628BE">
        <w:rPr>
          <w:sz w:val="16"/>
        </w:rPr>
        <w:t xml:space="preserve">, 37 Harv. J.L. &amp; Pub. Pol’y 743, 748 (2014), </w:t>
      </w:r>
      <w:r w:rsidRPr="009628BE">
        <w:rPr>
          <w:rStyle w:val="StyleUnderline"/>
        </w:rPr>
        <w:t xml:space="preserve">a problem </w:t>
      </w:r>
      <w:r w:rsidRPr="009628BE">
        <w:rPr>
          <w:rStyle w:val="Emphasis"/>
        </w:rPr>
        <w:t>compounded</w:t>
      </w:r>
      <w:r w:rsidRPr="009628BE">
        <w:rPr>
          <w:rStyle w:val="StyleUnderline"/>
        </w:rPr>
        <w:t xml:space="preserve"> when </w:t>
      </w:r>
      <w:r w:rsidRPr="009628BE">
        <w:rPr>
          <w:rStyle w:val="Emphasis"/>
        </w:rPr>
        <w:t>Chevron deference</w:t>
      </w:r>
      <w:r w:rsidRPr="009628BE">
        <w:rPr>
          <w:rStyle w:val="StyleUnderline"/>
        </w:rPr>
        <w:t xml:space="preserve"> is afforded to the</w:t>
      </w:r>
      <w:r w:rsidRPr="00255B21">
        <w:rPr>
          <w:rStyle w:val="StyleUnderline"/>
        </w:rPr>
        <w:t xml:space="preserve"> government’s interpretations of </w:t>
      </w:r>
      <w:r w:rsidRPr="00255B21">
        <w:rPr>
          <w:rStyle w:val="Emphasis"/>
        </w:rPr>
        <w:t>expansive hybrid laws</w:t>
      </w:r>
      <w:r w:rsidRPr="00255B21">
        <w:rPr>
          <w:rStyle w:val="StyleUnderline"/>
        </w:rPr>
        <w:t xml:space="preserve">. </w:t>
      </w:r>
      <w:r w:rsidRPr="00456038">
        <w:rPr>
          <w:rStyle w:val="StyleUnderline"/>
          <w:highlight w:val="cyan"/>
        </w:rPr>
        <w:t xml:space="preserve">Individuals </w:t>
      </w:r>
      <w:r w:rsidRPr="00456038">
        <w:rPr>
          <w:rStyle w:val="Emphasis"/>
          <w:highlight w:val="cyan"/>
        </w:rPr>
        <w:t>disfavored</w:t>
      </w:r>
      <w:r w:rsidRPr="00456038">
        <w:rPr>
          <w:rStyle w:val="StyleUnderline"/>
          <w:highlight w:val="cyan"/>
        </w:rPr>
        <w:t xml:space="preserve"> by the government</w:t>
      </w:r>
      <w:r w:rsidRPr="00255B21">
        <w:rPr>
          <w:rStyle w:val="StyleUnderline"/>
        </w:rPr>
        <w:t xml:space="preserve"> for one reason or another </w:t>
      </w:r>
      <w:r w:rsidRPr="00456038">
        <w:rPr>
          <w:rStyle w:val="StyleUnderline"/>
          <w:highlight w:val="cyan"/>
        </w:rPr>
        <w:t>could</w:t>
      </w:r>
      <w:r w:rsidRPr="00255B21">
        <w:rPr>
          <w:rStyle w:val="StyleUnderline"/>
        </w:rPr>
        <w:t xml:space="preserve"> well </w:t>
      </w:r>
      <w:r w:rsidRPr="00456038">
        <w:rPr>
          <w:rStyle w:val="StyleUnderline"/>
          <w:highlight w:val="cyan"/>
        </w:rPr>
        <w:t>be</w:t>
      </w:r>
      <w:r w:rsidRPr="00255B21">
        <w:rPr>
          <w:rStyle w:val="StyleUnderline"/>
        </w:rPr>
        <w:t xml:space="preserve">come </w:t>
      </w:r>
      <w:r w:rsidRPr="00456038">
        <w:rPr>
          <w:rStyle w:val="Emphasis"/>
          <w:highlight w:val="cyan"/>
        </w:rPr>
        <w:t>the target of prosecutions</w:t>
      </w:r>
      <w:r w:rsidRPr="00456038">
        <w:rPr>
          <w:rStyle w:val="StyleUnderline"/>
          <w:highlight w:val="cyan"/>
        </w:rPr>
        <w:t xml:space="preserve"> based on </w:t>
      </w:r>
      <w:r w:rsidRPr="00456038">
        <w:rPr>
          <w:rStyle w:val="Emphasis"/>
          <w:highlight w:val="cyan"/>
        </w:rPr>
        <w:t>ambiguous statutes</w:t>
      </w:r>
      <w:r w:rsidRPr="001E0253">
        <w:rPr>
          <w:sz w:val="16"/>
        </w:rPr>
        <w:t>. See WILLIAM J. STUNTZ, THE COLLAPSE OF AMERICAN CRIMINAL JUSTICE 2-5 (2011).</w:t>
      </w:r>
    </w:p>
    <w:p w14:paraId="09E803C1" w14:textId="77777777" w:rsidR="00205B1F" w:rsidRPr="001E0253" w:rsidRDefault="00205B1F" w:rsidP="00624DAC">
      <w:pPr>
        <w:rPr>
          <w:sz w:val="16"/>
        </w:rPr>
      </w:pPr>
      <w:r w:rsidRPr="00456038">
        <w:rPr>
          <w:rStyle w:val="StyleUnderline"/>
          <w:highlight w:val="cyan"/>
        </w:rPr>
        <w:t>Applying</w:t>
      </w:r>
      <w:r w:rsidRPr="00255B21">
        <w:rPr>
          <w:rStyle w:val="StyleUnderline"/>
        </w:rPr>
        <w:t xml:space="preserve"> </w:t>
      </w:r>
      <w:r w:rsidRPr="009628BE">
        <w:rPr>
          <w:rStyle w:val="StyleUnderline"/>
        </w:rPr>
        <w:t>the</w:t>
      </w:r>
      <w:r w:rsidRPr="00255B21">
        <w:rPr>
          <w:rStyle w:val="StyleUnderline"/>
        </w:rPr>
        <w:t xml:space="preserve"> rule of </w:t>
      </w:r>
      <w:r w:rsidRPr="00456038">
        <w:rPr>
          <w:rStyle w:val="StyleUnderline"/>
          <w:highlight w:val="cyan"/>
        </w:rPr>
        <w:t>lenity</w:t>
      </w:r>
      <w:r w:rsidRPr="00255B21">
        <w:rPr>
          <w:rStyle w:val="StyleUnderline"/>
        </w:rPr>
        <w:t xml:space="preserve"> rather than Chevron deference</w:t>
      </w:r>
      <w:r w:rsidRPr="001E0253">
        <w:rPr>
          <w:sz w:val="16"/>
        </w:rPr>
        <w:t xml:space="preserve"> also </w:t>
      </w:r>
      <w:r w:rsidRPr="00456038">
        <w:rPr>
          <w:rStyle w:val="StyleUnderline"/>
          <w:highlight w:val="cyan"/>
        </w:rPr>
        <w:t>accords with</w:t>
      </w:r>
      <w:r w:rsidRPr="001E0253">
        <w:rPr>
          <w:sz w:val="16"/>
        </w:rPr>
        <w:t xml:space="preserve"> another main purpose of the rule: </w:t>
      </w:r>
      <w:r w:rsidRPr="00255B21">
        <w:rPr>
          <w:rStyle w:val="Emphasis"/>
        </w:rPr>
        <w:t xml:space="preserve">protection of the </w:t>
      </w:r>
      <w:r w:rsidRPr="00456038">
        <w:rPr>
          <w:rStyle w:val="Emphasis"/>
          <w:highlight w:val="cyan"/>
        </w:rPr>
        <w:t>s</w:t>
      </w:r>
      <w:r w:rsidRPr="00255B21">
        <w:rPr>
          <w:rStyle w:val="Emphasis"/>
        </w:rPr>
        <w:t xml:space="preserve">eparation </w:t>
      </w:r>
      <w:r w:rsidRPr="00456038">
        <w:rPr>
          <w:rStyle w:val="Emphasis"/>
          <w:highlight w:val="cyan"/>
        </w:rPr>
        <w:t>o</w:t>
      </w:r>
      <w:r w:rsidRPr="00255B21">
        <w:rPr>
          <w:rStyle w:val="Emphasis"/>
        </w:rPr>
        <w:t xml:space="preserve">f </w:t>
      </w:r>
      <w:r w:rsidRPr="00456038">
        <w:rPr>
          <w:rStyle w:val="Emphasis"/>
          <w:highlight w:val="cyan"/>
        </w:rPr>
        <w:t>p</w:t>
      </w:r>
      <w:r w:rsidRPr="00255B21">
        <w:rPr>
          <w:rStyle w:val="Emphasis"/>
        </w:rPr>
        <w:t>owers</w:t>
      </w:r>
      <w:r w:rsidRPr="00255B21">
        <w:rPr>
          <w:rStyle w:val="StyleUnderline"/>
        </w:rPr>
        <w:t>. This Court</w:t>
      </w:r>
      <w:r w:rsidRPr="001E0253">
        <w:rPr>
          <w:sz w:val="16"/>
        </w:rPr>
        <w:t xml:space="preserve"> has </w:t>
      </w:r>
      <w:r w:rsidRPr="00255B21">
        <w:rPr>
          <w:rStyle w:val="StyleUnderline"/>
        </w:rPr>
        <w:t>recognized</w:t>
      </w:r>
      <w:r w:rsidRPr="001E0253">
        <w:rPr>
          <w:sz w:val="16"/>
        </w:rPr>
        <w:t xml:space="preserve"> that </w:t>
      </w:r>
      <w:r w:rsidRPr="00456038">
        <w:rPr>
          <w:rStyle w:val="StyleUnderline"/>
          <w:highlight w:val="cyan"/>
        </w:rPr>
        <w:t>“because of</w:t>
      </w:r>
      <w:r w:rsidRPr="00255B21">
        <w:rPr>
          <w:rStyle w:val="StyleUnderline"/>
        </w:rPr>
        <w:t xml:space="preserve"> the </w:t>
      </w:r>
      <w:r w:rsidRPr="00456038">
        <w:rPr>
          <w:rStyle w:val="Emphasis"/>
          <w:highlight w:val="cyan"/>
        </w:rPr>
        <w:t>seriousness</w:t>
      </w:r>
      <w:r w:rsidRPr="00255B21">
        <w:rPr>
          <w:rStyle w:val="StyleUnderline"/>
        </w:rPr>
        <w:t xml:space="preserve"> of criminal penalties</w:t>
      </w:r>
      <w:r w:rsidRPr="001E0253">
        <w:rPr>
          <w:sz w:val="16"/>
        </w:rPr>
        <w:t xml:space="preserve">, and because criminal punishment usually represents the moral condemnation of the community, </w:t>
      </w:r>
      <w:r w:rsidRPr="00456038">
        <w:rPr>
          <w:rStyle w:val="StyleUnderline"/>
          <w:highlight w:val="cyan"/>
        </w:rPr>
        <w:t>legislatures</w:t>
      </w:r>
      <w:r w:rsidRPr="001E0253">
        <w:rPr>
          <w:sz w:val="16"/>
        </w:rPr>
        <w:t xml:space="preserve"> and not courts </w:t>
      </w:r>
      <w:r w:rsidRPr="00456038">
        <w:rPr>
          <w:rStyle w:val="StyleUnderline"/>
          <w:highlight w:val="cyan"/>
        </w:rPr>
        <w:t>should define criminal activity.”</w:t>
      </w:r>
      <w:r w:rsidRPr="001E0253">
        <w:rPr>
          <w:sz w:val="16"/>
        </w:rPr>
        <w:t xml:space="preserve"> Bass, 404 U.S. at 348.</w:t>
      </w:r>
    </w:p>
    <w:p w14:paraId="24E4BFCF" w14:textId="77777777" w:rsidR="00205B1F" w:rsidRPr="001E0253" w:rsidRDefault="00205B1F" w:rsidP="00624DAC">
      <w:pPr>
        <w:rPr>
          <w:sz w:val="16"/>
        </w:rPr>
      </w:pPr>
      <w:r w:rsidRPr="00456038">
        <w:rPr>
          <w:rStyle w:val="Emphasis"/>
          <w:highlight w:val="cyan"/>
        </w:rPr>
        <w:t>That</w:t>
      </w:r>
      <w:r w:rsidRPr="00255B21">
        <w:rPr>
          <w:rStyle w:val="Emphasis"/>
        </w:rPr>
        <w:t xml:space="preserve"> principle</w:t>
      </w:r>
      <w:r w:rsidRPr="00255B21">
        <w:rPr>
          <w:rStyle w:val="StyleUnderline"/>
        </w:rPr>
        <w:t xml:space="preserve"> </w:t>
      </w:r>
      <w:r w:rsidRPr="00456038">
        <w:rPr>
          <w:rStyle w:val="StyleUnderline"/>
          <w:highlight w:val="cyan"/>
        </w:rPr>
        <w:t xml:space="preserve">would ring </w:t>
      </w:r>
      <w:r w:rsidRPr="00456038">
        <w:rPr>
          <w:rStyle w:val="Emphasis"/>
          <w:highlight w:val="cyan"/>
        </w:rPr>
        <w:t>hollow</w:t>
      </w:r>
      <w:r w:rsidRPr="00456038">
        <w:rPr>
          <w:rStyle w:val="StyleUnderline"/>
          <w:highlight w:val="cyan"/>
        </w:rPr>
        <w:t xml:space="preserve"> if courts deferred to </w:t>
      </w:r>
      <w:r w:rsidRPr="00456038">
        <w:rPr>
          <w:rStyle w:val="Emphasis"/>
          <w:highlight w:val="cyan"/>
        </w:rPr>
        <w:t>agency</w:t>
      </w:r>
      <w:r w:rsidRPr="00255B21">
        <w:rPr>
          <w:rStyle w:val="Emphasis"/>
        </w:rPr>
        <w:t xml:space="preserve"> </w:t>
      </w:r>
      <w:r w:rsidRPr="00456038">
        <w:rPr>
          <w:rStyle w:val="Emphasis"/>
          <w:highlight w:val="cyan"/>
        </w:rPr>
        <w:t>interpretations of hybrid statutes</w:t>
      </w:r>
      <w:r w:rsidRPr="00456038">
        <w:rPr>
          <w:rStyle w:val="StyleUnderline"/>
          <w:highlight w:val="cyan"/>
        </w:rPr>
        <w:t>. Doing so would give</w:t>
      </w:r>
      <w:r w:rsidRPr="00255B21">
        <w:rPr>
          <w:rStyle w:val="StyleUnderline"/>
        </w:rPr>
        <w:t xml:space="preserve"> </w:t>
      </w:r>
      <w:r w:rsidRPr="00255B21">
        <w:rPr>
          <w:rStyle w:val="Emphasis"/>
        </w:rPr>
        <w:t xml:space="preserve">Executive </w:t>
      </w:r>
      <w:r w:rsidRPr="009628BE">
        <w:rPr>
          <w:rStyle w:val="Emphasis"/>
        </w:rPr>
        <w:t xml:space="preserve">Branch </w:t>
      </w:r>
      <w:r w:rsidRPr="00456038">
        <w:rPr>
          <w:rStyle w:val="Emphasis"/>
          <w:highlight w:val="cyan"/>
        </w:rPr>
        <w:t>officials</w:t>
      </w:r>
      <w:r w:rsidRPr="00456038">
        <w:rPr>
          <w:rStyle w:val="StyleUnderline"/>
          <w:highlight w:val="cyan"/>
        </w:rPr>
        <w:t xml:space="preserve"> the power to</w:t>
      </w:r>
      <w:r w:rsidRPr="00255B21">
        <w:rPr>
          <w:rStyle w:val="StyleUnderline"/>
        </w:rPr>
        <w:t xml:space="preserve"> “in effect </w:t>
      </w:r>
      <w:r w:rsidRPr="00456038">
        <w:rPr>
          <w:rStyle w:val="Emphasis"/>
          <w:highlight w:val="cyan"/>
        </w:rPr>
        <w:t>create</w:t>
      </w:r>
      <w:r w:rsidRPr="00255B21">
        <w:rPr>
          <w:rStyle w:val="Emphasis"/>
        </w:rPr>
        <w:t xml:space="preserve"> (and uncreate)</w:t>
      </w:r>
      <w:r w:rsidRPr="00255B21">
        <w:rPr>
          <w:rStyle w:val="StyleUnderline"/>
        </w:rPr>
        <w:t xml:space="preserve"> new </w:t>
      </w:r>
      <w:r w:rsidRPr="00456038">
        <w:rPr>
          <w:rStyle w:val="StyleUnderline"/>
          <w:highlight w:val="cyan"/>
        </w:rPr>
        <w:t>crimes at will</w:t>
      </w:r>
      <w:r w:rsidRPr="001E0253">
        <w:rPr>
          <w:sz w:val="16"/>
        </w:rPr>
        <w:t xml:space="preserve">, so long as they do not roam beyond ambiguities </w:t>
      </w:r>
      <w:r w:rsidRPr="001E0253">
        <w:rPr>
          <w:rStyle w:val="StyleUnderline"/>
        </w:rPr>
        <w:t>that the laws contain.”</w:t>
      </w:r>
      <w:r w:rsidRPr="001E0253">
        <w:rPr>
          <w:sz w:val="16"/>
        </w:rPr>
        <w:t xml:space="preserve"> Whitman v. United States, 135 S. Ct. 352, 353 (2014) (Scalia, J., statement respecting denial of certiorari); see also Carter, 736 F.3d at 731 (Sutton, J., concurring) (noting that </w:t>
      </w:r>
      <w:r w:rsidRPr="00456038">
        <w:rPr>
          <w:rStyle w:val="StyleUnderline"/>
          <w:highlight w:val="cyan"/>
        </w:rPr>
        <w:t>deference would</w:t>
      </w:r>
      <w:r w:rsidRPr="001E0253">
        <w:rPr>
          <w:rStyle w:val="StyleUnderline"/>
        </w:rPr>
        <w:t xml:space="preserve"> “giv[e] unelected</w:t>
      </w:r>
      <w:r w:rsidRPr="001E0253">
        <w:rPr>
          <w:sz w:val="16"/>
        </w:rPr>
        <w:t xml:space="preserve"> commissioners and directors and </w:t>
      </w:r>
      <w:r w:rsidRPr="00456038">
        <w:rPr>
          <w:rStyle w:val="StyleUnderline"/>
          <w:highlight w:val="cyan"/>
        </w:rPr>
        <w:t xml:space="preserve">administrators </w:t>
      </w:r>
      <w:r w:rsidRPr="00456038">
        <w:rPr>
          <w:rStyle w:val="Emphasis"/>
          <w:highlight w:val="cyan"/>
        </w:rPr>
        <w:t>carte blanche</w:t>
      </w:r>
      <w:r w:rsidRPr="00456038">
        <w:rPr>
          <w:rStyle w:val="StyleUnderline"/>
          <w:highlight w:val="cyan"/>
        </w:rPr>
        <w:t xml:space="preserve"> to decide when</w:t>
      </w:r>
      <w:r w:rsidRPr="001E0253">
        <w:rPr>
          <w:rStyle w:val="StyleUnderline"/>
        </w:rPr>
        <w:t xml:space="preserve"> an ambiguous </w:t>
      </w:r>
      <w:r w:rsidRPr="00456038">
        <w:rPr>
          <w:rStyle w:val="StyleUnderline"/>
          <w:highlight w:val="cyan"/>
        </w:rPr>
        <w:t xml:space="preserve">statute justifies sending people to </w:t>
      </w:r>
      <w:r w:rsidRPr="00456038">
        <w:rPr>
          <w:rStyle w:val="Emphasis"/>
          <w:highlight w:val="cyan"/>
        </w:rPr>
        <w:t>prison</w:t>
      </w:r>
      <w:r w:rsidRPr="00456038">
        <w:rPr>
          <w:rStyle w:val="StyleUnderline"/>
          <w:highlight w:val="cyan"/>
        </w:rPr>
        <w:t>”). It would</w:t>
      </w:r>
      <w:r w:rsidRPr="001E0253">
        <w:rPr>
          <w:sz w:val="16"/>
        </w:rPr>
        <w:t xml:space="preserve"> </w:t>
      </w:r>
      <w:r w:rsidRPr="009628BE">
        <w:rPr>
          <w:sz w:val="16"/>
        </w:rPr>
        <w:t xml:space="preserve">also </w:t>
      </w:r>
      <w:r w:rsidRPr="00456038">
        <w:rPr>
          <w:rStyle w:val="StyleUnderline"/>
          <w:highlight w:val="cyan"/>
        </w:rPr>
        <w:t>“turn</w:t>
      </w:r>
      <w:r w:rsidRPr="001E0253">
        <w:rPr>
          <w:rStyle w:val="StyleUnderline"/>
        </w:rPr>
        <w:t xml:space="preserve"> </w:t>
      </w:r>
      <w:r w:rsidRPr="001E0253">
        <w:rPr>
          <w:rStyle w:val="Emphasis"/>
        </w:rPr>
        <w:t xml:space="preserve">the normal </w:t>
      </w:r>
      <w:r w:rsidRPr="009628BE">
        <w:rPr>
          <w:rStyle w:val="Emphasis"/>
        </w:rPr>
        <w:t xml:space="preserve">construction of </w:t>
      </w:r>
      <w:r w:rsidRPr="00456038">
        <w:rPr>
          <w:rStyle w:val="Emphasis"/>
          <w:highlight w:val="cyan"/>
        </w:rPr>
        <w:t>criminal statutes upsidedown</w:t>
      </w:r>
      <w:r w:rsidRPr="00456038">
        <w:rPr>
          <w:rStyle w:val="StyleUnderline"/>
          <w:highlight w:val="cyan"/>
        </w:rPr>
        <w:t>, replacing</w:t>
      </w:r>
      <w:r w:rsidRPr="001E0253">
        <w:rPr>
          <w:rStyle w:val="StyleUnderline"/>
        </w:rPr>
        <w:t xml:space="preserve"> the doctrine of </w:t>
      </w:r>
      <w:r w:rsidRPr="00456038">
        <w:rPr>
          <w:rStyle w:val="StyleUnderline"/>
          <w:highlight w:val="cyan"/>
        </w:rPr>
        <w:t>lenity with</w:t>
      </w:r>
      <w:r w:rsidRPr="001E0253">
        <w:rPr>
          <w:rStyle w:val="StyleUnderline"/>
        </w:rPr>
        <w:t xml:space="preserve"> </w:t>
      </w:r>
      <w:r w:rsidRPr="001E0253">
        <w:rPr>
          <w:rStyle w:val="Emphasis"/>
        </w:rPr>
        <w:t xml:space="preserve">a doctrine of </w:t>
      </w:r>
      <w:r w:rsidRPr="00456038">
        <w:rPr>
          <w:rStyle w:val="Emphasis"/>
          <w:highlight w:val="cyan"/>
        </w:rPr>
        <w:t>severity</w:t>
      </w:r>
      <w:r w:rsidRPr="00456038">
        <w:rPr>
          <w:rStyle w:val="StyleUnderline"/>
          <w:highlight w:val="cyan"/>
        </w:rPr>
        <w:t>.”</w:t>
      </w:r>
      <w:r w:rsidRPr="001E0253">
        <w:rPr>
          <w:sz w:val="16"/>
        </w:rPr>
        <w:t xml:space="preserve"> Crandon, 494 U.S. at 178 (Scalia, J., concurring in the judgment).</w:t>
      </w:r>
    </w:p>
    <w:p w14:paraId="769F209E" w14:textId="77777777" w:rsidR="00205B1F" w:rsidRPr="001E0253" w:rsidRDefault="00205B1F" w:rsidP="00624DAC">
      <w:pPr>
        <w:rPr>
          <w:sz w:val="16"/>
        </w:rPr>
      </w:pPr>
      <w:r w:rsidRPr="001E0253">
        <w:rPr>
          <w:sz w:val="16"/>
        </w:rPr>
        <w:t>Indeed, applying Chevron deference rather than the rule of lenity would contravene two related lines of this Court’s precedent pertaining to the separation of powers. For over one hundred years, the Court has consistently explained that the Constitution allows Congress to delegate authority to the Executive to define crimes only when it speaks clearly. See, e.g., United States v. Grimaud, 220 U.S. 506 (1911); United States v. Eaton, 144 U.S. 677, 688 (1892). While unclear delegation by Congress is no obstacle to agency rulemaking (or to Chevron deference) in the ordinary civil context, see City of Arlington v. FCC, 133 S. Ct. 1863, 1874-75 (2013), the clear-statement rule “compels Congress to legislate deliberately and explicitly before departing from the Constitution’s traditional distribution of authority” in the criminal law context. Carter, 736 F.3d at 733 (Sutton, J., concurring). Deferring to agency interpretations of ambiguous statutes with criminal applications would impermissibly allow agencies to make conduct criminal without a clear statement from Congress giving the agency that authority.</w:t>
      </w:r>
    </w:p>
    <w:p w14:paraId="51B344FC" w14:textId="77777777" w:rsidR="00205B1F" w:rsidRDefault="00205B1F" w:rsidP="00624DAC">
      <w:pPr>
        <w:rPr>
          <w:sz w:val="16"/>
        </w:rPr>
      </w:pPr>
      <w:r w:rsidRPr="001E0253">
        <w:rPr>
          <w:sz w:val="16"/>
        </w:rPr>
        <w:t xml:space="preserve">Similarly, while delegation to agencies requires only an “‘intelligible principle’” in the ordinary civil context, Whitman v. Am. Trucking Ass’ns, 531 U.S. 457, 472 (2001), this Court has suggested that the Constitution may require “something more than an ‘intelligible principle’” when it comes to a delegation of authority to criminalize conduct—something that “meaningfully constrains” the Executive may be needed. Touby v. United States, 500 U.S. 160, 165-66 (1991); Yakus v. United States, 321 U.S. 414, 423-27 (1944). But </w:t>
      </w:r>
      <w:r w:rsidRPr="001E0253">
        <w:rPr>
          <w:rStyle w:val="StyleUnderline"/>
        </w:rPr>
        <w:t>under the Sixth Circuit’s approach</w:t>
      </w:r>
      <w:r w:rsidRPr="001E0253">
        <w:rPr>
          <w:sz w:val="16"/>
        </w:rPr>
        <w:t xml:space="preserve"> here, </w:t>
      </w:r>
      <w:r w:rsidRPr="001E0253">
        <w:rPr>
          <w:rStyle w:val="StyleUnderline"/>
        </w:rPr>
        <w:t xml:space="preserve">“an agency could fill a gap in a criminal statute </w:t>
      </w:r>
      <w:r w:rsidRPr="001E0253">
        <w:rPr>
          <w:rStyle w:val="Emphasis"/>
        </w:rPr>
        <w:t>even where</w:t>
      </w:r>
      <w:r w:rsidRPr="001E0253">
        <w:rPr>
          <w:rStyle w:val="StyleUnderline"/>
        </w:rPr>
        <w:t xml:space="preserve"> Congress provides </w:t>
      </w:r>
      <w:r w:rsidRPr="001E0253">
        <w:rPr>
          <w:rStyle w:val="Emphasis"/>
        </w:rPr>
        <w:t>no specific guidance</w:t>
      </w:r>
      <w:r w:rsidRPr="001E0253">
        <w:rPr>
          <w:rStyle w:val="StyleUnderline"/>
        </w:rPr>
        <w:t xml:space="preserve"> about how to fill it.”</w:t>
      </w:r>
      <w:r w:rsidRPr="001E0253">
        <w:rPr>
          <w:sz w:val="16"/>
        </w:rPr>
        <w:t xml:space="preserve"> See Carter, 736 F.3d at 734 (Sutton, J., concurring).</w:t>
      </w:r>
    </w:p>
    <w:p w14:paraId="0BAA80CB" w14:textId="5070279F" w:rsidR="00331867" w:rsidRPr="00331867" w:rsidRDefault="00331867" w:rsidP="00331867">
      <w:pPr>
        <w:pStyle w:val="Heading4"/>
      </w:pPr>
      <w:r>
        <w:t xml:space="preserve">It's </w:t>
      </w:r>
      <w:r>
        <w:rPr>
          <w:u w:val="single"/>
        </w:rPr>
        <w:t>structural</w:t>
      </w:r>
      <w:r>
        <w:t xml:space="preserve"> – the </w:t>
      </w:r>
      <w:r>
        <w:rPr>
          <w:u w:val="single"/>
        </w:rPr>
        <w:t>accumulation</w:t>
      </w:r>
      <w:r>
        <w:t xml:space="preserve"> of power in the executive </w:t>
      </w:r>
      <w:r w:rsidR="00054AEB">
        <w:t>is the problem</w:t>
      </w:r>
      <w:r>
        <w:t>.</w:t>
      </w:r>
    </w:p>
    <w:p w14:paraId="271B9E66" w14:textId="77777777" w:rsidR="00331867" w:rsidRPr="0076550C" w:rsidRDefault="00331867" w:rsidP="00331867">
      <w:r w:rsidRPr="0076550C">
        <w:rPr>
          <w:rStyle w:val="Style13ptBold"/>
        </w:rPr>
        <w:t>Masaari &amp; Marshall 16</w:t>
      </w:r>
      <w:r>
        <w:t xml:space="preserve"> – Patrick Massari, JD at Georgetown University, Assistant Vice President at the Cause of Action Institute. Erica Marshall, JD at George Mason University, Counsel at the Cause of Action Institute. [Brief of the Cause of Action Institute for Appellant Richard Weed, United States v. Richard Weed, Case No. 16-2120, 12-9-16, http://causeofaction.org/wp-content/uploads/2016/12/2016-12-09-Weed-Amicus-Curiae-Brief.pdf]//BPS</w:t>
      </w:r>
    </w:p>
    <w:p w14:paraId="699880CD" w14:textId="77777777" w:rsidR="00331867" w:rsidRPr="00C862CF" w:rsidRDefault="00331867" w:rsidP="00331867">
      <w:pPr>
        <w:rPr>
          <w:sz w:val="16"/>
        </w:rPr>
      </w:pPr>
      <w:r w:rsidRPr="00C862CF">
        <w:rPr>
          <w:sz w:val="16"/>
        </w:rPr>
        <w:t>II. Any Ambiguity in the Language of 15 U.S.C. § 77c Must Be Resolved in Favor of Mr. Weed.</w:t>
      </w:r>
    </w:p>
    <w:p w14:paraId="1A9218D5" w14:textId="77777777" w:rsidR="00331867" w:rsidRPr="00C862CF" w:rsidRDefault="00331867" w:rsidP="00331867">
      <w:pPr>
        <w:rPr>
          <w:sz w:val="16"/>
        </w:rPr>
      </w:pPr>
      <w:r w:rsidRPr="00C862CF">
        <w:rPr>
          <w:sz w:val="16"/>
        </w:rPr>
        <w:t xml:space="preserve">The lower court’s failure to apply the rule of lenity in this case resulted in a four-year prison sentence for Mr. Weed. Even assuming, arguendo, that section 3(a)(9) is in some way ambiguous (which it is not), the District Court’s failure to apply the rule of lenity in this criminal case was error. Below, the District Court delved into the legislative history of the securities laws—a construction analysis only proper if 15 U.S.C. § 77c was found to be ambiguous. </w:t>
      </w:r>
      <w:r w:rsidRPr="00C862CF">
        <w:rPr>
          <w:rStyle w:val="StyleUnderline"/>
        </w:rPr>
        <w:t xml:space="preserve">The rule of </w:t>
      </w:r>
      <w:r w:rsidRPr="00456038">
        <w:rPr>
          <w:rStyle w:val="StyleUnderline"/>
          <w:highlight w:val="cyan"/>
        </w:rPr>
        <w:t>lenity requires</w:t>
      </w:r>
      <w:r w:rsidRPr="00C862CF">
        <w:rPr>
          <w:rStyle w:val="StyleUnderline"/>
        </w:rPr>
        <w:t xml:space="preserve"> </w:t>
      </w:r>
      <w:r w:rsidRPr="00C862CF">
        <w:rPr>
          <w:rStyle w:val="Emphasis"/>
        </w:rPr>
        <w:t xml:space="preserve">any </w:t>
      </w:r>
      <w:r w:rsidRPr="00456038">
        <w:rPr>
          <w:rStyle w:val="Emphasis"/>
          <w:highlight w:val="cyan"/>
        </w:rPr>
        <w:t>ambiguity</w:t>
      </w:r>
      <w:r w:rsidRPr="00456038">
        <w:rPr>
          <w:rStyle w:val="StyleUnderline"/>
          <w:highlight w:val="cyan"/>
        </w:rPr>
        <w:t xml:space="preserve"> in</w:t>
      </w:r>
      <w:r w:rsidRPr="00C862CF">
        <w:rPr>
          <w:rStyle w:val="StyleUnderline"/>
        </w:rPr>
        <w:t xml:space="preserve"> </w:t>
      </w:r>
      <w:r w:rsidRPr="00C862CF">
        <w:rPr>
          <w:rStyle w:val="Emphasis"/>
        </w:rPr>
        <w:t xml:space="preserve">a </w:t>
      </w:r>
      <w:r w:rsidRPr="00456038">
        <w:rPr>
          <w:rStyle w:val="Emphasis"/>
          <w:highlight w:val="cyan"/>
        </w:rPr>
        <w:t>criminal law</w:t>
      </w:r>
      <w:r w:rsidRPr="00456038">
        <w:rPr>
          <w:rStyle w:val="StyleUnderline"/>
          <w:highlight w:val="cyan"/>
        </w:rPr>
        <w:t xml:space="preserve"> be resolved in favor of the defendant</w:t>
      </w:r>
      <w:r w:rsidRPr="00C862CF">
        <w:rPr>
          <w:sz w:val="16"/>
        </w:rPr>
        <w:t xml:space="preserve">. </w:t>
      </w:r>
    </w:p>
    <w:p w14:paraId="71CF6D7B" w14:textId="77777777" w:rsidR="00331867" w:rsidRPr="00C862CF" w:rsidRDefault="00331867" w:rsidP="00331867">
      <w:pPr>
        <w:rPr>
          <w:sz w:val="16"/>
        </w:rPr>
      </w:pPr>
      <w:r w:rsidRPr="00C862CF">
        <w:rPr>
          <w:sz w:val="16"/>
        </w:rPr>
        <w:t xml:space="preserve">A. </w:t>
      </w:r>
      <w:r w:rsidRPr="0076550C">
        <w:rPr>
          <w:rStyle w:val="Emphasis"/>
        </w:rPr>
        <w:t>Criminal Statutes</w:t>
      </w:r>
      <w:r w:rsidRPr="0076550C">
        <w:rPr>
          <w:rStyle w:val="StyleUnderline"/>
        </w:rPr>
        <w:t xml:space="preserve"> are for the Courts, not the Government, to Construe</w:t>
      </w:r>
      <w:r w:rsidRPr="00C862CF">
        <w:rPr>
          <w:sz w:val="16"/>
        </w:rPr>
        <w:t>.</w:t>
      </w:r>
    </w:p>
    <w:p w14:paraId="3DA7FA2D" w14:textId="77777777" w:rsidR="00331867" w:rsidRPr="00C862CF" w:rsidRDefault="00331867" w:rsidP="00331867">
      <w:pPr>
        <w:rPr>
          <w:sz w:val="16"/>
        </w:rPr>
      </w:pPr>
      <w:r w:rsidRPr="00C862CF">
        <w:rPr>
          <w:sz w:val="16"/>
        </w:rPr>
        <w:t>American jurisprudence is founded on the seemingly straightforward principle that the Legislative, Executive, and Judicial Branches are three separate entities that must remain equal. Mistretta v. United States, 488 U.S. 361, 381–83 (1989) (</w:t>
      </w:r>
      <w:r w:rsidRPr="0076550C">
        <w:rPr>
          <w:rStyle w:val="StyleUnderline"/>
        </w:rPr>
        <w:t>“</w:t>
      </w:r>
      <w:r w:rsidRPr="0076550C">
        <w:rPr>
          <w:rStyle w:val="Emphasis"/>
        </w:rPr>
        <w:t xml:space="preserve">[T]he greatest </w:t>
      </w:r>
      <w:r w:rsidRPr="00456038">
        <w:rPr>
          <w:rStyle w:val="Emphasis"/>
          <w:highlight w:val="cyan"/>
        </w:rPr>
        <w:t>security</w:t>
      </w:r>
      <w:r w:rsidRPr="00456038">
        <w:rPr>
          <w:rStyle w:val="StyleUnderline"/>
          <w:highlight w:val="cyan"/>
        </w:rPr>
        <w:t xml:space="preserve"> against tyranny—the accumulation of</w:t>
      </w:r>
      <w:r w:rsidRPr="0076550C">
        <w:rPr>
          <w:rStyle w:val="StyleUnderline"/>
        </w:rPr>
        <w:t xml:space="preserve"> </w:t>
      </w:r>
      <w:r w:rsidRPr="0076550C">
        <w:rPr>
          <w:rStyle w:val="Emphasis"/>
        </w:rPr>
        <w:t xml:space="preserve">excessive </w:t>
      </w:r>
      <w:r w:rsidRPr="00456038">
        <w:rPr>
          <w:rStyle w:val="Emphasis"/>
          <w:highlight w:val="cyan"/>
        </w:rPr>
        <w:t>authority</w:t>
      </w:r>
      <w:r w:rsidRPr="00456038">
        <w:rPr>
          <w:rStyle w:val="StyleUnderline"/>
          <w:highlight w:val="cyan"/>
        </w:rPr>
        <w:t xml:space="preserve"> in </w:t>
      </w:r>
      <w:r w:rsidRPr="00456038">
        <w:rPr>
          <w:rStyle w:val="Emphasis"/>
          <w:highlight w:val="cyan"/>
        </w:rPr>
        <w:t>a</w:t>
      </w:r>
      <w:r w:rsidRPr="0076550C">
        <w:rPr>
          <w:rStyle w:val="Emphasis"/>
        </w:rPr>
        <w:t xml:space="preserve"> single </w:t>
      </w:r>
      <w:r w:rsidRPr="00456038">
        <w:rPr>
          <w:rStyle w:val="Emphasis"/>
          <w:highlight w:val="cyan"/>
        </w:rPr>
        <w:t>branch</w:t>
      </w:r>
      <w:r w:rsidRPr="00456038">
        <w:rPr>
          <w:rStyle w:val="StyleUnderline"/>
          <w:highlight w:val="cyan"/>
        </w:rPr>
        <w:t>—lies</w:t>
      </w:r>
      <w:r w:rsidRPr="0076550C">
        <w:rPr>
          <w:rStyle w:val="StyleUnderline"/>
        </w:rPr>
        <w:t xml:space="preserve"> . . . </w:t>
      </w:r>
      <w:r w:rsidRPr="00456038">
        <w:rPr>
          <w:rStyle w:val="StyleUnderline"/>
          <w:highlight w:val="cyan"/>
        </w:rPr>
        <w:t>in</w:t>
      </w:r>
      <w:r w:rsidRPr="0076550C">
        <w:rPr>
          <w:rStyle w:val="StyleUnderline"/>
        </w:rPr>
        <w:t xml:space="preserve"> </w:t>
      </w:r>
      <w:r w:rsidRPr="0076550C">
        <w:rPr>
          <w:rStyle w:val="Emphasis"/>
        </w:rPr>
        <w:t>a carefully crafted system</w:t>
      </w:r>
      <w:r w:rsidRPr="0076550C">
        <w:rPr>
          <w:rStyle w:val="StyleUnderline"/>
        </w:rPr>
        <w:t xml:space="preserve"> of </w:t>
      </w:r>
      <w:r w:rsidRPr="0076550C">
        <w:rPr>
          <w:rStyle w:val="Emphasis"/>
        </w:rPr>
        <w:t xml:space="preserve">checked and </w:t>
      </w:r>
      <w:r w:rsidRPr="00456038">
        <w:rPr>
          <w:rStyle w:val="Emphasis"/>
          <w:highlight w:val="cyan"/>
        </w:rPr>
        <w:t>balanced power</w:t>
      </w:r>
      <w:r w:rsidRPr="0076550C">
        <w:rPr>
          <w:rStyle w:val="StyleUnderline"/>
        </w:rPr>
        <w:t xml:space="preserve"> within each Branch.”). Courts must </w:t>
      </w:r>
      <w:r w:rsidRPr="0076550C">
        <w:rPr>
          <w:rStyle w:val="Emphasis"/>
        </w:rPr>
        <w:t>strike down</w:t>
      </w:r>
      <w:r w:rsidRPr="0076550C">
        <w:rPr>
          <w:rStyle w:val="StyleUnderline"/>
        </w:rPr>
        <w:t xml:space="preserve"> </w:t>
      </w:r>
      <w:r w:rsidRPr="00C862CF">
        <w:rPr>
          <w:sz w:val="16"/>
        </w:rPr>
        <w:t xml:space="preserve">provisions of </w:t>
      </w:r>
      <w:r w:rsidRPr="0076550C">
        <w:rPr>
          <w:rStyle w:val="StyleUnderline"/>
        </w:rPr>
        <w:t xml:space="preserve">law that either “accrete to a single Branch powers </w:t>
      </w:r>
      <w:r w:rsidRPr="0076550C">
        <w:rPr>
          <w:rStyle w:val="Emphasis"/>
        </w:rPr>
        <w:t>more appropriately diffused</w:t>
      </w:r>
      <w:r w:rsidRPr="0076550C">
        <w:rPr>
          <w:rStyle w:val="StyleUnderline"/>
        </w:rPr>
        <w:t xml:space="preserve"> among separate Branches or that undermine the authority and independence of one or another coordinate Branch.”</w:t>
      </w:r>
      <w:r w:rsidRPr="00C862CF">
        <w:rPr>
          <w:sz w:val="16"/>
        </w:rPr>
        <w:t xml:space="preserve"> Id. at 382 (citing The Federalist No. 51, at 349 (James Madison) (J. Cooke ed., 1961)).</w:t>
      </w:r>
    </w:p>
    <w:p w14:paraId="703558CD" w14:textId="77777777" w:rsidR="00331867" w:rsidRPr="00C862CF" w:rsidRDefault="00331867" w:rsidP="00331867">
      <w:pPr>
        <w:rPr>
          <w:sz w:val="16"/>
        </w:rPr>
      </w:pPr>
      <w:r w:rsidRPr="0076550C">
        <w:rPr>
          <w:rStyle w:val="StyleUnderline"/>
        </w:rPr>
        <w:t xml:space="preserve">The doctrine of the </w:t>
      </w:r>
      <w:r w:rsidRPr="00456038">
        <w:rPr>
          <w:rStyle w:val="Emphasis"/>
          <w:highlight w:val="cyan"/>
        </w:rPr>
        <w:t>s</w:t>
      </w:r>
      <w:r w:rsidRPr="0076550C">
        <w:rPr>
          <w:rStyle w:val="Emphasis"/>
        </w:rPr>
        <w:t xml:space="preserve">eparation </w:t>
      </w:r>
      <w:r w:rsidRPr="00456038">
        <w:rPr>
          <w:rStyle w:val="Emphasis"/>
          <w:highlight w:val="cyan"/>
        </w:rPr>
        <w:t>o</w:t>
      </w:r>
      <w:r w:rsidRPr="0076550C">
        <w:rPr>
          <w:rStyle w:val="Emphasis"/>
        </w:rPr>
        <w:t xml:space="preserve">f </w:t>
      </w:r>
      <w:r w:rsidRPr="00456038">
        <w:rPr>
          <w:rStyle w:val="Emphasis"/>
          <w:highlight w:val="cyan"/>
        </w:rPr>
        <w:t>p</w:t>
      </w:r>
      <w:r w:rsidRPr="0076550C">
        <w:rPr>
          <w:rStyle w:val="Emphasis"/>
        </w:rPr>
        <w:t>owers</w:t>
      </w:r>
      <w:r w:rsidRPr="0076550C">
        <w:rPr>
          <w:rStyle w:val="StyleUnderline"/>
        </w:rPr>
        <w:t xml:space="preserve"> is </w:t>
      </w:r>
      <w:r w:rsidRPr="00456038">
        <w:rPr>
          <w:rStyle w:val="StyleUnderline"/>
          <w:highlight w:val="cyan"/>
        </w:rPr>
        <w:t>violated by</w:t>
      </w:r>
      <w:r w:rsidRPr="0076550C">
        <w:rPr>
          <w:rStyle w:val="StyleUnderline"/>
        </w:rPr>
        <w:t xml:space="preserve"> </w:t>
      </w:r>
      <w:r w:rsidRPr="0076550C">
        <w:rPr>
          <w:rStyle w:val="Emphasis"/>
        </w:rPr>
        <w:t xml:space="preserve">undue </w:t>
      </w:r>
      <w:r w:rsidRPr="00456038">
        <w:rPr>
          <w:rStyle w:val="Emphasis"/>
          <w:highlight w:val="cyan"/>
        </w:rPr>
        <w:t>deference</w:t>
      </w:r>
      <w:r w:rsidRPr="00456038">
        <w:rPr>
          <w:rStyle w:val="StyleUnderline"/>
          <w:highlight w:val="cyan"/>
        </w:rPr>
        <w:t xml:space="preserve"> to</w:t>
      </w:r>
      <w:r w:rsidRPr="0076550C">
        <w:rPr>
          <w:rStyle w:val="StyleUnderline"/>
        </w:rPr>
        <w:t xml:space="preserve"> an agency’s </w:t>
      </w:r>
      <w:r w:rsidRPr="0076550C">
        <w:rPr>
          <w:rStyle w:val="Emphasis"/>
        </w:rPr>
        <w:t>erroneous interpretation</w:t>
      </w:r>
      <w:r w:rsidRPr="00C862CF">
        <w:rPr>
          <w:sz w:val="16"/>
        </w:rPr>
        <w:t xml:space="preserve"> </w:t>
      </w:r>
      <w:r w:rsidRPr="0076550C">
        <w:rPr>
          <w:rStyle w:val="StyleUnderline"/>
        </w:rPr>
        <w:t xml:space="preserve">of </w:t>
      </w:r>
      <w:r w:rsidRPr="0076550C">
        <w:rPr>
          <w:rStyle w:val="Emphasis"/>
        </w:rPr>
        <w:t xml:space="preserve">a </w:t>
      </w:r>
      <w:r w:rsidRPr="00456038">
        <w:rPr>
          <w:rStyle w:val="Emphasis"/>
          <w:highlight w:val="cyan"/>
        </w:rPr>
        <w:t>hybrid</w:t>
      </w:r>
      <w:r w:rsidRPr="0076550C">
        <w:rPr>
          <w:rStyle w:val="Emphasis"/>
        </w:rPr>
        <w:t xml:space="preserve"> civil/criminal </w:t>
      </w:r>
      <w:r w:rsidRPr="00456038">
        <w:rPr>
          <w:rStyle w:val="Emphasis"/>
          <w:highlight w:val="cyan"/>
        </w:rPr>
        <w:t>statute</w:t>
      </w:r>
      <w:r w:rsidRPr="00C862CF">
        <w:rPr>
          <w:sz w:val="16"/>
        </w:rPr>
        <w:t xml:space="preserve">. See Crandon, 494 U.S. at 177 (Scalia, J., concurring). </w:t>
      </w:r>
      <w:r w:rsidRPr="0076550C">
        <w:rPr>
          <w:rStyle w:val="Emphasis"/>
        </w:rPr>
        <w:t xml:space="preserve">The </w:t>
      </w:r>
      <w:r w:rsidRPr="00456038">
        <w:rPr>
          <w:rStyle w:val="Emphasis"/>
          <w:highlight w:val="cyan"/>
        </w:rPr>
        <w:t>dangers</w:t>
      </w:r>
      <w:r w:rsidRPr="0076550C">
        <w:rPr>
          <w:rStyle w:val="Emphasis"/>
        </w:rPr>
        <w:t xml:space="preserve"> and instability</w:t>
      </w:r>
      <w:r w:rsidRPr="0076550C">
        <w:rPr>
          <w:rStyle w:val="StyleUnderline"/>
        </w:rPr>
        <w:t xml:space="preserve"> of such a regime are </w:t>
      </w:r>
      <w:r w:rsidRPr="0076550C">
        <w:rPr>
          <w:rStyle w:val="Emphasis"/>
        </w:rPr>
        <w:t xml:space="preserve">readily </w:t>
      </w:r>
      <w:r w:rsidRPr="00456038">
        <w:rPr>
          <w:rStyle w:val="Emphasis"/>
          <w:highlight w:val="cyan"/>
        </w:rPr>
        <w:t>apparent</w:t>
      </w:r>
      <w:r w:rsidRPr="00456038">
        <w:rPr>
          <w:rStyle w:val="StyleUnderline"/>
          <w:highlight w:val="cyan"/>
        </w:rPr>
        <w:t>. If the Executive is</w:t>
      </w:r>
      <w:r w:rsidRPr="0076550C">
        <w:rPr>
          <w:rStyle w:val="StyleUnderline"/>
        </w:rPr>
        <w:t xml:space="preserve"> allowed </w:t>
      </w:r>
      <w:r w:rsidRPr="00456038">
        <w:rPr>
          <w:rStyle w:val="StyleUnderline"/>
          <w:highlight w:val="cyan"/>
        </w:rPr>
        <w:t>to promulgate</w:t>
      </w:r>
      <w:r w:rsidRPr="0076550C">
        <w:rPr>
          <w:rStyle w:val="StyleUnderline"/>
        </w:rPr>
        <w:t xml:space="preserve"> </w:t>
      </w:r>
      <w:r w:rsidRPr="0076550C">
        <w:rPr>
          <w:rStyle w:val="Emphasis"/>
        </w:rPr>
        <w:t xml:space="preserve">criminal </w:t>
      </w:r>
      <w:r w:rsidRPr="00456038">
        <w:rPr>
          <w:rStyle w:val="Emphasis"/>
          <w:highlight w:val="cyan"/>
        </w:rPr>
        <w:t>regulations</w:t>
      </w:r>
      <w:r w:rsidRPr="0076550C">
        <w:rPr>
          <w:rStyle w:val="StyleUnderline"/>
        </w:rPr>
        <w:t xml:space="preserve"> and enforce those regulations</w:t>
      </w:r>
      <w:r w:rsidRPr="00C862CF">
        <w:rPr>
          <w:sz w:val="16"/>
        </w:rPr>
        <w:t xml:space="preserve">, and </w:t>
      </w:r>
      <w:r w:rsidRPr="00456038">
        <w:rPr>
          <w:rStyle w:val="StyleUnderline"/>
          <w:highlight w:val="cyan"/>
        </w:rPr>
        <w:t xml:space="preserve">the Judiciary must defer to </w:t>
      </w:r>
      <w:r w:rsidRPr="00456038">
        <w:rPr>
          <w:rStyle w:val="Emphasis"/>
          <w:highlight w:val="cyan"/>
        </w:rPr>
        <w:t>the Executive</w:t>
      </w:r>
      <w:r w:rsidRPr="0076550C">
        <w:rPr>
          <w:rStyle w:val="Emphasis"/>
        </w:rPr>
        <w:t>’s interpretation</w:t>
      </w:r>
      <w:r w:rsidRPr="0076550C">
        <w:rPr>
          <w:rStyle w:val="StyleUnderline"/>
        </w:rPr>
        <w:t xml:space="preserve"> of </w:t>
      </w:r>
      <w:r w:rsidRPr="0076550C">
        <w:rPr>
          <w:rStyle w:val="Emphasis"/>
        </w:rPr>
        <w:t>a criminal statute</w:t>
      </w:r>
      <w:r w:rsidRPr="0076550C">
        <w:rPr>
          <w:rStyle w:val="StyleUnderline"/>
        </w:rPr>
        <w:t xml:space="preserve"> so long as it is reasonable under Chevron, </w:t>
      </w:r>
      <w:r w:rsidRPr="00456038">
        <w:rPr>
          <w:rStyle w:val="StyleUnderline"/>
          <w:highlight w:val="cyan"/>
        </w:rPr>
        <w:t xml:space="preserve">the result is </w:t>
      </w:r>
      <w:r w:rsidRPr="00456038">
        <w:rPr>
          <w:rStyle w:val="Emphasis"/>
          <w:highlight w:val="cyan"/>
        </w:rPr>
        <w:t>a</w:t>
      </w:r>
      <w:r w:rsidRPr="0076550C">
        <w:rPr>
          <w:rStyle w:val="Emphasis"/>
        </w:rPr>
        <w:t xml:space="preserve"> confusing </w:t>
      </w:r>
      <w:r w:rsidRPr="00456038">
        <w:rPr>
          <w:rStyle w:val="Emphasis"/>
          <w:highlight w:val="cyan"/>
        </w:rPr>
        <w:t>tangle</w:t>
      </w:r>
      <w:r w:rsidRPr="00331867">
        <w:rPr>
          <w:rStyle w:val="StyleUnderline"/>
        </w:rPr>
        <w:t xml:space="preserve"> of amb</w:t>
      </w:r>
      <w:r w:rsidRPr="002712BE">
        <w:rPr>
          <w:rStyle w:val="StyleUnderline"/>
        </w:rPr>
        <w:t xml:space="preserve">iguous laws passed by Congress, </w:t>
      </w:r>
      <w:r w:rsidRPr="00456038">
        <w:rPr>
          <w:rStyle w:val="Emphasis"/>
          <w:highlight w:val="cyan"/>
        </w:rPr>
        <w:t>administered</w:t>
      </w:r>
      <w:r w:rsidRPr="00456038">
        <w:rPr>
          <w:rStyle w:val="StyleUnderline"/>
          <w:highlight w:val="cyan"/>
        </w:rPr>
        <w:t xml:space="preserve">, </w:t>
      </w:r>
      <w:r w:rsidRPr="00456038">
        <w:rPr>
          <w:rStyle w:val="Emphasis"/>
          <w:highlight w:val="cyan"/>
        </w:rPr>
        <w:t>interpreted</w:t>
      </w:r>
      <w:r w:rsidRPr="00456038">
        <w:rPr>
          <w:rStyle w:val="StyleUnderline"/>
          <w:highlight w:val="cyan"/>
        </w:rPr>
        <w:t xml:space="preserve">, </w:t>
      </w:r>
      <w:r w:rsidRPr="00456038">
        <w:rPr>
          <w:rStyle w:val="Emphasis"/>
          <w:highlight w:val="cyan"/>
        </w:rPr>
        <w:t>and</w:t>
      </w:r>
      <w:r w:rsidRPr="00456038">
        <w:rPr>
          <w:rStyle w:val="StyleUnderline"/>
          <w:highlight w:val="cyan"/>
        </w:rPr>
        <w:t xml:space="preserve"> </w:t>
      </w:r>
      <w:r w:rsidRPr="00456038">
        <w:rPr>
          <w:rStyle w:val="Emphasis"/>
          <w:highlight w:val="cyan"/>
        </w:rPr>
        <w:t>prosecuted</w:t>
      </w:r>
      <w:r w:rsidRPr="00331867">
        <w:rPr>
          <w:rStyle w:val="Emphasis"/>
        </w:rPr>
        <w:t xml:space="preserve"> entirely</w:t>
      </w:r>
      <w:r w:rsidRPr="002712BE">
        <w:rPr>
          <w:rStyle w:val="StyleUnderline"/>
        </w:rPr>
        <w:t xml:space="preserve"> </w:t>
      </w:r>
      <w:r w:rsidRPr="00456038">
        <w:rPr>
          <w:rStyle w:val="StyleUnderline"/>
          <w:highlight w:val="cyan"/>
        </w:rPr>
        <w:t>by the Executive</w:t>
      </w:r>
      <w:r w:rsidRPr="002712BE">
        <w:rPr>
          <w:rStyle w:val="StyleUnderline"/>
        </w:rPr>
        <w:t xml:space="preserve">, and </w:t>
      </w:r>
      <w:r w:rsidRPr="002712BE">
        <w:rPr>
          <w:rStyle w:val="Emphasis"/>
        </w:rPr>
        <w:t>comp</w:t>
      </w:r>
      <w:r w:rsidRPr="0076550C">
        <w:rPr>
          <w:rStyle w:val="Emphasis"/>
        </w:rPr>
        <w:t xml:space="preserve">letely </w:t>
      </w:r>
      <w:r w:rsidRPr="00456038">
        <w:rPr>
          <w:rStyle w:val="Emphasis"/>
          <w:highlight w:val="cyan"/>
        </w:rPr>
        <w:t>unchecked</w:t>
      </w:r>
      <w:r w:rsidRPr="00456038">
        <w:rPr>
          <w:rStyle w:val="StyleUnderline"/>
          <w:highlight w:val="cyan"/>
        </w:rPr>
        <w:t xml:space="preserve"> by the Judiciary</w:t>
      </w:r>
      <w:r w:rsidRPr="00C862CF">
        <w:rPr>
          <w:sz w:val="16"/>
        </w:rPr>
        <w:t>. See Hon. Jed S. Rakoff, U.S. Dist. Judge, S.D.N.Y., Speech at Conference on Corporate Crime and Financial Misdealing at New York University Law School: Hybrid Statutes: A Study in Uncertainty, Speech at Conference on Corporate Crime and Financial Misdealing (Apr. 17, 2015), available at http://bit.ly/2hefGhr (stating that “hybrid statutes create more problems than they solve”).</w:t>
      </w:r>
    </w:p>
    <w:p w14:paraId="499CA31D" w14:textId="77777777" w:rsidR="00331867" w:rsidRPr="00C862CF" w:rsidRDefault="00331867" w:rsidP="00331867">
      <w:pPr>
        <w:rPr>
          <w:sz w:val="16"/>
        </w:rPr>
      </w:pPr>
      <w:r w:rsidRPr="00C862CF">
        <w:rPr>
          <w:sz w:val="16"/>
        </w:rPr>
        <w:t xml:space="preserve">The SEC’s historical interpretation of 15 U.S.C. § 77c, </w:t>
      </w:r>
      <w:r w:rsidRPr="002712BE">
        <w:rPr>
          <w:rStyle w:val="StyleUnderline"/>
        </w:rPr>
        <w:t xml:space="preserve">a quasi-civil and criminal statute, is entitled to </w:t>
      </w:r>
      <w:r w:rsidRPr="002712BE">
        <w:rPr>
          <w:rStyle w:val="Emphasis"/>
        </w:rPr>
        <w:t>no deference</w:t>
      </w:r>
      <w:r w:rsidRPr="00C862CF">
        <w:rPr>
          <w:sz w:val="16"/>
        </w:rPr>
        <w:t xml:space="preserve">. The “[Supreme] Court has never held that the Government’s reading of a criminal statute is entitled to any deference.” Apel, 134 S. Ct. at 1146. Criminal statutes like the one in this case are for courts, not the government to construe. Abramski, 134 S. Ct. at 2274. An agency’s historical position on a statute is “no more relevant than its current one—which is to say, not relevant at all.” Id. (rejecting the Defendant’s claim that the agency had formerly interpreted the statute in accordance with his position and stating “[w]hether the Government interprets a criminal statute too broadly (as it sometimes does) or too narrowly (as the ATF used to in construing § 922(a)(6)), a court has an obligation to correct its error”); see also Statement of J. Scalia on Denial of Cert. at 1, Whitman v. United States, supra p. 7 (“A court owes no deference to the prosecution’s interpretation of criminal law. Criminal statutes are for the courts, not for the Government, to construe.”). </w:t>
      </w:r>
    </w:p>
    <w:p w14:paraId="192A6614" w14:textId="77777777" w:rsidR="00331867" w:rsidRPr="00C862CF" w:rsidRDefault="00331867" w:rsidP="00331867">
      <w:pPr>
        <w:rPr>
          <w:sz w:val="16"/>
        </w:rPr>
      </w:pPr>
      <w:r w:rsidRPr="00C862CF">
        <w:rPr>
          <w:sz w:val="16"/>
        </w:rPr>
        <w:t xml:space="preserve">B. The Rule of </w:t>
      </w:r>
      <w:r w:rsidRPr="002712BE">
        <w:rPr>
          <w:rStyle w:val="StyleUnderline"/>
        </w:rPr>
        <w:t xml:space="preserve">Lenity Resolves </w:t>
      </w:r>
      <w:r w:rsidRPr="002712BE">
        <w:rPr>
          <w:rStyle w:val="Emphasis"/>
        </w:rPr>
        <w:t>All Ambiguity</w:t>
      </w:r>
      <w:r w:rsidRPr="002712BE">
        <w:rPr>
          <w:rStyle w:val="StyleUnderline"/>
        </w:rPr>
        <w:t xml:space="preserve"> in </w:t>
      </w:r>
      <w:r w:rsidRPr="002712BE">
        <w:rPr>
          <w:rStyle w:val="Emphasis"/>
        </w:rPr>
        <w:t>Hybrid Civil/Criminal Statutes</w:t>
      </w:r>
      <w:r w:rsidRPr="00C862CF">
        <w:rPr>
          <w:sz w:val="16"/>
        </w:rPr>
        <w:t xml:space="preserve"> in Favor of Mr. Weed.</w:t>
      </w:r>
    </w:p>
    <w:p w14:paraId="0A9ADF3E" w14:textId="77777777" w:rsidR="00331867" w:rsidRPr="00C862CF" w:rsidRDefault="00331867" w:rsidP="00331867">
      <w:pPr>
        <w:rPr>
          <w:sz w:val="16"/>
        </w:rPr>
      </w:pPr>
      <w:r w:rsidRPr="00C862CF">
        <w:rPr>
          <w:sz w:val="16"/>
        </w:rPr>
        <w:t xml:space="preserve">The rule of </w:t>
      </w:r>
      <w:r w:rsidRPr="002712BE">
        <w:rPr>
          <w:rStyle w:val="StyleUnderline"/>
        </w:rPr>
        <w:t>lenity</w:t>
      </w:r>
      <w:r w:rsidRPr="00C862CF">
        <w:rPr>
          <w:sz w:val="16"/>
        </w:rPr>
        <w:t xml:space="preserve"> directs courts to “interpret ambiguous criminal laws in favor of criminal defendants.” Wiltberger, 18 U.S. at 76. It </w:t>
      </w:r>
      <w:r w:rsidRPr="002712BE">
        <w:rPr>
          <w:rStyle w:val="StyleUnderline"/>
        </w:rPr>
        <w:t>requires</w:t>
      </w:r>
      <w:r w:rsidRPr="00C862CF">
        <w:rPr>
          <w:sz w:val="16"/>
        </w:rPr>
        <w:t xml:space="preserve"> that </w:t>
      </w:r>
      <w:r w:rsidRPr="002712BE">
        <w:rPr>
          <w:rStyle w:val="Emphasis"/>
        </w:rPr>
        <w:t>all interpreters</w:t>
      </w:r>
      <w:r w:rsidRPr="002712BE">
        <w:rPr>
          <w:rStyle w:val="StyleUnderline"/>
        </w:rPr>
        <w:t xml:space="preserve"> resolve uncertainties in the law with criminal applications in favor of the defendant</w:t>
      </w:r>
      <w:r w:rsidRPr="00C862CF">
        <w:rPr>
          <w:sz w:val="16"/>
        </w:rPr>
        <w:t xml:space="preserve">. Carter v. Welles-Bowen Realty, Inc., 736 F. 3d 722, 736 (6th Cir. 2013) (Sutton, J., concurring); see United States v. Santos, 553 U.S. 507, 514 (2008); Rewis v. United States, 401 U.S. 808, 812 (1971) (“[A]mbiguity concerning the ambit of criminal statutes should be resolved in favor of lenity.”). </w:t>
      </w:r>
    </w:p>
    <w:p w14:paraId="7272F60F" w14:textId="77777777" w:rsidR="00331867" w:rsidRPr="00C862CF" w:rsidRDefault="00331867" w:rsidP="00331867">
      <w:pPr>
        <w:rPr>
          <w:sz w:val="16"/>
        </w:rPr>
      </w:pPr>
      <w:r w:rsidRPr="00C862CF">
        <w:rPr>
          <w:sz w:val="16"/>
        </w:rPr>
        <w:t>Where a statute has both criminal and civil applications, like the 1933 Securities Act, see 15 U.S.C. § 77x, the Supreme Court has held that “[b]ecause we must interpret the statute consistently, whether we encounter its application in a criminal or noncriminal context, the rule of lenity applies.” Leocal v. Ashcroft, 543 U.S. 1, 11 n.8 (2004); cf. United States v. Thompson/Center Arms Co., 504 U.S. 505, 517 (1992) (plurality) (applying the rule of lenity to a tax statute in a civil setting where the statute had criminal applications and therefore had to be interpreted consistently with its criminal applications); Crandon, 494 U.S. at 168 (Stevens, J.) (applying rule of lenity to a hybrid criminal/civil statute in the civil context); Fed. Commc’ns Comm’n v. Am. Broad. Co., 347 U.S. 284, 296 (1954) (“There cannot be one construction for the Federal Communications Commission and another for the Department of Justice.”).6</w:t>
      </w:r>
    </w:p>
    <w:p w14:paraId="3F56818E" w14:textId="77777777" w:rsidR="00331867" w:rsidRPr="00C862CF" w:rsidRDefault="00331867" w:rsidP="00331867">
      <w:pPr>
        <w:rPr>
          <w:sz w:val="16"/>
        </w:rPr>
      </w:pPr>
      <w:r w:rsidRPr="00C862CF">
        <w:rPr>
          <w:rStyle w:val="StyleUnderline"/>
        </w:rPr>
        <w:t>This</w:t>
      </w:r>
      <w:r w:rsidRPr="002712BE">
        <w:rPr>
          <w:rStyle w:val="StyleUnderline"/>
        </w:rPr>
        <w:t xml:space="preserve"> </w:t>
      </w:r>
      <w:r w:rsidRPr="00456038">
        <w:rPr>
          <w:rStyle w:val="StyleUnderline"/>
          <w:highlight w:val="cyan"/>
        </w:rPr>
        <w:t xml:space="preserve">Court </w:t>
      </w:r>
      <w:r w:rsidRPr="00456038">
        <w:rPr>
          <w:rStyle w:val="Emphasis"/>
          <w:highlight w:val="cyan"/>
        </w:rPr>
        <w:t>cannot rely</w:t>
      </w:r>
      <w:r w:rsidRPr="00456038">
        <w:rPr>
          <w:rStyle w:val="StyleUnderline"/>
          <w:highlight w:val="cyan"/>
        </w:rPr>
        <w:t xml:space="preserve"> on</w:t>
      </w:r>
      <w:r w:rsidRPr="002712BE">
        <w:rPr>
          <w:rStyle w:val="StyleUnderline"/>
        </w:rPr>
        <w:t xml:space="preserve"> </w:t>
      </w:r>
      <w:r w:rsidRPr="002712BE">
        <w:rPr>
          <w:rStyle w:val="Emphasis"/>
        </w:rPr>
        <w:t xml:space="preserve">the </w:t>
      </w:r>
      <w:r w:rsidRPr="00456038">
        <w:rPr>
          <w:rStyle w:val="Emphasis"/>
          <w:highlight w:val="cyan"/>
        </w:rPr>
        <w:t>prosecution</w:t>
      </w:r>
      <w:r w:rsidRPr="00456038">
        <w:rPr>
          <w:rStyle w:val="StyleUnderline"/>
          <w:highlight w:val="cyan"/>
        </w:rPr>
        <w:t xml:space="preserve"> to</w:t>
      </w:r>
      <w:r w:rsidRPr="002712BE">
        <w:rPr>
          <w:rStyle w:val="StyleUnderline"/>
        </w:rPr>
        <w:t xml:space="preserve"> </w:t>
      </w:r>
      <w:r w:rsidRPr="002712BE">
        <w:rPr>
          <w:rStyle w:val="Emphasis"/>
        </w:rPr>
        <w:t>simply interpret</w:t>
      </w:r>
      <w:r w:rsidRPr="002712BE">
        <w:rPr>
          <w:rStyle w:val="StyleUnderline"/>
        </w:rPr>
        <w:t xml:space="preserve"> and </w:t>
      </w:r>
      <w:r w:rsidRPr="00456038">
        <w:rPr>
          <w:rStyle w:val="StyleUnderline"/>
          <w:highlight w:val="cyan"/>
        </w:rPr>
        <w:t>apply</w:t>
      </w:r>
      <w:r w:rsidRPr="002712BE">
        <w:rPr>
          <w:rStyle w:val="StyleUnderline"/>
        </w:rPr>
        <w:t xml:space="preserve"> the law </w:t>
      </w:r>
      <w:r w:rsidRPr="00456038">
        <w:rPr>
          <w:rStyle w:val="Emphasis"/>
          <w:highlight w:val="cyan"/>
        </w:rPr>
        <w:t>fairly</w:t>
      </w:r>
      <w:r w:rsidRPr="00456038">
        <w:rPr>
          <w:rStyle w:val="StyleUnderline"/>
          <w:highlight w:val="cyan"/>
        </w:rPr>
        <w:t xml:space="preserve">, </w:t>
      </w:r>
      <w:r w:rsidRPr="00456038">
        <w:rPr>
          <w:rStyle w:val="Emphasis"/>
          <w:highlight w:val="cyan"/>
        </w:rPr>
        <w:t>but</w:t>
      </w:r>
      <w:r w:rsidRPr="00C862CF">
        <w:rPr>
          <w:rStyle w:val="Emphasis"/>
        </w:rPr>
        <w:t xml:space="preserve"> rather</w:t>
      </w:r>
      <w:r w:rsidRPr="002712BE">
        <w:rPr>
          <w:rStyle w:val="StyleUnderline"/>
        </w:rPr>
        <w:t xml:space="preserve"> </w:t>
      </w:r>
      <w:r w:rsidRPr="00456038">
        <w:rPr>
          <w:rStyle w:val="StyleUnderline"/>
          <w:highlight w:val="cyan"/>
        </w:rPr>
        <w:t xml:space="preserve">should </w:t>
      </w:r>
      <w:r w:rsidRPr="00456038">
        <w:rPr>
          <w:rStyle w:val="Emphasis"/>
          <w:highlight w:val="cyan"/>
        </w:rPr>
        <w:t>check</w:t>
      </w:r>
      <w:r w:rsidRPr="00456038">
        <w:rPr>
          <w:rStyle w:val="StyleUnderline"/>
          <w:highlight w:val="cyan"/>
        </w:rPr>
        <w:t xml:space="preserve"> the Executive</w:t>
      </w:r>
      <w:r w:rsidRPr="00C862CF">
        <w:rPr>
          <w:rStyle w:val="StyleUnderline"/>
        </w:rPr>
        <w:t>’s ro</w:t>
      </w:r>
      <w:r w:rsidRPr="002712BE">
        <w:rPr>
          <w:rStyle w:val="StyleUnderline"/>
        </w:rPr>
        <w:t xml:space="preserve">le by construing this criminal statute </w:t>
      </w:r>
      <w:r w:rsidRPr="002712BE">
        <w:rPr>
          <w:rStyle w:val="Emphasis"/>
        </w:rPr>
        <w:t>narrowly</w:t>
      </w:r>
      <w:r w:rsidRPr="00C862CF">
        <w:rPr>
          <w:sz w:val="16"/>
        </w:rPr>
        <w:t xml:space="preserve">. See McDonnell v. United States, 136 S. Ct. 2355, 2373 (2016) (declining to rely on “the Government’s discretion” to protect against overzealous prosecutions under § 201, concluding instead that “‘a statute in this field that can linguistically be interpreted to be either a meat axe or a scalpel should reasonably be taken to be the latter’” (citing United States v. Sun Diamond, 526 U.S. 398, 408 (1999). </w:t>
      </w:r>
    </w:p>
    <w:p w14:paraId="74B4F1D6" w14:textId="77777777" w:rsidR="00331867" w:rsidRPr="00C862CF" w:rsidRDefault="00331867" w:rsidP="00331867">
      <w:pPr>
        <w:rPr>
          <w:sz w:val="16"/>
        </w:rPr>
      </w:pPr>
      <w:r w:rsidRPr="00C862CF">
        <w:rPr>
          <w:sz w:val="16"/>
        </w:rPr>
        <w:t>C. The Rule of Lenity, as a Canon of Construction, Precludes Chevron Deference.</w:t>
      </w:r>
    </w:p>
    <w:p w14:paraId="5CAE82FF" w14:textId="77777777" w:rsidR="00331867" w:rsidRPr="00C862CF" w:rsidRDefault="00331867" w:rsidP="00331867">
      <w:pPr>
        <w:rPr>
          <w:sz w:val="16"/>
        </w:rPr>
      </w:pPr>
      <w:r w:rsidRPr="00C862CF">
        <w:rPr>
          <w:sz w:val="16"/>
        </w:rPr>
        <w:t xml:space="preserve">“The rule of lenity . . . is a rule of statutory construction whose purpose is to help give authoritative meaning to statutory language. It is not a rule of administration calling for courts to refrain in criminal cases from applying statutory language that would have been held to apply if challenged in civil litigation.” Thompson/Center Arms Co., 504 U.S. at 518 n.10 (plurality opinion). </w:t>
      </w:r>
    </w:p>
    <w:p w14:paraId="2DE44BFA" w14:textId="77777777" w:rsidR="00331867" w:rsidRPr="00C862CF" w:rsidRDefault="00331867" w:rsidP="00331867">
      <w:pPr>
        <w:rPr>
          <w:sz w:val="16"/>
        </w:rPr>
      </w:pPr>
      <w:r w:rsidRPr="00C862CF">
        <w:rPr>
          <w:sz w:val="16"/>
        </w:rPr>
        <w:t xml:space="preserve">The Chevron doctrine tells courts to defer to an administrative agency’s reasonable interpretation of an ambiguous statute—but only where that statute is ambiguous even after the ordinary statutory canons of construction, like lenity, apply. Chevron, U.S.A., Inc. v. Nat. Res. Def. Council, 467 U.S. 837, 843 n.9 (1984). In other words, </w:t>
      </w:r>
      <w:r w:rsidRPr="00456038">
        <w:rPr>
          <w:rStyle w:val="StyleUnderline"/>
          <w:highlight w:val="cyan"/>
        </w:rPr>
        <w:t>lenity must trump Chevron</w:t>
      </w:r>
      <w:r w:rsidRPr="002712BE">
        <w:rPr>
          <w:rStyle w:val="StyleUnderline"/>
        </w:rPr>
        <w:t xml:space="preserve"> deference in a court’s interpretation of </w:t>
      </w:r>
      <w:r w:rsidRPr="002712BE">
        <w:rPr>
          <w:rStyle w:val="Emphasis"/>
        </w:rPr>
        <w:t>a hybrid statute</w:t>
      </w:r>
      <w:r w:rsidRPr="00C862CF">
        <w:rPr>
          <w:sz w:val="16"/>
        </w:rPr>
        <w:t xml:space="preserve">.7 Cf. Dolfi v. Pontesso, 156 F.3d 696, 700 (6th Cir. 1998) (“The rule of </w:t>
      </w:r>
      <w:r w:rsidRPr="002712BE">
        <w:rPr>
          <w:rStyle w:val="StyleUnderline"/>
        </w:rPr>
        <w:t xml:space="preserve">lenity requires </w:t>
      </w:r>
      <w:r w:rsidRPr="002712BE">
        <w:rPr>
          <w:rStyle w:val="Emphasis"/>
        </w:rPr>
        <w:t>a stricter construction</w:t>
      </w:r>
      <w:r w:rsidRPr="002712BE">
        <w:rPr>
          <w:rStyle w:val="StyleUnderline"/>
        </w:rPr>
        <w:t xml:space="preserve"> of ‘ambiguity in a criminal statute,’ </w:t>
      </w:r>
      <w:r w:rsidRPr="002712BE">
        <w:rPr>
          <w:rStyle w:val="Emphasis"/>
        </w:rPr>
        <w:t>not deference</w:t>
      </w:r>
      <w:r w:rsidRPr="00C862CF">
        <w:rPr>
          <w:sz w:val="16"/>
        </w:rPr>
        <w:t>.” (citation omitted)). Supreme Court precedent calls into question an agency’s power even to interpret any criminal statute. See Apel, 134 S. Ct. at 1146; Abramski, 134 S. Ct. at 2274. It follows, then, that when an agency does interpret a hybrid criminal statute, it is bound by the same canons of construction that the court is—and lenity must govern. See Crandon, 494 U.S. at 176–78 (Scalia, J., concurring) (</w:t>
      </w:r>
      <w:r w:rsidRPr="002712BE">
        <w:rPr>
          <w:rStyle w:val="StyleUnderline"/>
        </w:rPr>
        <w:t>“</w:t>
      </w:r>
      <w:r w:rsidRPr="002712BE">
        <w:rPr>
          <w:rStyle w:val="Emphasis"/>
        </w:rPr>
        <w:t>[A] vast body</w:t>
      </w:r>
      <w:r w:rsidRPr="002712BE">
        <w:rPr>
          <w:rStyle w:val="StyleUnderline"/>
        </w:rPr>
        <w:t xml:space="preserve"> of </w:t>
      </w:r>
      <w:r w:rsidRPr="002712BE">
        <w:rPr>
          <w:rStyle w:val="Emphasis"/>
        </w:rPr>
        <w:t>administrative interpretation</w:t>
      </w:r>
      <w:r w:rsidRPr="002712BE">
        <w:rPr>
          <w:rStyle w:val="StyleUnderline"/>
        </w:rPr>
        <w:t xml:space="preserve"> that exists . . . is not </w:t>
      </w:r>
      <w:r w:rsidRPr="002712BE">
        <w:rPr>
          <w:rStyle w:val="Emphasis"/>
        </w:rPr>
        <w:t>an administrative interpretation</w:t>
      </w:r>
      <w:r w:rsidRPr="002712BE">
        <w:rPr>
          <w:rStyle w:val="StyleUnderline"/>
        </w:rPr>
        <w:t xml:space="preserve"> that is entitled to deference under Chevron</w:t>
      </w:r>
      <w:r w:rsidRPr="00C862CF">
        <w:rPr>
          <w:sz w:val="16"/>
        </w:rPr>
        <w:t xml:space="preserve"> . . . . The law in question, </w:t>
      </w:r>
      <w:r w:rsidRPr="002712BE">
        <w:rPr>
          <w:rStyle w:val="StyleUnderline"/>
        </w:rPr>
        <w:t xml:space="preserve">a criminal statute, is not administered by </w:t>
      </w:r>
      <w:r w:rsidRPr="002712BE">
        <w:rPr>
          <w:rStyle w:val="Emphasis"/>
        </w:rPr>
        <w:t>any agency</w:t>
      </w:r>
      <w:r w:rsidRPr="002712BE">
        <w:rPr>
          <w:rStyle w:val="StyleUnderline"/>
        </w:rPr>
        <w:t xml:space="preserve"> but by the courts.”</w:t>
      </w:r>
      <w:r w:rsidRPr="00C862CF">
        <w:rPr>
          <w:sz w:val="16"/>
        </w:rPr>
        <w:t xml:space="preserve"> (citation omitted)).</w:t>
      </w:r>
    </w:p>
    <w:p w14:paraId="2A437968" w14:textId="77777777" w:rsidR="00331867" w:rsidRPr="00C862CF" w:rsidRDefault="00331867" w:rsidP="00331867">
      <w:pPr>
        <w:rPr>
          <w:sz w:val="16"/>
        </w:rPr>
      </w:pPr>
      <w:r w:rsidRPr="00456038">
        <w:rPr>
          <w:rStyle w:val="StyleUnderline"/>
          <w:highlight w:val="cyan"/>
        </w:rPr>
        <w:t>This</w:t>
      </w:r>
      <w:r w:rsidRPr="002712BE">
        <w:rPr>
          <w:rStyle w:val="StyleUnderline"/>
        </w:rPr>
        <w:t xml:space="preserve"> distinction </w:t>
      </w:r>
      <w:r w:rsidRPr="00456038">
        <w:rPr>
          <w:rStyle w:val="StyleUnderline"/>
          <w:highlight w:val="cyan"/>
        </w:rPr>
        <w:t>is</w:t>
      </w:r>
      <w:r w:rsidRPr="002712BE">
        <w:rPr>
          <w:rStyle w:val="StyleUnderline"/>
        </w:rPr>
        <w:t xml:space="preserve"> </w:t>
      </w:r>
      <w:r w:rsidRPr="002712BE">
        <w:rPr>
          <w:rStyle w:val="Emphasis"/>
        </w:rPr>
        <w:t xml:space="preserve">even more </w:t>
      </w:r>
      <w:r w:rsidRPr="00456038">
        <w:rPr>
          <w:rStyle w:val="Emphasis"/>
          <w:highlight w:val="cyan"/>
        </w:rPr>
        <w:t>important</w:t>
      </w:r>
      <w:r w:rsidRPr="00456038">
        <w:rPr>
          <w:rStyle w:val="StyleUnderline"/>
          <w:highlight w:val="cyan"/>
        </w:rPr>
        <w:t xml:space="preserve"> to apply </w:t>
      </w:r>
      <w:r w:rsidRPr="00456038">
        <w:rPr>
          <w:rStyle w:val="Emphasis"/>
          <w:highlight w:val="cyan"/>
        </w:rPr>
        <w:t>across the judiciary</w:t>
      </w:r>
      <w:r w:rsidRPr="00456038">
        <w:rPr>
          <w:rStyle w:val="StyleUnderline"/>
          <w:highlight w:val="cyan"/>
        </w:rPr>
        <w:t xml:space="preserve"> as Congress continues to promulgate hybrid statutes</w:t>
      </w:r>
      <w:r w:rsidRPr="00C862CF">
        <w:rPr>
          <w:sz w:val="16"/>
        </w:rPr>
        <w:t>, like the one at issue here. 8 Specifically, in the Securities Exchange Act, Congress gave the SEC the authority to prescribe regulations, see 15 U.S.C. § 78w(a)(1), and to define some of those regulations as crimes, see 15 U.S.C. § 78ff, such as the use of deceptive devices in the violation of such regulations. See 15 U.S.C. § 78e; 17 C.F.R. § 240.10b5; 9 see also United States v. Royer, 549 F.3d 886, 899 (2d Cir. 2008) (affirming criminal conviction after deferring to the SEC’s interpretation of 15 U.S.C. § 78j(b) as it relates to criminal regulatory prohibitions set forth at Rule 10b-5).10</w:t>
      </w:r>
    </w:p>
    <w:p w14:paraId="79955E79" w14:textId="77777777" w:rsidR="00331867" w:rsidRPr="00C862CF" w:rsidRDefault="00331867" w:rsidP="00331867">
      <w:pPr>
        <w:rPr>
          <w:sz w:val="16"/>
        </w:rPr>
      </w:pPr>
      <w:r w:rsidRPr="00C862CF">
        <w:rPr>
          <w:sz w:val="16"/>
        </w:rPr>
        <w:t xml:space="preserve">When a statute has criminal implications, </w:t>
      </w:r>
      <w:r w:rsidRPr="002712BE">
        <w:rPr>
          <w:rStyle w:val="StyleUnderline"/>
        </w:rPr>
        <w:t>lenity must apply</w:t>
      </w:r>
      <w:r w:rsidRPr="00C862CF">
        <w:rPr>
          <w:sz w:val="16"/>
        </w:rPr>
        <w:t xml:space="preserve"> first as a cannon of statutory construction to resolve the </w:t>
      </w:r>
      <w:r w:rsidRPr="002712BE">
        <w:rPr>
          <w:rStyle w:val="StyleUnderline"/>
        </w:rPr>
        <w:t>ambiguity in favor of a criminal defendant</w:t>
      </w:r>
      <w:r w:rsidRPr="00C862CF">
        <w:rPr>
          <w:sz w:val="16"/>
        </w:rPr>
        <w:t xml:space="preserve">.11 </w:t>
      </w:r>
      <w:r w:rsidRPr="0034589D">
        <w:rPr>
          <w:rStyle w:val="StyleUnderline"/>
        </w:rPr>
        <w:t xml:space="preserve">There should be </w:t>
      </w:r>
      <w:r w:rsidRPr="0034589D">
        <w:rPr>
          <w:rStyle w:val="Emphasis"/>
        </w:rPr>
        <w:t>no Chevron deference</w:t>
      </w:r>
      <w:r w:rsidRPr="0034589D">
        <w:rPr>
          <w:rStyle w:val="StyleUnderline"/>
        </w:rPr>
        <w:t xml:space="preserve"> afforded to agency interpretation of hybrid criminal/civil statutes</w:t>
      </w:r>
      <w:r w:rsidRPr="00C862CF">
        <w:rPr>
          <w:sz w:val="16"/>
        </w:rPr>
        <w:t xml:space="preserve">. See Clark v. Suarez Martinez, 543 U.S. 371, 380–81 (2005) (“It is not at all unusual to give a statute’s ambiguous language a limiting construction called for by one of the statute’s applications, even though other of the statute’s applications, standing alone, would not support the same limitation. The lowest common denominator, as it were, must govern.”) (emphasis added). </w:t>
      </w:r>
    </w:p>
    <w:p w14:paraId="72564409" w14:textId="77777777" w:rsidR="00331867" w:rsidRPr="00C862CF" w:rsidRDefault="00331867" w:rsidP="00331867">
      <w:pPr>
        <w:rPr>
          <w:sz w:val="16"/>
        </w:rPr>
      </w:pPr>
      <w:r w:rsidRPr="00C862CF">
        <w:rPr>
          <w:sz w:val="16"/>
        </w:rPr>
        <w:t>Footnote 11 begins:</w:t>
      </w:r>
    </w:p>
    <w:p w14:paraId="727D05AD" w14:textId="77777777" w:rsidR="00331867" w:rsidRPr="00C862CF" w:rsidRDefault="00331867" w:rsidP="00331867">
      <w:pPr>
        <w:rPr>
          <w:sz w:val="16"/>
        </w:rPr>
      </w:pPr>
      <w:r w:rsidRPr="00C862CF">
        <w:rPr>
          <w:sz w:val="16"/>
        </w:rPr>
        <w:t xml:space="preserve">11 See Kristen Hickman, Of Lenity, Chevron, and KPMG, 26 Va. Tax. Rev. 905 (2007) (In discussing the circumstances in which all of the Chevron and Skidmore deference doctrines will apply, “the Court has called for employing traditional canons of statutory construction in evaluating whether a statute’s meaning is clear. In other words, as a canon of construction, the rule of lenity may operate as a tiebreaker between competing statutory interpretations to establish a statute’s supposed plain meaning. </w:t>
      </w:r>
      <w:r w:rsidRPr="002712BE">
        <w:rPr>
          <w:rStyle w:val="StyleUnderline"/>
        </w:rPr>
        <w:t>A court applying the rule of lenity</w:t>
      </w:r>
      <w:r w:rsidRPr="00C862CF">
        <w:rPr>
          <w:sz w:val="16"/>
        </w:rPr>
        <w:t xml:space="preserve"> thus never gets past that first level inquiry and, consequently, </w:t>
      </w:r>
      <w:r w:rsidRPr="002712BE">
        <w:rPr>
          <w:rStyle w:val="StyleUnderline"/>
        </w:rPr>
        <w:t>does not have the opportunity to defer to the government</w:t>
      </w:r>
      <w:r w:rsidRPr="00C862CF">
        <w:rPr>
          <w:sz w:val="16"/>
        </w:rPr>
        <w:t xml:space="preserve">.”). Specifically, </w:t>
      </w:r>
      <w:r w:rsidRPr="00C862CF">
        <w:rPr>
          <w:rStyle w:val="StyleUnderline"/>
        </w:rPr>
        <w:t>the</w:t>
      </w:r>
      <w:r w:rsidRPr="00C862CF">
        <w:rPr>
          <w:sz w:val="16"/>
        </w:rPr>
        <w:t xml:space="preserve"> Supreme </w:t>
      </w:r>
      <w:r w:rsidRPr="00C862CF">
        <w:rPr>
          <w:rStyle w:val="StyleUnderline"/>
        </w:rPr>
        <w:t>Court has stated</w:t>
      </w:r>
      <w:r w:rsidRPr="00C862CF">
        <w:rPr>
          <w:sz w:val="16"/>
        </w:rPr>
        <w:t xml:space="preserve"> that, </w:t>
      </w:r>
      <w:r w:rsidRPr="00C862CF">
        <w:rPr>
          <w:rStyle w:val="StyleUnderline"/>
        </w:rPr>
        <w:t>within the Chevron framework, a court need</w:t>
      </w:r>
      <w:r w:rsidRPr="002712BE">
        <w:rPr>
          <w:rStyle w:val="StyleUnderline"/>
        </w:rPr>
        <w:t xml:space="preserve"> “</w:t>
      </w:r>
      <w:r w:rsidRPr="002712BE">
        <w:rPr>
          <w:rStyle w:val="Emphasis"/>
        </w:rPr>
        <w:t>accept only</w:t>
      </w:r>
      <w:r w:rsidRPr="00C862CF">
        <w:rPr>
          <w:sz w:val="16"/>
        </w:rPr>
        <w:t xml:space="preserve"> those agency </w:t>
      </w:r>
      <w:r w:rsidRPr="002712BE">
        <w:rPr>
          <w:rStyle w:val="StyleUnderline"/>
        </w:rPr>
        <w:t>interpretations</w:t>
      </w:r>
      <w:r w:rsidRPr="00C862CF">
        <w:rPr>
          <w:sz w:val="16"/>
        </w:rPr>
        <w:t xml:space="preserve"> that are </w:t>
      </w:r>
      <w:r w:rsidRPr="002712BE">
        <w:rPr>
          <w:rStyle w:val="Emphasis"/>
        </w:rPr>
        <w:t>reasonable</w:t>
      </w:r>
      <w:r w:rsidRPr="002712BE">
        <w:rPr>
          <w:rStyle w:val="StyleUnderline"/>
        </w:rPr>
        <w:t xml:space="preserve"> in light of </w:t>
      </w:r>
      <w:r w:rsidRPr="002712BE">
        <w:rPr>
          <w:rStyle w:val="Emphasis"/>
        </w:rPr>
        <w:t>the principles of construction</w:t>
      </w:r>
      <w:r w:rsidRPr="002712BE">
        <w:rPr>
          <w:rStyle w:val="StyleUnderline"/>
        </w:rPr>
        <w:t xml:space="preserve"> courts normally employ.”</w:t>
      </w:r>
      <w:r w:rsidRPr="00C862CF">
        <w:rPr>
          <w:sz w:val="16"/>
        </w:rPr>
        <w:t xml:space="preserve"> Morrison v. Nat’l Austl. Bank Ltd., 561 U.S. 247, 272 (2010) (emphasis added) (quoting Equal Emp’t Opportunity Comm’n v. Arabian Am. Oil Co., 499 U.S. 244, 260 (1991) (Scalia, J., concurring in part and concurring in judgment)).</w:t>
      </w:r>
    </w:p>
    <w:p w14:paraId="414FBA27" w14:textId="77777777" w:rsidR="00331867" w:rsidRPr="00C862CF" w:rsidRDefault="00331867" w:rsidP="00331867">
      <w:pPr>
        <w:rPr>
          <w:sz w:val="16"/>
        </w:rPr>
      </w:pPr>
      <w:r w:rsidRPr="00C862CF">
        <w:rPr>
          <w:sz w:val="16"/>
        </w:rPr>
        <w:t>Footnote 11 ends and the article continues:</w:t>
      </w:r>
    </w:p>
    <w:p w14:paraId="2AA55132" w14:textId="77777777" w:rsidR="00331867" w:rsidRPr="00C862CF" w:rsidRDefault="00331867" w:rsidP="00331867">
      <w:pPr>
        <w:rPr>
          <w:sz w:val="16"/>
        </w:rPr>
      </w:pPr>
      <w:r w:rsidRPr="0034589D">
        <w:rPr>
          <w:rStyle w:val="StyleUnderline"/>
        </w:rPr>
        <w:t>This is true whether the statute is</w:t>
      </w:r>
      <w:r w:rsidRPr="00C862CF">
        <w:rPr>
          <w:sz w:val="16"/>
        </w:rPr>
        <w:t xml:space="preserve"> being </w:t>
      </w:r>
      <w:r w:rsidRPr="0034589D">
        <w:rPr>
          <w:rStyle w:val="StyleUnderline"/>
        </w:rPr>
        <w:t>interpreted in a civil or criminal proceeding</w:t>
      </w:r>
      <w:r w:rsidRPr="00C862CF">
        <w:rPr>
          <w:sz w:val="16"/>
        </w:rPr>
        <w:t xml:space="preserve">. See United States v. Nippon Paper Indus. Co., 109 F.3d 1, 4 (1st Cir. 1997) (holding in a civil case that courts should interpret the same language in the same section of the same statute uniformly, regardless of whether the impetus for interpretation is criminal or civil). Since 15 U.S.C. § 77(a)(9) has both criminal and civil applications, </w:t>
      </w:r>
      <w:r w:rsidRPr="0034589D">
        <w:rPr>
          <w:rStyle w:val="StyleUnderline"/>
        </w:rPr>
        <w:t xml:space="preserve">the rule of lenity governs its interpretation in </w:t>
      </w:r>
      <w:r w:rsidRPr="0034589D">
        <w:rPr>
          <w:rStyle w:val="Emphasis"/>
        </w:rPr>
        <w:t>both settings</w:t>
      </w:r>
      <w:r w:rsidRPr="00C862CF">
        <w:rPr>
          <w:sz w:val="16"/>
        </w:rPr>
        <w:t>. See, e.g., Leocal v. Ashcroft, 543 U.S. at 11–12 n.8; Thompson/Center Arms Co., 504 U.S. at 517 (plurality).</w:t>
      </w:r>
    </w:p>
    <w:p w14:paraId="2328BBA4" w14:textId="77777777" w:rsidR="00331867" w:rsidRPr="00C862CF" w:rsidRDefault="00331867" w:rsidP="00331867">
      <w:pPr>
        <w:rPr>
          <w:sz w:val="16"/>
        </w:rPr>
      </w:pPr>
      <w:r w:rsidRPr="00C862CF">
        <w:rPr>
          <w:sz w:val="16"/>
        </w:rPr>
        <w:t>Indeed</w:t>
      </w:r>
      <w:r w:rsidRPr="0034589D">
        <w:rPr>
          <w:rStyle w:val="StyleUnderline"/>
        </w:rPr>
        <w:t>, “[t]ime, time, and time again</w:t>
      </w:r>
      <w:r w:rsidRPr="00C862CF">
        <w:rPr>
          <w:sz w:val="16"/>
        </w:rPr>
        <w:t xml:space="preserve">, the [Supreme] Court has confirmed that </w:t>
      </w:r>
      <w:r w:rsidRPr="0034589D">
        <w:rPr>
          <w:rStyle w:val="StyleUnderline"/>
        </w:rPr>
        <w:t>the one-interpretation rule means</w:t>
      </w:r>
      <w:r w:rsidRPr="00C862CF">
        <w:rPr>
          <w:sz w:val="16"/>
        </w:rPr>
        <w:t xml:space="preserve"> that the criminal-law construction of the statute (with the rule of lenity) prevails over the civil-law construction of it (without the rule of lenity). </w:t>
      </w:r>
      <w:r w:rsidRPr="00C862CF">
        <w:rPr>
          <w:rStyle w:val="StyleUnderline"/>
        </w:rPr>
        <w:t xml:space="preserve">When a single statute has </w:t>
      </w:r>
      <w:r w:rsidRPr="00C862CF">
        <w:rPr>
          <w:rStyle w:val="Emphasis"/>
        </w:rPr>
        <w:t>twin applications</w:t>
      </w:r>
      <w:r w:rsidRPr="00C862CF">
        <w:rPr>
          <w:rStyle w:val="StyleUnderline"/>
        </w:rPr>
        <w:t xml:space="preserve">, the search for </w:t>
      </w:r>
      <w:r w:rsidRPr="00C862CF">
        <w:rPr>
          <w:rStyle w:val="Emphasis"/>
        </w:rPr>
        <w:t>the least common denominator</w:t>
      </w:r>
      <w:r w:rsidRPr="00C862CF">
        <w:rPr>
          <w:rStyle w:val="StyleUnderline"/>
        </w:rPr>
        <w:t xml:space="preserve"> leads</w:t>
      </w:r>
      <w:r w:rsidRPr="0034589D">
        <w:rPr>
          <w:rStyle w:val="StyleUnderline"/>
        </w:rPr>
        <w:t xml:space="preserve"> to </w:t>
      </w:r>
      <w:r w:rsidRPr="0034589D">
        <w:rPr>
          <w:rStyle w:val="Emphasis"/>
        </w:rPr>
        <w:t>the least liberty-infringing interpretation</w:t>
      </w:r>
      <w:r w:rsidRPr="0034589D">
        <w:rPr>
          <w:rStyle w:val="StyleUnderline"/>
        </w:rPr>
        <w:t>.”</w:t>
      </w:r>
      <w:r w:rsidRPr="00C862CF">
        <w:rPr>
          <w:sz w:val="16"/>
        </w:rPr>
        <w:t xml:space="preserve"> EsquivelQuintana v. Lynch, 810 F.3d 1019, 1028 (6th Cir. 2016) (Sutton, J., concurring in part and dissenting in part). The courts of appeals have also consistently recognized that the rule of lenity applies to hybrid statutes in both civil and criminal cases. See, e.g., WEC Carolina Energy Sols. LLC v. Miller, 687 F.3d 199, 203–04 (4th Cir. 2012) (“Where . . . our analysis involves a statute whose provisions have both civil and criminal application, our task merits special attention because our interpretation applies uniformly in both contexts. Thus, we follow ‘the canon of strict construction of criminal statutes, or rule of lenity.’” (citations omitted)); In re Woolsey, 696 F.3d 1266, 1277 (10th Cir. 2012) (for hybrid statutes, “the rule of lenity must apply equally to civil litigants to whom lenity would not ordinarily extend”); Bingham, Ltd. v. United States, 724 F.2d 921, 924–25 (11th Cir. 1984) (the rule of lenity applies “even though we construe the OCCA in a declaratory judgment action, a civil context”).</w:t>
      </w:r>
    </w:p>
    <w:p w14:paraId="6CB33933" w14:textId="77777777" w:rsidR="00331867" w:rsidRPr="00C862CF" w:rsidRDefault="00331867" w:rsidP="00331867">
      <w:pPr>
        <w:rPr>
          <w:sz w:val="16"/>
        </w:rPr>
      </w:pPr>
      <w:r w:rsidRPr="00C862CF">
        <w:rPr>
          <w:sz w:val="16"/>
        </w:rPr>
        <w:t>Toward this end, a recent case from the United States District Court for the District of Columbia is instructive. In United States Association of Reptile Keepers, Inc. v. Jewell, 103 F. Supp. 3d 133 (D.D.C. 2015), plaintiffs sought a preliminary injunction to prevent an Interior Department rule from taking effect which sought to ban the interstate transfer of any reticulated python and green anaconda already in the United States (e.g., banning the transfer of the snake between Maryland and Virginia). However, the Lacey Act statute, as written, prohibited only the shipment of these two snakes “between the continental United States, the District of Columbia, Hawaii, the Commonwealth of Puerto Rico, or any possession of the United States.” Id. at 139 (citing 18 U.S.C. § 42(a)(1)). The agency sought Chevron deference for the rule, and presented evidence that, notwithstanding the text of the statute (which, on its face, appeared to ban only transfer of injurious species between the continental United States and other territories), the agency and even Congress had interpreted the Lacey Act for more than thirty years to prohibit all interstate transfer of such enumerated species. Id. The agency argued that its longstanding interpretation of the Lacey Act, a criminal statute, was compelled by the plain meaning of the statute or, in the alternative, entitled to Chevron deference. Id. at 144. The Court rejected the Government’s argument that the plain meaning of the statute supported the agency’s decision and granted the plaintiff’s preliminary injunction, finding that the plaintiff was likely to prevail on the merits because it was unlikely that the agency could ever receive Chevron deference for its interpretation of the Lacey Act, a statute with both criminal and civil implications:</w:t>
      </w:r>
    </w:p>
    <w:p w14:paraId="32A64354" w14:textId="77777777" w:rsidR="00331867" w:rsidRPr="00C862CF" w:rsidRDefault="00331867" w:rsidP="00331867">
      <w:pPr>
        <w:ind w:left="720"/>
        <w:rPr>
          <w:sz w:val="16"/>
        </w:rPr>
      </w:pPr>
      <w:r w:rsidRPr="00737209">
        <w:rPr>
          <w:rStyle w:val="StyleUnderline"/>
        </w:rPr>
        <w:t xml:space="preserve">There is </w:t>
      </w:r>
      <w:r w:rsidRPr="00737209">
        <w:rPr>
          <w:rStyle w:val="Emphasis"/>
        </w:rPr>
        <w:t>significant reason</w:t>
      </w:r>
      <w:r w:rsidRPr="00737209">
        <w:rPr>
          <w:rStyle w:val="StyleUnderline"/>
        </w:rPr>
        <w:t xml:space="preserve"> to doubt</w:t>
      </w:r>
      <w:r w:rsidRPr="00C862CF">
        <w:rPr>
          <w:sz w:val="16"/>
        </w:rPr>
        <w:t xml:space="preserve">, however, </w:t>
      </w:r>
      <w:r w:rsidRPr="00737209">
        <w:rPr>
          <w:rStyle w:val="StyleUnderline"/>
        </w:rPr>
        <w:t>whether Chevron applies in this context</w:t>
      </w:r>
      <w:r w:rsidRPr="00C862CF">
        <w:rPr>
          <w:sz w:val="16"/>
        </w:rPr>
        <w:t>. The Lacey Act is a criminal statute . . . and the Supreme Court recently observed that it “ha[s] never held that the Government’s reading of a criminal statute is entitled to any deference[.]” Instead, “whether the Government interprets a criminal statute too broadly . . . or too narrowly . . . a court has an obligation to correct its error.” [. . .]</w:t>
      </w:r>
    </w:p>
    <w:p w14:paraId="2F71B346" w14:textId="77777777" w:rsidR="00331867" w:rsidRPr="00C862CF" w:rsidRDefault="00331867" w:rsidP="00331867">
      <w:pPr>
        <w:ind w:left="720"/>
        <w:rPr>
          <w:sz w:val="16"/>
        </w:rPr>
      </w:pPr>
      <w:r w:rsidRPr="00774BBF">
        <w:rPr>
          <w:rStyle w:val="StyleUnderline"/>
        </w:rPr>
        <w:t xml:space="preserve">Deferring to [the Government’s] view would “upend </w:t>
      </w:r>
      <w:r w:rsidRPr="00774BBF">
        <w:rPr>
          <w:rStyle w:val="Emphasis"/>
        </w:rPr>
        <w:t>ordinary principles of interpretation</w:t>
      </w:r>
      <w:r w:rsidRPr="00774BBF">
        <w:rPr>
          <w:rStyle w:val="StyleUnderline"/>
        </w:rPr>
        <w:t>,”</w:t>
      </w:r>
      <w:r w:rsidRPr="00C862CF">
        <w:rPr>
          <w:sz w:val="16"/>
        </w:rPr>
        <w:t xml:space="preserve"> including the “rule of lenity [which] requires interpreters to resolve ambiguity in criminal laws in favor of defendants.” In sum, recent Supreme Court authority suggests that “criminal laws are for courts, not for the Government, to construe.” </w:t>
      </w:r>
    </w:p>
    <w:p w14:paraId="37F76264" w14:textId="77777777" w:rsidR="00331867" w:rsidRPr="00C862CF" w:rsidRDefault="00331867" w:rsidP="00331867">
      <w:pPr>
        <w:rPr>
          <w:sz w:val="16"/>
        </w:rPr>
      </w:pPr>
      <w:r w:rsidRPr="00C862CF">
        <w:rPr>
          <w:sz w:val="16"/>
        </w:rPr>
        <w:t xml:space="preserve">Id. at 144–45 (citations and original brackets omitted). </w:t>
      </w:r>
      <w:r w:rsidRPr="00456038">
        <w:rPr>
          <w:rStyle w:val="StyleUnderline"/>
          <w:highlight w:val="cyan"/>
        </w:rPr>
        <w:t>This</w:t>
      </w:r>
      <w:r w:rsidRPr="00C862CF">
        <w:rPr>
          <w:sz w:val="16"/>
        </w:rPr>
        <w:t xml:space="preserve"> approach </w:t>
      </w:r>
      <w:r w:rsidRPr="00456038">
        <w:rPr>
          <w:rStyle w:val="StyleUnderline"/>
          <w:highlight w:val="cyan"/>
        </w:rPr>
        <w:t>preserves the legislature’s ability to delegate</w:t>
      </w:r>
      <w:r w:rsidRPr="00774BBF">
        <w:rPr>
          <w:rStyle w:val="StyleUnderline"/>
        </w:rPr>
        <w:t xml:space="preserve"> rulemaking authority to agencies </w:t>
      </w:r>
      <w:r w:rsidRPr="00456038">
        <w:rPr>
          <w:rStyle w:val="StyleUnderline"/>
          <w:highlight w:val="cyan"/>
        </w:rPr>
        <w:t>while avoiding</w:t>
      </w:r>
      <w:r w:rsidRPr="00774BBF">
        <w:rPr>
          <w:rStyle w:val="StyleUnderline"/>
        </w:rPr>
        <w:t xml:space="preserve"> the </w:t>
      </w:r>
      <w:r w:rsidRPr="00456038">
        <w:rPr>
          <w:rStyle w:val="StyleUnderline"/>
          <w:highlight w:val="cyan"/>
        </w:rPr>
        <w:t>dangers</w:t>
      </w:r>
      <w:r w:rsidRPr="00774BBF">
        <w:rPr>
          <w:rStyle w:val="StyleUnderline"/>
        </w:rPr>
        <w:t xml:space="preserve"> implicit </w:t>
      </w:r>
      <w:r w:rsidRPr="00456038">
        <w:rPr>
          <w:rStyle w:val="StyleUnderline"/>
          <w:highlight w:val="cyan"/>
        </w:rPr>
        <w:t>in</w:t>
      </w:r>
      <w:r w:rsidRPr="00774BBF">
        <w:rPr>
          <w:rStyle w:val="StyleUnderline"/>
        </w:rPr>
        <w:t xml:space="preserve"> </w:t>
      </w:r>
      <w:r w:rsidRPr="00774BBF">
        <w:rPr>
          <w:rStyle w:val="Emphasis"/>
        </w:rPr>
        <w:t xml:space="preserve">an </w:t>
      </w:r>
      <w:r w:rsidRPr="00C862CF">
        <w:rPr>
          <w:rStyle w:val="Emphasis"/>
        </w:rPr>
        <w:t>agency’s</w:t>
      </w:r>
      <w:r w:rsidRPr="00774BBF">
        <w:rPr>
          <w:rStyle w:val="Emphasis"/>
        </w:rPr>
        <w:t xml:space="preserve"> performance</w:t>
      </w:r>
      <w:r w:rsidRPr="00774BBF">
        <w:rPr>
          <w:rStyle w:val="StyleUnderline"/>
        </w:rPr>
        <w:t xml:space="preserve"> of </w:t>
      </w:r>
      <w:r w:rsidRPr="00774BBF">
        <w:rPr>
          <w:rStyle w:val="Emphasis"/>
        </w:rPr>
        <w:t xml:space="preserve">all three </w:t>
      </w:r>
      <w:r w:rsidRPr="00456038">
        <w:rPr>
          <w:rStyle w:val="Emphasis"/>
          <w:highlight w:val="cyan"/>
        </w:rPr>
        <w:t>constitutional functions</w:t>
      </w:r>
      <w:r w:rsidRPr="00C862CF">
        <w:rPr>
          <w:sz w:val="16"/>
        </w:rPr>
        <w:t>.12</w:t>
      </w:r>
    </w:p>
    <w:p w14:paraId="288667A1" w14:textId="77777777" w:rsidR="00331867" w:rsidRPr="00C862CF" w:rsidRDefault="00331867" w:rsidP="00331867">
      <w:pPr>
        <w:rPr>
          <w:sz w:val="16"/>
        </w:rPr>
      </w:pPr>
      <w:r w:rsidRPr="00C862CF">
        <w:rPr>
          <w:sz w:val="16"/>
        </w:rPr>
        <w:t>While the SEC has criminal rulemaking authority, the SEC’s interpretation of the Securities Exchange Act, and the regulations it promulgates thereunder, cannot exceed the bounds of the statute. United States v. Larionoff, 431 U.S. 864, 873 (1977) (invalidating regulation as inconsistent with statute under which it was promulgated); Schism v. United States, 316 F.3d 1259, 1287 (Fed. Cir. 2002) (regulations must be consistent with the statute under which they are promulgated).</w:t>
      </w:r>
    </w:p>
    <w:p w14:paraId="47424209" w14:textId="77777777" w:rsidR="00331867" w:rsidRPr="00C862CF" w:rsidRDefault="00331867" w:rsidP="00331867">
      <w:pPr>
        <w:rPr>
          <w:sz w:val="16"/>
        </w:rPr>
      </w:pPr>
      <w:r w:rsidRPr="00C862CF">
        <w:rPr>
          <w:sz w:val="16"/>
        </w:rPr>
        <w:t xml:space="preserve">If the Government seeks deference for its position, unsupported by statute, that the sale of securities created under 15 U.S.C. § 77c (classes of securities exempted from registration) required registration under 15 U.S.C. § 78a, et. seq., the Court should apply lenity to resolve any ambiguity in favor of Mr. Weed. </w:t>
      </w:r>
    </w:p>
    <w:p w14:paraId="53EC3619" w14:textId="77777777" w:rsidR="00331867" w:rsidRPr="00C862CF" w:rsidRDefault="00331867" w:rsidP="00331867">
      <w:pPr>
        <w:rPr>
          <w:sz w:val="16"/>
        </w:rPr>
      </w:pPr>
      <w:r w:rsidRPr="00C862CF">
        <w:rPr>
          <w:sz w:val="16"/>
        </w:rPr>
        <w:t>D. “Hybrid” Statutes with Civil and Criminal Penalties for the Same Conduct Should Always Be Construed Narrowly.</w:t>
      </w:r>
    </w:p>
    <w:p w14:paraId="27E44D54" w14:textId="77777777" w:rsidR="00331867" w:rsidRPr="00C862CF" w:rsidRDefault="00331867" w:rsidP="00331867">
      <w:pPr>
        <w:rPr>
          <w:sz w:val="16"/>
        </w:rPr>
      </w:pPr>
      <w:r w:rsidRPr="00456038">
        <w:rPr>
          <w:rStyle w:val="StyleUnderline"/>
          <w:highlight w:val="cyan"/>
        </w:rPr>
        <w:t>Without</w:t>
      </w:r>
      <w:r w:rsidRPr="00C862CF">
        <w:rPr>
          <w:rStyle w:val="StyleUnderline"/>
        </w:rPr>
        <w:t xml:space="preserve"> </w:t>
      </w:r>
      <w:r w:rsidRPr="00C862CF">
        <w:rPr>
          <w:rStyle w:val="Emphasis"/>
        </w:rPr>
        <w:t xml:space="preserve">careful </w:t>
      </w:r>
      <w:r w:rsidRPr="00456038">
        <w:rPr>
          <w:rStyle w:val="Emphasis"/>
          <w:highlight w:val="cyan"/>
        </w:rPr>
        <w:t>attention</w:t>
      </w:r>
      <w:r w:rsidRPr="00C862CF">
        <w:rPr>
          <w:rStyle w:val="Emphasis"/>
        </w:rPr>
        <w:t xml:space="preserve"> by courts</w:t>
      </w:r>
      <w:r w:rsidRPr="00C862CF">
        <w:rPr>
          <w:rStyle w:val="StyleUnderline"/>
        </w:rPr>
        <w:t xml:space="preserve">, </w:t>
      </w:r>
      <w:r w:rsidRPr="00456038">
        <w:rPr>
          <w:rStyle w:val="StyleUnderline"/>
          <w:highlight w:val="cyan"/>
        </w:rPr>
        <w:t>hybrid statutes can broaden</w:t>
      </w:r>
      <w:r w:rsidRPr="00C862CF">
        <w:rPr>
          <w:rStyle w:val="StyleUnderline"/>
        </w:rPr>
        <w:t xml:space="preserve"> criminal </w:t>
      </w:r>
      <w:r w:rsidRPr="00456038">
        <w:rPr>
          <w:rStyle w:val="StyleUnderline"/>
          <w:highlight w:val="cyan"/>
        </w:rPr>
        <w:t xml:space="preserve">sanctions </w:t>
      </w:r>
      <w:r w:rsidRPr="00456038">
        <w:rPr>
          <w:rStyle w:val="Emphasis"/>
          <w:highlight w:val="cyan"/>
        </w:rPr>
        <w:t>unintentionally</w:t>
      </w:r>
      <w:r w:rsidRPr="00C862CF">
        <w:rPr>
          <w:rStyle w:val="StyleUnderline"/>
        </w:rPr>
        <w:t>, if those criminal statutes are</w:t>
      </w:r>
      <w:r w:rsidRPr="00C862CF">
        <w:rPr>
          <w:sz w:val="16"/>
        </w:rPr>
        <w:t xml:space="preserve"> most often </w:t>
      </w:r>
      <w:r w:rsidRPr="00C862CF">
        <w:rPr>
          <w:rStyle w:val="StyleUnderline"/>
        </w:rPr>
        <w:t>applied in civil and</w:t>
      </w:r>
      <w:r w:rsidRPr="00C862CF">
        <w:rPr>
          <w:sz w:val="16"/>
        </w:rPr>
        <w:t xml:space="preserve"> administrative </w:t>
      </w:r>
      <w:r w:rsidRPr="00C862CF">
        <w:rPr>
          <w:rStyle w:val="StyleUnderline"/>
        </w:rPr>
        <w:t xml:space="preserve">cases where </w:t>
      </w:r>
      <w:r w:rsidRPr="00C862CF">
        <w:rPr>
          <w:rStyle w:val="Emphasis"/>
        </w:rPr>
        <w:t>the broader remedial purpose</w:t>
      </w:r>
      <w:r w:rsidRPr="00C862CF">
        <w:rPr>
          <w:sz w:val="16"/>
        </w:rPr>
        <w:t xml:space="preserve"> of the statute </w:t>
      </w:r>
      <w:r w:rsidRPr="00C862CF">
        <w:rPr>
          <w:rStyle w:val="StyleUnderline"/>
        </w:rPr>
        <w:t>is invoked</w:t>
      </w:r>
      <w:r w:rsidRPr="00C862CF">
        <w:rPr>
          <w:sz w:val="16"/>
        </w:rPr>
        <w:t xml:space="preserve">.13 In the securities context, “[a]lthough criminal violations of § 10(b) require a showing that the act was done willfully, the elements of a civil and criminal violations [sic] of the statute are otherwise the same, and </w:t>
      </w:r>
      <w:r w:rsidRPr="00456038">
        <w:rPr>
          <w:rStyle w:val="StyleUnderline"/>
          <w:highlight w:val="cyan"/>
        </w:rPr>
        <w:t xml:space="preserve">courts in </w:t>
      </w:r>
      <w:r w:rsidRPr="00456038">
        <w:rPr>
          <w:rStyle w:val="Emphasis"/>
          <w:highlight w:val="cyan"/>
        </w:rPr>
        <w:t>criminal cases</w:t>
      </w:r>
      <w:r w:rsidRPr="00C862CF">
        <w:rPr>
          <w:rStyle w:val="StyleUnderline"/>
        </w:rPr>
        <w:t xml:space="preserve"> frequently </w:t>
      </w:r>
      <w:r w:rsidRPr="00456038">
        <w:rPr>
          <w:rStyle w:val="StyleUnderline"/>
          <w:highlight w:val="cyan"/>
        </w:rPr>
        <w:t xml:space="preserve">cite </w:t>
      </w:r>
      <w:r w:rsidRPr="00456038">
        <w:rPr>
          <w:rStyle w:val="Emphasis"/>
          <w:highlight w:val="cyan"/>
        </w:rPr>
        <w:t>civil interpretations</w:t>
      </w:r>
      <w:r w:rsidRPr="00C862CF">
        <w:rPr>
          <w:rStyle w:val="StyleUnderline"/>
        </w:rPr>
        <w:t xml:space="preserve"> of the statute </w:t>
      </w:r>
      <w:r w:rsidRPr="00456038">
        <w:rPr>
          <w:rStyle w:val="StyleUnderline"/>
          <w:highlight w:val="cyan"/>
        </w:rPr>
        <w:t>to determine</w:t>
      </w:r>
      <w:r w:rsidRPr="00C862CF">
        <w:rPr>
          <w:rStyle w:val="StyleUnderline"/>
        </w:rPr>
        <w:t xml:space="preserve"> whether there has been </w:t>
      </w:r>
      <w:r w:rsidRPr="00456038">
        <w:rPr>
          <w:rStyle w:val="StyleUnderline"/>
          <w:highlight w:val="cyan"/>
        </w:rPr>
        <w:t>a violation</w:t>
      </w:r>
      <w:r w:rsidRPr="00C862CF">
        <w:rPr>
          <w:sz w:val="16"/>
        </w:rPr>
        <w:t xml:space="preserve">.” In re Enron Corp. Secs., 235 F. Supp. 2d 549, 579 n. 18 (S.D. Tex. 2002). </w:t>
      </w:r>
    </w:p>
    <w:p w14:paraId="7C7746BC" w14:textId="77777777" w:rsidR="00331867" w:rsidRPr="00C862CF" w:rsidRDefault="00331867" w:rsidP="00331867">
      <w:pPr>
        <w:rPr>
          <w:sz w:val="16"/>
        </w:rPr>
      </w:pPr>
      <w:r w:rsidRPr="00C862CF">
        <w:rPr>
          <w:sz w:val="16"/>
        </w:rPr>
        <w:t xml:space="preserve">To prevent this problem, the courts and agencies alike must interpret a hybrid civil/criminal statute to the lowest common denominator—in other words, the rule of lenity should govern all agency and judicial interpretations of a hybrid statute, whether in a civil, administrative, or criminal proceeding.14 See Clark, 543 U.S. at 381 (“The lowest common denominator . . . must govern.”); Esquivel-Quintana, 810 F.3d at 1028 (Sutton, J., concurring in part and dissenting in part) (“The courts must give dual-application statutes just one interpretation, and the criminal application controls. . . . Because a single law should have a single meaning, the ‘lowest common denominator’—including all rules applicable to the interpretation of criminal laws— governs all of its applications.” (quoting Clark, 543 U.S. at 380)); see also Antonin Scalia &amp; Bryan A. Garner, Reading Law: The Interpretation of Legal Texts (2012) (“Is the language defining the violation to be given one meaning (a narrow one) for the penal sanction and a different one (a more expansive one) for the private compensatory action? That seems inconceivable.”). </w:t>
      </w:r>
      <w:r w:rsidRPr="00456038">
        <w:rPr>
          <w:rStyle w:val="StyleUnderline"/>
          <w:highlight w:val="cyan"/>
        </w:rPr>
        <w:t>This is</w:t>
      </w:r>
      <w:r w:rsidRPr="00C862CF">
        <w:rPr>
          <w:rStyle w:val="StyleUnderline"/>
        </w:rPr>
        <w:t xml:space="preserve"> </w:t>
      </w:r>
      <w:r w:rsidRPr="00C862CF">
        <w:rPr>
          <w:rStyle w:val="Emphasis"/>
        </w:rPr>
        <w:t xml:space="preserve">particularly </w:t>
      </w:r>
      <w:r w:rsidRPr="00456038">
        <w:rPr>
          <w:rStyle w:val="Emphasis"/>
          <w:highlight w:val="cyan"/>
        </w:rPr>
        <w:t>important</w:t>
      </w:r>
      <w:r w:rsidRPr="00456038">
        <w:rPr>
          <w:rStyle w:val="StyleUnderline"/>
          <w:highlight w:val="cyan"/>
        </w:rPr>
        <w:t xml:space="preserve"> given the “</w:t>
      </w:r>
      <w:r w:rsidRPr="00456038">
        <w:rPr>
          <w:rStyle w:val="Emphasis"/>
          <w:highlight w:val="cyan"/>
        </w:rPr>
        <w:t>danger</w:t>
      </w:r>
      <w:r w:rsidRPr="00C862CF">
        <w:rPr>
          <w:rStyle w:val="StyleUnderline"/>
        </w:rPr>
        <w:t xml:space="preserve"> posed </w:t>
      </w:r>
      <w:r w:rsidRPr="00456038">
        <w:rPr>
          <w:rStyle w:val="StyleUnderline"/>
          <w:highlight w:val="cyan"/>
        </w:rPr>
        <w:t xml:space="preserve">by </w:t>
      </w:r>
      <w:r w:rsidRPr="00456038">
        <w:rPr>
          <w:rStyle w:val="Emphasis"/>
          <w:highlight w:val="cyan"/>
        </w:rPr>
        <w:t>the growing</w:t>
      </w:r>
      <w:r w:rsidRPr="00C862CF">
        <w:rPr>
          <w:rStyle w:val="Emphasis"/>
        </w:rPr>
        <w:t xml:space="preserve"> power</w:t>
      </w:r>
      <w:r w:rsidRPr="00C862CF">
        <w:rPr>
          <w:rStyle w:val="StyleUnderline"/>
        </w:rPr>
        <w:t xml:space="preserve"> of </w:t>
      </w:r>
      <w:r w:rsidRPr="00C862CF">
        <w:rPr>
          <w:rStyle w:val="Emphasis"/>
        </w:rPr>
        <w:t xml:space="preserve">the administrative </w:t>
      </w:r>
      <w:r w:rsidRPr="00456038">
        <w:rPr>
          <w:rStyle w:val="Emphasis"/>
          <w:highlight w:val="cyan"/>
        </w:rPr>
        <w:t>state</w:t>
      </w:r>
      <w:r w:rsidRPr="00456038">
        <w:rPr>
          <w:rStyle w:val="StyleUnderline"/>
          <w:highlight w:val="cyan"/>
        </w:rPr>
        <w:t>.”</w:t>
      </w:r>
      <w:r w:rsidRPr="00C862CF">
        <w:rPr>
          <w:sz w:val="16"/>
        </w:rPr>
        <w:t xml:space="preserve"> City of Arlington v. Fed. Commc’ns Comm’n, 133 S. Ct. 1863, 1879 (2013) (Roberts, C.J., dissenting). </w:t>
      </w:r>
    </w:p>
    <w:p w14:paraId="06E1957C" w14:textId="77777777" w:rsidR="00331867" w:rsidRPr="00C862CF" w:rsidRDefault="00331867" w:rsidP="00331867">
      <w:pPr>
        <w:rPr>
          <w:sz w:val="16"/>
        </w:rPr>
      </w:pPr>
      <w:r w:rsidRPr="00C862CF">
        <w:rPr>
          <w:rStyle w:val="StyleUnderline"/>
        </w:rPr>
        <w:t>This is “</w:t>
      </w:r>
      <w:r w:rsidRPr="00C862CF">
        <w:rPr>
          <w:rStyle w:val="Emphasis"/>
        </w:rPr>
        <w:t>no small matter</w:t>
      </w:r>
      <w:r w:rsidRPr="00C862CF">
        <w:rPr>
          <w:rStyle w:val="StyleUnderline"/>
        </w:rPr>
        <w:t xml:space="preserve"> given </w:t>
      </w:r>
      <w:r w:rsidRPr="00C862CF">
        <w:rPr>
          <w:rStyle w:val="Emphasis"/>
        </w:rPr>
        <w:t>the reality</w:t>
      </w:r>
      <w:r w:rsidRPr="00C862CF">
        <w:rPr>
          <w:sz w:val="16"/>
        </w:rPr>
        <w:t xml:space="preserve"> that </w:t>
      </w:r>
      <w:r w:rsidRPr="00C862CF">
        <w:rPr>
          <w:rStyle w:val="StyleUnderline"/>
        </w:rPr>
        <w:t xml:space="preserve">Congress continues to ‘put[] forth </w:t>
      </w:r>
      <w:r w:rsidRPr="00C862CF">
        <w:rPr>
          <w:rStyle w:val="Emphasis"/>
        </w:rPr>
        <w:t>an ever-increasing volume</w:t>
      </w:r>
      <w:r w:rsidRPr="00C862CF">
        <w:rPr>
          <w:rStyle w:val="StyleUnderline"/>
        </w:rPr>
        <w:t xml:space="preserve"> . . . of criminal laws.</w:t>
      </w:r>
      <w:r w:rsidRPr="00C862CF">
        <w:rPr>
          <w:sz w:val="16"/>
        </w:rPr>
        <w:t>” Carter, 736 F. 3d at 736 (Sutton, J., concurring) (citing Sykes v. United States, 131 S. Ct. 2267 (2011) (Scalia, J., dissenting)). In sum, agencies, no less than courts, must honor the rule of lenity. See Carter, 736 F. 3d at 736 (Sutton, J., concurring). For this reason, the SEC’s interpretation of 15 U.S.C. § 77c(a)(9), even for the past eighty years, cannot stand. Mr. Weed’s prosecution, based on that faulty interpretation, must meet a similar fate.</w:t>
      </w:r>
    </w:p>
    <w:p w14:paraId="656A4D7D" w14:textId="77777777" w:rsidR="00300852" w:rsidRDefault="00781794" w:rsidP="00300852">
      <w:pPr>
        <w:pStyle w:val="Heading4"/>
      </w:pPr>
      <w:r>
        <w:t xml:space="preserve">American democracy solves </w:t>
      </w:r>
      <w:r>
        <w:rPr>
          <w:u w:val="single"/>
        </w:rPr>
        <w:t>conflicts</w:t>
      </w:r>
      <w:r>
        <w:t xml:space="preserve"> – preserving </w:t>
      </w:r>
      <w:r>
        <w:rPr>
          <w:u w:val="single"/>
        </w:rPr>
        <w:t>separation of powers</w:t>
      </w:r>
      <w:r>
        <w:t xml:space="preserve"> prevents </w:t>
      </w:r>
      <w:r>
        <w:rPr>
          <w:u w:val="single"/>
        </w:rPr>
        <w:t>existential risks</w:t>
      </w:r>
      <w:r w:rsidR="00300852">
        <w:t>.</w:t>
      </w:r>
    </w:p>
    <w:p w14:paraId="3A2B9B5D" w14:textId="145695B8" w:rsidR="00781794" w:rsidRPr="00781794" w:rsidRDefault="00781794" w:rsidP="00781794">
      <w:r w:rsidRPr="00781794">
        <w:rPr>
          <w:rStyle w:val="Style13ptBold"/>
        </w:rPr>
        <w:t>Kasparov 17</w:t>
      </w:r>
      <w:r>
        <w:t xml:space="preserve"> – Garry Kasparov</w:t>
      </w:r>
      <w:r w:rsidR="006B5305">
        <w:t>,</w:t>
      </w:r>
      <w:r>
        <w:t xml:space="preserve"> Chairman of the Human Rights Foundation. [Democracy and Human Rights: The Case for U.S. Leadership Subcommittee on Western Hemisphere, Transnational Crime, Civilian Security, Democracy, Human Rights, and Global Women's Issues Thursday, February 16, 2017, https://www.foreign.senate.gov/imo/media/doc/021617_Kasparov_ Testimony.pdf]//BPS</w:t>
      </w:r>
    </w:p>
    <w:p w14:paraId="35F4084A" w14:textId="77777777" w:rsidR="00300852" w:rsidRPr="00781794" w:rsidRDefault="00300852" w:rsidP="00300852">
      <w:pPr>
        <w:rPr>
          <w:sz w:val="16"/>
        </w:rPr>
      </w:pPr>
      <w:r w:rsidRPr="00300852">
        <w:rPr>
          <w:rStyle w:val="StyleUnderline"/>
        </w:rPr>
        <w:t xml:space="preserve">American </w:t>
      </w:r>
      <w:r w:rsidRPr="00456038">
        <w:rPr>
          <w:rStyle w:val="StyleUnderline"/>
          <w:highlight w:val="cyan"/>
        </w:rPr>
        <w:t xml:space="preserve">leadership begins at </w:t>
      </w:r>
      <w:r w:rsidRPr="00456038">
        <w:rPr>
          <w:rStyle w:val="Emphasis"/>
          <w:highlight w:val="cyan"/>
        </w:rPr>
        <w:t>home</w:t>
      </w:r>
      <w:r w:rsidRPr="00300852">
        <w:rPr>
          <w:rStyle w:val="Emphasis"/>
        </w:rPr>
        <w:t>, right here</w:t>
      </w:r>
      <w:r w:rsidRPr="00300852">
        <w:rPr>
          <w:rStyle w:val="StyleUnderline"/>
        </w:rPr>
        <w:t xml:space="preserve">. </w:t>
      </w:r>
      <w:r w:rsidRPr="00456038">
        <w:rPr>
          <w:rStyle w:val="StyleUnderline"/>
          <w:highlight w:val="cyan"/>
        </w:rPr>
        <w:t>America cannot lead</w:t>
      </w:r>
      <w:r w:rsidRPr="00300852">
        <w:rPr>
          <w:rStyle w:val="StyleUnderline"/>
        </w:rPr>
        <w:t xml:space="preserve"> the world </w:t>
      </w:r>
      <w:r w:rsidRPr="00456038">
        <w:rPr>
          <w:rStyle w:val="StyleUnderline"/>
          <w:highlight w:val="cyan"/>
        </w:rPr>
        <w:t xml:space="preserve">on </w:t>
      </w:r>
      <w:r w:rsidRPr="00456038">
        <w:rPr>
          <w:rStyle w:val="Emphasis"/>
          <w:highlight w:val="cyan"/>
        </w:rPr>
        <w:t>democracy</w:t>
      </w:r>
      <w:r w:rsidRPr="00781794">
        <w:rPr>
          <w:sz w:val="16"/>
        </w:rPr>
        <w:t xml:space="preserve"> and</w:t>
      </w:r>
      <w:r w:rsidR="00781794" w:rsidRPr="00781794">
        <w:rPr>
          <w:sz w:val="16"/>
        </w:rPr>
        <w:t xml:space="preserve"> </w:t>
      </w:r>
      <w:r w:rsidRPr="00781794">
        <w:rPr>
          <w:sz w:val="16"/>
        </w:rPr>
        <w:t xml:space="preserve">human rights </w:t>
      </w:r>
      <w:r w:rsidRPr="00456038">
        <w:rPr>
          <w:rStyle w:val="StyleUnderline"/>
          <w:highlight w:val="cyan"/>
        </w:rPr>
        <w:t xml:space="preserve">if there is no </w:t>
      </w:r>
      <w:r w:rsidRPr="00456038">
        <w:rPr>
          <w:rStyle w:val="Emphasis"/>
          <w:highlight w:val="cyan"/>
        </w:rPr>
        <w:t>unity</w:t>
      </w:r>
      <w:r w:rsidRPr="00781794">
        <w:rPr>
          <w:sz w:val="16"/>
        </w:rPr>
        <w:t xml:space="preserve"> on the meaning and importance of these things. </w:t>
      </w:r>
      <w:r w:rsidRPr="00300852">
        <w:rPr>
          <w:rStyle w:val="StyleUnderline"/>
        </w:rPr>
        <w:t>Leadership is</w:t>
      </w:r>
      <w:r w:rsidR="00781794">
        <w:rPr>
          <w:rStyle w:val="StyleUnderline"/>
        </w:rPr>
        <w:t xml:space="preserve"> </w:t>
      </w:r>
      <w:r w:rsidRPr="00300852">
        <w:rPr>
          <w:rStyle w:val="Emphasis"/>
        </w:rPr>
        <w:t>required</w:t>
      </w:r>
      <w:r w:rsidRPr="00781794">
        <w:rPr>
          <w:sz w:val="16"/>
        </w:rPr>
        <w:t xml:space="preserve"> to make that case clearly and powerfully. Right now, Americans are engaged in politics</w:t>
      </w:r>
      <w:r w:rsidR="00781794" w:rsidRPr="00781794">
        <w:rPr>
          <w:sz w:val="16"/>
        </w:rPr>
        <w:t xml:space="preserve"> </w:t>
      </w:r>
      <w:r w:rsidRPr="00781794">
        <w:rPr>
          <w:sz w:val="16"/>
        </w:rPr>
        <w:t>at a level not seen in decades. It is an opportunity for them to rediscover that making America</w:t>
      </w:r>
      <w:r w:rsidR="00781794" w:rsidRPr="00781794">
        <w:rPr>
          <w:sz w:val="16"/>
        </w:rPr>
        <w:t xml:space="preserve"> </w:t>
      </w:r>
      <w:r w:rsidRPr="00781794">
        <w:rPr>
          <w:sz w:val="16"/>
        </w:rPr>
        <w:t>great begins with believing America can be great.</w:t>
      </w:r>
    </w:p>
    <w:p w14:paraId="6DEEDFFD" w14:textId="77777777" w:rsidR="00781794" w:rsidRPr="00781794" w:rsidRDefault="00781794" w:rsidP="00300852">
      <w:pPr>
        <w:rPr>
          <w:sz w:val="16"/>
        </w:rPr>
      </w:pPr>
      <w:r w:rsidRPr="00781794">
        <w:rPr>
          <w:rStyle w:val="StyleUnderline"/>
        </w:rPr>
        <w:t xml:space="preserve">The </w:t>
      </w:r>
      <w:r w:rsidRPr="00456038">
        <w:rPr>
          <w:rStyle w:val="StyleUnderline"/>
          <w:highlight w:val="cyan"/>
        </w:rPr>
        <w:t>Cold War was won on</w:t>
      </w:r>
      <w:r w:rsidRPr="00781794">
        <w:rPr>
          <w:rStyle w:val="StyleUnderline"/>
        </w:rPr>
        <w:t xml:space="preserve"> </w:t>
      </w:r>
      <w:r w:rsidRPr="00781794">
        <w:rPr>
          <w:rStyle w:val="Emphasis"/>
        </w:rPr>
        <w:t xml:space="preserve">American </w:t>
      </w:r>
      <w:r w:rsidRPr="00456038">
        <w:rPr>
          <w:rStyle w:val="Emphasis"/>
          <w:highlight w:val="cyan"/>
        </w:rPr>
        <w:t>values</w:t>
      </w:r>
      <w:r w:rsidRPr="00781794">
        <w:rPr>
          <w:sz w:val="16"/>
        </w:rPr>
        <w:t xml:space="preserve"> that were shared by both parties and nearly every American. Institutions that were created by a Democrat, Truman, were triumphant forty years later thanks to the courage of a Republican, Reagan. This bipartisan consistency created the decades of strategic stability that is the great strength of democracies. </w:t>
      </w:r>
      <w:r w:rsidRPr="00781794">
        <w:rPr>
          <w:rStyle w:val="Emphasis"/>
        </w:rPr>
        <w:t xml:space="preserve">Strong </w:t>
      </w:r>
      <w:r w:rsidRPr="00456038">
        <w:rPr>
          <w:rStyle w:val="Emphasis"/>
          <w:highlight w:val="cyan"/>
        </w:rPr>
        <w:t>institutions</w:t>
      </w:r>
      <w:r w:rsidRPr="00781794">
        <w:rPr>
          <w:sz w:val="16"/>
        </w:rPr>
        <w:t xml:space="preserve"> that </w:t>
      </w:r>
      <w:r w:rsidRPr="00456038">
        <w:rPr>
          <w:rStyle w:val="StyleUnderline"/>
          <w:highlight w:val="cyan"/>
        </w:rPr>
        <w:t>outlast politicians</w:t>
      </w:r>
      <w:r w:rsidRPr="00781794">
        <w:rPr>
          <w:rStyle w:val="StyleUnderline"/>
        </w:rPr>
        <w:t xml:space="preserve"> allow for </w:t>
      </w:r>
      <w:r w:rsidRPr="00781794">
        <w:rPr>
          <w:rStyle w:val="Emphasis"/>
        </w:rPr>
        <w:t>long-range planning</w:t>
      </w:r>
      <w:r w:rsidRPr="00781794">
        <w:rPr>
          <w:sz w:val="16"/>
        </w:rPr>
        <w:t xml:space="preserve">. In contrast, </w:t>
      </w:r>
      <w:r w:rsidRPr="00456038">
        <w:rPr>
          <w:rStyle w:val="StyleUnderline"/>
          <w:highlight w:val="cyan"/>
        </w:rPr>
        <w:t>dictators</w:t>
      </w:r>
      <w:r w:rsidRPr="00781794">
        <w:rPr>
          <w:sz w:val="16"/>
        </w:rPr>
        <w:t xml:space="preserve"> can </w:t>
      </w:r>
      <w:r w:rsidRPr="00456038">
        <w:rPr>
          <w:rStyle w:val="StyleUnderline"/>
          <w:highlight w:val="cyan"/>
        </w:rPr>
        <w:t>operate</w:t>
      </w:r>
      <w:r w:rsidRPr="00781794">
        <w:rPr>
          <w:sz w:val="16"/>
        </w:rPr>
        <w:t xml:space="preserve"> only </w:t>
      </w:r>
      <w:r w:rsidRPr="00456038">
        <w:rPr>
          <w:rStyle w:val="Emphasis"/>
          <w:highlight w:val="cyan"/>
        </w:rPr>
        <w:t>tactically</w:t>
      </w:r>
      <w:r w:rsidRPr="00781794">
        <w:rPr>
          <w:sz w:val="16"/>
        </w:rPr>
        <w:t xml:space="preserve">, not strategically, </w:t>
      </w:r>
      <w:r w:rsidRPr="00781794">
        <w:rPr>
          <w:rStyle w:val="StyleUnderline"/>
        </w:rPr>
        <w:t xml:space="preserve">because </w:t>
      </w:r>
      <w:r w:rsidRPr="00456038">
        <w:rPr>
          <w:rStyle w:val="StyleUnderline"/>
          <w:highlight w:val="cyan"/>
        </w:rPr>
        <w:t>they are not constrained by</w:t>
      </w:r>
      <w:r w:rsidRPr="00781794">
        <w:rPr>
          <w:rStyle w:val="StyleUnderline"/>
        </w:rPr>
        <w:t xml:space="preserve"> </w:t>
      </w:r>
      <w:r w:rsidRPr="00781794">
        <w:rPr>
          <w:rStyle w:val="Emphasis"/>
        </w:rPr>
        <w:t xml:space="preserve">the </w:t>
      </w:r>
      <w:r w:rsidRPr="00456038">
        <w:rPr>
          <w:rStyle w:val="Emphasis"/>
          <w:highlight w:val="cyan"/>
        </w:rPr>
        <w:t>balance of powers</w:t>
      </w:r>
      <w:r w:rsidRPr="00781794">
        <w:rPr>
          <w:sz w:val="16"/>
        </w:rPr>
        <w:t xml:space="preserve">, but cannot afford to think beyond their own survival. This is why a dictator like </w:t>
      </w:r>
      <w:r w:rsidRPr="00456038">
        <w:rPr>
          <w:rStyle w:val="StyleUnderline"/>
          <w:highlight w:val="cyan"/>
        </w:rPr>
        <w:t>Putin has</w:t>
      </w:r>
      <w:r w:rsidRPr="00781794">
        <w:rPr>
          <w:rStyle w:val="StyleUnderline"/>
        </w:rPr>
        <w:t xml:space="preserve"> an </w:t>
      </w:r>
      <w:r w:rsidRPr="00456038">
        <w:rPr>
          <w:rStyle w:val="StyleUnderline"/>
          <w:highlight w:val="cyan"/>
        </w:rPr>
        <w:t xml:space="preserve">advantage in </w:t>
      </w:r>
      <w:r w:rsidRPr="00456038">
        <w:rPr>
          <w:rStyle w:val="Emphasis"/>
          <w:highlight w:val="cyan"/>
        </w:rPr>
        <w:t>chaos</w:t>
      </w:r>
      <w:r w:rsidRPr="00781794">
        <w:rPr>
          <w:sz w:val="16"/>
        </w:rPr>
        <w:t>, the ability to move quickly. This can only be met by strategy, by long-term goals that are based on shared values, not on polls and cable news.</w:t>
      </w:r>
    </w:p>
    <w:p w14:paraId="0013D657" w14:textId="77777777" w:rsidR="00781794" w:rsidRPr="00781794" w:rsidRDefault="00781794" w:rsidP="00300852">
      <w:pPr>
        <w:rPr>
          <w:sz w:val="16"/>
        </w:rPr>
      </w:pPr>
      <w:r w:rsidRPr="00781794">
        <w:rPr>
          <w:sz w:val="16"/>
        </w:rPr>
        <w:t xml:space="preserve">The fear of making things worse has paralyzed the United States from trying to make things better. There will always be setbacks, but the United States cannot quit. </w:t>
      </w:r>
      <w:r w:rsidRPr="00781794">
        <w:rPr>
          <w:rStyle w:val="StyleUnderline"/>
        </w:rPr>
        <w:t xml:space="preserve">The spread of </w:t>
      </w:r>
      <w:r w:rsidRPr="00456038">
        <w:rPr>
          <w:rStyle w:val="StyleUnderline"/>
          <w:highlight w:val="cyan"/>
        </w:rPr>
        <w:t xml:space="preserve">democracy is </w:t>
      </w:r>
      <w:r w:rsidRPr="00456038">
        <w:rPr>
          <w:rStyle w:val="Emphasis"/>
          <w:highlight w:val="cyan"/>
        </w:rPr>
        <w:t>the only</w:t>
      </w:r>
      <w:r w:rsidRPr="00781794">
        <w:rPr>
          <w:rStyle w:val="Emphasis"/>
        </w:rPr>
        <w:t xml:space="preserve"> proven </w:t>
      </w:r>
      <w:r w:rsidRPr="00456038">
        <w:rPr>
          <w:rStyle w:val="Emphasis"/>
          <w:highlight w:val="cyan"/>
        </w:rPr>
        <w:t>remedy</w:t>
      </w:r>
      <w:r w:rsidRPr="00456038">
        <w:rPr>
          <w:rStyle w:val="StyleUnderline"/>
          <w:highlight w:val="cyan"/>
        </w:rPr>
        <w:t xml:space="preserve"> for</w:t>
      </w:r>
      <w:r w:rsidRPr="00781794">
        <w:rPr>
          <w:sz w:val="16"/>
        </w:rPr>
        <w:t xml:space="preserve"> nearly </w:t>
      </w:r>
      <w:r w:rsidRPr="00456038">
        <w:rPr>
          <w:rStyle w:val="Emphasis"/>
          <w:highlight w:val="cyan"/>
        </w:rPr>
        <w:t>every crisis</w:t>
      </w:r>
      <w:r w:rsidRPr="00781794">
        <w:rPr>
          <w:rStyle w:val="StyleUnderline"/>
        </w:rPr>
        <w:t xml:space="preserve"> that plagues the world </w:t>
      </w:r>
      <w:r w:rsidRPr="00781794">
        <w:rPr>
          <w:rStyle w:val="Emphasis"/>
        </w:rPr>
        <w:t>today</w:t>
      </w:r>
      <w:r w:rsidRPr="00781794">
        <w:rPr>
          <w:rStyle w:val="StyleUnderline"/>
        </w:rPr>
        <w:t xml:space="preserve">. </w:t>
      </w:r>
      <w:r w:rsidRPr="00456038">
        <w:rPr>
          <w:rStyle w:val="StyleUnderline"/>
          <w:highlight w:val="cyan"/>
        </w:rPr>
        <w:t>War, famine, poverty, terrorism</w:t>
      </w:r>
      <w:r w:rsidRPr="00781794">
        <w:rPr>
          <w:rStyle w:val="StyleUnderline"/>
        </w:rPr>
        <w:t>–all</w:t>
      </w:r>
      <w:r w:rsidRPr="00781794">
        <w:rPr>
          <w:sz w:val="16"/>
        </w:rPr>
        <w:t xml:space="preserve"> are </w:t>
      </w:r>
      <w:r w:rsidRPr="00456038">
        <w:rPr>
          <w:rStyle w:val="Emphasis"/>
          <w:highlight w:val="cyan"/>
        </w:rPr>
        <w:t>generated and exacerbated</w:t>
      </w:r>
      <w:r w:rsidRPr="00456038">
        <w:rPr>
          <w:rStyle w:val="StyleUnderline"/>
          <w:highlight w:val="cyan"/>
        </w:rPr>
        <w:t xml:space="preserve"> by authoritarian regimes</w:t>
      </w:r>
      <w:r w:rsidRPr="00781794">
        <w:rPr>
          <w:sz w:val="16"/>
        </w:rPr>
        <w:t>. A policy of America First inevitably puts American security last.</w:t>
      </w:r>
    </w:p>
    <w:p w14:paraId="14126A9A" w14:textId="77777777" w:rsidR="00781794" w:rsidRDefault="00781794" w:rsidP="00300852">
      <w:pPr>
        <w:rPr>
          <w:sz w:val="16"/>
        </w:rPr>
      </w:pPr>
      <w:r w:rsidRPr="00781794">
        <w:rPr>
          <w:rStyle w:val="StyleUnderline"/>
        </w:rPr>
        <w:t xml:space="preserve">American </w:t>
      </w:r>
      <w:r w:rsidRPr="00456038">
        <w:rPr>
          <w:rStyle w:val="StyleUnderline"/>
          <w:highlight w:val="cyan"/>
        </w:rPr>
        <w:t xml:space="preserve">leadership is </w:t>
      </w:r>
      <w:r w:rsidRPr="00456038">
        <w:rPr>
          <w:rStyle w:val="Emphasis"/>
          <w:highlight w:val="cyan"/>
        </w:rPr>
        <w:t>required</w:t>
      </w:r>
      <w:r w:rsidRPr="00781794">
        <w:rPr>
          <w:rStyle w:val="StyleUnderline"/>
        </w:rPr>
        <w:t xml:space="preserve"> because </w:t>
      </w:r>
      <w:r w:rsidRPr="00456038">
        <w:rPr>
          <w:rStyle w:val="StyleUnderline"/>
          <w:highlight w:val="cyan"/>
        </w:rPr>
        <w:t xml:space="preserve">there is </w:t>
      </w:r>
      <w:r w:rsidRPr="00456038">
        <w:rPr>
          <w:rStyle w:val="Emphasis"/>
          <w:highlight w:val="cyan"/>
        </w:rPr>
        <w:t>no one else</w:t>
      </w:r>
      <w:r w:rsidRPr="00781794">
        <w:rPr>
          <w:sz w:val="16"/>
        </w:rPr>
        <w:t xml:space="preserve">, and because it is good for America. </w:t>
      </w:r>
      <w:r w:rsidRPr="00781794">
        <w:rPr>
          <w:rStyle w:val="StyleUnderline"/>
        </w:rPr>
        <w:t xml:space="preserve">There is </w:t>
      </w:r>
      <w:r w:rsidRPr="00456038">
        <w:rPr>
          <w:rStyle w:val="Emphasis"/>
          <w:highlight w:val="cyan"/>
        </w:rPr>
        <w:t>no weapon</w:t>
      </w:r>
      <w:r w:rsidRPr="00456038">
        <w:rPr>
          <w:rStyle w:val="StyleUnderline"/>
          <w:highlight w:val="cyan"/>
        </w:rPr>
        <w:t xml:space="preserve"> or </w:t>
      </w:r>
      <w:r w:rsidRPr="00456038">
        <w:rPr>
          <w:rStyle w:val="Emphasis"/>
          <w:highlight w:val="cyan"/>
        </w:rPr>
        <w:t>wall</w:t>
      </w:r>
      <w:r w:rsidRPr="00781794">
        <w:rPr>
          <w:rStyle w:val="StyleUnderline"/>
        </w:rPr>
        <w:t xml:space="preserve"> that is </w:t>
      </w:r>
      <w:r w:rsidRPr="00456038">
        <w:rPr>
          <w:rStyle w:val="Emphasis"/>
          <w:highlight w:val="cyan"/>
        </w:rPr>
        <w:t>more powerful</w:t>
      </w:r>
      <w:r w:rsidRPr="00781794">
        <w:rPr>
          <w:rStyle w:val="Emphasis"/>
        </w:rPr>
        <w:t xml:space="preserve"> for security</w:t>
      </w:r>
      <w:r w:rsidRPr="00781794">
        <w:rPr>
          <w:rStyle w:val="StyleUnderline"/>
        </w:rPr>
        <w:t xml:space="preserve"> </w:t>
      </w:r>
      <w:r w:rsidRPr="00456038">
        <w:rPr>
          <w:rStyle w:val="StyleUnderline"/>
          <w:highlight w:val="cyan"/>
        </w:rPr>
        <w:t>than America being</w:t>
      </w:r>
      <w:r w:rsidRPr="00781794">
        <w:rPr>
          <w:rStyle w:val="StyleUnderline"/>
        </w:rPr>
        <w:t xml:space="preserve"> </w:t>
      </w:r>
      <w:r w:rsidRPr="00781794">
        <w:rPr>
          <w:rStyle w:val="Emphasis"/>
        </w:rPr>
        <w:t>envied</w:t>
      </w:r>
      <w:r w:rsidRPr="00781794">
        <w:rPr>
          <w:rStyle w:val="StyleUnderline"/>
        </w:rPr>
        <w:t xml:space="preserve">, </w:t>
      </w:r>
      <w:r w:rsidRPr="00456038">
        <w:rPr>
          <w:rStyle w:val="Emphasis"/>
          <w:highlight w:val="cyan"/>
        </w:rPr>
        <w:t>imitated</w:t>
      </w:r>
      <w:r w:rsidRPr="00781794">
        <w:rPr>
          <w:rStyle w:val="StyleUnderline"/>
        </w:rPr>
        <w:t>,</w:t>
      </w:r>
      <w:r>
        <w:rPr>
          <w:rStyle w:val="StyleUnderline"/>
        </w:rPr>
        <w:t xml:space="preserve"> </w:t>
      </w:r>
      <w:r w:rsidRPr="00781794">
        <w:rPr>
          <w:rStyle w:val="StyleUnderline"/>
        </w:rPr>
        <w:t xml:space="preserve">and </w:t>
      </w:r>
      <w:r w:rsidRPr="00781794">
        <w:rPr>
          <w:rStyle w:val="Emphasis"/>
        </w:rPr>
        <w:t>admired</w:t>
      </w:r>
      <w:r w:rsidRPr="00781794">
        <w:rPr>
          <w:rStyle w:val="StyleUnderline"/>
        </w:rPr>
        <w:t xml:space="preserve"> around the world</w:t>
      </w:r>
      <w:r w:rsidRPr="00781794">
        <w:rPr>
          <w:sz w:val="16"/>
        </w:rPr>
        <w:t>. Admired not for being perfect, but for having the exceptional courage to always try to be better. Thank you.</w:t>
      </w:r>
    </w:p>
    <w:p w14:paraId="094CBE7F" w14:textId="50C14900" w:rsidR="00C8282D" w:rsidRDefault="00C8282D" w:rsidP="005A49E2">
      <w:pPr>
        <w:pStyle w:val="Heading3"/>
      </w:pPr>
      <w:r>
        <w:t>1AC – Deportations</w:t>
      </w:r>
    </w:p>
    <w:p w14:paraId="221A5DC8" w14:textId="056EF83E" w:rsidR="00C8282D" w:rsidRDefault="00C8282D" w:rsidP="00C8282D">
      <w:pPr>
        <w:pStyle w:val="Heading4"/>
      </w:pPr>
      <w:r>
        <w:t xml:space="preserve">Advantage </w:t>
      </w:r>
      <w:r w:rsidR="00600EF8">
        <w:t xml:space="preserve">two is </w:t>
      </w:r>
      <w:r w:rsidR="00600EF8" w:rsidRPr="00600EF8">
        <w:rPr>
          <w:u w:val="single"/>
        </w:rPr>
        <w:t>deportations</w:t>
      </w:r>
      <w:r>
        <w:t>:</w:t>
      </w:r>
    </w:p>
    <w:p w14:paraId="7BA2C383" w14:textId="032FC712" w:rsidR="00C8282D" w:rsidRDefault="00C8282D" w:rsidP="00C8282D"/>
    <w:p w14:paraId="7612B0D3" w14:textId="2209538A" w:rsidR="00B51F6B" w:rsidRPr="0000458A" w:rsidRDefault="00B51F6B" w:rsidP="00B51F6B">
      <w:pPr>
        <w:pStyle w:val="Heading4"/>
      </w:pPr>
      <w:r w:rsidRPr="00621D20">
        <w:rPr>
          <w:u w:val="single"/>
        </w:rPr>
        <w:t>Hybrid statutes</w:t>
      </w:r>
      <w:r>
        <w:t xml:space="preserve"> cause them.</w:t>
      </w:r>
    </w:p>
    <w:p w14:paraId="461692E7" w14:textId="77777777" w:rsidR="00B51F6B" w:rsidRPr="0000458A" w:rsidRDefault="00B51F6B" w:rsidP="00B51F6B">
      <w:r w:rsidRPr="0000458A">
        <w:rPr>
          <w:rStyle w:val="Heading4Char"/>
        </w:rPr>
        <w:t>LeGrand et al. 15</w:t>
      </w:r>
      <w:r w:rsidRPr="0000458A">
        <w:t xml:space="preserve"> – (Andrew P. LeGrand, Columbia University - 2015 Doctor of Education Columbia University - 2009 Juris Doctor Columbia University - 2006 Master of Education University of Oklahoma - 2004 Bachelor of Arts; Elizabeth M. Viney, litigation layer; Chantel M. Kramme, lawyer; David Debold, council of records; Danielle Serbin; Caitlin Peter; Helen Avunjian; Manuel D. Vargas; Andrew Machtenheim; Joshua L. Dratel; Sarah S. Gannett; Daniel Kaplan; Donna F. Coltharp; Sara B. Thomas; Sejal Zota; “JORGE LUNA TORRES, v. LORETTA E. LYNCH; BRIEF OF THE NATIONAL ASSOCIATION OF CRIMINAL DEFENSE LAWYERS, NATIONAL ASSOCIATION OF FEDERAL DEFENDERS, NATIONAL ASSOCIATION FOR PUBLIC DEFENSE, NATIONAL IMMIGRATION PROJECT OF THE NATIONAL LAWYERS GUILD, AND IMMIGRANT DEFENSE PROJECT, AS AMICI CURIAE IN SUPPORT OF PETITIONER”; D.A. June 20</w:t>
      </w:r>
      <w:r w:rsidRPr="0000458A">
        <w:rPr>
          <w:vertAlign w:val="superscript"/>
        </w:rPr>
        <w:t>th</w:t>
      </w:r>
      <w:r w:rsidRPr="0000458A">
        <w:t xml:space="preserve"> 2020, [Published August 25</w:t>
      </w:r>
      <w:r w:rsidRPr="0000458A">
        <w:rPr>
          <w:vertAlign w:val="superscript"/>
        </w:rPr>
        <w:t>th</w:t>
      </w:r>
      <w:r w:rsidRPr="0000458A">
        <w:t xml:space="preserve"> 2015]; </w:t>
      </w:r>
      <w:hyperlink r:id="rId6" w:history="1">
        <w:r w:rsidRPr="0000458A">
          <w:rPr>
            <w:rStyle w:val="Hyperlink"/>
          </w:rPr>
          <w:t>https://www.nationalimmigrationproject.org/PDFs/practitioners/our_lit/sel_amicus_briefs/2015_25Aug_Luna-Torres-v.-Lynch.pdf</w:t>
        </w:r>
      </w:hyperlink>
      <w:r w:rsidRPr="0000458A">
        <w:t>) //LFS—JCM</w:t>
      </w:r>
    </w:p>
    <w:p w14:paraId="6B0E7252" w14:textId="77777777" w:rsidR="00B51F6B" w:rsidRPr="0000458A" w:rsidRDefault="00B51F6B" w:rsidP="00B51F6B">
      <w:pPr>
        <w:rPr>
          <w:sz w:val="16"/>
        </w:rPr>
      </w:pPr>
      <w:r w:rsidRPr="0000458A">
        <w:rPr>
          <w:rStyle w:val="StyleUnderline"/>
        </w:rPr>
        <w:t>The statutory provision</w:t>
      </w:r>
      <w:r w:rsidRPr="0000458A">
        <w:rPr>
          <w:sz w:val="16"/>
        </w:rPr>
        <w:t xml:space="preserve"> at issue in this case—</w:t>
      </w:r>
      <w:r w:rsidRPr="00456038">
        <w:rPr>
          <w:rStyle w:val="StyleUnderline"/>
          <w:highlight w:val="cyan"/>
        </w:rPr>
        <w:t xml:space="preserve">the </w:t>
      </w:r>
      <w:r w:rsidRPr="00456038">
        <w:rPr>
          <w:rStyle w:val="Emphasis"/>
          <w:highlight w:val="cyan"/>
        </w:rPr>
        <w:t>definition</w:t>
      </w:r>
      <w:r w:rsidRPr="00456038">
        <w:rPr>
          <w:rStyle w:val="StyleUnderline"/>
          <w:highlight w:val="cyan"/>
        </w:rPr>
        <w:t xml:space="preserve"> of</w:t>
      </w:r>
      <w:r w:rsidRPr="0000458A">
        <w:rPr>
          <w:rStyle w:val="StyleUnderline"/>
        </w:rPr>
        <w:t xml:space="preserve"> “</w:t>
      </w:r>
      <w:r w:rsidRPr="00456038">
        <w:rPr>
          <w:rStyle w:val="Emphasis"/>
          <w:highlight w:val="cyan"/>
        </w:rPr>
        <w:t>aggravated felony</w:t>
      </w:r>
      <w:r w:rsidRPr="0000458A">
        <w:rPr>
          <w:sz w:val="16"/>
        </w:rPr>
        <w:t xml:space="preserve">” </w:t>
      </w:r>
      <w:r w:rsidRPr="00456038">
        <w:rPr>
          <w:rStyle w:val="StyleUnderline"/>
          <w:highlight w:val="cyan"/>
        </w:rPr>
        <w:t>in the</w:t>
      </w:r>
      <w:r w:rsidRPr="0000458A">
        <w:rPr>
          <w:sz w:val="16"/>
        </w:rPr>
        <w:t xml:space="preserve"> Immigration and Nationality Act (the “</w:t>
      </w:r>
      <w:r w:rsidRPr="00456038">
        <w:rPr>
          <w:rStyle w:val="StyleUnderline"/>
          <w:highlight w:val="cyan"/>
        </w:rPr>
        <w:t>INA</w:t>
      </w:r>
      <w:r w:rsidRPr="0000458A">
        <w:rPr>
          <w:sz w:val="16"/>
        </w:rPr>
        <w:t xml:space="preserve">”), 8 U.S.C. § 1101(a)(43) (“Section 1101(a)(43)”)—has </w:t>
      </w:r>
      <w:r w:rsidRPr="0000458A">
        <w:rPr>
          <w:rStyle w:val="StyleUnderline"/>
        </w:rPr>
        <w:t>been before this Court many times</w:t>
      </w:r>
      <w:r w:rsidRPr="0000458A">
        <w:rPr>
          <w:sz w:val="16"/>
        </w:rPr>
        <w:t xml:space="preserve">. It </w:t>
      </w:r>
      <w:r w:rsidRPr="00456038">
        <w:rPr>
          <w:rStyle w:val="StyleUnderline"/>
          <w:highlight w:val="cyan"/>
        </w:rPr>
        <w:t xml:space="preserve">creates severe </w:t>
      </w:r>
      <w:r w:rsidRPr="00456038">
        <w:rPr>
          <w:rStyle w:val="Emphasis"/>
          <w:highlight w:val="cyan"/>
        </w:rPr>
        <w:t>criminal</w:t>
      </w:r>
      <w:r w:rsidRPr="0000458A">
        <w:rPr>
          <w:rStyle w:val="StyleUnderline"/>
        </w:rPr>
        <w:t xml:space="preserve"> law </w:t>
      </w:r>
      <w:r w:rsidRPr="00456038">
        <w:rPr>
          <w:rStyle w:val="Emphasis"/>
          <w:highlight w:val="cyan"/>
        </w:rPr>
        <w:t>consequences</w:t>
      </w:r>
      <w:r w:rsidRPr="0000458A">
        <w:rPr>
          <w:sz w:val="16"/>
        </w:rPr>
        <w:t xml:space="preserve"> for many individuals, including </w:t>
      </w:r>
      <w:r w:rsidRPr="0000458A">
        <w:rPr>
          <w:rStyle w:val="StyleUnderline"/>
        </w:rPr>
        <w:t>non-citizens convicted of illegal reentry</w:t>
      </w:r>
      <w:r w:rsidRPr="0000458A">
        <w:rPr>
          <w:sz w:val="16"/>
        </w:rPr>
        <w:t xml:space="preserve"> into the country after removal, the second-most prosecuted federal felony in the United States. As Petitioner has argued, the statute is clear on the point at issue here; a state offense is not “described in” the federal arson statute for purposes of § 1101(a)(43)(E) unless it shares each element of the federal offense. Pet. Br. at 14–29.</w:t>
      </w:r>
    </w:p>
    <w:p w14:paraId="24449BCB" w14:textId="77777777" w:rsidR="00B51F6B" w:rsidRPr="0000458A" w:rsidRDefault="00B51F6B" w:rsidP="00B51F6B">
      <w:pPr>
        <w:rPr>
          <w:sz w:val="16"/>
        </w:rPr>
      </w:pPr>
      <w:r w:rsidRPr="0000458A">
        <w:rPr>
          <w:sz w:val="16"/>
        </w:rPr>
        <w:t xml:space="preserve">But </w:t>
      </w:r>
      <w:r w:rsidRPr="0000458A">
        <w:rPr>
          <w:rStyle w:val="StyleUnderline"/>
        </w:rPr>
        <w:t xml:space="preserve">should </w:t>
      </w:r>
      <w:r w:rsidRPr="00456038">
        <w:rPr>
          <w:rStyle w:val="StyleUnderline"/>
          <w:highlight w:val="cyan"/>
        </w:rPr>
        <w:t>the Court find</w:t>
      </w:r>
      <w:r w:rsidRPr="0000458A">
        <w:rPr>
          <w:rStyle w:val="StyleUnderline"/>
        </w:rPr>
        <w:t xml:space="preserve"> the </w:t>
      </w:r>
      <w:r w:rsidRPr="00456038">
        <w:rPr>
          <w:rStyle w:val="Emphasis"/>
          <w:highlight w:val="cyan"/>
        </w:rPr>
        <w:t>statute ambiguous</w:t>
      </w:r>
      <w:r w:rsidRPr="0000458A">
        <w:rPr>
          <w:sz w:val="16"/>
        </w:rPr>
        <w:t xml:space="preserve">, </w:t>
      </w:r>
      <w:r w:rsidRPr="0000458A">
        <w:rPr>
          <w:rStyle w:val="StyleUnderline"/>
        </w:rPr>
        <w:t xml:space="preserve">it </w:t>
      </w:r>
      <w:r w:rsidRPr="00456038">
        <w:rPr>
          <w:rStyle w:val="StyleUnderline"/>
          <w:highlight w:val="cyan"/>
        </w:rPr>
        <w:t>must clarify for</w:t>
      </w:r>
      <w:r w:rsidRPr="0000458A">
        <w:rPr>
          <w:rStyle w:val="StyleUnderline"/>
        </w:rPr>
        <w:t xml:space="preserve"> the lower courts</w:t>
      </w:r>
      <w:r w:rsidRPr="0000458A">
        <w:rPr>
          <w:sz w:val="16"/>
        </w:rPr>
        <w:t xml:space="preserve"> the role </w:t>
      </w:r>
      <w:r w:rsidRPr="0000458A">
        <w:rPr>
          <w:rStyle w:val="StyleUnderline"/>
        </w:rPr>
        <w:t>of an agency’s interpretation</w:t>
      </w:r>
      <w:r w:rsidRPr="0000458A">
        <w:rPr>
          <w:sz w:val="16"/>
        </w:rPr>
        <w:t xml:space="preserve"> </w:t>
      </w:r>
      <w:r w:rsidRPr="0000458A">
        <w:rPr>
          <w:rStyle w:val="StyleUnderline"/>
        </w:rPr>
        <w:t>in</w:t>
      </w:r>
      <w:r w:rsidRPr="0000458A">
        <w:rPr>
          <w:sz w:val="16"/>
        </w:rPr>
        <w:t xml:space="preserve"> </w:t>
      </w:r>
      <w:r w:rsidRPr="00456038">
        <w:rPr>
          <w:rStyle w:val="Emphasis"/>
          <w:highlight w:val="cyan"/>
        </w:rPr>
        <w:t>hybrid statutes</w:t>
      </w:r>
      <w:r w:rsidRPr="0000458A">
        <w:rPr>
          <w:sz w:val="16"/>
        </w:rPr>
        <w:t xml:space="preserve">—those </w:t>
      </w:r>
      <w:r w:rsidRPr="00456038">
        <w:rPr>
          <w:rStyle w:val="StyleUnderline"/>
          <w:highlight w:val="cyan"/>
        </w:rPr>
        <w:t>that have</w:t>
      </w:r>
      <w:r w:rsidRPr="0000458A">
        <w:rPr>
          <w:rStyle w:val="StyleUnderline"/>
        </w:rPr>
        <w:t xml:space="preserve"> both </w:t>
      </w:r>
      <w:r w:rsidRPr="00456038">
        <w:rPr>
          <w:rStyle w:val="Emphasis"/>
          <w:highlight w:val="cyan"/>
        </w:rPr>
        <w:t>civil and criminal</w:t>
      </w:r>
      <w:r w:rsidRPr="00456038">
        <w:rPr>
          <w:rStyle w:val="StyleUnderline"/>
          <w:highlight w:val="cyan"/>
        </w:rPr>
        <w:t xml:space="preserve"> applications</w:t>
      </w:r>
      <w:r w:rsidRPr="00456038">
        <w:rPr>
          <w:sz w:val="16"/>
          <w:highlight w:val="cyan"/>
        </w:rPr>
        <w:t>.</w:t>
      </w:r>
      <w:r w:rsidRPr="0000458A">
        <w:rPr>
          <w:sz w:val="16"/>
        </w:rPr>
        <w:t xml:space="preserve"> In such cases, </w:t>
      </w:r>
      <w:r w:rsidRPr="00456038">
        <w:rPr>
          <w:rStyle w:val="StyleUnderline"/>
          <w:highlight w:val="cyan"/>
        </w:rPr>
        <w:t>courts must apply</w:t>
      </w:r>
      <w:r w:rsidRPr="0000458A">
        <w:rPr>
          <w:rStyle w:val="StyleUnderline"/>
        </w:rPr>
        <w:t xml:space="preserve"> the</w:t>
      </w:r>
      <w:r w:rsidRPr="0000458A">
        <w:rPr>
          <w:sz w:val="16"/>
        </w:rPr>
        <w:t xml:space="preserve"> time-honored criminal </w:t>
      </w:r>
      <w:r w:rsidRPr="0000458A">
        <w:rPr>
          <w:rStyle w:val="Emphasis"/>
        </w:rPr>
        <w:t xml:space="preserve">rule of </w:t>
      </w:r>
      <w:r w:rsidRPr="00456038">
        <w:rPr>
          <w:rStyle w:val="Emphasis"/>
          <w:highlight w:val="cyan"/>
        </w:rPr>
        <w:t>lenity</w:t>
      </w:r>
      <w:r w:rsidRPr="0000458A">
        <w:rPr>
          <w:rStyle w:val="StyleUnderline"/>
        </w:rPr>
        <w:t xml:space="preserve"> to interpret any statutory ambiguity in favor of a criminal defendant</w:t>
      </w:r>
      <w:r w:rsidRPr="0000458A">
        <w:rPr>
          <w:sz w:val="16"/>
        </w:rPr>
        <w:t xml:space="preserve"> or a civil petitioner, </w:t>
      </w:r>
      <w:r w:rsidRPr="00456038">
        <w:rPr>
          <w:rStyle w:val="StyleUnderline"/>
          <w:highlight w:val="cyan"/>
        </w:rPr>
        <w:t xml:space="preserve">rather than </w:t>
      </w:r>
      <w:r w:rsidRPr="00456038">
        <w:rPr>
          <w:rStyle w:val="Emphasis"/>
          <w:highlight w:val="cyan"/>
        </w:rPr>
        <w:t>grant Chevron</w:t>
      </w:r>
      <w:r w:rsidRPr="0000458A">
        <w:rPr>
          <w:rStyle w:val="Emphasis"/>
        </w:rPr>
        <w:t xml:space="preserve"> deference</w:t>
      </w:r>
      <w:r w:rsidRPr="0000458A">
        <w:rPr>
          <w:rStyle w:val="StyleUnderline"/>
        </w:rPr>
        <w:t xml:space="preserve"> to the agency’s interpretation</w:t>
      </w:r>
      <w:r w:rsidRPr="0000458A">
        <w:rPr>
          <w:sz w:val="16"/>
        </w:rPr>
        <w:t>. See Leocal v. Ashcroft, 543 U.S. 1, 11 n.8 (2004) (under rule of lenity, courts must interpret “any statutory ambiguity” in a criminal statute in the accused’s favor); Chevron U.S.A., Inc. v. Natural Res. Def. Council, Inc., 467 U.S. 837 (1984).</w:t>
      </w:r>
    </w:p>
    <w:p w14:paraId="771972B7" w14:textId="77777777" w:rsidR="00B51F6B" w:rsidRPr="0000458A" w:rsidRDefault="00B51F6B" w:rsidP="00B51F6B">
      <w:pPr>
        <w:rPr>
          <w:sz w:val="16"/>
        </w:rPr>
      </w:pPr>
      <w:r w:rsidRPr="0000458A">
        <w:rPr>
          <w:sz w:val="16"/>
        </w:rPr>
        <w:t xml:space="preserve">This Court has routinely exercised plenary review over the proper construction of Section 1101(a)(43), a statute that identifies aggravated felonies by specifying or cross-referencing (1) generic names of crimes, (2) crimes “defined in” certain criminal statutes, and (3) crimes “described in” other statutes. See, e.g., Moncrieffe v. Holder, 133 S. Ct. 1678 (2013); Kawashima v. Holder, 132 S. Ct. 1166 (2012); Carachuri-Rosendo v. Holder, 560 U.S. 563 (2010); Nijhawan v. Holder, 557 U.S. 29 (2009); Lopez v. Gonzales, 549 U.S. 47 (2006); Leocal v. Ashcroft, 543 U.S. 1 (2004). The court below, however, did not engage in de novo review. Instead, </w:t>
      </w:r>
      <w:r w:rsidRPr="0000458A">
        <w:rPr>
          <w:rStyle w:val="StyleUnderline"/>
        </w:rPr>
        <w:t xml:space="preserve">the </w:t>
      </w:r>
      <w:r w:rsidRPr="00456038">
        <w:rPr>
          <w:rStyle w:val="StyleUnderline"/>
          <w:highlight w:val="cyan"/>
        </w:rPr>
        <w:t>Second Circuit gave</w:t>
      </w:r>
      <w:r w:rsidRPr="0000458A">
        <w:rPr>
          <w:rStyle w:val="StyleUnderline"/>
        </w:rPr>
        <w:t xml:space="preserve"> broad </w:t>
      </w:r>
      <w:r w:rsidRPr="00456038">
        <w:rPr>
          <w:rStyle w:val="StyleUnderline"/>
          <w:highlight w:val="cyan"/>
        </w:rPr>
        <w:t>deference to the</w:t>
      </w:r>
      <w:r w:rsidRPr="0000458A">
        <w:rPr>
          <w:rStyle w:val="StyleUnderline"/>
        </w:rPr>
        <w:t xml:space="preserve"> </w:t>
      </w:r>
      <w:r w:rsidRPr="0000458A">
        <w:rPr>
          <w:rStyle w:val="Emphasis"/>
        </w:rPr>
        <w:t>B</w:t>
      </w:r>
      <w:r w:rsidRPr="0000458A">
        <w:rPr>
          <w:rStyle w:val="StyleUnderline"/>
        </w:rPr>
        <w:t xml:space="preserve">oard of </w:t>
      </w:r>
      <w:r w:rsidRPr="0000458A">
        <w:rPr>
          <w:rStyle w:val="Emphasis"/>
        </w:rPr>
        <w:t>I</w:t>
      </w:r>
      <w:r w:rsidRPr="0000458A">
        <w:rPr>
          <w:rStyle w:val="StyleUnderline"/>
        </w:rPr>
        <w:t xml:space="preserve">mmigration </w:t>
      </w:r>
      <w:r w:rsidRPr="0000458A">
        <w:rPr>
          <w:rStyle w:val="Emphasis"/>
        </w:rPr>
        <w:t>A</w:t>
      </w:r>
      <w:r w:rsidRPr="0000458A">
        <w:rPr>
          <w:rStyle w:val="StyleUnderline"/>
        </w:rPr>
        <w:t>ppeals’ (“</w:t>
      </w:r>
      <w:r w:rsidRPr="00456038">
        <w:rPr>
          <w:rStyle w:val="Emphasis"/>
          <w:highlight w:val="cyan"/>
        </w:rPr>
        <w:t>BIA</w:t>
      </w:r>
      <w:r w:rsidRPr="0000458A">
        <w:rPr>
          <w:rStyle w:val="StyleUnderline"/>
        </w:rPr>
        <w:t>”) insupportable interpretation of “described in” to encompass a state offense that does not share each element of the referenced federal offense</w:t>
      </w:r>
      <w:r w:rsidRPr="0000458A">
        <w:rPr>
          <w:sz w:val="16"/>
        </w:rPr>
        <w:t>. As a result, the Second Circuit accepted the BIA’s decision to designate New York’s arson law as an offense described in the federal arson statute, even though the former lacks the interstate-commerce element needed to convict a person of the latter. Luna-Torres v. Holder, 764 F.3d 152, 153 (2d Cir. 2014); In re Vasquez-Muniz, 23 I. &amp; N. Dec. 207, 213 (BIA 2002).</w:t>
      </w:r>
    </w:p>
    <w:p w14:paraId="2652CA9F" w14:textId="77777777" w:rsidR="00B51F6B" w:rsidRPr="0000458A" w:rsidRDefault="00B51F6B" w:rsidP="00B51F6B">
      <w:pPr>
        <w:rPr>
          <w:sz w:val="16"/>
        </w:rPr>
      </w:pPr>
      <w:r w:rsidRPr="0000458A">
        <w:rPr>
          <w:sz w:val="16"/>
        </w:rPr>
        <w:t xml:space="preserve">In reaching this result, </w:t>
      </w:r>
      <w:r w:rsidRPr="0000458A">
        <w:rPr>
          <w:rStyle w:val="StyleUnderline"/>
        </w:rPr>
        <w:t xml:space="preserve">the </w:t>
      </w:r>
      <w:r w:rsidRPr="0000458A">
        <w:rPr>
          <w:rStyle w:val="Emphasis"/>
        </w:rPr>
        <w:t>Second Circuit deferred to the BIA</w:t>
      </w:r>
      <w:r w:rsidRPr="0000458A">
        <w:rPr>
          <w:sz w:val="16"/>
        </w:rPr>
        <w:t xml:space="preserve">, </w:t>
      </w:r>
      <w:r w:rsidRPr="00456038">
        <w:rPr>
          <w:rStyle w:val="StyleUnderline"/>
          <w:highlight w:val="cyan"/>
        </w:rPr>
        <w:t>reasoning that</w:t>
      </w:r>
      <w:r w:rsidRPr="0000458A">
        <w:rPr>
          <w:rStyle w:val="StyleUnderline"/>
        </w:rPr>
        <w:t xml:space="preserve"> </w:t>
      </w:r>
      <w:r w:rsidRPr="00456038">
        <w:rPr>
          <w:rStyle w:val="StyleUnderline"/>
          <w:highlight w:val="cyan"/>
        </w:rPr>
        <w:t xml:space="preserve">the aggravated felony </w:t>
      </w:r>
      <w:r w:rsidRPr="00456038">
        <w:rPr>
          <w:rStyle w:val="Emphasis"/>
          <w:highlight w:val="cyan"/>
        </w:rPr>
        <w:t>provision is</w:t>
      </w:r>
      <w:r w:rsidRPr="0000458A">
        <w:rPr>
          <w:rStyle w:val="Emphasis"/>
        </w:rPr>
        <w:t xml:space="preserve"> “</w:t>
      </w:r>
      <w:r w:rsidRPr="00456038">
        <w:rPr>
          <w:rStyle w:val="Emphasis"/>
          <w:highlight w:val="cyan"/>
        </w:rPr>
        <w:t>ambiguous</w:t>
      </w:r>
      <w:r w:rsidRPr="0000458A">
        <w:rPr>
          <w:rStyle w:val="Emphasis"/>
        </w:rPr>
        <w:t>”</w:t>
      </w:r>
      <w:r w:rsidRPr="0000458A">
        <w:rPr>
          <w:rStyle w:val="StyleUnderline"/>
        </w:rPr>
        <w:t xml:space="preserve"> and that the BIA’s construction is “permissible.”</w:t>
      </w:r>
      <w:r w:rsidRPr="0000458A">
        <w:rPr>
          <w:sz w:val="16"/>
        </w:rPr>
        <w:t xml:space="preserve"> Torres, 764 F.3d at 158 &amp; n.4. </w:t>
      </w:r>
      <w:r w:rsidRPr="0000458A">
        <w:rPr>
          <w:rStyle w:val="StyleUnderline"/>
        </w:rPr>
        <w:t xml:space="preserve">In the course of granting </w:t>
      </w:r>
      <w:r w:rsidRPr="0000458A">
        <w:rPr>
          <w:rStyle w:val="Emphasis"/>
        </w:rPr>
        <w:t>agency deference</w:t>
      </w:r>
      <w:r w:rsidRPr="0000458A">
        <w:rPr>
          <w:sz w:val="16"/>
        </w:rPr>
        <w:t xml:space="preserve">, however, </w:t>
      </w:r>
      <w:r w:rsidRPr="0000458A">
        <w:rPr>
          <w:rStyle w:val="StyleUnderline"/>
        </w:rPr>
        <w:t xml:space="preserve">the </w:t>
      </w:r>
      <w:r w:rsidRPr="0000458A">
        <w:rPr>
          <w:rStyle w:val="Emphasis"/>
        </w:rPr>
        <w:t>Second Circuit did not</w:t>
      </w:r>
      <w:r w:rsidRPr="0000458A">
        <w:rPr>
          <w:rStyle w:val="StyleUnderline"/>
        </w:rPr>
        <w:t xml:space="preserve"> even </w:t>
      </w:r>
      <w:r w:rsidRPr="0000458A">
        <w:rPr>
          <w:rStyle w:val="Emphasis"/>
        </w:rPr>
        <w:t>consider</w:t>
      </w:r>
      <w:r w:rsidRPr="0000458A">
        <w:rPr>
          <w:rStyle w:val="StyleUnderline"/>
        </w:rPr>
        <w:t xml:space="preserve"> applying the criminal </w:t>
      </w:r>
      <w:r w:rsidRPr="0000458A">
        <w:rPr>
          <w:rStyle w:val="Emphasis"/>
        </w:rPr>
        <w:t>rule of lenity</w:t>
      </w:r>
      <w:r w:rsidRPr="0000458A">
        <w:rPr>
          <w:sz w:val="16"/>
        </w:rPr>
        <w:t xml:space="preserve">. Id. (instead addressing a so-called immigration rule of lenity, and only doing so after first deferring to the agency). </w:t>
      </w:r>
      <w:r w:rsidRPr="0000458A">
        <w:rPr>
          <w:rStyle w:val="StyleUnderline"/>
        </w:rPr>
        <w:t>Other circuits have similarly deferred to the BIA, either expressly or impliedly, without applying the criminal rule of lenity</w:t>
      </w:r>
      <w:r w:rsidRPr="0000458A">
        <w:rPr>
          <w:sz w:val="16"/>
        </w:rPr>
        <w:t>. E.g., Spacek v. Holder, 688 F.3d 536, 538 (8th Cir. 2012) (according “</w:t>
      </w:r>
      <w:r w:rsidRPr="0000458A">
        <w:rPr>
          <w:rStyle w:val="StyleUnderline"/>
        </w:rPr>
        <w:t>substantial deference” to the BIA’s statutory interpretation</w:t>
      </w:r>
      <w:r w:rsidRPr="0000458A">
        <w:rPr>
          <w:sz w:val="16"/>
        </w:rPr>
        <w:t xml:space="preserve"> of “described in,” and not addressing the criminal rule of lenity); cf. Nieto Hernandez v. Holder, 592 F.3d 681, 684–685 &amp; n.5 (5th Cir. 2009) (withholding determination of “the precise degree of deference to be afforded the BIA’s interpretation,” but </w:t>
      </w:r>
      <w:r w:rsidRPr="0000458A">
        <w:rPr>
          <w:rStyle w:val="StyleUnderline"/>
        </w:rPr>
        <w:t>noting that the Circuit had “previously stated that it afford[s] considerable deference to the BIA’s interpretation</w:t>
      </w:r>
      <w:r w:rsidRPr="0000458A">
        <w:rPr>
          <w:sz w:val="16"/>
        </w:rPr>
        <w:t xml:space="preserve"> of the INA”; no mention of the criminal rule of lenity) (internal quotation marks omitted).</w:t>
      </w:r>
    </w:p>
    <w:p w14:paraId="5133FE37" w14:textId="77777777" w:rsidR="00B51F6B" w:rsidRPr="0000458A" w:rsidRDefault="00B51F6B" w:rsidP="00B51F6B">
      <w:pPr>
        <w:rPr>
          <w:rStyle w:val="StyleUnderline"/>
        </w:rPr>
      </w:pPr>
      <w:r w:rsidRPr="0000458A">
        <w:rPr>
          <w:rStyle w:val="StyleUnderline"/>
        </w:rPr>
        <w:t>These courts misconceive the proper role of Chevron</w:t>
      </w:r>
      <w:r w:rsidRPr="0000458A">
        <w:rPr>
          <w:sz w:val="16"/>
        </w:rPr>
        <w:t xml:space="preserve"> deference</w:t>
      </w:r>
      <w:r w:rsidRPr="0000458A">
        <w:rPr>
          <w:rStyle w:val="StyleUnderline"/>
        </w:rPr>
        <w:t xml:space="preserve">. </w:t>
      </w:r>
      <w:r w:rsidRPr="00456038">
        <w:rPr>
          <w:rStyle w:val="StyleUnderline"/>
          <w:highlight w:val="cyan"/>
        </w:rPr>
        <w:t xml:space="preserve">A court should </w:t>
      </w:r>
      <w:r w:rsidRPr="00456038">
        <w:rPr>
          <w:rStyle w:val="Emphasis"/>
          <w:highlight w:val="cyan"/>
        </w:rPr>
        <w:t>defer</w:t>
      </w:r>
      <w:r w:rsidRPr="0000458A">
        <w:rPr>
          <w:rStyle w:val="StyleUnderline"/>
        </w:rPr>
        <w:t xml:space="preserve"> to the agency’s interpretation </w:t>
      </w:r>
      <w:r w:rsidRPr="00456038">
        <w:rPr>
          <w:rStyle w:val="Emphasis"/>
          <w:highlight w:val="cyan"/>
        </w:rPr>
        <w:t>only if ambiguity remains</w:t>
      </w:r>
      <w:r w:rsidRPr="00456038">
        <w:rPr>
          <w:rStyle w:val="StyleUnderline"/>
          <w:highlight w:val="cyan"/>
        </w:rPr>
        <w:t xml:space="preserve"> after</w:t>
      </w:r>
      <w:r w:rsidRPr="0000458A">
        <w:rPr>
          <w:sz w:val="16"/>
        </w:rPr>
        <w:t xml:space="preserve"> deploying </w:t>
      </w:r>
      <w:r w:rsidRPr="0000458A">
        <w:rPr>
          <w:rStyle w:val="StyleUnderline"/>
        </w:rPr>
        <w:t>all relevant principles of statutory interpretation</w:t>
      </w:r>
      <w:r w:rsidRPr="0000458A">
        <w:rPr>
          <w:sz w:val="16"/>
        </w:rPr>
        <w:t xml:space="preserve">, </w:t>
      </w:r>
      <w:r w:rsidRPr="0000458A">
        <w:rPr>
          <w:rStyle w:val="Emphasis"/>
        </w:rPr>
        <w:t>including</w:t>
      </w:r>
      <w:r w:rsidRPr="0000458A">
        <w:rPr>
          <w:rStyle w:val="StyleUnderline"/>
        </w:rPr>
        <w:t xml:space="preserve"> the </w:t>
      </w:r>
      <w:r w:rsidRPr="0000458A">
        <w:rPr>
          <w:rStyle w:val="Emphasis"/>
        </w:rPr>
        <w:t xml:space="preserve">rule of </w:t>
      </w:r>
      <w:r w:rsidRPr="00456038">
        <w:rPr>
          <w:rStyle w:val="Emphasis"/>
          <w:highlight w:val="cyan"/>
        </w:rPr>
        <w:t>lenity</w:t>
      </w:r>
      <w:r w:rsidRPr="0000458A">
        <w:rPr>
          <w:sz w:val="16"/>
        </w:rPr>
        <w:t xml:space="preserve">. “All manner of presumptions, substantive canons and clear-statement rules take precedence over conflicting agency views.” Carter v. Welles-Bowen Realty, Inc., 736 F.3d 722, 731 (6th Cir. 2013) (Sutton, J., concurring) (citing numerous examples from this Court’s rulings). Properly applied, the rule of lenity requires courts to construe Section 1101(a)(43)’s reach narrowly if ambiguity is present. </w:t>
      </w:r>
      <w:r w:rsidRPr="0000458A">
        <w:rPr>
          <w:rStyle w:val="StyleUnderline"/>
        </w:rPr>
        <w:t>The rule of lenity thus demands that the Court construe “described in” in Petitioner’s favor</w:t>
      </w:r>
      <w:r w:rsidRPr="0000458A">
        <w:rPr>
          <w:sz w:val="16"/>
        </w:rPr>
        <w:t xml:space="preserve">, meaning that his New York conviction </w:t>
      </w:r>
      <w:r w:rsidRPr="0000458A">
        <w:rPr>
          <w:rStyle w:val="StyleUnderline"/>
        </w:rPr>
        <w:t>does not qualify as an “aggravated felony”</w:t>
      </w:r>
      <w:r w:rsidRPr="0000458A">
        <w:rPr>
          <w:sz w:val="16"/>
        </w:rPr>
        <w:t xml:space="preserve"> because the state offense lacks an element essential to the definition of the federal offense. </w:t>
      </w:r>
      <w:r w:rsidRPr="00456038">
        <w:rPr>
          <w:rStyle w:val="Emphasis"/>
          <w:highlight w:val="cyan"/>
        </w:rPr>
        <w:t>Lenity cures ambiguity</w:t>
      </w:r>
      <w:r w:rsidRPr="0000458A">
        <w:rPr>
          <w:rStyle w:val="StyleUnderline"/>
        </w:rPr>
        <w:t xml:space="preserve">. And it </w:t>
      </w:r>
      <w:r w:rsidRPr="0000458A">
        <w:rPr>
          <w:rStyle w:val="Emphasis"/>
        </w:rPr>
        <w:t>pretermits agency deference</w:t>
      </w:r>
      <w:r w:rsidRPr="0000458A">
        <w:rPr>
          <w:rStyle w:val="StyleUnderline"/>
        </w:rPr>
        <w:t>.</w:t>
      </w:r>
    </w:p>
    <w:p w14:paraId="52AC769F" w14:textId="77777777" w:rsidR="00B51F6B" w:rsidRPr="0000458A" w:rsidRDefault="00B51F6B" w:rsidP="00B51F6B">
      <w:pPr>
        <w:rPr>
          <w:sz w:val="16"/>
        </w:rPr>
      </w:pPr>
      <w:r w:rsidRPr="0000458A">
        <w:rPr>
          <w:rStyle w:val="StyleUnderline"/>
        </w:rPr>
        <w:t>Even if the agency were accorded Chevron</w:t>
      </w:r>
      <w:r w:rsidRPr="0000458A">
        <w:rPr>
          <w:sz w:val="16"/>
        </w:rPr>
        <w:t xml:space="preserve"> deference, though, </w:t>
      </w:r>
      <w:r w:rsidRPr="0000458A">
        <w:rPr>
          <w:rStyle w:val="StyleUnderline"/>
        </w:rPr>
        <w:t>the result would remain the same because the BIA’s interpretation</w:t>
      </w:r>
      <w:r w:rsidRPr="0000458A">
        <w:rPr>
          <w:sz w:val="16"/>
        </w:rPr>
        <w:t xml:space="preserve"> of Section 1101(a)(43) </w:t>
      </w:r>
      <w:r w:rsidRPr="0000458A">
        <w:rPr>
          <w:rStyle w:val="StyleUnderline"/>
        </w:rPr>
        <w:t>is not reasonable</w:t>
      </w:r>
      <w:r w:rsidRPr="0000458A">
        <w:rPr>
          <w:sz w:val="16"/>
        </w:rPr>
        <w:t xml:space="preserve">. </w:t>
      </w:r>
      <w:r w:rsidRPr="0000458A">
        <w:rPr>
          <w:rStyle w:val="StyleUnderline"/>
        </w:rPr>
        <w:t>Chevron requires courts “to accept only those agency interpretations that are reasonable in light of the principles of construction courts normally</w:t>
      </w:r>
      <w:r w:rsidRPr="0000458A">
        <w:rPr>
          <w:sz w:val="16"/>
        </w:rPr>
        <w:t xml:space="preserve"> employ.” EEOC v. Arabian Am. Oil Co., 499 U.S. 244, 260 (1991) (Scalia, J., concurring in part and concurring in the judgment) (overruled by statute on other grounds). But </w:t>
      </w:r>
      <w:r w:rsidRPr="00456038">
        <w:rPr>
          <w:rStyle w:val="Emphasis"/>
          <w:highlight w:val="cyan"/>
        </w:rPr>
        <w:t>there is nothing reasonable about the BIA’s interpretation</w:t>
      </w:r>
      <w:r w:rsidRPr="0000458A">
        <w:rPr>
          <w:sz w:val="16"/>
        </w:rPr>
        <w:t xml:space="preserve"> of § 1101(a)(43). Apart from giving no consideration to </w:t>
      </w:r>
      <w:r w:rsidRPr="0000458A">
        <w:rPr>
          <w:rStyle w:val="StyleUnderline"/>
        </w:rPr>
        <w:t>the criminal rule of lenity</w:t>
      </w:r>
      <w:r w:rsidRPr="0000458A">
        <w:rPr>
          <w:sz w:val="16"/>
        </w:rPr>
        <w:t xml:space="preserve">, the agency ignored the ordinary meaning of “described in,” see Pet. Br. at 14–20, and </w:t>
      </w:r>
      <w:r w:rsidRPr="0000458A">
        <w:rPr>
          <w:rStyle w:val="StyleUnderline"/>
        </w:rPr>
        <w:t>it ignored empirical evidence showing Congress’s intent that the federal arson statute’s interstate-commerce element</w:t>
      </w:r>
      <w:r w:rsidRPr="0000458A">
        <w:rPr>
          <w:sz w:val="16"/>
        </w:rPr>
        <w:t xml:space="preserve"> serves a substantive function. </w:t>
      </w:r>
      <w:r w:rsidRPr="0000458A">
        <w:rPr>
          <w:rStyle w:val="StyleUnderline"/>
        </w:rPr>
        <w:t xml:space="preserve">Congress was clear in reserving the severe criminal and immigration law consequences of an </w:t>
      </w:r>
      <w:r w:rsidRPr="0000458A">
        <w:rPr>
          <w:rStyle w:val="Emphasis"/>
        </w:rPr>
        <w:t>aggravated felony</w:t>
      </w:r>
      <w:r w:rsidRPr="0000458A">
        <w:rPr>
          <w:rStyle w:val="StyleUnderline"/>
        </w:rPr>
        <w:t xml:space="preserve"> determination for those convicted of the serious offenses</w:t>
      </w:r>
      <w:r w:rsidRPr="0000458A">
        <w:rPr>
          <w:sz w:val="16"/>
        </w:rPr>
        <w:t xml:space="preserve"> described in and prosecuted under federal law, and in declining to attach the aggravated felony label to the often less serious offenses prosecuted under state laws that do not require prosecutorial proof of substantive elements such as the link to interstate commerce. </w:t>
      </w:r>
      <w:r w:rsidRPr="0000458A">
        <w:rPr>
          <w:rStyle w:val="StyleUnderline"/>
        </w:rPr>
        <w:t xml:space="preserve">The </w:t>
      </w:r>
      <w:r w:rsidRPr="00456038">
        <w:rPr>
          <w:rStyle w:val="StyleUnderline"/>
          <w:highlight w:val="cyan"/>
        </w:rPr>
        <w:t>BIA’s interpretation</w:t>
      </w:r>
      <w:r w:rsidRPr="0000458A">
        <w:rPr>
          <w:rStyle w:val="StyleUnderline"/>
        </w:rPr>
        <w:t xml:space="preserve"> is the essence of “</w:t>
      </w:r>
      <w:r w:rsidRPr="00456038">
        <w:rPr>
          <w:rStyle w:val="Emphasis"/>
          <w:highlight w:val="cyan"/>
        </w:rPr>
        <w:t>arbitrary</w:t>
      </w:r>
      <w:r w:rsidRPr="0000458A">
        <w:rPr>
          <w:rStyle w:val="StyleUnderline"/>
        </w:rPr>
        <w:t xml:space="preserve">, capricious, or manifestly </w:t>
      </w:r>
      <w:r w:rsidRPr="00456038">
        <w:rPr>
          <w:rStyle w:val="Emphasis"/>
          <w:highlight w:val="cyan"/>
        </w:rPr>
        <w:t>contrary to the statute</w:t>
      </w:r>
      <w:r w:rsidRPr="0000458A">
        <w:rPr>
          <w:sz w:val="16"/>
        </w:rPr>
        <w:t xml:space="preserve">.” Chevron, 467 U.S. at 844. </w:t>
      </w:r>
      <w:r w:rsidRPr="00456038">
        <w:rPr>
          <w:rStyle w:val="StyleUnderline"/>
          <w:highlight w:val="cyan"/>
        </w:rPr>
        <w:t>It is</w:t>
      </w:r>
      <w:r w:rsidRPr="0000458A">
        <w:rPr>
          <w:rStyle w:val="StyleUnderline"/>
        </w:rPr>
        <w:t xml:space="preserve"> certainly </w:t>
      </w:r>
      <w:r w:rsidRPr="00456038">
        <w:rPr>
          <w:rStyle w:val="Emphasis"/>
          <w:highlight w:val="cyan"/>
        </w:rPr>
        <w:t>not worth</w:t>
      </w:r>
      <w:r w:rsidRPr="0000458A">
        <w:rPr>
          <w:rStyle w:val="Emphasis"/>
        </w:rPr>
        <w:t xml:space="preserve">y of </w:t>
      </w:r>
      <w:r w:rsidRPr="00456038">
        <w:rPr>
          <w:rStyle w:val="Emphasis"/>
          <w:highlight w:val="cyan"/>
        </w:rPr>
        <w:t>deference</w:t>
      </w:r>
      <w:r w:rsidRPr="0000458A">
        <w:rPr>
          <w:sz w:val="16"/>
        </w:rPr>
        <w:t>.</w:t>
      </w:r>
    </w:p>
    <w:p w14:paraId="3D4F8828" w14:textId="77777777" w:rsidR="00B51F6B" w:rsidRPr="0000458A" w:rsidRDefault="00B51F6B" w:rsidP="00B51F6B">
      <w:pPr>
        <w:rPr>
          <w:sz w:val="16"/>
          <w:szCs w:val="16"/>
        </w:rPr>
      </w:pPr>
      <w:r w:rsidRPr="0000458A">
        <w:rPr>
          <w:sz w:val="16"/>
          <w:szCs w:val="16"/>
        </w:rPr>
        <w:t xml:space="preserve">ARGUMENT </w:t>
      </w:r>
    </w:p>
    <w:p w14:paraId="2F272A91" w14:textId="77777777" w:rsidR="00B51F6B" w:rsidRPr="0000458A" w:rsidRDefault="00B51F6B" w:rsidP="00B51F6B">
      <w:pPr>
        <w:rPr>
          <w:sz w:val="16"/>
          <w:szCs w:val="16"/>
        </w:rPr>
      </w:pPr>
      <w:r w:rsidRPr="0000458A">
        <w:rPr>
          <w:sz w:val="16"/>
          <w:szCs w:val="16"/>
        </w:rPr>
        <w:t>I. THE BIA’S INTERPRETATION OF “AGGRAVATED FELONY” DESERVES NO DEFERENCE</w:t>
      </w:r>
    </w:p>
    <w:p w14:paraId="0C98D3D2" w14:textId="77777777" w:rsidR="00B51F6B" w:rsidRPr="0000458A" w:rsidRDefault="00B51F6B" w:rsidP="00B51F6B">
      <w:pPr>
        <w:rPr>
          <w:sz w:val="16"/>
          <w:szCs w:val="16"/>
        </w:rPr>
      </w:pPr>
      <w:r w:rsidRPr="0000458A">
        <w:rPr>
          <w:sz w:val="16"/>
          <w:szCs w:val="16"/>
        </w:rPr>
        <w:t>The court below erroneously deferred to the BIA’s conclusion that a state offense is “described in” a specified federal criminal statute under Section 1101(a)(43)(E), even where the state offense does not contain all of the essential elements of the federal statute. Luna-Torres, 764 F.3d at 152, 158 (deferring to the BIA’s “permissible construction” of the statute); see also Spacek, 688 F.3d at 538. Cf. Espinal-Andrades, 777 F.3d 163, 169 (4th Cir. 2015); Nieto Hernandez, 592 F.3d at 684–85.</w:t>
      </w:r>
    </w:p>
    <w:p w14:paraId="5E02DC47" w14:textId="77777777" w:rsidR="00B51F6B" w:rsidRPr="0000458A" w:rsidRDefault="00B51F6B" w:rsidP="00B51F6B">
      <w:pPr>
        <w:rPr>
          <w:sz w:val="16"/>
        </w:rPr>
      </w:pPr>
      <w:r w:rsidRPr="0000458A">
        <w:rPr>
          <w:sz w:val="16"/>
        </w:rPr>
        <w:t>Even assuming statutory ambiguity—a prerequisite to allowing an agency’s interpretation to trump that of the courts—</w:t>
      </w:r>
      <w:r w:rsidRPr="0000458A">
        <w:rPr>
          <w:rStyle w:val="StyleUnderline"/>
        </w:rPr>
        <w:t>deference is not appropriate here</w:t>
      </w:r>
      <w:r w:rsidRPr="0000458A">
        <w:rPr>
          <w:sz w:val="16"/>
        </w:rPr>
        <w:t xml:space="preserve">. </w:t>
      </w:r>
      <w:r w:rsidRPr="00456038">
        <w:rPr>
          <w:rStyle w:val="StyleUnderline"/>
          <w:highlight w:val="cyan"/>
        </w:rPr>
        <w:t>Section 1101</w:t>
      </w:r>
      <w:r w:rsidRPr="0000458A">
        <w:rPr>
          <w:rStyle w:val="StyleUnderline"/>
        </w:rPr>
        <w:t xml:space="preserve">(a)(43) </w:t>
      </w:r>
      <w:r w:rsidRPr="00456038">
        <w:rPr>
          <w:rStyle w:val="StyleUnderline"/>
          <w:highlight w:val="cyan"/>
        </w:rPr>
        <w:t xml:space="preserve">has </w:t>
      </w:r>
      <w:r w:rsidRPr="00456038">
        <w:rPr>
          <w:rStyle w:val="Emphasis"/>
          <w:highlight w:val="cyan"/>
        </w:rPr>
        <w:t>both civil and criminal applications</w:t>
      </w:r>
      <w:r w:rsidRPr="0000458A">
        <w:rPr>
          <w:sz w:val="16"/>
        </w:rPr>
        <w:t xml:space="preserve">. </w:t>
      </w:r>
      <w:r w:rsidRPr="0000458A">
        <w:rPr>
          <w:rStyle w:val="StyleUnderline"/>
        </w:rPr>
        <w:t>To the extent a statute with criminal and civil applications is ambiguous</w:t>
      </w:r>
      <w:r w:rsidRPr="0000458A">
        <w:rPr>
          <w:sz w:val="16"/>
        </w:rPr>
        <w:t xml:space="preserve">, </w:t>
      </w:r>
      <w:r w:rsidRPr="00456038">
        <w:rPr>
          <w:rStyle w:val="StyleUnderline"/>
          <w:highlight w:val="cyan"/>
        </w:rPr>
        <w:t xml:space="preserve">those </w:t>
      </w:r>
      <w:r w:rsidRPr="00456038">
        <w:rPr>
          <w:rStyle w:val="Emphasis"/>
          <w:highlight w:val="cyan"/>
        </w:rPr>
        <w:t>ambiguities must be resolved in favor of the defendant</w:t>
      </w:r>
      <w:r w:rsidRPr="0000458A">
        <w:rPr>
          <w:rStyle w:val="StyleUnderline"/>
        </w:rPr>
        <w:t xml:space="preserve"> or petitioner </w:t>
      </w:r>
      <w:r w:rsidRPr="00456038">
        <w:rPr>
          <w:rStyle w:val="StyleUnderline"/>
          <w:highlight w:val="cyan"/>
        </w:rPr>
        <w:t>under</w:t>
      </w:r>
      <w:r w:rsidRPr="0000458A">
        <w:rPr>
          <w:rStyle w:val="StyleUnderline"/>
        </w:rPr>
        <w:t xml:space="preserve"> the canonical </w:t>
      </w:r>
      <w:r w:rsidRPr="0000458A">
        <w:rPr>
          <w:rStyle w:val="Emphasis"/>
        </w:rPr>
        <w:t xml:space="preserve">criminal rule of </w:t>
      </w:r>
      <w:r w:rsidRPr="00456038">
        <w:rPr>
          <w:rStyle w:val="Emphasis"/>
          <w:highlight w:val="cyan"/>
        </w:rPr>
        <w:t>lenity</w:t>
      </w:r>
      <w:r w:rsidRPr="0000458A">
        <w:rPr>
          <w:sz w:val="16"/>
        </w:rPr>
        <w:t xml:space="preserve">. Leocal v. Ashcroft, 543 U.S. at 11 n.8 (2004). </w:t>
      </w:r>
      <w:r w:rsidRPr="0000458A">
        <w:rPr>
          <w:rStyle w:val="StyleUnderline"/>
        </w:rPr>
        <w:t xml:space="preserve">The </w:t>
      </w:r>
      <w:r w:rsidRPr="0000458A">
        <w:rPr>
          <w:rStyle w:val="Emphasis"/>
        </w:rPr>
        <w:t>rule of lenity</w:t>
      </w:r>
      <w:r w:rsidRPr="0000458A">
        <w:rPr>
          <w:rStyle w:val="StyleUnderline"/>
        </w:rPr>
        <w:t xml:space="preserve"> </w:t>
      </w:r>
      <w:r w:rsidRPr="00456038">
        <w:rPr>
          <w:rStyle w:val="StyleUnderline"/>
          <w:highlight w:val="cyan"/>
        </w:rPr>
        <w:t xml:space="preserve">affords </w:t>
      </w:r>
      <w:r w:rsidRPr="00456038">
        <w:rPr>
          <w:rStyle w:val="Emphasis"/>
          <w:highlight w:val="cyan"/>
        </w:rPr>
        <w:t>constitutionally required</w:t>
      </w:r>
      <w:r w:rsidRPr="00456038">
        <w:rPr>
          <w:rStyle w:val="StyleUnderline"/>
          <w:highlight w:val="cyan"/>
        </w:rPr>
        <w:t xml:space="preserve"> fair notice</w:t>
      </w:r>
      <w:r w:rsidRPr="0000458A">
        <w:rPr>
          <w:rStyle w:val="StyleUnderline"/>
        </w:rPr>
        <w:t xml:space="preserve"> to criminal defendants, promotes </w:t>
      </w:r>
      <w:r w:rsidRPr="0000458A">
        <w:rPr>
          <w:rStyle w:val="Emphasis"/>
        </w:rPr>
        <w:t>consistency</w:t>
      </w:r>
      <w:r w:rsidRPr="0000458A">
        <w:rPr>
          <w:rStyle w:val="StyleUnderline"/>
        </w:rPr>
        <w:t xml:space="preserve"> in </w:t>
      </w:r>
      <w:r w:rsidRPr="0000458A">
        <w:rPr>
          <w:rStyle w:val="Emphasis"/>
        </w:rPr>
        <w:t>statutory interpretation</w:t>
      </w:r>
      <w:r w:rsidRPr="0000458A">
        <w:rPr>
          <w:rStyle w:val="StyleUnderline"/>
        </w:rPr>
        <w:t xml:space="preserve"> across </w:t>
      </w:r>
      <w:r w:rsidRPr="0000458A">
        <w:rPr>
          <w:rStyle w:val="Emphasis"/>
        </w:rPr>
        <w:t>criminal and civil</w:t>
      </w:r>
      <w:r w:rsidRPr="0000458A">
        <w:rPr>
          <w:rStyle w:val="StyleUnderline"/>
        </w:rPr>
        <w:t xml:space="preserve"> applications, </w:t>
      </w:r>
      <w:r w:rsidRPr="00456038">
        <w:rPr>
          <w:rStyle w:val="StyleUnderline"/>
          <w:highlight w:val="cyan"/>
        </w:rPr>
        <w:t xml:space="preserve">and </w:t>
      </w:r>
      <w:r w:rsidRPr="00456038">
        <w:rPr>
          <w:rStyle w:val="Emphasis"/>
          <w:highlight w:val="cyan"/>
        </w:rPr>
        <w:t>strikes</w:t>
      </w:r>
      <w:r w:rsidRPr="0000458A">
        <w:rPr>
          <w:rStyle w:val="StyleUnderline"/>
        </w:rPr>
        <w:t xml:space="preserve"> “</w:t>
      </w:r>
      <w:r w:rsidRPr="00456038">
        <w:rPr>
          <w:rStyle w:val="StyleUnderline"/>
          <w:highlight w:val="cyan"/>
        </w:rPr>
        <w:t xml:space="preserve">the </w:t>
      </w:r>
      <w:r w:rsidRPr="00456038">
        <w:rPr>
          <w:rStyle w:val="Emphasis"/>
          <w:highlight w:val="cyan"/>
        </w:rPr>
        <w:t>proper balance</w:t>
      </w:r>
      <w:r w:rsidRPr="0000458A">
        <w:rPr>
          <w:rStyle w:val="Emphasis"/>
        </w:rPr>
        <w:t xml:space="preserve"> between </w:t>
      </w:r>
      <w:r w:rsidRPr="00456038">
        <w:rPr>
          <w:rStyle w:val="Emphasis"/>
          <w:highlight w:val="cyan"/>
        </w:rPr>
        <w:t>Congress, prosecutors, and courts</w:t>
      </w:r>
      <w:r w:rsidRPr="0000458A">
        <w:rPr>
          <w:rStyle w:val="StyleUnderline"/>
        </w:rPr>
        <w:t>” in defining, administering, and interpreting laws that have criminal applications.</w:t>
      </w:r>
      <w:r w:rsidRPr="0000458A">
        <w:rPr>
          <w:sz w:val="16"/>
        </w:rPr>
        <w:t xml:space="preserve"> United States v. Kozminski, 487 U.S. 931, 952 (1988). Moreover, </w:t>
      </w:r>
      <w:r w:rsidRPr="0000458A">
        <w:rPr>
          <w:rStyle w:val="StyleUnderline"/>
        </w:rPr>
        <w:t>this Court has repeatedly implored courts to deploy all of the “normal ‘</w:t>
      </w:r>
      <w:r w:rsidRPr="0000458A">
        <w:rPr>
          <w:rStyle w:val="Emphasis"/>
        </w:rPr>
        <w:t>tools of statutory construction’</w:t>
      </w:r>
      <w:r w:rsidRPr="0000458A">
        <w:rPr>
          <w:rStyle w:val="StyleUnderline"/>
        </w:rPr>
        <w:t>” before deferring to an agency’s interpretation</w:t>
      </w:r>
      <w:r w:rsidRPr="0000458A">
        <w:rPr>
          <w:sz w:val="16"/>
        </w:rPr>
        <w:t xml:space="preserve"> of an ambiguous statute. See, e.g., INS v. St. Cyr, 533 U.S. 289, 320 n.45 (2001) (quoting Chevron, 467 U.S. at 843 n.9). </w:t>
      </w:r>
      <w:r w:rsidRPr="0000458A">
        <w:rPr>
          <w:rStyle w:val="Emphasis"/>
        </w:rPr>
        <w:t>The rule of lenity is one such tool</w:t>
      </w:r>
      <w:r w:rsidRPr="0000458A">
        <w:rPr>
          <w:sz w:val="16"/>
        </w:rPr>
        <w:t xml:space="preserve">. Thompson/Center Arms Co., 504 U.S. 505, 518 n.10 (plurality opinion) (“The rule of lenity . . . is a rule of statutory construction.”). Thus, </w:t>
      </w:r>
      <w:r w:rsidRPr="0000458A">
        <w:rPr>
          <w:rStyle w:val="StyleUnderline"/>
        </w:rPr>
        <w:t>there is no irresolvable conflict between the rule of lenity and Chevron</w:t>
      </w:r>
      <w:r w:rsidRPr="0000458A">
        <w:rPr>
          <w:sz w:val="16"/>
        </w:rPr>
        <w:t xml:space="preserve">. </w:t>
      </w:r>
      <w:r w:rsidRPr="0000458A">
        <w:rPr>
          <w:rStyle w:val="Emphasis"/>
        </w:rPr>
        <w:t>They are applied sequentially</w:t>
      </w:r>
      <w:r w:rsidRPr="0000458A">
        <w:rPr>
          <w:sz w:val="16"/>
        </w:rPr>
        <w:t>—</w:t>
      </w:r>
      <w:r w:rsidRPr="0000458A">
        <w:rPr>
          <w:rStyle w:val="StyleUnderline"/>
        </w:rPr>
        <w:t xml:space="preserve">the </w:t>
      </w:r>
      <w:r w:rsidRPr="0000458A">
        <w:rPr>
          <w:rStyle w:val="Emphasis"/>
        </w:rPr>
        <w:t>criminal rule of lenity</w:t>
      </w:r>
      <w:r w:rsidRPr="0000458A">
        <w:rPr>
          <w:rStyle w:val="StyleUnderline"/>
        </w:rPr>
        <w:t xml:space="preserve">, as a tool of statutory construction, is </w:t>
      </w:r>
      <w:r w:rsidRPr="0000458A">
        <w:rPr>
          <w:rStyle w:val="Emphasis"/>
        </w:rPr>
        <w:t>deployed before deference</w:t>
      </w:r>
      <w:r w:rsidRPr="0000458A">
        <w:rPr>
          <w:rStyle w:val="StyleUnderline"/>
        </w:rPr>
        <w:t xml:space="preserve"> is given.</w:t>
      </w:r>
      <w:r w:rsidRPr="0000458A">
        <w:rPr>
          <w:sz w:val="16"/>
        </w:rPr>
        <w:t xml:space="preserve"> See Chevron, 467 U.S. at 843 n.9. Thus, “</w:t>
      </w:r>
      <w:r w:rsidRPr="0000458A">
        <w:rPr>
          <w:rStyle w:val="Emphasis"/>
        </w:rPr>
        <w:t>Chevron accommodates rather than trumps</w:t>
      </w:r>
      <w:r w:rsidRPr="0000458A">
        <w:rPr>
          <w:rStyle w:val="StyleUnderline"/>
        </w:rPr>
        <w:t xml:space="preserve"> the </w:t>
      </w:r>
      <w:r w:rsidRPr="0000458A">
        <w:rPr>
          <w:rStyle w:val="Emphasis"/>
        </w:rPr>
        <w:t>lenity</w:t>
      </w:r>
      <w:r w:rsidRPr="0000458A">
        <w:rPr>
          <w:rStyle w:val="StyleUnderline"/>
        </w:rPr>
        <w:t xml:space="preserve"> principle</w:t>
      </w:r>
      <w:r w:rsidRPr="0000458A">
        <w:rPr>
          <w:sz w:val="16"/>
        </w:rPr>
        <w:t>.” Carter, 736 F.3d at 732 (Sutton, J., concurring).</w:t>
      </w:r>
    </w:p>
    <w:p w14:paraId="2EC98A74" w14:textId="77777777" w:rsidR="00B51F6B" w:rsidRPr="0000458A" w:rsidRDefault="00B51F6B" w:rsidP="00B51F6B">
      <w:pPr>
        <w:rPr>
          <w:sz w:val="16"/>
        </w:rPr>
      </w:pPr>
      <w:r w:rsidRPr="0000458A">
        <w:rPr>
          <w:sz w:val="16"/>
        </w:rPr>
        <w:t xml:space="preserve">Additionally, </w:t>
      </w:r>
      <w:r w:rsidRPr="0000458A">
        <w:rPr>
          <w:rStyle w:val="StyleUnderline"/>
        </w:rPr>
        <w:t>respect for the separation of powers, the absence of agency expertise, and the need for consistency over time</w:t>
      </w:r>
      <w:r w:rsidRPr="0000458A">
        <w:rPr>
          <w:sz w:val="16"/>
        </w:rPr>
        <w:t xml:space="preserve"> in the interpretation of criminal statutes </w:t>
      </w:r>
      <w:r w:rsidRPr="0000458A">
        <w:rPr>
          <w:rStyle w:val="StyleUnderline"/>
        </w:rPr>
        <w:t>reinforce the conclusion that no deference is owed</w:t>
      </w:r>
      <w:r w:rsidRPr="0000458A">
        <w:rPr>
          <w:sz w:val="16"/>
        </w:rPr>
        <w:t xml:space="preserve"> to the BIA’s interpretation of Section 1101(a)(43). The BIA does not “administer” the statute in the criminal context—courts do. </w:t>
      </w:r>
      <w:r w:rsidRPr="0000458A">
        <w:rPr>
          <w:rStyle w:val="StyleUnderline"/>
        </w:rPr>
        <w:t>The BIA has no particular “expertise” interpreting or applying the statute in its criminal applications</w:t>
      </w:r>
      <w:r w:rsidRPr="0000458A">
        <w:rPr>
          <w:sz w:val="16"/>
        </w:rPr>
        <w:t xml:space="preserve">. And experience with this statute teaches that an agency interpretation can be anything but consistent; in fact, the BIA reached diametrically opposed conclusions within a mere 13 months on the same interpretative question presented to this Court. </w:t>
      </w:r>
      <w:r w:rsidRPr="0000458A">
        <w:rPr>
          <w:rStyle w:val="Emphasis"/>
        </w:rPr>
        <w:t>Deference is unwarranted</w:t>
      </w:r>
      <w:r w:rsidRPr="0000458A">
        <w:rPr>
          <w:sz w:val="16"/>
        </w:rPr>
        <w:t>.</w:t>
      </w:r>
    </w:p>
    <w:p w14:paraId="04D144E2" w14:textId="77777777" w:rsidR="00B51F6B" w:rsidRPr="0000458A" w:rsidRDefault="00B51F6B" w:rsidP="00B51F6B">
      <w:pPr>
        <w:rPr>
          <w:sz w:val="16"/>
          <w:szCs w:val="16"/>
        </w:rPr>
      </w:pPr>
      <w:r w:rsidRPr="0000458A">
        <w:rPr>
          <w:sz w:val="16"/>
          <w:szCs w:val="16"/>
        </w:rPr>
        <w:t>A. Section 1101(a)(43) Has Extensive Criminal Applications, with Substantial Penal Consequences</w:t>
      </w:r>
    </w:p>
    <w:p w14:paraId="6B4C432D" w14:textId="77777777" w:rsidR="00B51F6B" w:rsidRPr="0000458A" w:rsidRDefault="00B51F6B" w:rsidP="00B51F6B">
      <w:pPr>
        <w:rPr>
          <w:sz w:val="16"/>
        </w:rPr>
      </w:pPr>
      <w:r w:rsidRPr="00456038">
        <w:rPr>
          <w:rStyle w:val="StyleUnderline"/>
          <w:highlight w:val="cyan"/>
        </w:rPr>
        <w:t xml:space="preserve">The </w:t>
      </w:r>
      <w:r w:rsidRPr="00456038">
        <w:rPr>
          <w:rStyle w:val="Emphasis"/>
          <w:highlight w:val="cyan"/>
        </w:rPr>
        <w:t>INA</w:t>
      </w:r>
      <w:r w:rsidRPr="0000458A">
        <w:rPr>
          <w:sz w:val="16"/>
        </w:rPr>
        <w:t xml:space="preserve">, like various other statutes, </w:t>
      </w:r>
      <w:r w:rsidRPr="00456038">
        <w:rPr>
          <w:rStyle w:val="StyleUnderline"/>
          <w:highlight w:val="cyan"/>
        </w:rPr>
        <w:t xml:space="preserve">has both </w:t>
      </w:r>
      <w:r w:rsidRPr="00456038">
        <w:rPr>
          <w:rStyle w:val="Emphasis"/>
          <w:highlight w:val="cyan"/>
        </w:rPr>
        <w:t>civil and criminal</w:t>
      </w:r>
      <w:r w:rsidRPr="0000458A">
        <w:rPr>
          <w:rStyle w:val="StyleUnderline"/>
        </w:rPr>
        <w:t xml:space="preserve"> </w:t>
      </w:r>
      <w:r w:rsidRPr="00456038">
        <w:rPr>
          <w:rStyle w:val="StyleUnderline"/>
          <w:highlight w:val="cyan"/>
        </w:rPr>
        <w:t>applications</w:t>
      </w:r>
      <w:r w:rsidRPr="0000458A">
        <w:rPr>
          <w:sz w:val="16"/>
        </w:rPr>
        <w:t xml:space="preserve">. </w:t>
      </w:r>
      <w:r w:rsidRPr="0000458A">
        <w:rPr>
          <w:rStyle w:val="Emphasis"/>
        </w:rPr>
        <w:t>E.g., Whitman</w:t>
      </w:r>
      <w:r w:rsidRPr="0000458A">
        <w:rPr>
          <w:sz w:val="16"/>
        </w:rPr>
        <w:t xml:space="preserve"> v. United States, 135 S. Ct. 352, 353 (2014) (Scalia, J., respecting the denial of certiorari) (Section 10(b) of the Securities Exchange Act of 1934); Maracich v. Spears, 133 S. Ct. 2191, 2222 (2013) (Ginsburg, J., dissenting) (Driver’s Privacy Protection Act); Leocal, 543 U.S. at 11 n.8 (Comprehensive Crime Control Act, as referenced in 8 U.S.C. § 1101(a)(43)); Thompson/Center Arms Co., 504 U.S. at 518 n.10 (plurality opinion) (National Firearms Act). </w:t>
      </w:r>
      <w:r w:rsidRPr="00456038">
        <w:rPr>
          <w:rStyle w:val="StyleUnderline"/>
          <w:highlight w:val="cyan"/>
        </w:rPr>
        <w:t xml:space="preserve">The </w:t>
      </w:r>
      <w:r w:rsidRPr="00456038">
        <w:rPr>
          <w:rStyle w:val="Emphasis"/>
          <w:highlight w:val="cyan"/>
        </w:rPr>
        <w:t>INA</w:t>
      </w:r>
      <w:r w:rsidRPr="00456038">
        <w:rPr>
          <w:rStyle w:val="StyleUnderline"/>
          <w:highlight w:val="cyan"/>
        </w:rPr>
        <w:t xml:space="preserve"> </w:t>
      </w:r>
      <w:r w:rsidRPr="00456038">
        <w:rPr>
          <w:rStyle w:val="Emphasis"/>
          <w:highlight w:val="cyan"/>
        </w:rPr>
        <w:t>criminalizes</w:t>
      </w:r>
      <w:r w:rsidRPr="0000458A">
        <w:rPr>
          <w:rStyle w:val="StyleUnderline"/>
        </w:rPr>
        <w:t xml:space="preserve">, among other things, </w:t>
      </w:r>
      <w:r w:rsidRPr="0000458A">
        <w:rPr>
          <w:rStyle w:val="Emphasis"/>
        </w:rPr>
        <w:t>(</w:t>
      </w:r>
      <w:r w:rsidRPr="00456038">
        <w:rPr>
          <w:rStyle w:val="Emphasis"/>
          <w:highlight w:val="cyan"/>
        </w:rPr>
        <w:t>1</w:t>
      </w:r>
      <w:r w:rsidRPr="0000458A">
        <w:rPr>
          <w:rStyle w:val="Emphasis"/>
        </w:rPr>
        <w:t>)</w:t>
      </w:r>
      <w:r w:rsidRPr="0000458A">
        <w:rPr>
          <w:rStyle w:val="StyleUnderline"/>
        </w:rPr>
        <w:t xml:space="preserve"> an immigrant’s </w:t>
      </w:r>
      <w:r w:rsidRPr="00456038">
        <w:rPr>
          <w:rStyle w:val="Emphasis"/>
          <w:highlight w:val="cyan"/>
        </w:rPr>
        <w:t>failure to leave</w:t>
      </w:r>
      <w:r w:rsidRPr="0000458A">
        <w:rPr>
          <w:rStyle w:val="StyleUnderline"/>
        </w:rPr>
        <w:t xml:space="preserve"> the country </w:t>
      </w:r>
      <w:r w:rsidRPr="00456038">
        <w:rPr>
          <w:rStyle w:val="Emphasis"/>
          <w:highlight w:val="cyan"/>
        </w:rPr>
        <w:t>after</w:t>
      </w:r>
      <w:r w:rsidRPr="0000458A">
        <w:rPr>
          <w:rStyle w:val="StyleUnderline"/>
        </w:rPr>
        <w:t xml:space="preserve"> an order of </w:t>
      </w:r>
      <w:r w:rsidRPr="00456038">
        <w:rPr>
          <w:rStyle w:val="Emphasis"/>
          <w:highlight w:val="cyan"/>
        </w:rPr>
        <w:t>removal</w:t>
      </w:r>
      <w:r w:rsidRPr="0000458A">
        <w:rPr>
          <w:sz w:val="16"/>
        </w:rPr>
        <w:t xml:space="preserve">, 8 U.S.C. § 1253; </w:t>
      </w:r>
      <w:r w:rsidRPr="0000458A">
        <w:rPr>
          <w:rStyle w:val="Emphasis"/>
        </w:rPr>
        <w:t>(</w:t>
      </w:r>
      <w:r w:rsidRPr="00456038">
        <w:rPr>
          <w:rStyle w:val="Emphasis"/>
          <w:highlight w:val="cyan"/>
        </w:rPr>
        <w:t>2</w:t>
      </w:r>
      <w:r w:rsidRPr="0000458A">
        <w:rPr>
          <w:rStyle w:val="Emphasis"/>
        </w:rPr>
        <w:t>)</w:t>
      </w:r>
      <w:r w:rsidRPr="0000458A">
        <w:rPr>
          <w:rStyle w:val="StyleUnderline"/>
        </w:rPr>
        <w:t xml:space="preserve"> the </w:t>
      </w:r>
      <w:r w:rsidRPr="00456038">
        <w:rPr>
          <w:rStyle w:val="Emphasis"/>
          <w:highlight w:val="cyan"/>
        </w:rPr>
        <w:t>harboring</w:t>
      </w:r>
      <w:r w:rsidRPr="0000458A">
        <w:rPr>
          <w:rStyle w:val="StyleUnderline"/>
        </w:rPr>
        <w:t xml:space="preserve"> of certain immigrants</w:t>
      </w:r>
      <w:r w:rsidRPr="0000458A">
        <w:rPr>
          <w:sz w:val="16"/>
        </w:rPr>
        <w:t xml:space="preserve">, id. § 1324; </w:t>
      </w:r>
      <w:r w:rsidRPr="0000458A">
        <w:rPr>
          <w:rStyle w:val="Emphasis"/>
        </w:rPr>
        <w:t>(</w:t>
      </w:r>
      <w:r w:rsidRPr="00456038">
        <w:rPr>
          <w:rStyle w:val="Emphasis"/>
          <w:highlight w:val="cyan"/>
        </w:rPr>
        <w:t>3</w:t>
      </w:r>
      <w:r w:rsidRPr="0000458A">
        <w:rPr>
          <w:rStyle w:val="Emphasis"/>
        </w:rPr>
        <w:t>)</w:t>
      </w:r>
      <w:r w:rsidRPr="0000458A">
        <w:rPr>
          <w:rStyle w:val="StyleUnderline"/>
        </w:rPr>
        <w:t xml:space="preserve"> an immigrant’s </w:t>
      </w:r>
      <w:r w:rsidRPr="00456038">
        <w:rPr>
          <w:rStyle w:val="Emphasis"/>
          <w:highlight w:val="cyan"/>
        </w:rPr>
        <w:t>improper entry</w:t>
      </w:r>
      <w:r w:rsidRPr="0000458A">
        <w:rPr>
          <w:rStyle w:val="StyleUnderline"/>
        </w:rPr>
        <w:t>, or reentry, into this country</w:t>
      </w:r>
      <w:r w:rsidRPr="0000458A">
        <w:rPr>
          <w:sz w:val="16"/>
        </w:rPr>
        <w:t xml:space="preserve">, id. §§ 1325, 1326; </w:t>
      </w:r>
      <w:r w:rsidRPr="0000458A">
        <w:rPr>
          <w:rStyle w:val="Emphasis"/>
        </w:rPr>
        <w:t>(</w:t>
      </w:r>
      <w:r w:rsidRPr="00456038">
        <w:rPr>
          <w:rStyle w:val="Emphasis"/>
          <w:highlight w:val="cyan"/>
        </w:rPr>
        <w:t>4</w:t>
      </w:r>
      <w:r w:rsidRPr="0000458A">
        <w:rPr>
          <w:rStyle w:val="Emphasis"/>
        </w:rPr>
        <w:t xml:space="preserve">) providing </w:t>
      </w:r>
      <w:r w:rsidRPr="00456038">
        <w:rPr>
          <w:rStyle w:val="Emphasis"/>
          <w:highlight w:val="cyan"/>
        </w:rPr>
        <w:t>assistance</w:t>
      </w:r>
      <w:r w:rsidRPr="00456038">
        <w:rPr>
          <w:rStyle w:val="StyleUnderline"/>
          <w:highlight w:val="cyan"/>
        </w:rPr>
        <w:t xml:space="preserve"> to</w:t>
      </w:r>
      <w:r w:rsidRPr="0000458A">
        <w:rPr>
          <w:rStyle w:val="StyleUnderline"/>
        </w:rPr>
        <w:t xml:space="preserve"> immigrants who are </w:t>
      </w:r>
      <w:r w:rsidRPr="0000458A">
        <w:rPr>
          <w:rStyle w:val="Emphasis"/>
        </w:rPr>
        <w:t xml:space="preserve">improperly </w:t>
      </w:r>
      <w:r w:rsidRPr="00456038">
        <w:rPr>
          <w:rStyle w:val="Emphasis"/>
          <w:highlight w:val="cyan"/>
        </w:rPr>
        <w:t>entering</w:t>
      </w:r>
      <w:r w:rsidRPr="0000458A">
        <w:rPr>
          <w:sz w:val="16"/>
        </w:rPr>
        <w:t xml:space="preserve"> the country, id. § 1327; </w:t>
      </w:r>
      <w:r w:rsidRPr="0000458A">
        <w:rPr>
          <w:rStyle w:val="StyleUnderline"/>
        </w:rPr>
        <w:t xml:space="preserve">and </w:t>
      </w:r>
      <w:r w:rsidRPr="0000458A">
        <w:rPr>
          <w:rStyle w:val="Emphasis"/>
        </w:rPr>
        <w:t>(</w:t>
      </w:r>
      <w:r w:rsidRPr="00456038">
        <w:rPr>
          <w:rStyle w:val="Emphasis"/>
          <w:highlight w:val="cyan"/>
        </w:rPr>
        <w:t>5</w:t>
      </w:r>
      <w:r w:rsidRPr="0000458A">
        <w:rPr>
          <w:rStyle w:val="Emphasis"/>
        </w:rPr>
        <w:t>)</w:t>
      </w:r>
      <w:r w:rsidRPr="0000458A">
        <w:rPr>
          <w:rStyle w:val="StyleUnderline"/>
        </w:rPr>
        <w:t xml:space="preserve"> the </w:t>
      </w:r>
      <w:r w:rsidRPr="00456038">
        <w:rPr>
          <w:rStyle w:val="Emphasis"/>
          <w:highlight w:val="cyan"/>
        </w:rPr>
        <w:t>importation</w:t>
      </w:r>
      <w:r w:rsidRPr="0000458A">
        <w:rPr>
          <w:rStyle w:val="Emphasis"/>
        </w:rPr>
        <w:t xml:space="preserve"> of immigrants</w:t>
      </w:r>
      <w:r w:rsidRPr="0000458A">
        <w:rPr>
          <w:rStyle w:val="StyleUnderline"/>
        </w:rPr>
        <w:t xml:space="preserve"> </w:t>
      </w:r>
      <w:r w:rsidRPr="00456038">
        <w:rPr>
          <w:rStyle w:val="StyleUnderline"/>
          <w:highlight w:val="cyan"/>
        </w:rPr>
        <w:t xml:space="preserve">for </w:t>
      </w:r>
      <w:r w:rsidRPr="00456038">
        <w:rPr>
          <w:rStyle w:val="Emphasis"/>
          <w:highlight w:val="cyan"/>
        </w:rPr>
        <w:t>immoral</w:t>
      </w:r>
      <w:r w:rsidRPr="00456038">
        <w:rPr>
          <w:rStyle w:val="StyleUnderline"/>
          <w:highlight w:val="cyan"/>
        </w:rPr>
        <w:t xml:space="preserve"> purposes</w:t>
      </w:r>
      <w:r w:rsidRPr="0000458A">
        <w:rPr>
          <w:sz w:val="16"/>
        </w:rPr>
        <w:t>, id. § 1328.</w:t>
      </w:r>
    </w:p>
    <w:p w14:paraId="67BA1493" w14:textId="77777777" w:rsidR="00B51F6B" w:rsidRPr="0000458A" w:rsidRDefault="00B51F6B" w:rsidP="00B51F6B">
      <w:pPr>
        <w:rPr>
          <w:sz w:val="16"/>
        </w:rPr>
      </w:pPr>
      <w:r w:rsidRPr="0000458A">
        <w:rPr>
          <w:sz w:val="16"/>
        </w:rPr>
        <w:t xml:space="preserve">Section 1101(a)(43), </w:t>
      </w:r>
      <w:r w:rsidRPr="00456038">
        <w:rPr>
          <w:rStyle w:val="StyleUnderline"/>
          <w:highlight w:val="cyan"/>
        </w:rPr>
        <w:t xml:space="preserve">the </w:t>
      </w:r>
      <w:r w:rsidRPr="00456038">
        <w:rPr>
          <w:rStyle w:val="Emphasis"/>
          <w:highlight w:val="cyan"/>
        </w:rPr>
        <w:t>INA</w:t>
      </w:r>
      <w:r w:rsidRPr="00456038">
        <w:rPr>
          <w:rStyle w:val="StyleUnderline"/>
          <w:highlight w:val="cyan"/>
        </w:rPr>
        <w:t xml:space="preserve"> provision</w:t>
      </w:r>
      <w:r w:rsidRPr="0000458A">
        <w:rPr>
          <w:sz w:val="16"/>
        </w:rPr>
        <w:t xml:space="preserve"> at issue here, </w:t>
      </w:r>
      <w:r w:rsidRPr="0000458A">
        <w:rPr>
          <w:rStyle w:val="StyleUnderline"/>
        </w:rPr>
        <w:t xml:space="preserve">itself </w:t>
      </w:r>
      <w:r w:rsidRPr="00456038">
        <w:rPr>
          <w:rStyle w:val="StyleUnderline"/>
          <w:highlight w:val="cyan"/>
        </w:rPr>
        <w:t>has</w:t>
      </w:r>
      <w:r w:rsidRPr="0000458A">
        <w:rPr>
          <w:rStyle w:val="StyleUnderline"/>
        </w:rPr>
        <w:t xml:space="preserve"> </w:t>
      </w:r>
      <w:r w:rsidRPr="00456038">
        <w:rPr>
          <w:rStyle w:val="Emphasis"/>
          <w:highlight w:val="cyan"/>
        </w:rPr>
        <w:t>criminal applications</w:t>
      </w:r>
      <w:r w:rsidRPr="0000458A">
        <w:rPr>
          <w:sz w:val="16"/>
        </w:rPr>
        <w:t xml:space="preserve">. It defines </w:t>
      </w:r>
      <w:r w:rsidRPr="0000458A">
        <w:rPr>
          <w:rStyle w:val="StyleUnderline"/>
        </w:rPr>
        <w:t>“</w:t>
      </w:r>
      <w:r w:rsidRPr="00456038">
        <w:rPr>
          <w:rStyle w:val="Emphasis"/>
          <w:highlight w:val="cyan"/>
        </w:rPr>
        <w:t>aggravated felony</w:t>
      </w:r>
      <w:r w:rsidRPr="0000458A">
        <w:rPr>
          <w:rStyle w:val="StyleUnderline"/>
        </w:rPr>
        <w:t xml:space="preserve">” not only for </w:t>
      </w:r>
      <w:r w:rsidRPr="0000458A">
        <w:rPr>
          <w:rStyle w:val="Emphasis"/>
        </w:rPr>
        <w:t>immigration proceedings</w:t>
      </w:r>
      <w:r w:rsidRPr="0000458A">
        <w:rPr>
          <w:sz w:val="16"/>
        </w:rPr>
        <w:t xml:space="preserve">, </w:t>
      </w:r>
      <w:r w:rsidRPr="0000458A">
        <w:rPr>
          <w:rStyle w:val="StyleUnderline"/>
        </w:rPr>
        <w:t>but also for</w:t>
      </w:r>
      <w:r w:rsidRPr="0000458A">
        <w:rPr>
          <w:sz w:val="16"/>
        </w:rPr>
        <w:t xml:space="preserve"> purposes of </w:t>
      </w:r>
      <w:r w:rsidRPr="0000458A">
        <w:rPr>
          <w:rStyle w:val="StyleUnderline"/>
        </w:rPr>
        <w:t xml:space="preserve">defining crimes and </w:t>
      </w:r>
      <w:r w:rsidRPr="00456038">
        <w:rPr>
          <w:rStyle w:val="StyleUnderline"/>
          <w:highlight w:val="cyan"/>
        </w:rPr>
        <w:t>set</w:t>
      </w:r>
      <w:r w:rsidRPr="0000458A">
        <w:rPr>
          <w:rStyle w:val="StyleUnderline"/>
        </w:rPr>
        <w:t xml:space="preserve">ting </w:t>
      </w:r>
      <w:r w:rsidRPr="00456038">
        <w:rPr>
          <w:rStyle w:val="StyleUnderline"/>
          <w:highlight w:val="cyan"/>
        </w:rPr>
        <w:t xml:space="preserve">forth </w:t>
      </w:r>
      <w:r w:rsidRPr="00456038">
        <w:rPr>
          <w:rStyle w:val="Emphasis"/>
          <w:highlight w:val="cyan"/>
        </w:rPr>
        <w:t>criminal penalties</w:t>
      </w:r>
      <w:r w:rsidRPr="0000458A">
        <w:rPr>
          <w:sz w:val="16"/>
        </w:rPr>
        <w:t xml:space="preserve">. For example, it is illegal to aid or assist “any alien inadmissible under section 1182(a)(2) (insofar as an alien inadmissible under such section has been convicted of an aggravated felony).” 8 U.S.C. § 1327 (emphasis added). Likewise, </w:t>
      </w:r>
      <w:r w:rsidRPr="0000458A">
        <w:rPr>
          <w:rStyle w:val="StyleUnderline"/>
        </w:rPr>
        <w:t xml:space="preserve">the </w:t>
      </w:r>
      <w:r w:rsidRPr="0000458A">
        <w:rPr>
          <w:rStyle w:val="Emphasis"/>
        </w:rPr>
        <w:t>federal failure-to-depart</w:t>
      </w:r>
      <w:r w:rsidRPr="0000458A">
        <w:rPr>
          <w:rStyle w:val="StyleUnderline"/>
        </w:rPr>
        <w:t xml:space="preserve"> statute makes it a </w:t>
      </w:r>
      <w:r w:rsidRPr="0000458A">
        <w:rPr>
          <w:rStyle w:val="Emphasis"/>
        </w:rPr>
        <w:t>crime</w:t>
      </w:r>
      <w:r w:rsidRPr="0000458A">
        <w:rPr>
          <w:rStyle w:val="StyleUnderline"/>
        </w:rPr>
        <w:t xml:space="preserve"> for </w:t>
      </w:r>
      <w:r w:rsidRPr="0000458A">
        <w:rPr>
          <w:rStyle w:val="Emphasis"/>
        </w:rPr>
        <w:t>immigrants</w:t>
      </w:r>
      <w:r w:rsidRPr="0000458A">
        <w:rPr>
          <w:rStyle w:val="StyleUnderline"/>
        </w:rPr>
        <w:t xml:space="preserve"> convicted </w:t>
      </w:r>
      <w:r w:rsidRPr="0000458A">
        <w:rPr>
          <w:rStyle w:val="Emphasis"/>
        </w:rPr>
        <w:t>of an “aggravated felony” to remain</w:t>
      </w:r>
      <w:r w:rsidRPr="0000458A">
        <w:rPr>
          <w:rStyle w:val="StyleUnderline"/>
        </w:rPr>
        <w:t xml:space="preserve"> in the country</w:t>
      </w:r>
      <w:r w:rsidRPr="0000458A">
        <w:rPr>
          <w:sz w:val="16"/>
        </w:rPr>
        <w:t>. See id. § 1253(a).</w:t>
      </w:r>
    </w:p>
    <w:p w14:paraId="68B435B9" w14:textId="77777777" w:rsidR="00B51F6B" w:rsidRPr="0000458A" w:rsidRDefault="00B51F6B" w:rsidP="00B51F6B">
      <w:pPr>
        <w:rPr>
          <w:sz w:val="16"/>
          <w:szCs w:val="16"/>
        </w:rPr>
      </w:pPr>
      <w:r w:rsidRPr="0000458A">
        <w:rPr>
          <w:sz w:val="16"/>
          <w:szCs w:val="16"/>
        </w:rPr>
        <w:t>Section 1101(a)(43) also substantially increases the sentencing exposure of those convicted of certain federal criminal offenses. For example, the maximum penalty authorized by statute for illegal reentry under 8 U.S.C. § 1326 is two years for a “simple” offense, meaning no enhancements based on predicate convictions, but 20 years if the defendant has been convicted of an aggravated felony. See id. § 1326(b)(2) (also identifying an intermediate penalty for those with prior non-aggravated-felony convictions). Likewise, a federal criminal defendant faces a maximum prison term of four years for “simple” failure to depart under 8 U.S.C. § 1253(a)(1), but he or she faces a maximum 10-year prison term if previously convicted of an aggravated felony. See id. § 1253(a)(1) (same). Along those same lines, helping an inadmissible immigrant who “has been convicted of an aggravated felony” enter the country is a federal crime punishable by a 10-year maximum prison sentence. See id. § 1327.</w:t>
      </w:r>
    </w:p>
    <w:p w14:paraId="647DF0BE" w14:textId="77777777" w:rsidR="00B51F6B" w:rsidRPr="0000458A" w:rsidRDefault="00B51F6B" w:rsidP="00B51F6B">
      <w:pPr>
        <w:rPr>
          <w:sz w:val="16"/>
        </w:rPr>
      </w:pPr>
      <w:r w:rsidRPr="00456038">
        <w:rPr>
          <w:rStyle w:val="StyleUnderline"/>
          <w:highlight w:val="cyan"/>
        </w:rPr>
        <w:t>Severe consequences</w:t>
      </w:r>
      <w:r w:rsidRPr="0000458A">
        <w:rPr>
          <w:sz w:val="16"/>
        </w:rPr>
        <w:t xml:space="preserve"> also </w:t>
      </w:r>
      <w:r w:rsidRPr="00456038">
        <w:rPr>
          <w:rStyle w:val="StyleUnderline"/>
          <w:highlight w:val="cyan"/>
        </w:rPr>
        <w:t>result under the</w:t>
      </w:r>
      <w:r w:rsidRPr="0000458A">
        <w:rPr>
          <w:rStyle w:val="StyleUnderline"/>
        </w:rPr>
        <w:t xml:space="preserve"> United States </w:t>
      </w:r>
      <w:r w:rsidRPr="00456038">
        <w:rPr>
          <w:rStyle w:val="Emphasis"/>
          <w:highlight w:val="cyan"/>
        </w:rPr>
        <w:t>Sentencing Guidelines</w:t>
      </w:r>
      <w:r w:rsidRPr="0000458A">
        <w:rPr>
          <w:sz w:val="16"/>
        </w:rPr>
        <w:t xml:space="preserve"> (the “Guidelines”). </w:t>
      </w:r>
      <w:r w:rsidRPr="00456038">
        <w:rPr>
          <w:rStyle w:val="StyleUnderline"/>
          <w:highlight w:val="cyan"/>
        </w:rPr>
        <w:t>An immigrant convicted of</w:t>
      </w:r>
      <w:r w:rsidRPr="0000458A">
        <w:rPr>
          <w:rStyle w:val="StyleUnderline"/>
        </w:rPr>
        <w:t xml:space="preserve"> improper entry</w:t>
      </w:r>
      <w:r w:rsidRPr="0000458A">
        <w:rPr>
          <w:sz w:val="16"/>
        </w:rPr>
        <w:t xml:space="preserve"> under 8 U.S.C. § 1325(a) </w:t>
      </w:r>
      <w:r w:rsidRPr="0000458A">
        <w:rPr>
          <w:rStyle w:val="StyleUnderline"/>
        </w:rPr>
        <w:t xml:space="preserve">or </w:t>
      </w:r>
      <w:r w:rsidRPr="00456038">
        <w:rPr>
          <w:rStyle w:val="StyleUnderline"/>
          <w:highlight w:val="cyan"/>
        </w:rPr>
        <w:t>illegal</w:t>
      </w:r>
      <w:r w:rsidRPr="0000458A">
        <w:rPr>
          <w:rStyle w:val="StyleUnderline"/>
        </w:rPr>
        <w:t xml:space="preserve"> re</w:t>
      </w:r>
      <w:r w:rsidRPr="00456038">
        <w:rPr>
          <w:rStyle w:val="StyleUnderline"/>
          <w:highlight w:val="cyan"/>
        </w:rPr>
        <w:t>entry</w:t>
      </w:r>
      <w:r w:rsidRPr="0000458A">
        <w:rPr>
          <w:sz w:val="16"/>
        </w:rPr>
        <w:t xml:space="preserve"> under § 1326 </w:t>
      </w:r>
      <w:r w:rsidRPr="00456038">
        <w:rPr>
          <w:rStyle w:val="StyleUnderline"/>
          <w:highlight w:val="cyan"/>
        </w:rPr>
        <w:t>incurs</w:t>
      </w:r>
      <w:r w:rsidRPr="0000458A">
        <w:rPr>
          <w:rStyle w:val="StyleUnderline"/>
        </w:rPr>
        <w:t xml:space="preserve"> </w:t>
      </w:r>
      <w:r w:rsidRPr="00456038">
        <w:rPr>
          <w:rStyle w:val="StyleUnderline"/>
          <w:highlight w:val="cyan"/>
        </w:rPr>
        <w:t>a</w:t>
      </w:r>
      <w:r w:rsidRPr="0000458A">
        <w:rPr>
          <w:rStyle w:val="StyleUnderline"/>
        </w:rPr>
        <w:t xml:space="preserve"> </w:t>
      </w:r>
      <w:r w:rsidRPr="0000458A">
        <w:rPr>
          <w:rStyle w:val="Emphasis"/>
        </w:rPr>
        <w:t xml:space="preserve">substantially </w:t>
      </w:r>
      <w:r w:rsidRPr="00456038">
        <w:rPr>
          <w:rStyle w:val="Emphasis"/>
          <w:highlight w:val="cyan"/>
        </w:rPr>
        <w:t>more severe sentenc</w:t>
      </w:r>
      <w:r w:rsidRPr="0000458A">
        <w:rPr>
          <w:rStyle w:val="Emphasis"/>
        </w:rPr>
        <w:t>ing</w:t>
      </w:r>
      <w:r w:rsidRPr="0000458A">
        <w:rPr>
          <w:rStyle w:val="StyleUnderline"/>
        </w:rPr>
        <w:t xml:space="preserve"> range </w:t>
      </w:r>
      <w:r w:rsidRPr="00456038">
        <w:rPr>
          <w:rStyle w:val="StyleUnderline"/>
          <w:highlight w:val="cyan"/>
        </w:rPr>
        <w:t xml:space="preserve">under </w:t>
      </w:r>
      <w:r w:rsidRPr="00456038">
        <w:rPr>
          <w:rStyle w:val="Emphasis"/>
          <w:highlight w:val="cyan"/>
        </w:rPr>
        <w:t>the Guidelines</w:t>
      </w:r>
      <w:r w:rsidRPr="0000458A">
        <w:rPr>
          <w:sz w:val="16"/>
        </w:rPr>
        <w:t xml:space="preserve"> </w:t>
      </w:r>
      <w:r w:rsidRPr="0000458A">
        <w:rPr>
          <w:rStyle w:val="StyleUnderline"/>
        </w:rPr>
        <w:t>if</w:t>
      </w:r>
      <w:r w:rsidRPr="0000458A">
        <w:rPr>
          <w:sz w:val="16"/>
        </w:rPr>
        <w:t xml:space="preserve"> he or she has </w:t>
      </w:r>
      <w:r w:rsidRPr="0000458A">
        <w:rPr>
          <w:rStyle w:val="StyleUnderline"/>
        </w:rPr>
        <w:t>previously</w:t>
      </w:r>
      <w:r w:rsidRPr="0000458A">
        <w:rPr>
          <w:sz w:val="16"/>
        </w:rPr>
        <w:t xml:space="preserve"> been </w:t>
      </w:r>
      <w:r w:rsidRPr="0000458A">
        <w:rPr>
          <w:rStyle w:val="Emphasis"/>
        </w:rPr>
        <w:t>convicted</w:t>
      </w:r>
      <w:r w:rsidRPr="0000458A">
        <w:rPr>
          <w:rStyle w:val="StyleUnderline"/>
        </w:rPr>
        <w:t xml:space="preserve"> of an “</w:t>
      </w:r>
      <w:r w:rsidRPr="0000458A">
        <w:rPr>
          <w:rStyle w:val="Emphasis"/>
        </w:rPr>
        <w:t>aggravated felony</w:t>
      </w:r>
      <w:r w:rsidRPr="0000458A">
        <w:rPr>
          <w:rStyle w:val="StyleUnderline"/>
        </w:rPr>
        <w:t>,”</w:t>
      </w:r>
      <w:r w:rsidRPr="0000458A">
        <w:rPr>
          <w:sz w:val="16"/>
        </w:rPr>
        <w:t xml:space="preserve"> as defined by Section 1101(a)(43). See U.S. SENTENCING GUIDELINES MANUAL § 2L1.2 cmt. n.3 (2009). While illegal reentry itself carries a base offense level of 8, id. § 2L1.2(a), that offense level increases to 12 if he or she was previously convicted of any felony, and </w:t>
      </w:r>
      <w:r w:rsidRPr="0000458A">
        <w:rPr>
          <w:rStyle w:val="StyleUnderline"/>
        </w:rPr>
        <w:t>it doubles to 16 if the defendant was previously convicted of an aggravated felony</w:t>
      </w:r>
      <w:r w:rsidRPr="0000458A">
        <w:rPr>
          <w:sz w:val="16"/>
        </w:rPr>
        <w:t>. Id. § 2L1.2(b)(1)(c)–(d); see also Illegal Reentry Offenses, UNITED STATES SENTENCING COMMISSION, 1, 7 (April 2015), http://www.ussc.gov/sites/default/files/pdf/ research-and-publications/research-projects-andsurveys/immigration/2015_Illegal-ReentryReport.pdf.</w:t>
      </w:r>
    </w:p>
    <w:p w14:paraId="4E899080" w14:textId="77777777" w:rsidR="00B51F6B" w:rsidRPr="0000458A" w:rsidRDefault="00B51F6B" w:rsidP="00B51F6B">
      <w:pPr>
        <w:rPr>
          <w:sz w:val="16"/>
        </w:rPr>
      </w:pPr>
      <w:r w:rsidRPr="00456038">
        <w:rPr>
          <w:rStyle w:val="StyleUnderline"/>
          <w:highlight w:val="cyan"/>
        </w:rPr>
        <w:t>These</w:t>
      </w:r>
      <w:r w:rsidRPr="0000458A">
        <w:rPr>
          <w:rStyle w:val="StyleUnderline"/>
        </w:rPr>
        <w:t xml:space="preserve"> </w:t>
      </w:r>
      <w:r w:rsidRPr="00456038">
        <w:rPr>
          <w:rStyle w:val="Emphasis"/>
          <w:highlight w:val="cyan"/>
        </w:rPr>
        <w:t>criminal law consequences</w:t>
      </w:r>
      <w:r w:rsidRPr="0000458A">
        <w:rPr>
          <w:sz w:val="16"/>
        </w:rPr>
        <w:t xml:space="preserve"> under Section 1101(a)(43) </w:t>
      </w:r>
      <w:r w:rsidRPr="00456038">
        <w:rPr>
          <w:rStyle w:val="StyleUnderline"/>
          <w:highlight w:val="cyan"/>
        </w:rPr>
        <w:t xml:space="preserve">have </w:t>
      </w:r>
      <w:r w:rsidRPr="00456038">
        <w:rPr>
          <w:rStyle w:val="Emphasis"/>
          <w:highlight w:val="cyan"/>
        </w:rPr>
        <w:t>widespread impact</w:t>
      </w:r>
      <w:r w:rsidRPr="0000458A">
        <w:rPr>
          <w:sz w:val="16"/>
        </w:rPr>
        <w:t xml:space="preserve">. </w:t>
      </w:r>
      <w:r w:rsidRPr="0000458A">
        <w:rPr>
          <w:rStyle w:val="StyleUnderline"/>
        </w:rPr>
        <w:t>The illegal reentry statute, which contains an “aggravated felony” enhancement, is the second-most prosecuted felony in our federal courts</w:t>
      </w:r>
      <w:r w:rsidRPr="0000458A">
        <w:rPr>
          <w:sz w:val="16"/>
        </w:rPr>
        <w:t xml:space="preserve">. Transactional Records Access Clearinghouse (“TRAC”), TRAC Reports, Prosecutions for 2014 (Dec. 5, 2014), available at http://tracfed.syr.edu/results/9x20548211252a.html. In 2013, </w:t>
      </w:r>
      <w:r w:rsidRPr="00456038">
        <w:rPr>
          <w:rStyle w:val="StyleUnderline"/>
          <w:highlight w:val="cyan"/>
        </w:rPr>
        <w:t>illegal reentry</w:t>
      </w:r>
      <w:r w:rsidRPr="0000458A">
        <w:rPr>
          <w:rStyle w:val="StyleUnderline"/>
        </w:rPr>
        <w:t xml:space="preserve"> cases </w:t>
      </w:r>
      <w:r w:rsidRPr="00456038">
        <w:rPr>
          <w:rStyle w:val="StyleUnderline"/>
          <w:highlight w:val="cyan"/>
        </w:rPr>
        <w:t>accounted for 26 percent of</w:t>
      </w:r>
      <w:r w:rsidRPr="0000458A">
        <w:rPr>
          <w:rStyle w:val="StyleUnderline"/>
        </w:rPr>
        <w:t xml:space="preserve"> all </w:t>
      </w:r>
      <w:r w:rsidRPr="00456038">
        <w:rPr>
          <w:rStyle w:val="StyleUnderline"/>
          <w:highlight w:val="cyan"/>
        </w:rPr>
        <w:t>federal</w:t>
      </w:r>
      <w:r w:rsidRPr="0000458A">
        <w:rPr>
          <w:rStyle w:val="StyleUnderline"/>
        </w:rPr>
        <w:t xml:space="preserve"> criminal </w:t>
      </w:r>
      <w:r w:rsidRPr="00456038">
        <w:rPr>
          <w:rStyle w:val="StyleUnderline"/>
          <w:highlight w:val="cyan"/>
        </w:rPr>
        <w:t>sentencings</w:t>
      </w:r>
      <w:r w:rsidRPr="0000458A">
        <w:rPr>
          <w:sz w:val="16"/>
        </w:rPr>
        <w:t xml:space="preserve"> and </w:t>
      </w:r>
      <w:r w:rsidRPr="00456038">
        <w:rPr>
          <w:rStyle w:val="StyleUnderline"/>
          <w:highlight w:val="cyan"/>
        </w:rPr>
        <w:t>83.3 percent of sentencings involving immigration offenses</w:t>
      </w:r>
      <w:r w:rsidRPr="0000458A">
        <w:rPr>
          <w:sz w:val="16"/>
        </w:rPr>
        <w:t>. Illegal Reentry Offenses, supra, at 9. And the raw number of illegal reentry cases has steadily climbed year after year, increasing nearly 10% in just four years—from 16,921 in 2009 to 18,498 in 2013. Id. What’s more, of the 18,498 illegal reentry defendants sentenced in 2013, “</w:t>
      </w:r>
      <w:r w:rsidRPr="0000458A">
        <w:rPr>
          <w:rStyle w:val="StyleUnderline"/>
        </w:rPr>
        <w:t>slightly more than 40 percent faced a statutory maximum of 20 years</w:t>
      </w:r>
      <w:r w:rsidRPr="0000458A">
        <w:rPr>
          <w:sz w:val="16"/>
        </w:rPr>
        <w:t xml:space="preserve"> under § 1326(b)(2)” </w:t>
      </w:r>
      <w:r w:rsidRPr="0000458A">
        <w:rPr>
          <w:rStyle w:val="StyleUnderline"/>
        </w:rPr>
        <w:t>because of an aggravated felony conviction</w:t>
      </w:r>
      <w:r w:rsidRPr="0000458A">
        <w:rPr>
          <w:sz w:val="16"/>
        </w:rPr>
        <w:t>. Id. (noting that approximately one quarter of illegal reentry defendants faced a two-year statutory maximum under § 1326(a) and about onethird faced a 10-year statutory maximum under § 1326(b)(1)).</w:t>
      </w:r>
    </w:p>
    <w:p w14:paraId="0E79526C" w14:textId="77777777" w:rsidR="00B51F6B" w:rsidRPr="0000458A" w:rsidRDefault="00B51F6B" w:rsidP="00B51F6B">
      <w:pPr>
        <w:rPr>
          <w:sz w:val="16"/>
        </w:rPr>
      </w:pPr>
      <w:r w:rsidRPr="0000458A">
        <w:rPr>
          <w:sz w:val="16"/>
        </w:rPr>
        <w:t xml:space="preserve">Thus, there can be no doubt that </w:t>
      </w:r>
      <w:r w:rsidRPr="00456038">
        <w:rPr>
          <w:rStyle w:val="Emphasis"/>
          <w:highlight w:val="cyan"/>
        </w:rPr>
        <w:t>an aggravated felony conviction carries hefty</w:t>
      </w:r>
      <w:r w:rsidRPr="0000458A">
        <w:rPr>
          <w:rStyle w:val="Emphasis"/>
        </w:rPr>
        <w:t xml:space="preserve"> </w:t>
      </w:r>
      <w:r w:rsidRPr="00456038">
        <w:rPr>
          <w:rStyle w:val="Emphasis"/>
          <w:highlight w:val="cyan"/>
        </w:rPr>
        <w:t>criminal</w:t>
      </w:r>
      <w:r w:rsidRPr="0000458A">
        <w:rPr>
          <w:rStyle w:val="Emphasis"/>
        </w:rPr>
        <w:t xml:space="preserve"> law </w:t>
      </w:r>
      <w:r w:rsidRPr="00456038">
        <w:rPr>
          <w:rStyle w:val="Emphasis"/>
          <w:highlight w:val="cyan"/>
        </w:rPr>
        <w:t>consequences</w:t>
      </w:r>
      <w:r w:rsidRPr="0000458A">
        <w:rPr>
          <w:sz w:val="16"/>
        </w:rPr>
        <w:t>.</w:t>
      </w:r>
    </w:p>
    <w:p w14:paraId="5F5BBD7E" w14:textId="77777777" w:rsidR="00B51F6B" w:rsidRPr="0000458A" w:rsidRDefault="00B51F6B" w:rsidP="00B51F6B">
      <w:pPr>
        <w:rPr>
          <w:sz w:val="16"/>
          <w:szCs w:val="16"/>
        </w:rPr>
      </w:pPr>
      <w:r w:rsidRPr="0000458A">
        <w:rPr>
          <w:sz w:val="16"/>
          <w:szCs w:val="16"/>
        </w:rPr>
        <w:t>B. Because Section 1101(a)(43) Has Criminal Law Consequences, the Rule of Lenity Applies and the BIA Is Owed No Deference</w:t>
      </w:r>
    </w:p>
    <w:p w14:paraId="5D8176D2" w14:textId="77777777" w:rsidR="00B51F6B" w:rsidRPr="0000458A" w:rsidRDefault="00B51F6B" w:rsidP="00B51F6B">
      <w:pPr>
        <w:rPr>
          <w:sz w:val="16"/>
        </w:rPr>
      </w:pPr>
      <w:r w:rsidRPr="00456038">
        <w:rPr>
          <w:rStyle w:val="StyleUnderline"/>
          <w:highlight w:val="cyan"/>
        </w:rPr>
        <w:t>Given that</w:t>
      </w:r>
      <w:r w:rsidRPr="0000458A">
        <w:rPr>
          <w:sz w:val="16"/>
        </w:rPr>
        <w:t xml:space="preserve"> </w:t>
      </w:r>
      <w:r w:rsidRPr="0000458A">
        <w:rPr>
          <w:rStyle w:val="StyleUnderline"/>
        </w:rPr>
        <w:t>an “</w:t>
      </w:r>
      <w:r w:rsidRPr="00456038">
        <w:rPr>
          <w:rStyle w:val="StyleUnderline"/>
          <w:highlight w:val="cyan"/>
        </w:rPr>
        <w:t>aggravated felony</w:t>
      </w:r>
      <w:r w:rsidRPr="0000458A">
        <w:rPr>
          <w:rStyle w:val="StyleUnderline"/>
        </w:rPr>
        <w:t>” conviction</w:t>
      </w:r>
      <w:r w:rsidRPr="0000458A">
        <w:rPr>
          <w:sz w:val="16"/>
        </w:rPr>
        <w:t xml:space="preserve"> under Section 1101(a)(43) </w:t>
      </w:r>
      <w:r w:rsidRPr="00456038">
        <w:rPr>
          <w:rStyle w:val="StyleUnderline"/>
          <w:highlight w:val="cyan"/>
        </w:rPr>
        <w:t>has</w:t>
      </w:r>
      <w:r w:rsidRPr="0000458A">
        <w:rPr>
          <w:rStyle w:val="StyleUnderline"/>
        </w:rPr>
        <w:t xml:space="preserve"> both </w:t>
      </w:r>
      <w:r w:rsidRPr="00456038">
        <w:rPr>
          <w:rStyle w:val="Emphasis"/>
          <w:highlight w:val="cyan"/>
        </w:rPr>
        <w:t>criminal and civil</w:t>
      </w:r>
      <w:r w:rsidRPr="00456038">
        <w:rPr>
          <w:rStyle w:val="StyleUnderline"/>
          <w:highlight w:val="cyan"/>
        </w:rPr>
        <w:t xml:space="preserve"> applications</w:t>
      </w:r>
      <w:r w:rsidRPr="0000458A">
        <w:rPr>
          <w:sz w:val="16"/>
        </w:rPr>
        <w:t xml:space="preserve">, that term must be interpreted consistently across both settings. See Whitman, 135 S. Ct. at 353. </w:t>
      </w:r>
      <w:r w:rsidRPr="0000458A">
        <w:rPr>
          <w:rStyle w:val="StyleUnderline"/>
        </w:rPr>
        <w:t>This remains true even when the case arises in a noncriminal context</w:t>
      </w:r>
      <w:r w:rsidRPr="0000458A">
        <w:rPr>
          <w:sz w:val="16"/>
        </w:rPr>
        <w:t>. Leocal, 543 U.S. at 11 n.8 (“</w:t>
      </w:r>
      <w:r w:rsidRPr="0000458A">
        <w:rPr>
          <w:rStyle w:val="StyleUnderline"/>
        </w:rPr>
        <w:t xml:space="preserve">Because we must interpret the statute consistently, whether we encounter its application in a </w:t>
      </w:r>
      <w:r w:rsidRPr="0000458A">
        <w:rPr>
          <w:rStyle w:val="Emphasis"/>
        </w:rPr>
        <w:t xml:space="preserve">criminal or noncriminal context, </w:t>
      </w:r>
      <w:r w:rsidRPr="00456038">
        <w:rPr>
          <w:rStyle w:val="Emphasis"/>
          <w:highlight w:val="cyan"/>
        </w:rPr>
        <w:t>the rule of lenity applies</w:t>
      </w:r>
      <w:r w:rsidRPr="0000458A">
        <w:rPr>
          <w:sz w:val="16"/>
        </w:rPr>
        <w:t xml:space="preserve">.”); see also Kasten v. Saint-Gobain Performance Plastics Corp., 131 S. Ct. 1325, 1336 (2011) (applying rule of lenity to civil statute); Thompson/Center Arms Co., 504 U.S. at 517–18 (plurality opinion) (same). Thus, </w:t>
      </w:r>
      <w:r w:rsidRPr="0000458A">
        <w:rPr>
          <w:rStyle w:val="StyleUnderline"/>
        </w:rPr>
        <w:t xml:space="preserve">to the extent </w:t>
      </w:r>
      <w:r w:rsidRPr="00456038">
        <w:rPr>
          <w:rStyle w:val="Emphasis"/>
          <w:highlight w:val="cyan"/>
        </w:rPr>
        <w:t>there are ambiguities</w:t>
      </w:r>
      <w:r w:rsidRPr="0000458A">
        <w:rPr>
          <w:sz w:val="16"/>
        </w:rPr>
        <w:t xml:space="preserve"> in Section 1101(a)(43), </w:t>
      </w:r>
      <w:r w:rsidRPr="0000458A">
        <w:rPr>
          <w:rStyle w:val="StyleUnderline"/>
        </w:rPr>
        <w:t xml:space="preserve">they are </w:t>
      </w:r>
      <w:r w:rsidRPr="00456038">
        <w:rPr>
          <w:rStyle w:val="Emphasis"/>
          <w:highlight w:val="cyan"/>
        </w:rPr>
        <w:t>governed by</w:t>
      </w:r>
      <w:r w:rsidRPr="0000458A">
        <w:rPr>
          <w:rStyle w:val="StyleUnderline"/>
        </w:rPr>
        <w:t xml:space="preserve"> the </w:t>
      </w:r>
      <w:r w:rsidRPr="0000458A">
        <w:rPr>
          <w:rStyle w:val="Emphasis"/>
        </w:rPr>
        <w:t xml:space="preserve">rule of </w:t>
      </w:r>
      <w:r w:rsidRPr="00456038">
        <w:rPr>
          <w:rStyle w:val="Emphasis"/>
          <w:highlight w:val="cyan"/>
        </w:rPr>
        <w:t>lenity</w:t>
      </w:r>
      <w:r w:rsidRPr="0000458A">
        <w:rPr>
          <w:rStyle w:val="StyleUnderline"/>
        </w:rPr>
        <w:t xml:space="preserve"> </w:t>
      </w:r>
      <w:r w:rsidRPr="00456038">
        <w:rPr>
          <w:rStyle w:val="StyleUnderline"/>
          <w:highlight w:val="cyan"/>
        </w:rPr>
        <w:t>and</w:t>
      </w:r>
      <w:r w:rsidRPr="0000458A">
        <w:rPr>
          <w:rStyle w:val="StyleUnderline"/>
        </w:rPr>
        <w:t xml:space="preserve"> “</w:t>
      </w:r>
      <w:r w:rsidRPr="00456038">
        <w:rPr>
          <w:rStyle w:val="StyleUnderline"/>
          <w:highlight w:val="cyan"/>
        </w:rPr>
        <w:t xml:space="preserve">should be </w:t>
      </w:r>
      <w:r w:rsidRPr="00456038">
        <w:rPr>
          <w:rStyle w:val="Emphasis"/>
          <w:highlight w:val="cyan"/>
        </w:rPr>
        <w:t>construed in the noncitizen’s</w:t>
      </w:r>
      <w:r w:rsidRPr="00456038">
        <w:rPr>
          <w:rStyle w:val="StyleUnderline"/>
          <w:highlight w:val="cyan"/>
        </w:rPr>
        <w:t xml:space="preserve"> favor</w:t>
      </w:r>
      <w:r w:rsidRPr="0000458A">
        <w:rPr>
          <w:sz w:val="16"/>
        </w:rPr>
        <w:t>.” CarachuriRosendo, 560 U.S. at 581.</w:t>
      </w:r>
    </w:p>
    <w:p w14:paraId="4AB82D48" w14:textId="77777777" w:rsidR="00B51F6B" w:rsidRPr="0000458A" w:rsidRDefault="00B51F6B" w:rsidP="00B51F6B">
      <w:pPr>
        <w:rPr>
          <w:sz w:val="16"/>
        </w:rPr>
      </w:pPr>
      <w:r w:rsidRPr="0000458A">
        <w:rPr>
          <w:sz w:val="16"/>
        </w:rPr>
        <w:t xml:space="preserve">The rule of lenity requires construing an ambiguous statute in favor of the defendant to determine the statute’s meaning. And because courts must apply this and other traditional rules of statutory construction to resolve ambiguity before deferring to an agency’s interpretation, </w:t>
      </w:r>
      <w:r w:rsidRPr="00456038">
        <w:rPr>
          <w:rStyle w:val="StyleUnderline"/>
          <w:highlight w:val="cyan"/>
        </w:rPr>
        <w:t xml:space="preserve">there is </w:t>
      </w:r>
      <w:r w:rsidRPr="00456038">
        <w:rPr>
          <w:rStyle w:val="Emphasis"/>
          <w:highlight w:val="cyan"/>
        </w:rPr>
        <w:t>no place for deference</w:t>
      </w:r>
      <w:r w:rsidRPr="00456038">
        <w:rPr>
          <w:rStyle w:val="StyleUnderline"/>
          <w:highlight w:val="cyan"/>
        </w:rPr>
        <w:t xml:space="preserve"> to the </w:t>
      </w:r>
      <w:r w:rsidRPr="00456038">
        <w:rPr>
          <w:rStyle w:val="Emphasis"/>
          <w:highlight w:val="cyan"/>
        </w:rPr>
        <w:t>BIA</w:t>
      </w:r>
      <w:r w:rsidRPr="00456038">
        <w:rPr>
          <w:sz w:val="16"/>
          <w:highlight w:val="cyan"/>
        </w:rPr>
        <w:t>.</w:t>
      </w:r>
      <w:r w:rsidRPr="0000458A">
        <w:rPr>
          <w:sz w:val="16"/>
        </w:rPr>
        <w:t xml:space="preserve"> See Chevron, 467 U.S. at 843 n.9 (“If a court, employing traditional tools of statutory construction, ascertains that Congress had an intention on the precise question at issue, that intention is the law and must be given effect.”) (emphasis added).</w:t>
      </w:r>
    </w:p>
    <w:p w14:paraId="16ADF894" w14:textId="77777777" w:rsidR="00B51F6B" w:rsidRPr="0000458A" w:rsidRDefault="00B51F6B" w:rsidP="00B51F6B">
      <w:pPr>
        <w:rPr>
          <w:sz w:val="16"/>
        </w:rPr>
      </w:pPr>
      <w:r w:rsidRPr="0000458A">
        <w:rPr>
          <w:sz w:val="16"/>
        </w:rPr>
        <w:t xml:space="preserve">1) The </w:t>
      </w:r>
      <w:r w:rsidRPr="0000458A">
        <w:rPr>
          <w:rStyle w:val="StyleUnderline"/>
        </w:rPr>
        <w:t xml:space="preserve">Rule of </w:t>
      </w:r>
      <w:r w:rsidRPr="00456038">
        <w:rPr>
          <w:rStyle w:val="Emphasis"/>
          <w:highlight w:val="cyan"/>
        </w:rPr>
        <w:t>Lenity Requires</w:t>
      </w:r>
      <w:r w:rsidRPr="0000458A">
        <w:rPr>
          <w:rStyle w:val="StyleUnderline"/>
        </w:rPr>
        <w:t xml:space="preserve"> “</w:t>
      </w:r>
      <w:r w:rsidRPr="00456038">
        <w:rPr>
          <w:rStyle w:val="Emphasis"/>
          <w:highlight w:val="cyan"/>
        </w:rPr>
        <w:t>Aggravated Felony</w:t>
      </w:r>
      <w:r w:rsidRPr="0000458A">
        <w:rPr>
          <w:rStyle w:val="StyleUnderline"/>
        </w:rPr>
        <w:t xml:space="preserve">” </w:t>
      </w:r>
      <w:r w:rsidRPr="00456038">
        <w:rPr>
          <w:rStyle w:val="StyleUnderline"/>
          <w:highlight w:val="cyan"/>
        </w:rPr>
        <w:t xml:space="preserve">To Be </w:t>
      </w:r>
      <w:r w:rsidRPr="00456038">
        <w:rPr>
          <w:rStyle w:val="Emphasis"/>
          <w:highlight w:val="cyan"/>
        </w:rPr>
        <w:t>Construed Narrowly</w:t>
      </w:r>
      <w:r w:rsidRPr="0000458A">
        <w:rPr>
          <w:rStyle w:val="StyleUnderline"/>
        </w:rPr>
        <w:t xml:space="preserve"> and in Favor of Petitioner</w:t>
      </w:r>
    </w:p>
    <w:p w14:paraId="2B25FBF1" w14:textId="77777777" w:rsidR="00B51F6B" w:rsidRPr="0000458A" w:rsidRDefault="00B51F6B" w:rsidP="00B51F6B">
      <w:pPr>
        <w:rPr>
          <w:sz w:val="16"/>
          <w:szCs w:val="16"/>
        </w:rPr>
      </w:pPr>
      <w:r w:rsidRPr="0000458A">
        <w:rPr>
          <w:sz w:val="16"/>
          <w:szCs w:val="16"/>
        </w:rPr>
        <w:t>The rule of lenity is one of the “most venerable and venerated” principles of statutory interpretation. Carter, 736 F.3d at 731 (Sutton, J., concurring); see also Thompson/Center Arms Co., 504 U.S. at 518 n.10 (plurality opinion); William N. Eskridge, Jr. &amp; Philip P. Frickey, Foreword: Law As Equilibrium, 108 Harv. L. Rev. 26, 104 (1994) (lenity is a “substantive canon”). “The rule . . . is perhaps not much less old than construction itself.” United States v. Wiltberger, 18 U.S. 76, 95 (1820). It has been applied to all manner of statutes carrying criminal implications “for roughly two centuries.” See United States v. Ford, 560 F.3d 420, 425 (6th Cir. 2009).</w:t>
      </w:r>
    </w:p>
    <w:p w14:paraId="6B3F0C8A" w14:textId="77777777" w:rsidR="00B51F6B" w:rsidRPr="0000458A" w:rsidRDefault="00B51F6B" w:rsidP="00B51F6B">
      <w:pPr>
        <w:rPr>
          <w:sz w:val="16"/>
          <w:szCs w:val="16"/>
        </w:rPr>
      </w:pPr>
      <w:r w:rsidRPr="0000458A">
        <w:rPr>
          <w:sz w:val="16"/>
          <w:szCs w:val="16"/>
        </w:rPr>
        <w:t>Lenity requires “ambiguous criminal laws to be interpreted in favor of the defendants subjected to them.” United States v. Santos, 553 U.S. 507, 514 (2008). Under the rule, “when there are two rational readings of a criminal statute, one harsher than the other,” courts may not choose the harsher reading unless “Congress has spoken in clear and definite language.” McNally v. United States, 483 U.S. 350, 359–60 (1987) (superseded by statute on other grounds); see also Skilling v. United States, 561 U.S. 358, 410–11 (2010) (applying the rule of lenity “absent Congress’ clear instruction otherwise”); Ladner v. United States, 358 U.S. 169, 178 (1958) (rule of lenity applies to statutes that increase penalties).</w:t>
      </w:r>
    </w:p>
    <w:p w14:paraId="6CD0E89D" w14:textId="77777777" w:rsidR="00B51F6B" w:rsidRPr="0000458A" w:rsidRDefault="00B51F6B" w:rsidP="00B51F6B">
      <w:pPr>
        <w:rPr>
          <w:sz w:val="16"/>
        </w:rPr>
      </w:pPr>
      <w:r w:rsidRPr="0000458A">
        <w:rPr>
          <w:sz w:val="16"/>
        </w:rPr>
        <w:t xml:space="preserve">To the extent that </w:t>
      </w:r>
      <w:r w:rsidRPr="0000458A">
        <w:rPr>
          <w:rStyle w:val="StyleUnderline"/>
        </w:rPr>
        <w:t xml:space="preserve">Section 1101(a)(43) is </w:t>
      </w:r>
      <w:r w:rsidRPr="0000458A">
        <w:rPr>
          <w:rStyle w:val="Emphasis"/>
        </w:rPr>
        <w:t>ambiguous</w:t>
      </w:r>
      <w:r w:rsidRPr="0000458A">
        <w:rPr>
          <w:sz w:val="16"/>
        </w:rPr>
        <w:t xml:space="preserve">, </w:t>
      </w:r>
      <w:r w:rsidRPr="0000458A">
        <w:rPr>
          <w:rStyle w:val="StyleUnderline"/>
        </w:rPr>
        <w:t xml:space="preserve">the rule of </w:t>
      </w:r>
      <w:r w:rsidRPr="0000458A">
        <w:rPr>
          <w:rStyle w:val="Emphasis"/>
        </w:rPr>
        <w:t>lenity requires</w:t>
      </w:r>
      <w:r w:rsidRPr="0000458A">
        <w:rPr>
          <w:rStyle w:val="StyleUnderline"/>
        </w:rPr>
        <w:t xml:space="preserve"> the provision to be </w:t>
      </w:r>
      <w:r w:rsidRPr="0000458A">
        <w:rPr>
          <w:rStyle w:val="Emphasis"/>
        </w:rPr>
        <w:t>construed narrowly</w:t>
      </w:r>
      <w:r w:rsidRPr="0000458A">
        <w:rPr>
          <w:rStyle w:val="StyleUnderline"/>
        </w:rPr>
        <w:t xml:space="preserve"> and in Petitioner’s favor</w:t>
      </w:r>
      <w:r w:rsidRPr="0000458A">
        <w:rPr>
          <w:sz w:val="16"/>
        </w:rPr>
        <w:t xml:space="preserve">. See, e.g., United States v. Bass, 404 U.S. 336, 347 (1971); Whitman, 135 S. Ct. at 353. Application of the rule to resolve ambiguity in Section 1101(a)(43) is not only required by this Court’s precedent, but it also accords with three of the rule’s purposes—“to promote fair notice to those subject to the criminal laws, to </w:t>
      </w:r>
      <w:r w:rsidRPr="0000458A">
        <w:rPr>
          <w:rStyle w:val="StyleUnderline"/>
        </w:rPr>
        <w:t>minimize the risk of selective or arbitrary enforcement</w:t>
      </w:r>
      <w:r w:rsidRPr="0000458A">
        <w:rPr>
          <w:sz w:val="16"/>
        </w:rPr>
        <w:t xml:space="preserve">, and </w:t>
      </w:r>
      <w:r w:rsidRPr="0000458A">
        <w:rPr>
          <w:rStyle w:val="StyleUnderline"/>
        </w:rPr>
        <w:t xml:space="preserve">to maintain the </w:t>
      </w:r>
      <w:r w:rsidRPr="0000458A">
        <w:rPr>
          <w:rStyle w:val="Emphasis"/>
        </w:rPr>
        <w:t>proper balance</w:t>
      </w:r>
      <w:r w:rsidRPr="0000458A">
        <w:rPr>
          <w:rStyle w:val="StyleUnderline"/>
        </w:rPr>
        <w:t xml:space="preserve"> between </w:t>
      </w:r>
      <w:r w:rsidRPr="0000458A">
        <w:rPr>
          <w:rStyle w:val="Emphasis"/>
        </w:rPr>
        <w:t>Congress, prosecutors, and courts</w:t>
      </w:r>
      <w:r w:rsidRPr="0000458A">
        <w:rPr>
          <w:sz w:val="16"/>
        </w:rPr>
        <w:t>.” Kozminski, 487 U.S. at 952.</w:t>
      </w:r>
    </w:p>
    <w:p w14:paraId="2578D130" w14:textId="77777777" w:rsidR="00B51F6B" w:rsidRPr="0000458A" w:rsidRDefault="00B51F6B" w:rsidP="00B51F6B">
      <w:pPr>
        <w:rPr>
          <w:sz w:val="16"/>
          <w:szCs w:val="16"/>
        </w:rPr>
      </w:pPr>
      <w:r w:rsidRPr="0000458A">
        <w:rPr>
          <w:sz w:val="16"/>
          <w:szCs w:val="16"/>
        </w:rPr>
        <w:t>As for the first purpose, a narrow construction of Section 1101(a)(43) accords with the demand that the government provide fair notice of both the conduct it criminalizes, see McBoyle v. United States, 283 U.S. 25, 27 (1931), and the penalties it may impose for criminal offenses, Johnson v. United States, 135 S. Ct. 2551, 2557 (2015). Section 1101(a)(43) does not give fair notice that a state offense can be an aggravated felony despite lacking an element of the federal criminal analogue. See Pet. Br. at 14–29. And “no citizen should be held accountable for a violation of a statute whose commands are uncertain, or subjected to punishment that is not clearly prescribed.” Santos, 553 U.S. at 514.</w:t>
      </w:r>
    </w:p>
    <w:p w14:paraId="26FDE58C" w14:textId="77777777" w:rsidR="00B51F6B" w:rsidRPr="0000458A" w:rsidRDefault="00B51F6B" w:rsidP="00B51F6B">
      <w:pPr>
        <w:rPr>
          <w:sz w:val="16"/>
        </w:rPr>
      </w:pPr>
      <w:r w:rsidRPr="0000458A">
        <w:rPr>
          <w:rStyle w:val="StyleUnderline"/>
        </w:rPr>
        <w:t xml:space="preserve">The rule of </w:t>
      </w:r>
      <w:r w:rsidRPr="00456038">
        <w:rPr>
          <w:rStyle w:val="StyleUnderline"/>
          <w:highlight w:val="cyan"/>
        </w:rPr>
        <w:t>lenity</w:t>
      </w:r>
      <w:r w:rsidRPr="0000458A">
        <w:rPr>
          <w:rStyle w:val="StyleUnderline"/>
        </w:rPr>
        <w:t xml:space="preserve"> also </w:t>
      </w:r>
      <w:r w:rsidRPr="00456038">
        <w:rPr>
          <w:rStyle w:val="Emphasis"/>
          <w:highlight w:val="cyan"/>
        </w:rPr>
        <w:t>fulfills</w:t>
      </w:r>
      <w:r w:rsidRPr="0000458A">
        <w:rPr>
          <w:rStyle w:val="StyleUnderline"/>
        </w:rPr>
        <w:t xml:space="preserve"> the purpose of respecting our </w:t>
      </w:r>
      <w:r w:rsidRPr="00456038">
        <w:rPr>
          <w:rStyle w:val="Emphasis"/>
          <w:highlight w:val="cyan"/>
        </w:rPr>
        <w:t>Constitution’s separation of powers</w:t>
      </w:r>
      <w:r w:rsidRPr="0000458A">
        <w:rPr>
          <w:sz w:val="16"/>
        </w:rPr>
        <w:t>. This Court has held that “</w:t>
      </w:r>
      <w:r w:rsidRPr="0000458A">
        <w:rPr>
          <w:rStyle w:val="StyleUnderline"/>
        </w:rPr>
        <w:t>because of the seriousness of criminal penalties</w:t>
      </w:r>
      <w:r w:rsidRPr="0000458A">
        <w:rPr>
          <w:sz w:val="16"/>
        </w:rPr>
        <w:t xml:space="preserve">, and because criminal punishment usually represents the moral condemnation of the community, </w:t>
      </w:r>
      <w:r w:rsidRPr="0000458A">
        <w:rPr>
          <w:rStyle w:val="Emphasis"/>
        </w:rPr>
        <w:t>legislatures</w:t>
      </w:r>
      <w:r w:rsidRPr="0000458A">
        <w:rPr>
          <w:rStyle w:val="StyleUnderline"/>
        </w:rPr>
        <w:t xml:space="preserve"> and </w:t>
      </w:r>
      <w:r w:rsidRPr="0000458A">
        <w:rPr>
          <w:rStyle w:val="Emphasis"/>
        </w:rPr>
        <w:t>not courts</w:t>
      </w:r>
      <w:r w:rsidRPr="0000458A">
        <w:rPr>
          <w:rStyle w:val="StyleUnderline"/>
        </w:rPr>
        <w:t xml:space="preserve"> should </w:t>
      </w:r>
      <w:r w:rsidRPr="0000458A">
        <w:rPr>
          <w:rStyle w:val="Emphasis"/>
        </w:rPr>
        <w:t>define criminal activity</w:t>
      </w:r>
      <w:r w:rsidRPr="0000458A">
        <w:rPr>
          <w:sz w:val="16"/>
        </w:rPr>
        <w:t xml:space="preserve">.” Bass, 404 U.S. at 348. And </w:t>
      </w:r>
      <w:r w:rsidRPr="0000458A">
        <w:rPr>
          <w:rStyle w:val="StyleUnderline"/>
        </w:rPr>
        <w:t>courts “presum[e] that Congress legislates with knowledge of our basic rules of statutory construction</w:t>
      </w:r>
      <w:r w:rsidRPr="0000458A">
        <w:rPr>
          <w:sz w:val="16"/>
        </w:rPr>
        <w:t xml:space="preserve">.” McNary v. Haitian Refugee Ctr., Inc., 498 U.S. 479, 496 (1991). Thus, by reading Section 1101(a)(43) to </w:t>
      </w:r>
      <w:r w:rsidRPr="00456038">
        <w:rPr>
          <w:rStyle w:val="Emphasis"/>
          <w:highlight w:val="cyan"/>
        </w:rPr>
        <w:t>avoid harsh</w:t>
      </w:r>
      <w:r w:rsidRPr="0000458A">
        <w:rPr>
          <w:rStyle w:val="StyleUnderline"/>
        </w:rPr>
        <w:t xml:space="preserve"> and unexpected </w:t>
      </w:r>
      <w:r w:rsidRPr="00456038">
        <w:rPr>
          <w:rStyle w:val="StyleUnderline"/>
          <w:highlight w:val="cyan"/>
        </w:rPr>
        <w:t xml:space="preserve">criminal </w:t>
      </w:r>
      <w:r w:rsidRPr="00456038">
        <w:rPr>
          <w:rStyle w:val="Emphasis"/>
          <w:highlight w:val="cyan"/>
        </w:rPr>
        <w:t>consequences</w:t>
      </w:r>
      <w:r w:rsidRPr="0000458A">
        <w:rPr>
          <w:sz w:val="16"/>
        </w:rPr>
        <w:t xml:space="preserve"> that Congress did not clearly intend, </w:t>
      </w:r>
      <w:r w:rsidRPr="0000458A">
        <w:rPr>
          <w:rStyle w:val="StyleUnderline"/>
        </w:rPr>
        <w:t>this Court will leave the definition of criminal activity in the province of the legislature</w:t>
      </w:r>
      <w:r w:rsidRPr="0000458A">
        <w:rPr>
          <w:sz w:val="16"/>
        </w:rPr>
        <w:t xml:space="preserve"> and respect legislative intent.</w:t>
      </w:r>
    </w:p>
    <w:p w14:paraId="755BEDCB" w14:textId="77777777" w:rsidR="00B51F6B" w:rsidRPr="0000458A" w:rsidRDefault="00B51F6B" w:rsidP="00B51F6B">
      <w:pPr>
        <w:rPr>
          <w:sz w:val="16"/>
          <w:szCs w:val="16"/>
        </w:rPr>
      </w:pPr>
      <w:r w:rsidRPr="0000458A">
        <w:rPr>
          <w:sz w:val="16"/>
          <w:szCs w:val="16"/>
        </w:rPr>
        <w:t>For these various reasons, it comes as no surprise that this Court frequently has interpreted Section 1101(a)(43) without deference to the BIA’s interpretation and without any reference to Chevron at all. See supra at 3 (citing cases). The Government agreed in one of those cases that agencies do not have interpretive authority over statutes with criminal applications. Brief for Respondent, Leocal v. Ashcroft, No. 03-583, 2004 WL 1617398 (July 14, 2004), at *32–33.1 No deference is warranted here because the rule of lenity requires any ambiguity in Section 1101(a)(43) to be resolved in favor of Petitioner.</w:t>
      </w:r>
    </w:p>
    <w:p w14:paraId="62BE7EF4" w14:textId="77777777" w:rsidR="00B51F6B" w:rsidRPr="0000458A" w:rsidRDefault="00B51F6B" w:rsidP="00B51F6B">
      <w:pPr>
        <w:rPr>
          <w:sz w:val="16"/>
        </w:rPr>
      </w:pPr>
      <w:r w:rsidRPr="0000458A">
        <w:rPr>
          <w:sz w:val="16"/>
        </w:rPr>
        <w:t xml:space="preserve">2) Even Under the Chevron Framework, </w:t>
      </w:r>
      <w:r w:rsidRPr="0000458A">
        <w:rPr>
          <w:rStyle w:val="StyleUnderline"/>
        </w:rPr>
        <w:t>the Rule of Lenity Precludes Agency Deference</w:t>
      </w:r>
    </w:p>
    <w:p w14:paraId="41193A5F" w14:textId="77777777" w:rsidR="00B51F6B" w:rsidRPr="0000458A" w:rsidRDefault="00B51F6B" w:rsidP="00B51F6B">
      <w:pPr>
        <w:rPr>
          <w:sz w:val="16"/>
          <w:szCs w:val="16"/>
        </w:rPr>
      </w:pPr>
      <w:r w:rsidRPr="0000458A">
        <w:rPr>
          <w:sz w:val="16"/>
          <w:szCs w:val="16"/>
        </w:rPr>
        <w:t xml:space="preserve">Even if the Chevron framework applies to a statute with significant criminal law consequences, the BIA’s interpretation of Section 1101(a)(43) would not be entitled to deference. </w:t>
      </w:r>
      <w:r w:rsidRPr="0000458A">
        <w:rPr>
          <w:rStyle w:val="StyleUnderline"/>
        </w:rPr>
        <w:t>Courts must apply statutory rules of construction before deeming a statute ambiguous and deferring to an agency’s interpretation</w:t>
      </w:r>
      <w:r w:rsidRPr="0000458A">
        <w:rPr>
          <w:sz w:val="16"/>
          <w:szCs w:val="16"/>
        </w:rPr>
        <w:t xml:space="preserve">. Cf. Nat’l Cable &amp; </w:t>
      </w:r>
      <w:r w:rsidRPr="0000458A">
        <w:rPr>
          <w:rStyle w:val="StyleUnderline"/>
        </w:rPr>
        <w:t>Telecomm. Ass’n v.</w:t>
      </w:r>
      <w:r w:rsidRPr="0000458A">
        <w:rPr>
          <w:sz w:val="16"/>
          <w:szCs w:val="16"/>
        </w:rPr>
        <w:t xml:space="preserve"> </w:t>
      </w:r>
      <w:r w:rsidRPr="0000458A">
        <w:rPr>
          <w:rStyle w:val="Emphasis"/>
        </w:rPr>
        <w:t>Brand X Internet</w:t>
      </w:r>
      <w:r w:rsidRPr="0000458A">
        <w:rPr>
          <w:sz w:val="16"/>
          <w:szCs w:val="16"/>
        </w:rPr>
        <w:t xml:space="preserve"> Servs., 545 U.S. 967, 985 (2005) (deferring to the agency because the lower court, in refusing to give deference, did not say that the statute was unambiguous and “invoked no other rule of construction (such as the rule of lenity) requiring it to conclude that the statute was unambiguous to reach its judgment”). Put another way, deference “comes into play only if a statutory ambiguity lingers after deployment of all pertinent interpretive principles,” Carter, 736 F.3d at 731 (Sutton, J., concurring), and the rule of lenity is an interpretive principle that resolves possible ambiguities. See also id. at 732 (“Chevron accommodates rather than trumps” interpretive principles, like the rule of lenity).</w:t>
      </w:r>
    </w:p>
    <w:p w14:paraId="7FE11F48" w14:textId="77777777" w:rsidR="00B51F6B" w:rsidRPr="0000458A" w:rsidRDefault="00B51F6B" w:rsidP="00B51F6B">
      <w:pPr>
        <w:rPr>
          <w:sz w:val="16"/>
        </w:rPr>
      </w:pPr>
      <w:r w:rsidRPr="0000458A">
        <w:rPr>
          <w:sz w:val="16"/>
        </w:rPr>
        <w:t xml:space="preserve">Accepting, as one must, that rules of statutory construction are applied before Chevron deference comes into play, </w:t>
      </w:r>
      <w:r w:rsidRPr="0000458A">
        <w:rPr>
          <w:rStyle w:val="StyleUnderline"/>
        </w:rPr>
        <w:t>the rule of lenity effectively forecloses agency deference when a statute has criminal applications</w:t>
      </w:r>
      <w:r w:rsidRPr="0000458A">
        <w:rPr>
          <w:sz w:val="16"/>
        </w:rPr>
        <w:t xml:space="preserve">. Carter, 736 F.3d at 732 (Sutton, J., concurring). As applied here, </w:t>
      </w:r>
      <w:r w:rsidRPr="0000458A">
        <w:rPr>
          <w:rStyle w:val="StyleUnderline"/>
        </w:rPr>
        <w:t xml:space="preserve">the </w:t>
      </w:r>
      <w:r w:rsidRPr="0000458A">
        <w:rPr>
          <w:rStyle w:val="Emphasis"/>
        </w:rPr>
        <w:t>rule of lenity cures</w:t>
      </w:r>
      <w:r w:rsidRPr="0000458A">
        <w:rPr>
          <w:sz w:val="16"/>
        </w:rPr>
        <w:t xml:space="preserve"> Section 1101(a)(43) of </w:t>
      </w:r>
      <w:r w:rsidRPr="0000458A">
        <w:rPr>
          <w:rStyle w:val="StyleUnderline"/>
        </w:rPr>
        <w:t xml:space="preserve">any and all </w:t>
      </w:r>
      <w:r w:rsidRPr="0000458A">
        <w:rPr>
          <w:rStyle w:val="Emphasis"/>
        </w:rPr>
        <w:t>ambiguity</w:t>
      </w:r>
      <w:r w:rsidRPr="0000458A">
        <w:rPr>
          <w:sz w:val="16"/>
        </w:rPr>
        <w:t xml:space="preserve">—requiring “described in” to be construed to capture only those offenses with all of the same elements as the cross-referenced federal crimes, including the interstate-commerce element. </w:t>
      </w:r>
      <w:r w:rsidRPr="0000458A">
        <w:rPr>
          <w:rStyle w:val="StyleUnderline"/>
        </w:rPr>
        <w:t xml:space="preserve">With lenity properly applied, no “gap” remains for the </w:t>
      </w:r>
      <w:r w:rsidRPr="00456038">
        <w:rPr>
          <w:rStyle w:val="StyleUnderline"/>
          <w:highlight w:val="cyan"/>
        </w:rPr>
        <w:t>BIA’s interpretation</w:t>
      </w:r>
      <w:r w:rsidRPr="0000458A">
        <w:rPr>
          <w:rStyle w:val="StyleUnderline"/>
        </w:rPr>
        <w:t xml:space="preserve"> to fill</w:t>
      </w:r>
      <w:r w:rsidRPr="0000458A">
        <w:rPr>
          <w:sz w:val="16"/>
        </w:rPr>
        <w:t>. Cf. Chevron, 467 U.S. at 843. To hold otherwise—</w:t>
      </w:r>
      <w:r w:rsidRPr="0000458A">
        <w:rPr>
          <w:rStyle w:val="StyleUnderline"/>
        </w:rPr>
        <w:t>to allow an agency to construe ambiguity in the government’s favor</w:t>
      </w:r>
      <w:r w:rsidRPr="0000458A">
        <w:rPr>
          <w:sz w:val="16"/>
        </w:rPr>
        <w:t xml:space="preserve">— </w:t>
      </w:r>
      <w:r w:rsidRPr="00456038">
        <w:rPr>
          <w:rStyle w:val="StyleUnderline"/>
          <w:highlight w:val="cyan"/>
        </w:rPr>
        <w:t xml:space="preserve">would </w:t>
      </w:r>
      <w:r w:rsidRPr="00456038">
        <w:rPr>
          <w:rStyle w:val="Emphasis"/>
          <w:highlight w:val="cyan"/>
        </w:rPr>
        <w:t>extend the reach of a criminal statute further</w:t>
      </w:r>
      <w:r w:rsidRPr="00456038">
        <w:rPr>
          <w:rStyle w:val="StyleUnderline"/>
          <w:highlight w:val="cyan"/>
        </w:rPr>
        <w:t xml:space="preserve"> than any court</w:t>
      </w:r>
      <w:r w:rsidRPr="0000458A">
        <w:rPr>
          <w:rStyle w:val="StyleUnderline"/>
        </w:rPr>
        <w:t xml:space="preserve"> could accomplish on its own</w:t>
      </w:r>
      <w:r w:rsidRPr="0000458A">
        <w:rPr>
          <w:sz w:val="16"/>
        </w:rPr>
        <w:t>. That would “</w:t>
      </w:r>
      <w:r w:rsidRPr="00456038">
        <w:rPr>
          <w:rStyle w:val="StyleUnderline"/>
          <w:highlight w:val="cyan"/>
        </w:rPr>
        <w:t>turn</w:t>
      </w:r>
      <w:r w:rsidRPr="0000458A">
        <w:rPr>
          <w:rStyle w:val="StyleUnderline"/>
        </w:rPr>
        <w:t xml:space="preserve"> the normal construction of </w:t>
      </w:r>
      <w:r w:rsidRPr="00456038">
        <w:rPr>
          <w:rStyle w:val="Emphasis"/>
          <w:highlight w:val="cyan"/>
        </w:rPr>
        <w:t>criminal</w:t>
      </w:r>
      <w:r w:rsidRPr="0000458A">
        <w:rPr>
          <w:rStyle w:val="Emphasis"/>
        </w:rPr>
        <w:t xml:space="preserve"> </w:t>
      </w:r>
      <w:r w:rsidRPr="00456038">
        <w:rPr>
          <w:rStyle w:val="Emphasis"/>
          <w:highlight w:val="cyan"/>
        </w:rPr>
        <w:t>statutes upside-down</w:t>
      </w:r>
      <w:r w:rsidRPr="0000458A">
        <w:rPr>
          <w:rStyle w:val="StyleUnderline"/>
        </w:rPr>
        <w:t xml:space="preserve">, </w:t>
      </w:r>
      <w:r w:rsidRPr="00456038">
        <w:rPr>
          <w:rStyle w:val="Emphasis"/>
          <w:highlight w:val="cyan"/>
        </w:rPr>
        <w:t>replacing</w:t>
      </w:r>
      <w:r w:rsidRPr="0000458A">
        <w:rPr>
          <w:rStyle w:val="StyleUnderline"/>
        </w:rPr>
        <w:t xml:space="preserve"> the doctrine of </w:t>
      </w:r>
      <w:r w:rsidRPr="00456038">
        <w:rPr>
          <w:rStyle w:val="Emphasis"/>
          <w:highlight w:val="cyan"/>
        </w:rPr>
        <w:t>lenity with</w:t>
      </w:r>
      <w:r w:rsidRPr="00456038">
        <w:rPr>
          <w:rStyle w:val="StyleUnderline"/>
          <w:highlight w:val="cyan"/>
        </w:rPr>
        <w:t xml:space="preserve"> a doctrine of </w:t>
      </w:r>
      <w:r w:rsidRPr="00456038">
        <w:rPr>
          <w:rStyle w:val="Emphasis"/>
          <w:highlight w:val="cyan"/>
        </w:rPr>
        <w:t>severity</w:t>
      </w:r>
      <w:r w:rsidRPr="0000458A">
        <w:rPr>
          <w:sz w:val="16"/>
        </w:rPr>
        <w:t xml:space="preserve">.” See Crandon v. United States, 494 U.S. 152, 178 (1990) (Scalia, J. concurring). Under these circumstances, </w:t>
      </w:r>
      <w:r w:rsidRPr="0000458A">
        <w:rPr>
          <w:rStyle w:val="Emphasis"/>
        </w:rPr>
        <w:t>there is no room for deference</w:t>
      </w:r>
      <w:r w:rsidRPr="0000458A">
        <w:rPr>
          <w:sz w:val="16"/>
        </w:rPr>
        <w:t>.</w:t>
      </w:r>
    </w:p>
    <w:p w14:paraId="6F6FA001" w14:textId="4EB028C2" w:rsidR="00AB6353" w:rsidRDefault="00AB6353" w:rsidP="00AB6353">
      <w:pPr>
        <w:pStyle w:val="Heading4"/>
      </w:pPr>
      <w:r>
        <w:t xml:space="preserve">They continue despite corona – it’s a </w:t>
      </w:r>
      <w:r>
        <w:rPr>
          <w:u w:val="single"/>
        </w:rPr>
        <w:t>tipping point</w:t>
      </w:r>
      <w:r>
        <w:t xml:space="preserve"> for American agricultural strength.</w:t>
      </w:r>
    </w:p>
    <w:p w14:paraId="285A2C6B" w14:textId="77777777" w:rsidR="00AB6353" w:rsidRDefault="00AB6353" w:rsidP="00AB6353">
      <w:r>
        <w:rPr>
          <w:rStyle w:val="Style13ptBold"/>
        </w:rPr>
        <w:t>Jordan 20</w:t>
      </w:r>
      <w:r>
        <w:t xml:space="preserve"> – Miriam Jordan, national correspondent covering legal and illegal immigration, April 2</w:t>
      </w:r>
      <w:r w:rsidRPr="002B3557">
        <w:rPr>
          <w:vertAlign w:val="superscript"/>
        </w:rPr>
        <w:t>nd</w:t>
      </w:r>
      <w:r>
        <w:t xml:space="preserve"> ("Farmworkers, Mostly Undocumented, Become ‘Essential’ During Pandemic," The New York Times, available online at https://www.nytimes.com/2020/04/02/us/coronavirus-undocumented-immigrant-farmworkers-agriculture.html, accessed 6-30-2020) LR</w:t>
      </w:r>
    </w:p>
    <w:p w14:paraId="2666C7A2" w14:textId="77777777" w:rsidR="00AB6353" w:rsidRPr="00385857" w:rsidRDefault="00AB6353" w:rsidP="00AB6353">
      <w:pPr>
        <w:rPr>
          <w:sz w:val="16"/>
        </w:rPr>
      </w:pPr>
      <w:r w:rsidRPr="00385857">
        <w:rPr>
          <w:sz w:val="16"/>
        </w:rPr>
        <w:t xml:space="preserve">LOS ANGELES — Like </w:t>
      </w:r>
      <w:r w:rsidRPr="00385857">
        <w:rPr>
          <w:rStyle w:val="StyleUnderline"/>
        </w:rPr>
        <w:t>legions of immigrant farmworkers</w:t>
      </w:r>
      <w:r w:rsidRPr="00385857">
        <w:rPr>
          <w:sz w:val="16"/>
        </w:rPr>
        <w:t xml:space="preserve">, Nancy Silva for years has done the grueling work of picking fresh fruit that Americans savor, all the while afraid that one day she could lose her livelihood because she is </w:t>
      </w:r>
      <w:r w:rsidRPr="00385857">
        <w:rPr>
          <w:rStyle w:val="StyleUnderline"/>
        </w:rPr>
        <w:t xml:space="preserve">in the country </w:t>
      </w:r>
      <w:r w:rsidRPr="00385857">
        <w:rPr>
          <w:rStyle w:val="Emphasis"/>
        </w:rPr>
        <w:t>illegally</w:t>
      </w:r>
      <w:r w:rsidRPr="00385857">
        <w:rPr>
          <w:rStyle w:val="StyleUnderline"/>
        </w:rPr>
        <w:t>.</w:t>
      </w:r>
    </w:p>
    <w:p w14:paraId="5005659F" w14:textId="77777777" w:rsidR="00AB6353" w:rsidRPr="00385857" w:rsidRDefault="00AB6353" w:rsidP="00AB6353">
      <w:pPr>
        <w:rPr>
          <w:sz w:val="16"/>
        </w:rPr>
      </w:pPr>
      <w:r w:rsidRPr="00385857">
        <w:rPr>
          <w:sz w:val="16"/>
        </w:rPr>
        <w:t xml:space="preserve">But the widening </w:t>
      </w:r>
      <w:r w:rsidRPr="00385857">
        <w:rPr>
          <w:rStyle w:val="StyleUnderline"/>
        </w:rPr>
        <w:t>coronavirus</w:t>
      </w:r>
      <w:r w:rsidRPr="00385857">
        <w:rPr>
          <w:sz w:val="16"/>
        </w:rPr>
        <w:t xml:space="preserve"> pandemic has </w:t>
      </w:r>
      <w:r w:rsidRPr="00385857">
        <w:rPr>
          <w:rStyle w:val="StyleUnderline"/>
        </w:rPr>
        <w:t>brought</w:t>
      </w:r>
      <w:r w:rsidRPr="00385857">
        <w:rPr>
          <w:sz w:val="16"/>
        </w:rPr>
        <w:t xml:space="preserve"> an unusual kind of </w:t>
      </w:r>
      <w:r w:rsidRPr="00385857">
        <w:rPr>
          <w:rStyle w:val="StyleUnderline"/>
        </w:rPr>
        <w:t>recognition</w:t>
      </w:r>
      <w:r w:rsidRPr="00385857">
        <w:rPr>
          <w:sz w:val="16"/>
        </w:rPr>
        <w:t xml:space="preserve">: Her job as a </w:t>
      </w:r>
      <w:r w:rsidRPr="00385857">
        <w:rPr>
          <w:rStyle w:val="StyleUnderline"/>
        </w:rPr>
        <w:t>field worker</w:t>
      </w:r>
      <w:r w:rsidRPr="00385857">
        <w:rPr>
          <w:sz w:val="16"/>
        </w:rPr>
        <w:t xml:space="preserve"> has been </w:t>
      </w:r>
      <w:r w:rsidRPr="00385857">
        <w:rPr>
          <w:rStyle w:val="StyleUnderline"/>
        </w:rPr>
        <w:t>deemed</w:t>
      </w:r>
      <w:r w:rsidRPr="00385857">
        <w:rPr>
          <w:sz w:val="16"/>
        </w:rPr>
        <w:t xml:space="preserve"> by the federal government as </w:t>
      </w:r>
      <w:r w:rsidRPr="00385857">
        <w:rPr>
          <w:rStyle w:val="StyleUnderline"/>
        </w:rPr>
        <w:t>“</w:t>
      </w:r>
      <w:r w:rsidRPr="00385857">
        <w:rPr>
          <w:rStyle w:val="Emphasis"/>
        </w:rPr>
        <w:t>essential</w:t>
      </w:r>
      <w:r w:rsidRPr="00385857">
        <w:rPr>
          <w:rStyle w:val="StyleUnderline"/>
        </w:rPr>
        <w:t>”</w:t>
      </w:r>
      <w:r w:rsidRPr="00385857">
        <w:rPr>
          <w:sz w:val="16"/>
        </w:rPr>
        <w:t xml:space="preserve"> to the country.</w:t>
      </w:r>
    </w:p>
    <w:p w14:paraId="7A186172" w14:textId="77777777" w:rsidR="00AB6353" w:rsidRPr="00385857" w:rsidRDefault="00AB6353" w:rsidP="00AB6353">
      <w:pPr>
        <w:rPr>
          <w:sz w:val="16"/>
        </w:rPr>
      </w:pPr>
      <w:r w:rsidRPr="00385857">
        <w:rPr>
          <w:sz w:val="16"/>
        </w:rPr>
        <w:t>Ms. Silva, who has spent much of her life in the United States evading law enforcement, now carries a letter from her employer in her wallet, declaring that the Department of Homeland Security considers her “</w:t>
      </w:r>
      <w:r w:rsidRPr="00385857">
        <w:rPr>
          <w:rStyle w:val="Emphasis"/>
        </w:rPr>
        <w:t>critical to the food supply chain</w:t>
      </w:r>
      <w:r w:rsidRPr="00385857">
        <w:rPr>
          <w:sz w:val="16"/>
        </w:rPr>
        <w:t>.”</w:t>
      </w:r>
    </w:p>
    <w:p w14:paraId="145F46B5" w14:textId="77777777" w:rsidR="00AB6353" w:rsidRPr="00385857" w:rsidRDefault="00AB6353" w:rsidP="00AB6353">
      <w:pPr>
        <w:rPr>
          <w:sz w:val="16"/>
          <w:szCs w:val="16"/>
        </w:rPr>
      </w:pPr>
      <w:r w:rsidRPr="00385857">
        <w:rPr>
          <w:sz w:val="16"/>
          <w:szCs w:val="16"/>
        </w:rPr>
        <w:t>“It’s like suddenly they realized we are here contributing,” said Ms. Silva, a 43-year-old immigrant from Mexico who has been working in the clementine groves south of Bakersfield, Calif.</w:t>
      </w:r>
    </w:p>
    <w:p w14:paraId="26283DA3" w14:textId="77777777" w:rsidR="00AB6353" w:rsidRPr="00D43456" w:rsidRDefault="00AB6353" w:rsidP="00AB6353">
      <w:pPr>
        <w:rPr>
          <w:sz w:val="16"/>
        </w:rPr>
      </w:pPr>
      <w:r w:rsidRPr="00D43456">
        <w:rPr>
          <w:sz w:val="16"/>
        </w:rPr>
        <w:t xml:space="preserve">It is an open secret that the </w:t>
      </w:r>
      <w:r w:rsidRPr="00D43456">
        <w:rPr>
          <w:rStyle w:val="StyleUnderline"/>
        </w:rPr>
        <w:t>vast majority of people who harvest America’s food are undocumented immigrants</w:t>
      </w:r>
      <w:r w:rsidRPr="00D43456">
        <w:rPr>
          <w:sz w:val="16"/>
        </w:rPr>
        <w:t xml:space="preserve">, mainly from Mexico, many of them decades-long residents of the United States. Often the parents of American-born children, </w:t>
      </w:r>
      <w:r w:rsidRPr="00D43456">
        <w:rPr>
          <w:rStyle w:val="StyleUnderline"/>
        </w:rPr>
        <w:t>they have lived for years with</w:t>
      </w:r>
      <w:r w:rsidRPr="00D43456">
        <w:rPr>
          <w:sz w:val="16"/>
        </w:rPr>
        <w:t xml:space="preserve"> the </w:t>
      </w:r>
      <w:r w:rsidRPr="00681CD0">
        <w:rPr>
          <w:rStyle w:val="Emphasis"/>
        </w:rPr>
        <w:t>cloud of deportation</w:t>
      </w:r>
      <w:r w:rsidRPr="00D43456">
        <w:rPr>
          <w:sz w:val="16"/>
        </w:rPr>
        <w:t xml:space="preserve"> hanging over their households.</w:t>
      </w:r>
    </w:p>
    <w:p w14:paraId="70D14C4F" w14:textId="77777777" w:rsidR="00AB6353" w:rsidRPr="00D43456" w:rsidRDefault="00AB6353" w:rsidP="00AB6353">
      <w:pPr>
        <w:rPr>
          <w:sz w:val="16"/>
        </w:rPr>
      </w:pPr>
      <w:r w:rsidRPr="00D43456">
        <w:rPr>
          <w:rStyle w:val="StyleUnderline"/>
        </w:rPr>
        <w:t>The “essential work” letters</w:t>
      </w:r>
      <w:r w:rsidRPr="00D43456">
        <w:rPr>
          <w:sz w:val="16"/>
        </w:rPr>
        <w:t xml:space="preserve"> that many now carry </w:t>
      </w:r>
      <w:r w:rsidRPr="00D43456">
        <w:rPr>
          <w:rStyle w:val="StyleUnderline"/>
        </w:rPr>
        <w:t xml:space="preserve">are </w:t>
      </w:r>
      <w:r w:rsidRPr="00D43456">
        <w:rPr>
          <w:rStyle w:val="Emphasis"/>
        </w:rPr>
        <w:t>not a free pass</w:t>
      </w:r>
      <w:r w:rsidRPr="00D43456">
        <w:rPr>
          <w:rStyle w:val="StyleUnderline"/>
        </w:rPr>
        <w:t xml:space="preserve"> from immigration authorities, who could still deport</w:t>
      </w:r>
      <w:r w:rsidRPr="00D43456">
        <w:rPr>
          <w:sz w:val="16"/>
        </w:rPr>
        <w:t xml:space="preserve"> Ms. Silva and other </w:t>
      </w:r>
      <w:r w:rsidRPr="00D43456">
        <w:rPr>
          <w:rStyle w:val="StyleUnderline"/>
        </w:rPr>
        <w:t>undocumented field workers at any time.</w:t>
      </w:r>
    </w:p>
    <w:p w14:paraId="28697873" w14:textId="77777777" w:rsidR="00AB6353" w:rsidRPr="00954D61" w:rsidRDefault="00AB6353" w:rsidP="00AB6353">
      <w:pPr>
        <w:rPr>
          <w:sz w:val="16"/>
          <w:szCs w:val="16"/>
        </w:rPr>
      </w:pPr>
      <w:r w:rsidRPr="00954D61">
        <w:rPr>
          <w:sz w:val="16"/>
          <w:szCs w:val="16"/>
        </w:rPr>
        <w:t>But local law enforcement authorities said the letters might give immigrant workers a sense of security that they will not be arrested for violating stay-at-home orders.</w:t>
      </w:r>
    </w:p>
    <w:p w14:paraId="713E9018" w14:textId="77777777" w:rsidR="00AB6353" w:rsidRPr="00954D61" w:rsidRDefault="00AB6353" w:rsidP="00AB6353">
      <w:pPr>
        <w:rPr>
          <w:sz w:val="16"/>
          <w:szCs w:val="16"/>
        </w:rPr>
      </w:pPr>
      <w:r w:rsidRPr="00954D61">
        <w:rPr>
          <w:sz w:val="16"/>
          <w:szCs w:val="16"/>
        </w:rPr>
        <w:t>“If you have people who perceive that they may be stopped and questioned or deported because of their status, under these circumstances, having that letter makes them feel comfortable,” said Eric Buschow, a captain with the sheriff’s office in Ventura County, where thousands of farmworkers labor in strawberry, lemon and avocado operations. “They can go to work. And their work is essential now.”</w:t>
      </w:r>
    </w:p>
    <w:p w14:paraId="082ACB07" w14:textId="77777777" w:rsidR="00AB6353" w:rsidRPr="00954D61" w:rsidRDefault="00AB6353" w:rsidP="00AB6353">
      <w:pPr>
        <w:rPr>
          <w:sz w:val="16"/>
          <w:szCs w:val="16"/>
        </w:rPr>
      </w:pPr>
      <w:r w:rsidRPr="00954D61">
        <w:rPr>
          <w:sz w:val="16"/>
          <w:szCs w:val="16"/>
        </w:rPr>
        <w:t>The pandemic has also put many of Immigration and Customs Enforcement’s operations on hold. On March 18, the agency said it would “temporarily adjust its enforcement posture” to focus not on ordinary undocumented immigrants, but on those who pose a public safety or criminal threat.</w:t>
      </w:r>
    </w:p>
    <w:p w14:paraId="6CBB8B01" w14:textId="77777777" w:rsidR="00AB6353" w:rsidRPr="00954D61" w:rsidRDefault="00AB6353" w:rsidP="00AB6353">
      <w:pPr>
        <w:rPr>
          <w:sz w:val="16"/>
          <w:szCs w:val="16"/>
        </w:rPr>
      </w:pPr>
      <w:r w:rsidRPr="00954D61">
        <w:rPr>
          <w:sz w:val="16"/>
          <w:szCs w:val="16"/>
        </w:rPr>
        <w:t>The agency said it would not carry out enforcement actions near health care facilities “except in the most extraordinary of circumstances” and would instead focus its efforts on human trafficking, gangs and drug enforcement.</w:t>
      </w:r>
    </w:p>
    <w:p w14:paraId="71D09FCB" w14:textId="77777777" w:rsidR="00AB6353" w:rsidRPr="00954D61" w:rsidRDefault="00AB6353" w:rsidP="00AB6353">
      <w:pPr>
        <w:rPr>
          <w:sz w:val="16"/>
          <w:szCs w:val="16"/>
        </w:rPr>
      </w:pPr>
      <w:r w:rsidRPr="00954D61">
        <w:rPr>
          <w:sz w:val="16"/>
          <w:szCs w:val="16"/>
        </w:rPr>
        <w:t>“Those of us without papers live in fear that immigration will pick us up,” Ms. Silva said. “Now we are feeling more relaxed.”</w:t>
      </w:r>
    </w:p>
    <w:p w14:paraId="6B8F2774" w14:textId="77777777" w:rsidR="00AB6353" w:rsidRPr="00954D61" w:rsidRDefault="00AB6353" w:rsidP="00AB6353">
      <w:pPr>
        <w:rPr>
          <w:sz w:val="16"/>
          <w:szCs w:val="16"/>
        </w:rPr>
      </w:pPr>
      <w:r w:rsidRPr="00954D61">
        <w:rPr>
          <w:sz w:val="16"/>
          <w:szCs w:val="16"/>
        </w:rPr>
        <w:t>Across the country, farmworkers have been struggling to understand what the coronavirus outbreak will mean for their safety and livelihoods. Even if they face a lower risk of deportation, many worry that the close working conditions in fields and packing facilities put them at risk for contracting the virus, and some warehouse workers are seeing their hours cut as employers adjust to the shifting market.</w:t>
      </w:r>
    </w:p>
    <w:p w14:paraId="6DE97EF4" w14:textId="77777777" w:rsidR="00AB6353" w:rsidRPr="00954D61" w:rsidRDefault="00AB6353" w:rsidP="00AB6353">
      <w:pPr>
        <w:rPr>
          <w:sz w:val="16"/>
          <w:szCs w:val="16"/>
        </w:rPr>
      </w:pPr>
      <w:r w:rsidRPr="00954D61">
        <w:rPr>
          <w:sz w:val="16"/>
          <w:szCs w:val="16"/>
        </w:rPr>
        <w:t>For many workers, the fact that they are now considered both illegal and essential is an irony that is not lost on them, nor is it for employers who have long had to navigate a legal thicket to maintain a work force in the fields.</w:t>
      </w:r>
    </w:p>
    <w:p w14:paraId="31B8538C" w14:textId="77777777" w:rsidR="00AB6353" w:rsidRPr="00A35B23" w:rsidRDefault="00AB6353" w:rsidP="00AB6353">
      <w:pPr>
        <w:rPr>
          <w:sz w:val="16"/>
        </w:rPr>
      </w:pPr>
      <w:r w:rsidRPr="00A35B23">
        <w:rPr>
          <w:sz w:val="16"/>
        </w:rPr>
        <w:t xml:space="preserve">“It’s sad that it takes a health crisis like this to highlight </w:t>
      </w:r>
      <w:r w:rsidRPr="00A35B23">
        <w:rPr>
          <w:rStyle w:val="StyleUnderline"/>
        </w:rPr>
        <w:t>the farmworkers’ importance</w:t>
      </w:r>
      <w:r w:rsidRPr="00A35B23">
        <w:rPr>
          <w:sz w:val="16"/>
        </w:rPr>
        <w:t>,” said Hector Lujan, chief executive of Reiter Brothers, a large family-owned berry grower based in Oxnard, Calif., that also has operations in Florida and the Pacific Northwest.</w:t>
      </w:r>
    </w:p>
    <w:p w14:paraId="0769F3E9" w14:textId="77777777" w:rsidR="00AB6353" w:rsidRPr="00A35B23" w:rsidRDefault="00AB6353" w:rsidP="00AB6353">
      <w:pPr>
        <w:rPr>
          <w:sz w:val="16"/>
        </w:rPr>
      </w:pPr>
      <w:r w:rsidRPr="00A35B23">
        <w:rPr>
          <w:sz w:val="16"/>
        </w:rPr>
        <w:t xml:space="preserve">Mr. Lujan, whose company employs thousands of </w:t>
      </w:r>
      <w:r w:rsidRPr="00A35B23">
        <w:rPr>
          <w:rStyle w:val="StyleUnderline"/>
        </w:rPr>
        <w:t>field workers</w:t>
      </w:r>
      <w:r w:rsidRPr="00A35B23">
        <w:rPr>
          <w:sz w:val="16"/>
        </w:rPr>
        <w:t xml:space="preserve">, described them as </w:t>
      </w:r>
      <w:r w:rsidRPr="00A35B23">
        <w:rPr>
          <w:rStyle w:val="Emphasis"/>
        </w:rPr>
        <w:t>unsung heroes</w:t>
      </w:r>
      <w:r w:rsidRPr="00A35B23">
        <w:rPr>
          <w:rStyle w:val="StyleUnderline"/>
        </w:rPr>
        <w:t xml:space="preserve"> for </w:t>
      </w:r>
      <w:r w:rsidRPr="00A35B23">
        <w:rPr>
          <w:rStyle w:val="Emphasis"/>
        </w:rPr>
        <w:t>guaranteeing</w:t>
      </w:r>
      <w:r w:rsidRPr="00A35B23">
        <w:rPr>
          <w:sz w:val="16"/>
        </w:rPr>
        <w:t xml:space="preserve"> that </w:t>
      </w:r>
      <w:r w:rsidRPr="00A35B23">
        <w:rPr>
          <w:rStyle w:val="StyleUnderline"/>
        </w:rPr>
        <w:t xml:space="preserve">Americans </w:t>
      </w:r>
      <w:r w:rsidRPr="00A35B23">
        <w:rPr>
          <w:sz w:val="16"/>
        </w:rPr>
        <w:t xml:space="preserve">have </w:t>
      </w:r>
      <w:r w:rsidRPr="00A35B23">
        <w:rPr>
          <w:rStyle w:val="Emphasis"/>
        </w:rPr>
        <w:t>food security</w:t>
      </w:r>
      <w:r w:rsidRPr="00A35B23">
        <w:rPr>
          <w:sz w:val="16"/>
        </w:rPr>
        <w:t>.</w:t>
      </w:r>
    </w:p>
    <w:p w14:paraId="06BEE127" w14:textId="77777777" w:rsidR="00AB6353" w:rsidRPr="00D27CCC" w:rsidRDefault="00AB6353" w:rsidP="00AB6353">
      <w:pPr>
        <w:rPr>
          <w:sz w:val="16"/>
          <w:szCs w:val="16"/>
        </w:rPr>
      </w:pPr>
      <w:r w:rsidRPr="00D27CCC">
        <w:rPr>
          <w:sz w:val="16"/>
          <w:szCs w:val="16"/>
        </w:rPr>
        <w:t>“Maybe one of the benefits of this crisis is that they are recognized and come out of the shadows,” said Mr. Lujan, whose company has been lobbying Congress to pass a bill that would legalize immigrant farmworkers.</w:t>
      </w:r>
    </w:p>
    <w:p w14:paraId="63D04EC9" w14:textId="77777777" w:rsidR="00AB6353" w:rsidRPr="005D2537" w:rsidRDefault="00AB6353" w:rsidP="00AB6353">
      <w:pPr>
        <w:rPr>
          <w:sz w:val="16"/>
        </w:rPr>
      </w:pPr>
      <w:r w:rsidRPr="005D2537">
        <w:rPr>
          <w:sz w:val="16"/>
        </w:rPr>
        <w:t xml:space="preserve">About </w:t>
      </w:r>
      <w:r w:rsidRPr="00AB33A3">
        <w:rPr>
          <w:rStyle w:val="Emphasis"/>
        </w:rPr>
        <w:t>half of all crop hands</w:t>
      </w:r>
      <w:r w:rsidRPr="005D2537">
        <w:rPr>
          <w:rStyle w:val="StyleUnderline"/>
        </w:rPr>
        <w:t xml:space="preserve"> in the United States, more than one million, are </w:t>
      </w:r>
      <w:r w:rsidRPr="00AB33A3">
        <w:rPr>
          <w:rStyle w:val="Emphasis"/>
        </w:rPr>
        <w:t>undocumented immigrants</w:t>
      </w:r>
      <w:r w:rsidRPr="005D2537">
        <w:rPr>
          <w:sz w:val="16"/>
        </w:rPr>
        <w:t xml:space="preserve">, according to the Agriculture Department. Growers and labor </w:t>
      </w:r>
      <w:r w:rsidRPr="005D2537">
        <w:rPr>
          <w:rStyle w:val="StyleUnderline"/>
        </w:rPr>
        <w:t>contractors estimate</w:t>
      </w:r>
      <w:r w:rsidRPr="005D2537">
        <w:rPr>
          <w:sz w:val="16"/>
        </w:rPr>
        <w:t xml:space="preserve"> that the </w:t>
      </w:r>
      <w:r w:rsidRPr="005D2537">
        <w:rPr>
          <w:rStyle w:val="StyleUnderline"/>
        </w:rPr>
        <w:t>share is closer to 75 percent.</w:t>
      </w:r>
    </w:p>
    <w:p w14:paraId="496B6902" w14:textId="77777777" w:rsidR="00AB6353" w:rsidRPr="005D2537" w:rsidRDefault="00AB6353" w:rsidP="00AB6353">
      <w:pPr>
        <w:rPr>
          <w:rStyle w:val="StyleUnderline"/>
        </w:rPr>
      </w:pPr>
      <w:r w:rsidRPr="005D2537">
        <w:rPr>
          <w:rStyle w:val="StyleUnderline"/>
        </w:rPr>
        <w:t>Despite</w:t>
      </w:r>
      <w:r w:rsidRPr="005D2537">
        <w:rPr>
          <w:sz w:val="16"/>
        </w:rPr>
        <w:t xml:space="preserve"> increased </w:t>
      </w:r>
      <w:r w:rsidRPr="005D2537">
        <w:rPr>
          <w:rStyle w:val="StyleUnderline"/>
        </w:rPr>
        <w:t xml:space="preserve">mechanization, the agriculture sector has continued to struggle with a </w:t>
      </w:r>
      <w:r w:rsidRPr="00AB33A3">
        <w:rPr>
          <w:rStyle w:val="Emphasis"/>
        </w:rPr>
        <w:t>dearth of labor</w:t>
      </w:r>
      <w:r w:rsidRPr="005D2537">
        <w:rPr>
          <w:rStyle w:val="StyleUnderline"/>
        </w:rPr>
        <w:t xml:space="preserve"> because many fruits and vegetables must be harvested by hand to avoid bruising.</w:t>
      </w:r>
    </w:p>
    <w:p w14:paraId="38A85276" w14:textId="77777777" w:rsidR="00AB6353" w:rsidRPr="005D2537" w:rsidRDefault="00AB6353" w:rsidP="00AB6353">
      <w:pPr>
        <w:rPr>
          <w:sz w:val="16"/>
          <w:szCs w:val="16"/>
        </w:rPr>
      </w:pPr>
      <w:r w:rsidRPr="005D2537">
        <w:rPr>
          <w:sz w:val="16"/>
          <w:szCs w:val="16"/>
        </w:rPr>
        <w:t>In a 2017 survey of farmers by the California Farm Bureau, 55 percent reported labor shortages, and the figure was nearly 70 percent for those who depend on seasonal workers. Wage increases in recent years have not compensated for the shortfall, growers said.</w:t>
      </w:r>
    </w:p>
    <w:p w14:paraId="2C703F73" w14:textId="77777777" w:rsidR="00AB6353" w:rsidRDefault="00AB6353" w:rsidP="00AB6353">
      <w:pPr>
        <w:rPr>
          <w:rStyle w:val="StyleUnderline"/>
        </w:rPr>
      </w:pPr>
      <w:r w:rsidRPr="005D2537">
        <w:rPr>
          <w:sz w:val="16"/>
        </w:rPr>
        <w:t xml:space="preserve">Strawberry </w:t>
      </w:r>
      <w:r w:rsidRPr="008D141D">
        <w:rPr>
          <w:sz w:val="16"/>
          <w:szCs w:val="16"/>
        </w:rPr>
        <w:t>operations in California, apple orchards in Michigan and dairy farms in New York and Idaho are wrestling with a shrinking, aging work force, a crackdown at the border, and the failure of Congress to agree on an immigration</w:t>
      </w:r>
      <w:r w:rsidRPr="005D2537">
        <w:rPr>
          <w:sz w:val="16"/>
        </w:rPr>
        <w:t xml:space="preserve"> overhaul that could provide a steady source of labor. A surge in </w:t>
      </w:r>
      <w:r w:rsidRPr="004D5A7F">
        <w:rPr>
          <w:rStyle w:val="Emphasis"/>
        </w:rPr>
        <w:t>deportations</w:t>
      </w:r>
      <w:r w:rsidRPr="005D2537">
        <w:rPr>
          <w:sz w:val="16"/>
        </w:rPr>
        <w:t xml:space="preserve"> and the voluntary return of many Mexicans to their home country </w:t>
      </w:r>
      <w:r w:rsidRPr="005D2537">
        <w:rPr>
          <w:rStyle w:val="StyleUnderline"/>
        </w:rPr>
        <w:t>have aggravated the shortage.</w:t>
      </w:r>
    </w:p>
    <w:p w14:paraId="693EFCA9" w14:textId="77777777" w:rsidR="00AB6353" w:rsidRPr="00954D61" w:rsidRDefault="00AB6353" w:rsidP="00AB6353">
      <w:pPr>
        <w:rPr>
          <w:sz w:val="16"/>
          <w:szCs w:val="16"/>
        </w:rPr>
      </w:pPr>
      <w:r w:rsidRPr="00954D61">
        <w:rPr>
          <w:sz w:val="16"/>
          <w:szCs w:val="16"/>
        </w:rPr>
        <w:t>As a result, growers increasingly have turned to a seasonal guest-worker program, officially known as the H-2A program, to fill gaps in their labor supply. The number of workers on the visa rocketed to 257,667 in the 2019 fiscal year, compared with 48,336 workers in the 2005 fiscal year.</w:t>
      </w:r>
    </w:p>
    <w:p w14:paraId="306FD017" w14:textId="77777777" w:rsidR="00AB6353" w:rsidRPr="00954D61" w:rsidRDefault="00AB6353" w:rsidP="00AB6353">
      <w:pPr>
        <w:rPr>
          <w:sz w:val="16"/>
          <w:szCs w:val="16"/>
        </w:rPr>
      </w:pPr>
      <w:r w:rsidRPr="00954D61">
        <w:rPr>
          <w:sz w:val="16"/>
          <w:szCs w:val="16"/>
        </w:rPr>
        <w:t>Growers panicked after the State Department paused all visa processing in Mexico during the public health emergency. In response to an outcry, the department announced on March 26 that it would waive in-person interviews, enabling most applications to be vetted in time for the peak harvest.</w:t>
      </w:r>
    </w:p>
    <w:p w14:paraId="4C8EBD06" w14:textId="77777777" w:rsidR="00AB6353" w:rsidRPr="00E87088" w:rsidRDefault="00AB6353" w:rsidP="00AB6353">
      <w:pPr>
        <w:rPr>
          <w:sz w:val="16"/>
        </w:rPr>
      </w:pPr>
      <w:r w:rsidRPr="00AE5A2D">
        <w:rPr>
          <w:rStyle w:val="StyleUnderline"/>
        </w:rPr>
        <w:t xml:space="preserve">American </w:t>
      </w:r>
      <w:r w:rsidRPr="00E87088">
        <w:rPr>
          <w:rStyle w:val="StyleUnderline"/>
        </w:rPr>
        <w:t xml:space="preserve">agriculture is at a </w:t>
      </w:r>
      <w:r w:rsidRPr="003F0252">
        <w:rPr>
          <w:rStyle w:val="Emphasis"/>
        </w:rPr>
        <w:t>critical juncture</w:t>
      </w:r>
      <w:r w:rsidRPr="00E87088">
        <w:rPr>
          <w:rStyle w:val="StyleUnderline"/>
        </w:rPr>
        <w:t>, with a massive volume of produce to be harvested between now and August.</w:t>
      </w:r>
      <w:r w:rsidRPr="00E87088">
        <w:rPr>
          <w:sz w:val="16"/>
        </w:rPr>
        <w:t xml:space="preserve"> In California, citrus fruit is still being plucked off the trees, strawberries are getting underway, and many other crops will ripen in the summer. In Georgia, Vidalia onions and peaches will soon be mature. In Washington, apple trees are heavy with fruit in the summer.</w:t>
      </w:r>
    </w:p>
    <w:p w14:paraId="1AF671A3" w14:textId="77777777" w:rsidR="00AB6353" w:rsidRPr="00E53919" w:rsidRDefault="00AB6353" w:rsidP="00AB6353">
      <w:pPr>
        <w:rPr>
          <w:sz w:val="16"/>
        </w:rPr>
      </w:pPr>
      <w:r w:rsidRPr="00E53919">
        <w:rPr>
          <w:rStyle w:val="StyleUnderline"/>
        </w:rPr>
        <w:t>Letters notifying undocumented workers</w:t>
      </w:r>
      <w:r w:rsidRPr="00E53919">
        <w:rPr>
          <w:sz w:val="16"/>
        </w:rPr>
        <w:t xml:space="preserve"> that </w:t>
      </w:r>
      <w:r w:rsidRPr="00E53919">
        <w:rPr>
          <w:rStyle w:val="StyleUnderline"/>
        </w:rPr>
        <w:t xml:space="preserve">they are “essential,” when they still </w:t>
      </w:r>
      <w:r w:rsidRPr="00E53919">
        <w:rPr>
          <w:sz w:val="16"/>
        </w:rPr>
        <w:t xml:space="preserve">officially </w:t>
      </w:r>
      <w:r w:rsidRPr="00E53919">
        <w:rPr>
          <w:rStyle w:val="StyleUnderline"/>
        </w:rPr>
        <w:t>face</w:t>
      </w:r>
      <w:r w:rsidRPr="00E53919">
        <w:rPr>
          <w:sz w:val="16"/>
        </w:rPr>
        <w:t xml:space="preserve"> potential </w:t>
      </w:r>
      <w:r w:rsidRPr="00E53919">
        <w:rPr>
          <w:rStyle w:val="StyleUnderline"/>
        </w:rPr>
        <w:t>deportation, are sending</w:t>
      </w:r>
      <w:r w:rsidRPr="00E53919">
        <w:rPr>
          <w:sz w:val="16"/>
        </w:rPr>
        <w:t xml:space="preserve"> the same </w:t>
      </w:r>
      <w:r w:rsidRPr="003F0252">
        <w:rPr>
          <w:rStyle w:val="Emphasis"/>
        </w:rPr>
        <w:t>mixed signals</w:t>
      </w:r>
      <w:r w:rsidRPr="00E53919">
        <w:rPr>
          <w:rStyle w:val="StyleUnderline"/>
        </w:rPr>
        <w:t xml:space="preserve"> that have long been at the root of American agricultural labor policy</w:t>
      </w:r>
      <w:r w:rsidRPr="00E53919">
        <w:rPr>
          <w:sz w:val="16"/>
        </w:rPr>
        <w:t>, according to many who work closely with the process.</w:t>
      </w:r>
    </w:p>
    <w:p w14:paraId="7B72479D" w14:textId="77777777" w:rsidR="00AB6353" w:rsidRPr="00355BD3" w:rsidRDefault="00AB6353" w:rsidP="00AB6353">
      <w:pPr>
        <w:rPr>
          <w:sz w:val="16"/>
        </w:rPr>
      </w:pPr>
      <w:r w:rsidRPr="00355BD3">
        <w:rPr>
          <w:sz w:val="16"/>
        </w:rPr>
        <w:t>“</w:t>
      </w:r>
      <w:r w:rsidRPr="00355BD3">
        <w:rPr>
          <w:rStyle w:val="StyleUnderline"/>
        </w:rPr>
        <w:t>Some</w:t>
      </w:r>
      <w:r w:rsidRPr="00355BD3">
        <w:rPr>
          <w:sz w:val="16"/>
        </w:rPr>
        <w:t xml:space="preserve"> people </w:t>
      </w:r>
      <w:r w:rsidRPr="00355BD3">
        <w:rPr>
          <w:rStyle w:val="StyleUnderline"/>
        </w:rPr>
        <w:t>are really confused</w:t>
      </w:r>
      <w:r w:rsidRPr="00355BD3">
        <w:rPr>
          <w:sz w:val="16"/>
        </w:rPr>
        <w:t xml:space="preserve"> by the message,” said Reyna Lopez, executive director of P.C.U.N., a union representing agricultural workers in Woodburn, Ore. “The </w:t>
      </w:r>
      <w:r w:rsidRPr="00355BD3">
        <w:rPr>
          <w:rStyle w:val="StyleUnderline"/>
        </w:rPr>
        <w:t>government is telling them</w:t>
      </w:r>
      <w:r w:rsidRPr="00355BD3">
        <w:rPr>
          <w:sz w:val="16"/>
        </w:rPr>
        <w:t xml:space="preserve"> it needs them to go </w:t>
      </w:r>
      <w:r w:rsidRPr="00355BD3">
        <w:rPr>
          <w:rStyle w:val="StyleUnderline"/>
        </w:rPr>
        <w:t>to work, but</w:t>
      </w:r>
      <w:r w:rsidRPr="00355BD3">
        <w:rPr>
          <w:sz w:val="16"/>
        </w:rPr>
        <w:t xml:space="preserve"> it </w:t>
      </w:r>
      <w:r w:rsidRPr="003F0252">
        <w:rPr>
          <w:rStyle w:val="Emphasis"/>
        </w:rPr>
        <w:t>hasn’t halted deportations</w:t>
      </w:r>
      <w:r w:rsidRPr="00355BD3">
        <w:rPr>
          <w:rStyle w:val="StyleUnderline"/>
        </w:rPr>
        <w:t>.</w:t>
      </w:r>
      <w:r w:rsidRPr="00355BD3">
        <w:rPr>
          <w:sz w:val="16"/>
        </w:rPr>
        <w:t>”</w:t>
      </w:r>
    </w:p>
    <w:p w14:paraId="2D13E61D" w14:textId="25703805" w:rsidR="00AB6353" w:rsidRPr="00AB6353" w:rsidRDefault="00AB6353" w:rsidP="00AB6353">
      <w:pPr>
        <w:rPr>
          <w:sz w:val="16"/>
        </w:rPr>
      </w:pPr>
      <w:r w:rsidRPr="003F0252">
        <w:rPr>
          <w:sz w:val="16"/>
        </w:rPr>
        <w:t xml:space="preserve">She and other advocates said employers are not doing enough to educate their </w:t>
      </w:r>
      <w:r w:rsidRPr="003F0252">
        <w:rPr>
          <w:rStyle w:val="StyleUnderline"/>
        </w:rPr>
        <w:t>workers</w:t>
      </w:r>
      <w:r w:rsidRPr="003F0252">
        <w:rPr>
          <w:sz w:val="16"/>
        </w:rPr>
        <w:t xml:space="preserve">, who often do not speak English, about the coronavirus. “When people </w:t>
      </w:r>
      <w:r w:rsidRPr="003F0252">
        <w:rPr>
          <w:rStyle w:val="StyleUnderline"/>
        </w:rPr>
        <w:t>don’t understand</w:t>
      </w:r>
      <w:r w:rsidRPr="003F0252">
        <w:rPr>
          <w:sz w:val="16"/>
        </w:rPr>
        <w:t xml:space="preserve"> the </w:t>
      </w:r>
      <w:r w:rsidRPr="003F0252">
        <w:rPr>
          <w:rStyle w:val="StyleUnderline"/>
        </w:rPr>
        <w:t>risks</w:t>
      </w:r>
      <w:r w:rsidRPr="003F0252">
        <w:rPr>
          <w:sz w:val="16"/>
        </w:rPr>
        <w:t>, they don’t take necessary precautions,” Ms. Lopez said.</w:t>
      </w:r>
    </w:p>
    <w:p w14:paraId="72E967CD" w14:textId="690E09B8" w:rsidR="003C53D7" w:rsidRPr="00CA211E" w:rsidRDefault="00CA211E" w:rsidP="003C53D7">
      <w:pPr>
        <w:pStyle w:val="Heading4"/>
      </w:pPr>
      <w:r>
        <w:t>That risks</w:t>
      </w:r>
      <w:r w:rsidR="003C53D7">
        <w:t xml:space="preserve"> </w:t>
      </w:r>
      <w:r w:rsidR="005E5433">
        <w:rPr>
          <w:u w:val="single"/>
        </w:rPr>
        <w:t>Farmageddon</w:t>
      </w:r>
      <w:r>
        <w:t xml:space="preserve"> – </w:t>
      </w:r>
      <w:r w:rsidRPr="00985763">
        <w:rPr>
          <w:u w:val="single"/>
        </w:rPr>
        <w:t>American</w:t>
      </w:r>
      <w:r>
        <w:t xml:space="preserve"> agricultural strength </w:t>
      </w:r>
      <w:r>
        <w:rPr>
          <w:u w:val="single"/>
        </w:rPr>
        <w:t>stabilizes</w:t>
      </w:r>
      <w:r>
        <w:t xml:space="preserve"> the globe.</w:t>
      </w:r>
    </w:p>
    <w:p w14:paraId="7F40100A" w14:textId="77777777" w:rsidR="003C53D7" w:rsidRPr="004F6A2A" w:rsidRDefault="003C53D7" w:rsidP="003C53D7">
      <w:r w:rsidRPr="004F6A2A">
        <w:rPr>
          <w:rStyle w:val="Style13ptBold"/>
        </w:rPr>
        <w:t>Castellaw, 17</w:t>
      </w:r>
      <w:r>
        <w:t xml:space="preserve">—Lieutenant General, former President of the non-profit Crockett Policy Institute (John, “Opinion: Food Security Strategy Is Essential to Our National Security,” </w:t>
      </w:r>
      <w:hyperlink r:id="rId7" w:history="1">
        <w:r w:rsidRPr="0051208B">
          <w:rPr>
            <w:rStyle w:val="Hyperlink"/>
          </w:rPr>
          <w:t>https://www.agri-pulse.com/articles/9203-opinion-food-security-strategy-is-essential-to-our-national-security</w:t>
        </w:r>
      </w:hyperlink>
      <w:r>
        <w:t>, dml)</w:t>
      </w:r>
    </w:p>
    <w:p w14:paraId="57B4577A" w14:textId="77777777" w:rsidR="003C53D7" w:rsidRPr="0001407D" w:rsidRDefault="003C53D7" w:rsidP="00CF5793">
      <w:pPr>
        <w:rPr>
          <w:sz w:val="16"/>
        </w:rPr>
      </w:pPr>
      <w:r w:rsidRPr="0001407D">
        <w:rPr>
          <w:sz w:val="16"/>
        </w:rPr>
        <w:t xml:space="preserve">The United States faces many threats to our National Security. These </w:t>
      </w:r>
      <w:r w:rsidRPr="00456038">
        <w:rPr>
          <w:rStyle w:val="StyleUnderline"/>
          <w:highlight w:val="cyan"/>
        </w:rPr>
        <w:t>threats include</w:t>
      </w:r>
      <w:r w:rsidRPr="0001407D">
        <w:rPr>
          <w:sz w:val="16"/>
        </w:rPr>
        <w:t xml:space="preserve"> continuing wars with </w:t>
      </w:r>
      <w:r w:rsidRPr="00640323">
        <w:rPr>
          <w:rStyle w:val="Emphasis"/>
        </w:rPr>
        <w:t>extremist elements</w:t>
      </w:r>
      <w:r w:rsidRPr="0001407D">
        <w:rPr>
          <w:sz w:val="16"/>
        </w:rPr>
        <w:t xml:space="preserve"> such as ISIS </w:t>
      </w:r>
      <w:r w:rsidRPr="00640323">
        <w:rPr>
          <w:rStyle w:val="StyleUnderline"/>
        </w:rPr>
        <w:t>and</w:t>
      </w:r>
      <w:r w:rsidRPr="0001407D">
        <w:rPr>
          <w:sz w:val="16"/>
        </w:rPr>
        <w:t xml:space="preserve"> potential </w:t>
      </w:r>
      <w:r w:rsidRPr="00640323">
        <w:rPr>
          <w:rStyle w:val="StyleUnderline"/>
        </w:rPr>
        <w:t xml:space="preserve">wars with </w:t>
      </w:r>
      <w:r w:rsidRPr="00456038">
        <w:rPr>
          <w:rStyle w:val="Emphasis"/>
          <w:highlight w:val="cyan"/>
        </w:rPr>
        <w:t>rogue</w:t>
      </w:r>
      <w:r w:rsidRPr="00844B09">
        <w:rPr>
          <w:rStyle w:val="Emphasis"/>
        </w:rPr>
        <w:t xml:space="preserve"> state</w:t>
      </w:r>
      <w:r w:rsidRPr="00640323">
        <w:rPr>
          <w:rStyle w:val="StyleUnderline"/>
        </w:rPr>
        <w:t xml:space="preserve"> North </w:t>
      </w:r>
      <w:r w:rsidRPr="00456038">
        <w:rPr>
          <w:rStyle w:val="StyleUnderline"/>
          <w:highlight w:val="cyan"/>
        </w:rPr>
        <w:t>Korea</w:t>
      </w:r>
      <w:r w:rsidRPr="00844B09">
        <w:rPr>
          <w:rStyle w:val="StyleUnderline"/>
        </w:rPr>
        <w:t xml:space="preserve"> or r</w:t>
      </w:r>
      <w:r w:rsidRPr="00640323">
        <w:rPr>
          <w:rStyle w:val="StyleUnderline"/>
        </w:rPr>
        <w:t xml:space="preserve">egional nuclear power </w:t>
      </w:r>
      <w:r w:rsidRPr="00456038">
        <w:rPr>
          <w:rStyle w:val="StyleUnderline"/>
          <w:highlight w:val="cyan"/>
        </w:rPr>
        <w:t>Iran</w:t>
      </w:r>
      <w:r w:rsidRPr="0001407D">
        <w:rPr>
          <w:sz w:val="16"/>
        </w:rPr>
        <w:t xml:space="preserve">. The heated economic and diplomatic </w:t>
      </w:r>
      <w:r w:rsidRPr="00640323">
        <w:rPr>
          <w:rStyle w:val="StyleUnderline"/>
        </w:rPr>
        <w:t xml:space="preserve">competition with </w:t>
      </w:r>
      <w:r w:rsidRPr="00456038">
        <w:rPr>
          <w:rStyle w:val="StyleUnderline"/>
          <w:highlight w:val="cyan"/>
        </w:rPr>
        <w:t>Russia and</w:t>
      </w:r>
      <w:r w:rsidRPr="004F533D">
        <w:rPr>
          <w:rStyle w:val="StyleUnderline"/>
        </w:rPr>
        <w:t xml:space="preserve"> </w:t>
      </w:r>
      <w:r w:rsidRPr="004F533D">
        <w:rPr>
          <w:rStyle w:val="Emphasis"/>
        </w:rPr>
        <w:t xml:space="preserve">a surging </w:t>
      </w:r>
      <w:r w:rsidRPr="00456038">
        <w:rPr>
          <w:rStyle w:val="Emphasis"/>
          <w:highlight w:val="cyan"/>
        </w:rPr>
        <w:t>China</w:t>
      </w:r>
      <w:r w:rsidRPr="004F533D">
        <w:rPr>
          <w:rStyle w:val="Emphasis"/>
        </w:rPr>
        <w:t xml:space="preserve"> could spiral out of control</w:t>
      </w:r>
      <w:r w:rsidRPr="0001407D">
        <w:rPr>
          <w:sz w:val="16"/>
        </w:rPr>
        <w:t xml:space="preserve">. Concurrently, we face threats to our future security posed by growing </w:t>
      </w:r>
      <w:r w:rsidRPr="00640323">
        <w:rPr>
          <w:rStyle w:val="Emphasis"/>
        </w:rPr>
        <w:t>civil strife</w:t>
      </w:r>
      <w:r w:rsidRPr="00640323">
        <w:rPr>
          <w:rStyle w:val="StyleUnderline"/>
        </w:rPr>
        <w:t xml:space="preserve">, </w:t>
      </w:r>
      <w:r w:rsidRPr="00456038">
        <w:rPr>
          <w:rStyle w:val="Emphasis"/>
          <w:highlight w:val="cyan"/>
        </w:rPr>
        <w:t>famine</w:t>
      </w:r>
      <w:r w:rsidRPr="00456038">
        <w:rPr>
          <w:rStyle w:val="StyleUnderline"/>
          <w:highlight w:val="cyan"/>
        </w:rPr>
        <w:t xml:space="preserve">, and </w:t>
      </w:r>
      <w:r w:rsidRPr="00456038">
        <w:rPr>
          <w:rStyle w:val="Emphasis"/>
          <w:highlight w:val="cyan"/>
        </w:rPr>
        <w:t>refugee</w:t>
      </w:r>
      <w:r w:rsidRPr="00640323">
        <w:rPr>
          <w:rStyle w:val="Emphasis"/>
        </w:rPr>
        <w:t xml:space="preserve"> and migration </w:t>
      </w:r>
      <w:r w:rsidRPr="00456038">
        <w:rPr>
          <w:rStyle w:val="Emphasis"/>
          <w:highlight w:val="cyan"/>
        </w:rPr>
        <w:t>challenges</w:t>
      </w:r>
      <w:r w:rsidRPr="00456038">
        <w:rPr>
          <w:rStyle w:val="StyleUnderline"/>
          <w:highlight w:val="cyan"/>
        </w:rPr>
        <w:t xml:space="preserve"> which</w:t>
      </w:r>
      <w:r w:rsidRPr="00640323">
        <w:rPr>
          <w:rStyle w:val="StyleUnderline"/>
        </w:rPr>
        <w:t xml:space="preserve"> create </w:t>
      </w:r>
      <w:r w:rsidRPr="00456038">
        <w:rPr>
          <w:rStyle w:val="Emphasis"/>
          <w:highlight w:val="cyan"/>
        </w:rPr>
        <w:t>incubat</w:t>
      </w:r>
      <w:r w:rsidRPr="00640323">
        <w:rPr>
          <w:rStyle w:val="Emphasis"/>
        </w:rPr>
        <w:t>ors</w:t>
      </w:r>
      <w:r w:rsidRPr="00640323">
        <w:rPr>
          <w:rStyle w:val="StyleUnderline"/>
        </w:rPr>
        <w:t xml:space="preserve"> for </w:t>
      </w:r>
      <w:r w:rsidRPr="00456038">
        <w:rPr>
          <w:rStyle w:val="Emphasis"/>
          <w:highlight w:val="cyan"/>
        </w:rPr>
        <w:t>extremist</w:t>
      </w:r>
      <w:r w:rsidRPr="00640323">
        <w:rPr>
          <w:rStyle w:val="StyleUnderline"/>
        </w:rPr>
        <w:t xml:space="preserve"> and </w:t>
      </w:r>
      <w:r w:rsidRPr="00456038">
        <w:rPr>
          <w:rStyle w:val="Emphasis"/>
          <w:highlight w:val="cyan"/>
        </w:rPr>
        <w:t>anti-American</w:t>
      </w:r>
      <w:r w:rsidRPr="00640323">
        <w:rPr>
          <w:rStyle w:val="Emphasis"/>
        </w:rPr>
        <w:t xml:space="preserve"> government </w:t>
      </w:r>
      <w:r w:rsidRPr="00456038">
        <w:rPr>
          <w:rStyle w:val="Emphasis"/>
          <w:highlight w:val="cyan"/>
        </w:rPr>
        <w:t>factions</w:t>
      </w:r>
      <w:r w:rsidRPr="0001407D">
        <w:rPr>
          <w:sz w:val="16"/>
        </w:rPr>
        <w:t>. Our response cannot be one dimensional but instead must be a nuanced and comprehensive National Security Strategy combining all elements of National Power including a Food Security Strategy.</w:t>
      </w:r>
    </w:p>
    <w:p w14:paraId="3C8CC94C" w14:textId="77777777" w:rsidR="003C53D7" w:rsidRPr="0001407D" w:rsidRDefault="003C53D7" w:rsidP="00CF5793">
      <w:pPr>
        <w:rPr>
          <w:sz w:val="16"/>
        </w:rPr>
      </w:pPr>
      <w:r w:rsidRPr="0001407D">
        <w:rPr>
          <w:sz w:val="16"/>
        </w:rPr>
        <w:t xml:space="preserve">An American Food Security Strategy is an imperative factor in reducing the multiple threats impacting our National wellbeing. Recent history has shown that </w:t>
      </w:r>
      <w:r w:rsidRPr="00456038">
        <w:rPr>
          <w:rStyle w:val="Emphasis"/>
          <w:highlight w:val="cyan"/>
        </w:rPr>
        <w:t>reliable</w:t>
      </w:r>
      <w:r w:rsidRPr="004F533D">
        <w:rPr>
          <w:rStyle w:val="Emphasis"/>
        </w:rPr>
        <w:t xml:space="preserve"> food</w:t>
      </w:r>
      <w:r w:rsidRPr="00640323">
        <w:rPr>
          <w:rStyle w:val="Emphasis"/>
        </w:rPr>
        <w:t xml:space="preserve"> supplies</w:t>
      </w:r>
      <w:r w:rsidRPr="00640323">
        <w:rPr>
          <w:rStyle w:val="StyleUnderline"/>
        </w:rPr>
        <w:t xml:space="preserve"> and </w:t>
      </w:r>
      <w:r w:rsidRPr="00456038">
        <w:rPr>
          <w:rStyle w:val="Emphasis"/>
          <w:highlight w:val="cyan"/>
        </w:rPr>
        <w:t>stable prices</w:t>
      </w:r>
      <w:r w:rsidRPr="00456038">
        <w:rPr>
          <w:rStyle w:val="StyleUnderline"/>
          <w:highlight w:val="cyan"/>
        </w:rPr>
        <w:t xml:space="preserve"> produce</w:t>
      </w:r>
      <w:r w:rsidRPr="00640323">
        <w:rPr>
          <w:rStyle w:val="StyleUnderline"/>
        </w:rPr>
        <w:t xml:space="preserve"> </w:t>
      </w:r>
      <w:r w:rsidRPr="00640323">
        <w:rPr>
          <w:rStyle w:val="Emphasis"/>
        </w:rPr>
        <w:t>more stable</w:t>
      </w:r>
      <w:r w:rsidRPr="00640323">
        <w:rPr>
          <w:rStyle w:val="StyleUnderline"/>
        </w:rPr>
        <w:t xml:space="preserve"> and </w:t>
      </w:r>
      <w:r w:rsidRPr="00456038">
        <w:rPr>
          <w:rStyle w:val="Emphasis"/>
          <w:highlight w:val="cyan"/>
        </w:rPr>
        <w:t>secure countries</w:t>
      </w:r>
      <w:r w:rsidRPr="0001407D">
        <w:rPr>
          <w:sz w:val="16"/>
        </w:rPr>
        <w:t xml:space="preserve">. Conversely, </w:t>
      </w:r>
      <w:r w:rsidRPr="00456038">
        <w:rPr>
          <w:rStyle w:val="Emphasis"/>
          <w:highlight w:val="cyan"/>
        </w:rPr>
        <w:t>food insecurity</w:t>
      </w:r>
      <w:r w:rsidRPr="004F533D">
        <w:rPr>
          <w:sz w:val="16"/>
        </w:rPr>
        <w:t xml:space="preserve">, particularly in poorer countries, </w:t>
      </w:r>
      <w:r w:rsidRPr="004F533D">
        <w:rPr>
          <w:rStyle w:val="StyleUnderline"/>
        </w:rPr>
        <w:t xml:space="preserve">can </w:t>
      </w:r>
      <w:r w:rsidRPr="00456038">
        <w:rPr>
          <w:rStyle w:val="StyleUnderline"/>
          <w:highlight w:val="cyan"/>
        </w:rPr>
        <w:t xml:space="preserve">lead to </w:t>
      </w:r>
      <w:r w:rsidRPr="00456038">
        <w:rPr>
          <w:rStyle w:val="Emphasis"/>
          <w:highlight w:val="cyan"/>
        </w:rPr>
        <w:t>instability</w:t>
      </w:r>
      <w:r w:rsidRPr="004F533D">
        <w:rPr>
          <w:rStyle w:val="StyleUnderline"/>
        </w:rPr>
        <w:t xml:space="preserve">, </w:t>
      </w:r>
      <w:r w:rsidRPr="004F533D">
        <w:rPr>
          <w:rStyle w:val="Emphasis"/>
        </w:rPr>
        <w:t>unrest</w:t>
      </w:r>
      <w:r w:rsidRPr="004F533D">
        <w:rPr>
          <w:rStyle w:val="StyleUnderline"/>
        </w:rPr>
        <w:t>, a</w:t>
      </w:r>
      <w:r w:rsidRPr="00640323">
        <w:rPr>
          <w:rStyle w:val="StyleUnderline"/>
        </w:rPr>
        <w:t xml:space="preserve">nd </w:t>
      </w:r>
      <w:r w:rsidRPr="00640323">
        <w:rPr>
          <w:rStyle w:val="Emphasis"/>
        </w:rPr>
        <w:t>violence</w:t>
      </w:r>
      <w:r w:rsidRPr="0001407D">
        <w:rPr>
          <w:sz w:val="16"/>
        </w:rPr>
        <w:t>.</w:t>
      </w:r>
    </w:p>
    <w:p w14:paraId="00134A9F" w14:textId="77777777" w:rsidR="003C53D7" w:rsidRPr="0001407D" w:rsidRDefault="003C53D7" w:rsidP="00CF5793">
      <w:pPr>
        <w:rPr>
          <w:sz w:val="16"/>
        </w:rPr>
      </w:pPr>
      <w:r w:rsidRPr="0001407D">
        <w:rPr>
          <w:rStyle w:val="Emphasis"/>
        </w:rPr>
        <w:t xml:space="preserve">Food </w:t>
      </w:r>
      <w:r w:rsidRPr="004F533D">
        <w:rPr>
          <w:rStyle w:val="Emphasis"/>
        </w:rPr>
        <w:t>insecurity</w:t>
      </w:r>
      <w:r w:rsidRPr="004F533D">
        <w:rPr>
          <w:rStyle w:val="StyleUnderline"/>
        </w:rPr>
        <w:t xml:space="preserve"> drives </w:t>
      </w:r>
      <w:r w:rsidRPr="004F533D">
        <w:rPr>
          <w:rStyle w:val="Emphasis"/>
        </w:rPr>
        <w:t>mass migration</w:t>
      </w:r>
      <w:r w:rsidRPr="0001407D">
        <w:rPr>
          <w:rStyle w:val="StyleUnderline"/>
        </w:rPr>
        <w:t xml:space="preserve"> around the world</w:t>
      </w:r>
      <w:r w:rsidRPr="0001407D">
        <w:rPr>
          <w:sz w:val="16"/>
        </w:rPr>
        <w:t xml:space="preserve"> from the Middle East, to Africa, to Southeast Asia, </w:t>
      </w:r>
      <w:r w:rsidRPr="004F533D">
        <w:rPr>
          <w:rStyle w:val="StyleUnderline"/>
        </w:rPr>
        <w:t>destabilizing</w:t>
      </w:r>
      <w:r w:rsidRPr="0001407D">
        <w:rPr>
          <w:sz w:val="16"/>
        </w:rPr>
        <w:t xml:space="preserve"> neighboring </w:t>
      </w:r>
      <w:r w:rsidRPr="0001407D">
        <w:rPr>
          <w:rStyle w:val="StyleUnderline"/>
        </w:rPr>
        <w:t xml:space="preserve">populations, </w:t>
      </w:r>
      <w:r w:rsidRPr="00456038">
        <w:rPr>
          <w:rStyle w:val="StyleUnderline"/>
          <w:highlight w:val="cyan"/>
        </w:rPr>
        <w:t>generating conflicts</w:t>
      </w:r>
      <w:r w:rsidRPr="0001407D">
        <w:rPr>
          <w:rStyle w:val="StyleUnderline"/>
        </w:rPr>
        <w:t>, and</w:t>
      </w:r>
      <w:r w:rsidRPr="0001407D">
        <w:rPr>
          <w:sz w:val="16"/>
        </w:rPr>
        <w:t xml:space="preserve"> threatening our own security by </w:t>
      </w:r>
      <w:r w:rsidRPr="00456038">
        <w:rPr>
          <w:rStyle w:val="StyleUnderline"/>
          <w:highlight w:val="cyan"/>
        </w:rPr>
        <w:t>disrupting</w:t>
      </w:r>
      <w:r w:rsidRPr="0001407D">
        <w:rPr>
          <w:sz w:val="16"/>
        </w:rPr>
        <w:t xml:space="preserve"> our economic, </w:t>
      </w:r>
      <w:r w:rsidRPr="00456038">
        <w:rPr>
          <w:rStyle w:val="StyleUnderline"/>
          <w:highlight w:val="cyan"/>
        </w:rPr>
        <w:t>military</w:t>
      </w:r>
      <w:r w:rsidRPr="0001407D">
        <w:rPr>
          <w:sz w:val="16"/>
        </w:rPr>
        <w:t xml:space="preserve">, and diplomatic </w:t>
      </w:r>
      <w:r w:rsidRPr="00456038">
        <w:rPr>
          <w:rStyle w:val="StyleUnderline"/>
          <w:highlight w:val="cyan"/>
        </w:rPr>
        <w:t>relationships</w:t>
      </w:r>
      <w:r w:rsidRPr="0001407D">
        <w:rPr>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w:t>
      </w:r>
      <w:r w:rsidRPr="00456038">
        <w:rPr>
          <w:rStyle w:val="StyleUnderline"/>
          <w:highlight w:val="cyan"/>
        </w:rPr>
        <w:t>history</w:t>
      </w:r>
      <w:r w:rsidRPr="0001407D">
        <w:rPr>
          <w:sz w:val="16"/>
        </w:rPr>
        <w:t xml:space="preserve"> has </w:t>
      </w:r>
      <w:r w:rsidRPr="00456038">
        <w:rPr>
          <w:rStyle w:val="StyleUnderline"/>
          <w:highlight w:val="cyan"/>
        </w:rPr>
        <w:t>taught us</w:t>
      </w:r>
      <w:r w:rsidRPr="0001407D">
        <w:rPr>
          <w:sz w:val="16"/>
        </w:rPr>
        <w:t xml:space="preserve"> that </w:t>
      </w:r>
      <w:r w:rsidRPr="0001407D">
        <w:rPr>
          <w:rStyle w:val="Emphasis"/>
        </w:rPr>
        <w:t xml:space="preserve">a </w:t>
      </w:r>
      <w:r w:rsidRPr="00456038">
        <w:rPr>
          <w:rStyle w:val="Emphasis"/>
          <w:highlight w:val="cyan"/>
        </w:rPr>
        <w:t>strong ag</w:t>
      </w:r>
      <w:r w:rsidRPr="004F533D">
        <w:rPr>
          <w:rStyle w:val="Emphasis"/>
        </w:rPr>
        <w:t>ricultural secto</w:t>
      </w:r>
      <w:r w:rsidRPr="0001407D">
        <w:rPr>
          <w:rStyle w:val="Emphasis"/>
        </w:rPr>
        <w:t>r</w:t>
      </w:r>
      <w:r w:rsidRPr="0001407D">
        <w:rPr>
          <w:rStyle w:val="StyleUnderline"/>
        </w:rPr>
        <w:t xml:space="preserve"> </w:t>
      </w:r>
      <w:r w:rsidRPr="00456038">
        <w:rPr>
          <w:rStyle w:val="StyleUnderline"/>
          <w:highlight w:val="cyan"/>
        </w:rPr>
        <w:t xml:space="preserve">is </w:t>
      </w:r>
      <w:r w:rsidRPr="00456038">
        <w:rPr>
          <w:rStyle w:val="Emphasis"/>
          <w:highlight w:val="cyan"/>
        </w:rPr>
        <w:t>a</w:t>
      </w:r>
      <w:r w:rsidRPr="0001407D">
        <w:rPr>
          <w:rStyle w:val="Emphasis"/>
        </w:rPr>
        <w:t xml:space="preserve">n unquestionable </w:t>
      </w:r>
      <w:r w:rsidRPr="00456038">
        <w:rPr>
          <w:rStyle w:val="Emphasis"/>
          <w:highlight w:val="cyan"/>
        </w:rPr>
        <w:t>requirement</w:t>
      </w:r>
      <w:r w:rsidRPr="00456038">
        <w:rPr>
          <w:rStyle w:val="StyleUnderline"/>
          <w:highlight w:val="cyan"/>
        </w:rPr>
        <w:t xml:space="preserve"> for</w:t>
      </w:r>
      <w:r w:rsidRPr="0001407D">
        <w:rPr>
          <w:sz w:val="16"/>
        </w:rPr>
        <w:t xml:space="preserve"> inclusive and sustainable growth, broad-based development progress, and </w:t>
      </w:r>
      <w:r w:rsidRPr="0001407D">
        <w:rPr>
          <w:rStyle w:val="Emphasis"/>
        </w:rPr>
        <w:t xml:space="preserve">long-term </w:t>
      </w:r>
      <w:r w:rsidRPr="00456038">
        <w:rPr>
          <w:rStyle w:val="Emphasis"/>
          <w:highlight w:val="cyan"/>
        </w:rPr>
        <w:t>stability</w:t>
      </w:r>
      <w:r w:rsidRPr="0001407D">
        <w:rPr>
          <w:sz w:val="16"/>
        </w:rPr>
        <w:t>.</w:t>
      </w:r>
    </w:p>
    <w:p w14:paraId="7F225959" w14:textId="77777777" w:rsidR="003C53D7" w:rsidRPr="0001407D" w:rsidRDefault="003C53D7" w:rsidP="00CF5793">
      <w:pPr>
        <w:rPr>
          <w:sz w:val="16"/>
        </w:rPr>
      </w:pPr>
      <w:r w:rsidRPr="0001407D">
        <w:rPr>
          <w:sz w:val="16"/>
        </w:rPr>
        <w:t>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63CAB640" w14:textId="77777777" w:rsidR="003C53D7" w:rsidRPr="0001407D" w:rsidRDefault="003C53D7" w:rsidP="00CF5793">
      <w:pPr>
        <w:rPr>
          <w:sz w:val="16"/>
        </w:rPr>
      </w:pPr>
      <w:r w:rsidRPr="0001407D">
        <w:rPr>
          <w:sz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72BE93BB" w14:textId="77777777" w:rsidR="003C53D7" w:rsidRPr="0001407D" w:rsidRDefault="003C53D7" w:rsidP="00CF5793">
      <w:pPr>
        <w:rPr>
          <w:sz w:val="16"/>
        </w:rPr>
      </w:pPr>
      <w:r w:rsidRPr="0001407D">
        <w:rPr>
          <w:sz w:val="16"/>
        </w:rPr>
        <w:t xml:space="preserve">This is not rocket science. We know where the instability is most likely to occur. The world population will grow by 2.5 billion people by 2050. Unfortunately, this </w:t>
      </w:r>
      <w:r w:rsidRPr="0001407D">
        <w:rPr>
          <w:rStyle w:val="Emphasis"/>
        </w:rPr>
        <w:t xml:space="preserve">massive </w:t>
      </w:r>
      <w:r w:rsidRPr="00456038">
        <w:rPr>
          <w:rStyle w:val="Emphasis"/>
          <w:highlight w:val="cyan"/>
        </w:rPr>
        <w:t>population boom</w:t>
      </w:r>
      <w:r w:rsidRPr="00456038">
        <w:rPr>
          <w:rStyle w:val="StyleUnderline"/>
          <w:highlight w:val="cyan"/>
        </w:rPr>
        <w:t xml:space="preserve"> is</w:t>
      </w:r>
      <w:r w:rsidRPr="0001407D">
        <w:rPr>
          <w:rStyle w:val="StyleUnderline"/>
        </w:rPr>
        <w:t xml:space="preserve"> projected to occur</w:t>
      </w:r>
      <w:r w:rsidRPr="0001407D">
        <w:rPr>
          <w:sz w:val="16"/>
        </w:rPr>
        <w:t xml:space="preserve"> primarily </w:t>
      </w:r>
      <w:r w:rsidRPr="00456038">
        <w:rPr>
          <w:rStyle w:val="StyleUnderline"/>
          <w:highlight w:val="cyan"/>
        </w:rPr>
        <w:t xml:space="preserve">in </w:t>
      </w:r>
      <w:r w:rsidRPr="00456038">
        <w:rPr>
          <w:rStyle w:val="Emphasis"/>
          <w:highlight w:val="cyan"/>
        </w:rPr>
        <w:t>the most</w:t>
      </w:r>
      <w:r w:rsidRPr="0001407D">
        <w:rPr>
          <w:rStyle w:val="Emphasis"/>
        </w:rPr>
        <w:t xml:space="preserve"> fragile and </w:t>
      </w:r>
      <w:r w:rsidRPr="00456038">
        <w:rPr>
          <w:rStyle w:val="Emphasis"/>
          <w:highlight w:val="cyan"/>
        </w:rPr>
        <w:t>food insecure countries</w:t>
      </w:r>
      <w:r w:rsidRPr="0001407D">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14366F03" w14:textId="77777777" w:rsidR="003C53D7" w:rsidRPr="0001407D" w:rsidRDefault="003C53D7" w:rsidP="00CF5793">
      <w:pPr>
        <w:rPr>
          <w:sz w:val="16"/>
        </w:rPr>
      </w:pPr>
      <w:r w:rsidRPr="0001407D">
        <w:rPr>
          <w:sz w:val="16"/>
        </w:rPr>
        <w:t xml:space="preserve">Too often </w:t>
      </w:r>
      <w:r w:rsidRPr="00456038">
        <w:rPr>
          <w:rStyle w:val="StyleUnderline"/>
          <w:highlight w:val="cyan"/>
        </w:rPr>
        <w:t>these</w:t>
      </w:r>
      <w:r w:rsidRPr="0001407D">
        <w:rPr>
          <w:rStyle w:val="StyleUnderline"/>
        </w:rPr>
        <w:t xml:space="preserve"> situations </w:t>
      </w:r>
      <w:r w:rsidRPr="00456038">
        <w:rPr>
          <w:rStyle w:val="StyleUnderline"/>
          <w:highlight w:val="cyan"/>
        </w:rPr>
        <w:t>deteriorate</w:t>
      </w:r>
      <w:r w:rsidRPr="0001407D">
        <w:rPr>
          <w:rStyle w:val="StyleUnderline"/>
        </w:rPr>
        <w:t xml:space="preserve"> </w:t>
      </w:r>
      <w:r w:rsidRPr="00054AEB">
        <w:rPr>
          <w:rStyle w:val="StyleUnderline"/>
        </w:rPr>
        <w:t>in</w:t>
      </w:r>
      <w:r w:rsidRPr="00456038">
        <w:rPr>
          <w:rStyle w:val="StyleUnderline"/>
          <w:highlight w:val="cyan"/>
        </w:rPr>
        <w:t xml:space="preserve">to </w:t>
      </w:r>
      <w:r w:rsidRPr="00456038">
        <w:rPr>
          <w:rStyle w:val="Emphasis"/>
          <w:highlight w:val="cyan"/>
        </w:rPr>
        <w:t>shooting wars</w:t>
      </w:r>
      <w:r w:rsidRPr="0001407D">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074D8628" w14:textId="77777777" w:rsidR="003C53D7" w:rsidRPr="0001407D" w:rsidRDefault="003C53D7" w:rsidP="00CF5793">
      <w:pPr>
        <w:rPr>
          <w:sz w:val="16"/>
        </w:rPr>
      </w:pPr>
      <w:r w:rsidRPr="0001407D">
        <w:rPr>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53A8198F" w14:textId="706ACDBB" w:rsidR="003C53D7" w:rsidRDefault="003C53D7" w:rsidP="00CF5793">
      <w:pPr>
        <w:rPr>
          <w:sz w:val="16"/>
        </w:rPr>
      </w:pPr>
      <w:r w:rsidRPr="00054AEB">
        <w:rPr>
          <w:sz w:val="16"/>
        </w:rPr>
        <w:t xml:space="preserve">Our active support for </w:t>
      </w:r>
      <w:r w:rsidRPr="0001407D">
        <w:rPr>
          <w:rStyle w:val="StyleUnderline"/>
        </w:rPr>
        <w:t xml:space="preserve">food </w:t>
      </w:r>
      <w:r w:rsidRPr="00456038">
        <w:rPr>
          <w:rStyle w:val="StyleUnderline"/>
          <w:highlight w:val="cyan"/>
        </w:rPr>
        <w:t>security</w:t>
      </w:r>
      <w:r w:rsidRPr="00054AEB">
        <w:rPr>
          <w:sz w:val="16"/>
        </w:rPr>
        <w:t xml:space="preserve">, including agriculture development, has </w:t>
      </w:r>
      <w:r w:rsidRPr="00456038">
        <w:rPr>
          <w:rStyle w:val="StyleUnderline"/>
          <w:highlight w:val="cyan"/>
        </w:rPr>
        <w:t>helped stabilize</w:t>
      </w:r>
      <w:r w:rsidRPr="0001407D">
        <w:rPr>
          <w:rStyle w:val="StyleUnderline"/>
        </w:rPr>
        <w:t xml:space="preserve"> </w:t>
      </w:r>
      <w:r w:rsidRPr="00054AEB">
        <w:rPr>
          <w:rStyle w:val="Emphasis"/>
        </w:rPr>
        <w:t xml:space="preserve">key </w:t>
      </w:r>
      <w:r w:rsidRPr="00456038">
        <w:rPr>
          <w:rStyle w:val="Emphasis"/>
          <w:highlight w:val="cyan"/>
        </w:rPr>
        <w:t>regions</w:t>
      </w:r>
      <w:r w:rsidRPr="00456038">
        <w:rPr>
          <w:rStyle w:val="StyleUnderline"/>
          <w:highlight w:val="cyan"/>
        </w:rPr>
        <w:t xml:space="preserve"> over</w:t>
      </w:r>
      <w:r w:rsidRPr="0001407D">
        <w:rPr>
          <w:rStyle w:val="StyleUnderline"/>
        </w:rPr>
        <w:t xml:space="preserve"> </w:t>
      </w:r>
      <w:r w:rsidRPr="0001407D">
        <w:rPr>
          <w:rStyle w:val="Emphasis"/>
        </w:rPr>
        <w:t xml:space="preserve">the past </w:t>
      </w:r>
      <w:r w:rsidRPr="00456038">
        <w:rPr>
          <w:rStyle w:val="Emphasis"/>
          <w:highlight w:val="cyan"/>
        </w:rPr>
        <w:t>60 years</w:t>
      </w:r>
      <w:r w:rsidRPr="00054AEB">
        <w:rPr>
          <w:sz w:val="16"/>
        </w:rPr>
        <w:t xml:space="preserve">. A </w:t>
      </w:r>
      <w:r w:rsidRPr="0001407D">
        <w:rPr>
          <w:rStyle w:val="StyleUnderline"/>
        </w:rPr>
        <w:t>robust food security</w:t>
      </w:r>
      <w:r w:rsidRPr="00054AEB">
        <w:rPr>
          <w:sz w:val="16"/>
        </w:rPr>
        <w:t xml:space="preserve"> strategy, as a part of our overall security strategy, </w:t>
      </w:r>
      <w:r w:rsidRPr="0001407D">
        <w:rPr>
          <w:rStyle w:val="StyleUnderline"/>
        </w:rPr>
        <w:t xml:space="preserve">can </w:t>
      </w:r>
      <w:r w:rsidRPr="00456038">
        <w:rPr>
          <w:rStyle w:val="StyleUnderline"/>
          <w:highlight w:val="cyan"/>
        </w:rPr>
        <w:t>mitigate</w:t>
      </w:r>
      <w:r w:rsidRPr="0001407D">
        <w:rPr>
          <w:rStyle w:val="StyleUnderline"/>
        </w:rPr>
        <w:t xml:space="preserve"> the growth of </w:t>
      </w:r>
      <w:r w:rsidRPr="00456038">
        <w:rPr>
          <w:rStyle w:val="Emphasis"/>
          <w:highlight w:val="cyan"/>
        </w:rPr>
        <w:t>terror</w:t>
      </w:r>
      <w:r w:rsidRPr="00054AEB">
        <w:rPr>
          <w:rStyle w:val="Emphasis"/>
        </w:rPr>
        <w:t>i</w:t>
      </w:r>
      <w:r w:rsidRPr="0001407D">
        <w:rPr>
          <w:rStyle w:val="Emphasis"/>
        </w:rPr>
        <w:t>sm</w:t>
      </w:r>
      <w:r w:rsidRPr="00054AEB">
        <w:rPr>
          <w:sz w:val="16"/>
        </w:rPr>
        <w:t xml:space="preserve">, build important relationships, </w:t>
      </w:r>
      <w:r w:rsidRPr="00456038">
        <w:rPr>
          <w:rStyle w:val="StyleUnderline"/>
          <w:highlight w:val="cyan"/>
        </w:rPr>
        <w:t>and support</w:t>
      </w:r>
      <w:r w:rsidRPr="00054AEB">
        <w:rPr>
          <w:sz w:val="16"/>
        </w:rPr>
        <w:t xml:space="preserve"> continued American economic and agricultural prosperity while materially contributing to our Nation’s and </w:t>
      </w:r>
      <w:r w:rsidRPr="0001407D">
        <w:rPr>
          <w:rStyle w:val="Emphasis"/>
        </w:rPr>
        <w:t xml:space="preserve">the world’s </w:t>
      </w:r>
      <w:r w:rsidRPr="00456038">
        <w:rPr>
          <w:rStyle w:val="Emphasis"/>
          <w:highlight w:val="cyan"/>
        </w:rPr>
        <w:t>security</w:t>
      </w:r>
      <w:r w:rsidRPr="00054AEB">
        <w:rPr>
          <w:sz w:val="16"/>
        </w:rPr>
        <w:t>.</w:t>
      </w:r>
    </w:p>
    <w:p w14:paraId="20F44952" w14:textId="76492BAF" w:rsidR="00C3543B" w:rsidRDefault="00C3543B" w:rsidP="00C3543B">
      <w:pPr>
        <w:pStyle w:val="Heading4"/>
        <w:rPr>
          <w:b w:val="0"/>
          <w:bCs/>
        </w:rPr>
      </w:pPr>
      <w:r>
        <w:t xml:space="preserve">Deportations </w:t>
      </w:r>
      <w:r w:rsidRPr="00550F45">
        <w:rPr>
          <w:u w:val="single"/>
        </w:rPr>
        <w:t>destabilize</w:t>
      </w:r>
      <w:r>
        <w:t xml:space="preserve"> Latin America.</w:t>
      </w:r>
    </w:p>
    <w:p w14:paraId="56ADA375" w14:textId="6B6E5289" w:rsidR="00C3543B" w:rsidRPr="00B810A3" w:rsidRDefault="00C3543B" w:rsidP="00C3543B">
      <w:r>
        <w:rPr>
          <w:rStyle w:val="Style13ptBold"/>
        </w:rPr>
        <w:t>Sutton et al</w:t>
      </w:r>
      <w:r w:rsidR="00985763">
        <w:rPr>
          <w:rStyle w:val="Style13ptBold"/>
        </w:rPr>
        <w:t>.</w:t>
      </w:r>
      <w:r>
        <w:rPr>
          <w:rStyle w:val="Style13ptBold"/>
        </w:rPr>
        <w:t xml:space="preserve"> </w:t>
      </w:r>
      <w:r w:rsidR="00985763">
        <w:rPr>
          <w:rStyle w:val="Style13ptBold"/>
        </w:rPr>
        <w:t>20</w:t>
      </w:r>
      <w:r>
        <w:rPr>
          <w:rStyle w:val="Style13ptBold"/>
          <w:b w:val="0"/>
          <w:bCs w:val="0"/>
        </w:rPr>
        <w:t xml:space="preserve"> — </w:t>
      </w:r>
      <w:r w:rsidRPr="00B810A3">
        <w:t xml:space="preserve">Trevor </w:t>
      </w:r>
      <w:r>
        <w:t>Sutton, a senior fellow for National Security and International Policy at American Progress, previous presidential management fellow in the Office of the Secretary of Defense, JD from Yale. Dan Restrepo, a senior fellow at American progress, the principal advisor to Obama on Latin America, the Caribbean, and Canada. Joel Martinez, the Mexico policy analyst for National Security and International Policy at American Progress, formerly in the U.S. Agency for International Development’s Development Credit Authority Office, Global Policy and Strategy master’s degree from the University of California, San Diego. (“Getting Ahead of the Curve: Why the United States Needs to Plan for the Coronavirus in the Americas,” Center for American Progress, May 5, 2020. https://www.americanprogress.org/issues/security/reports/2020/05/05/484538/getting-ahead-curve-united-states-needs-plan-coronavirus-americas/)//JLPark</w:t>
      </w:r>
    </w:p>
    <w:p w14:paraId="5E64A315" w14:textId="77777777" w:rsidR="00C3543B" w:rsidRPr="005348DC" w:rsidRDefault="00C3543B" w:rsidP="00C3543B">
      <w:pPr>
        <w:rPr>
          <w:sz w:val="14"/>
        </w:rPr>
      </w:pPr>
      <w:r w:rsidRPr="00EF7F24">
        <w:rPr>
          <w:rStyle w:val="StyleUnderline"/>
        </w:rPr>
        <w:t>The coronavirus pandemic is challenging the capabilities and resources of governments</w:t>
      </w:r>
      <w:r w:rsidRPr="005348DC">
        <w:rPr>
          <w:sz w:val="14"/>
        </w:rPr>
        <w:t xml:space="preserve"> around the world, and the countries </w:t>
      </w:r>
      <w:r w:rsidRPr="00EF7F24">
        <w:rPr>
          <w:rStyle w:val="StyleUnderline"/>
        </w:rPr>
        <w:t>of Latin America and the Caribbean</w:t>
      </w:r>
      <w:r w:rsidRPr="005348DC">
        <w:rPr>
          <w:sz w:val="14"/>
        </w:rPr>
        <w:t xml:space="preserve"> are no exception. </w:t>
      </w:r>
      <w:r w:rsidRPr="00EF7F24">
        <w:rPr>
          <w:rStyle w:val="StyleUnderline"/>
        </w:rPr>
        <w:t>The region’s widespread poverty, weak health infrastructure, and fragile economies mean its residents could suffer greatly</w:t>
      </w:r>
      <w:r w:rsidRPr="005348DC">
        <w:rPr>
          <w:sz w:val="14"/>
        </w:rPr>
        <w:t xml:space="preserve"> if political leaders do not act swiftly to mitigate the crisis. To date, countries’ responses have varied from strict lockdown measures to relaxed approaches lacking urgency to outright denial. Of particular concern, the two most populous Latin American countries—Brazil and Mexico—have been the slowest to mobilize to contain the spread of the virus. In Venezuela, meanwhile, the pandemic has begun magnifying an already horrific humanitarian situation.</w:t>
      </w:r>
    </w:p>
    <w:p w14:paraId="55D145D4" w14:textId="77777777" w:rsidR="00C3543B" w:rsidRPr="005348DC" w:rsidRDefault="00C3543B" w:rsidP="00C3543B">
      <w:pPr>
        <w:rPr>
          <w:sz w:val="14"/>
        </w:rPr>
      </w:pPr>
      <w:r w:rsidRPr="005348DC">
        <w:rPr>
          <w:sz w:val="14"/>
        </w:rPr>
        <w:t xml:space="preserve">Although </w:t>
      </w:r>
      <w:r w:rsidRPr="005348DC">
        <w:rPr>
          <w:rStyle w:val="StyleUnderline"/>
        </w:rPr>
        <w:t>the U</w:t>
      </w:r>
      <w:r w:rsidRPr="005348DC">
        <w:rPr>
          <w:sz w:val="14"/>
        </w:rPr>
        <w:t xml:space="preserve">nited </w:t>
      </w:r>
      <w:r w:rsidRPr="005348DC">
        <w:rPr>
          <w:rStyle w:val="StyleUnderline"/>
        </w:rPr>
        <w:t>S</w:t>
      </w:r>
      <w:r w:rsidRPr="005348DC">
        <w:rPr>
          <w:sz w:val="14"/>
        </w:rPr>
        <w:t xml:space="preserve">tates faces an escalating health crisis at home, it </w:t>
      </w:r>
      <w:r w:rsidRPr="005348DC">
        <w:rPr>
          <w:rStyle w:val="StyleUnderline"/>
        </w:rPr>
        <w:t>cannot afford to ignore the progressing spread of COVID</w:t>
      </w:r>
      <w:r w:rsidRPr="005348DC">
        <w:rPr>
          <w:sz w:val="14"/>
        </w:rPr>
        <w:t xml:space="preserve">-19 among its neighbors in the Americas. </w:t>
      </w:r>
      <w:r w:rsidRPr="005348DC">
        <w:rPr>
          <w:rStyle w:val="StyleUnderline"/>
        </w:rPr>
        <w:t>Many countries in the region are closely linked to the United States economically, politically, and with regard to movement of peoples</w:t>
      </w:r>
      <w:r w:rsidRPr="005348DC">
        <w:rPr>
          <w:sz w:val="14"/>
        </w:rPr>
        <w:t xml:space="preserve">. </w:t>
      </w:r>
      <w:r w:rsidRPr="005348DC">
        <w:rPr>
          <w:rStyle w:val="StyleUnderline"/>
        </w:rPr>
        <w:t>The</w:t>
      </w:r>
      <w:r w:rsidRPr="005348DC">
        <w:rPr>
          <w:sz w:val="14"/>
        </w:rPr>
        <w:t xml:space="preserve"> uncontrolled </w:t>
      </w:r>
      <w:r w:rsidRPr="005348DC">
        <w:rPr>
          <w:rStyle w:val="StyleUnderline"/>
        </w:rPr>
        <w:t>spread of the</w:t>
      </w:r>
      <w:r w:rsidRPr="005348DC">
        <w:rPr>
          <w:sz w:val="14"/>
        </w:rPr>
        <w:t xml:space="preserve"> novel coronavirus in the region is likely to hamper the United States’ </w:t>
      </w:r>
      <w:r w:rsidRPr="005348DC">
        <w:rPr>
          <w:rStyle w:val="StyleUnderline"/>
        </w:rPr>
        <w:t xml:space="preserve">efforts to contain the pathogen, impede domestic economic recovery, </w:t>
      </w:r>
      <w:r w:rsidRPr="005348DC">
        <w:rPr>
          <w:sz w:val="14"/>
        </w:rPr>
        <w:t>and</w:t>
      </w:r>
      <w:r w:rsidRPr="005348DC">
        <w:rPr>
          <w:rStyle w:val="StyleUnderline"/>
        </w:rPr>
        <w:t xml:space="preserve"> </w:t>
      </w:r>
      <w:r w:rsidRPr="005348DC">
        <w:rPr>
          <w:rStyle w:val="Emphasis"/>
        </w:rPr>
        <w:t>intensify the political instability</w:t>
      </w:r>
      <w:r w:rsidRPr="005348DC">
        <w:rPr>
          <w:rStyle w:val="StyleUnderline"/>
        </w:rPr>
        <w:t xml:space="preserve"> and</w:t>
      </w:r>
      <w:r w:rsidRPr="005348DC">
        <w:rPr>
          <w:sz w:val="14"/>
        </w:rPr>
        <w:t xml:space="preserve"> human suffering that have </w:t>
      </w:r>
      <w:r w:rsidRPr="005348DC">
        <w:rPr>
          <w:rStyle w:val="StyleUnderline"/>
        </w:rPr>
        <w:t>contribute</w:t>
      </w:r>
      <w:r w:rsidRPr="005348DC">
        <w:rPr>
          <w:sz w:val="14"/>
        </w:rPr>
        <w:t xml:space="preserve">d </w:t>
      </w:r>
      <w:r w:rsidRPr="005348DC">
        <w:rPr>
          <w:rStyle w:val="Emphasis"/>
        </w:rPr>
        <w:t>to high levels of forced migration</w:t>
      </w:r>
      <w:r w:rsidRPr="005348DC">
        <w:rPr>
          <w:sz w:val="14"/>
        </w:rPr>
        <w:t xml:space="preserve"> in recent years. To avoid these outcomes, the United States will need to work with its regional partners to forge a coordinated approach to the pandemic.</w:t>
      </w:r>
    </w:p>
    <w:p w14:paraId="5870B0C1" w14:textId="77777777" w:rsidR="00C3543B" w:rsidRPr="005348DC" w:rsidRDefault="00C3543B" w:rsidP="00C3543B">
      <w:pPr>
        <w:rPr>
          <w:sz w:val="12"/>
          <w:szCs w:val="12"/>
        </w:rPr>
      </w:pPr>
      <w:r w:rsidRPr="005348DC">
        <w:rPr>
          <w:sz w:val="12"/>
          <w:szCs w:val="12"/>
        </w:rPr>
        <w:t>Thankfully, U.S. and Latin American and Caribbean governments do not need to fly blind in developing such an approach. The successful effort to contain the 2009 H1N1 pandemic offers a blueprint for how regional stakeholders, with U.S. support, can act collectively to mitigate a health crisis in the Americas. In applying those lessons to the current situation, the U.S. government and its regional partners will need to account for new challenges that have emerged over the past decade, including the collapse of the Venezuelan state and the sharp uptick in asylum-seekers and other involuntary migrants originating from Venezuela and Central America.</w:t>
      </w:r>
    </w:p>
    <w:p w14:paraId="7639B4AD" w14:textId="77777777" w:rsidR="00C3543B" w:rsidRPr="005348DC" w:rsidRDefault="00C3543B" w:rsidP="00C3543B">
      <w:pPr>
        <w:rPr>
          <w:sz w:val="12"/>
          <w:szCs w:val="12"/>
        </w:rPr>
      </w:pPr>
      <w:r w:rsidRPr="005348DC">
        <w:rPr>
          <w:sz w:val="12"/>
          <w:szCs w:val="12"/>
        </w:rPr>
        <w:t>This issue brief examines how the United States should respond to the spread of COVID-19 in the Americas. First, it surveys the current and potential scope of the disease in the region, the economic implications thereof, and the responses of national governments. Next, the authors outline the risks to U.S. interests posed by a severe outbreak of the virus in one or more countries in the Americas. Finally, the authors offer policy recommendations to mitigate the coronavirus and its effects.</w:t>
      </w:r>
    </w:p>
    <w:p w14:paraId="1ED54583" w14:textId="77777777" w:rsidR="00C3543B" w:rsidRPr="005348DC" w:rsidRDefault="00C3543B" w:rsidP="00C3543B">
      <w:pPr>
        <w:rPr>
          <w:sz w:val="12"/>
          <w:szCs w:val="12"/>
        </w:rPr>
      </w:pPr>
      <w:r w:rsidRPr="005348DC">
        <w:rPr>
          <w:sz w:val="12"/>
          <w:szCs w:val="12"/>
        </w:rPr>
        <w:t>COVID-19 in Latin America and the Caribbean to date</w:t>
      </w:r>
    </w:p>
    <w:p w14:paraId="76D88562" w14:textId="77777777" w:rsidR="00C3543B" w:rsidRPr="005348DC" w:rsidRDefault="00C3543B" w:rsidP="00C3543B">
      <w:pPr>
        <w:rPr>
          <w:sz w:val="12"/>
          <w:szCs w:val="12"/>
        </w:rPr>
      </w:pPr>
      <w:r w:rsidRPr="005348DC">
        <w:rPr>
          <w:sz w:val="12"/>
          <w:szCs w:val="12"/>
        </w:rPr>
        <w:t>Relative to Asia, Europe, and the United States, the coronavirus arrived late to Latin America and the Caribbean in terms of reported cases. The earliest confirmed case in the region was in Brazil on February 26, followed by Mexico on February 27; most other countries reported their first cases in early or mid-March. As of May 4, Brazil had by far the highest number of confirmed coronavirus cases, with more than 100,000,1 followed by Peru, Ecuador, Mexico, and Chile; however, countries throughout the region—particularly Brazil and Mexico—appear to be systematically undercounting cases.2 In comparison, as of May 4, the United States has more than 1,150,000 confirmed coronavirus cases.3</w:t>
      </w:r>
    </w:p>
    <w:p w14:paraId="6B81F5C9" w14:textId="77777777" w:rsidR="00C3543B" w:rsidRPr="005348DC" w:rsidRDefault="00C3543B" w:rsidP="00C3543B">
      <w:pPr>
        <w:rPr>
          <w:sz w:val="12"/>
          <w:szCs w:val="12"/>
        </w:rPr>
      </w:pPr>
      <w:r w:rsidRPr="005348DC">
        <w:rPr>
          <w:sz w:val="12"/>
          <w:szCs w:val="12"/>
        </w:rPr>
        <w:t>Reported cases are at best an imperfect measure of the spread of the coronavirus given disparities in the availability of tests across countries and the time lag between initial infection and presentation of symptoms. The low caseload in Venezuela, for example, is likely a substantial underestimation given the country’s dysfunctional government and failing health care system.4 Mexico’s relatively low figures are similarly a reflection of the government’s initial strategy, which relied less on testing than other countries.5 National figures can also mask the severity of outbreaks in specific municipalities and subregions. In Ecuador, for example, the coastal city of Guayaquil accounts for more than half of the country’s known cases, making it the site of the worst outbreak6 in Latin America to date.</w:t>
      </w:r>
    </w:p>
    <w:p w14:paraId="73BF2384" w14:textId="77777777" w:rsidR="00C3543B" w:rsidRPr="005348DC" w:rsidRDefault="00C3543B" w:rsidP="00C3543B">
      <w:pPr>
        <w:rPr>
          <w:sz w:val="12"/>
          <w:szCs w:val="12"/>
        </w:rPr>
      </w:pPr>
      <w:r w:rsidRPr="005348DC">
        <w:rPr>
          <w:sz w:val="12"/>
          <w:szCs w:val="12"/>
        </w:rPr>
        <w:t>These caveats aside, the overall picture of the virus in the Americas is, for the moment, one of a region in the earlier stages of an outbreak. Apart from the United States, the Americas have not yet seen the explosive transmission and high mortality rates that have been observed in Europe and East Asia. This assessment is on one level encouraging, because it indicates that there is still a window for regional governments to take decisive action to contain the virus; at the same time, it also means the pandemic may peak in the region after the virus has been brought under control in the United States. The key question is whether the peak will be moderate, with limited implications for the region and for the United States, or severe.</w:t>
      </w:r>
    </w:p>
    <w:p w14:paraId="06C276C4" w14:textId="77777777" w:rsidR="00C3543B" w:rsidRPr="005348DC" w:rsidRDefault="00C3543B" w:rsidP="00C3543B">
      <w:pPr>
        <w:rPr>
          <w:sz w:val="12"/>
          <w:szCs w:val="12"/>
        </w:rPr>
      </w:pPr>
      <w:r w:rsidRPr="005348DC">
        <w:rPr>
          <w:sz w:val="12"/>
          <w:szCs w:val="12"/>
        </w:rPr>
        <w:t>So far, regional governments have responded unevenly to the coronavirus threat.7 Some countries, such as Chile, Argentina, Peru, Colombia, and El Salvador, have imposed quarantines and curfews and banned large gatherings. Many of these same countries have also imposed full or partial border closings and restricted international travel. The extent to which these measures are being enforced and observed, however, is far from clear, especially given the inherent challenges of doing so in countries with high levels of economic informality and weak rule of law.8 But there is little question that many officials in the region have recognized the danger the virus poses to their citizens and have proven willing to sharply curtail public life to contain its spread.</w:t>
      </w:r>
    </w:p>
    <w:p w14:paraId="6D5301C3" w14:textId="77777777" w:rsidR="00C3543B" w:rsidRPr="005348DC" w:rsidRDefault="00C3543B" w:rsidP="00C3543B">
      <w:pPr>
        <w:rPr>
          <w:sz w:val="12"/>
          <w:szCs w:val="12"/>
        </w:rPr>
      </w:pPr>
      <w:r w:rsidRPr="005348DC">
        <w:rPr>
          <w:sz w:val="12"/>
          <w:szCs w:val="12"/>
        </w:rPr>
        <w:t>Yet there are other countries whose leaders have exhibited less resolve in the face of the pandemic. Most egregiously, Brazilian President Jair Bolsonaro has become one of the world’s leading coronavirus skeptics by repeatedly spreading misinformation about the risks posed by the disease; calling for an end to social distancing, arguing that the economic costs are too high; and openly clashing with governors and even his own top health officials about how to respond to the virus.9 The number of cases in Brazil has grown to be the largest in Latin America and the Caribbean, but Bolsonaro has made a point of continuing to embrace his supporters at public events and went so far as to call the coronavirus “a little flu,”10 parroting President Donald Trump’s initial skepticism11 of the virus.</w:t>
      </w:r>
    </w:p>
    <w:p w14:paraId="24777766" w14:textId="77777777" w:rsidR="00C3543B" w:rsidRPr="005348DC" w:rsidRDefault="00C3543B" w:rsidP="00C3543B">
      <w:pPr>
        <w:rPr>
          <w:sz w:val="12"/>
          <w:szCs w:val="12"/>
        </w:rPr>
      </w:pPr>
      <w:r w:rsidRPr="005348DC">
        <w:rPr>
          <w:sz w:val="12"/>
          <w:szCs w:val="12"/>
        </w:rPr>
        <w:t>In the weeks following the first reported case of COVID-19 in Mexico at the end of February, President Andrés Manuel López Obrador encouraged Mexicans to continue shopping and eating outside their homes, held large rallies, made light of safety recommendations, and even instructed the public to “keep hugging.”12 Beginning in late March, the Mexican government changed course by ordering the suspension of nonessential activities and encouraging social distancing. But many experts fear that the window of opportunity to prevent a large-scale outbreak in the country has already closed.13</w:t>
      </w:r>
    </w:p>
    <w:p w14:paraId="162C4AB7" w14:textId="77777777" w:rsidR="00C3543B" w:rsidRPr="005348DC" w:rsidRDefault="00C3543B" w:rsidP="00C3543B">
      <w:pPr>
        <w:rPr>
          <w:sz w:val="12"/>
          <w:szCs w:val="12"/>
        </w:rPr>
      </w:pPr>
      <w:r w:rsidRPr="005348DC">
        <w:rPr>
          <w:sz w:val="12"/>
          <w:szCs w:val="12"/>
        </w:rPr>
        <w:t>Despite occupying opposite poles of the political spectrum, Trump, Bolsonaro, and López Obrador—the populist leaders of the hemisphere’s three largest states—have been among the region’s leading skeptics regarding COVID-19.14 Each leader has failed to listen to scientific experts and accept restraints on their respective behavior. Each also appears to see any challenge—whether posed by defenders of democratic institutions or, in this case, an infectious disease—as personal affronts intended to undermine their personalistic projects. The leaders’ respective political projects have made matters worse by undermining each country’s health care system and ability to deal with the public health challenge posed by COVID-19.15</w:t>
      </w:r>
    </w:p>
    <w:p w14:paraId="3C3B0CF9" w14:textId="77777777" w:rsidR="00C3543B" w:rsidRPr="00A3774E" w:rsidRDefault="00C3543B" w:rsidP="00C3543B">
      <w:pPr>
        <w:rPr>
          <w:sz w:val="14"/>
        </w:rPr>
      </w:pPr>
      <w:r w:rsidRPr="00A3774E">
        <w:rPr>
          <w:sz w:val="14"/>
        </w:rPr>
        <w:t>If the prognosis in the United States, Mexico, and Brazil is serious, in Venezuela it is critical. No country in</w:t>
      </w:r>
      <w:r w:rsidRPr="005348DC">
        <w:rPr>
          <w:rStyle w:val="StyleUnderline"/>
        </w:rPr>
        <w:t xml:space="preserve"> the Americas</w:t>
      </w:r>
      <w:r w:rsidRPr="00A3774E">
        <w:rPr>
          <w:sz w:val="14"/>
        </w:rPr>
        <w:t>—and perhaps in the world—</w:t>
      </w:r>
      <w:r w:rsidRPr="005348DC">
        <w:rPr>
          <w:rStyle w:val="StyleUnderline"/>
        </w:rPr>
        <w:t xml:space="preserve">is more </w:t>
      </w:r>
      <w:r w:rsidRPr="00A3774E">
        <w:rPr>
          <w:rStyle w:val="Emphasis"/>
        </w:rPr>
        <w:t>vulnerable to a severe coronavirus outbreak</w:t>
      </w:r>
      <w:r w:rsidRPr="005348DC">
        <w:rPr>
          <w:rStyle w:val="StyleUnderline"/>
        </w:rPr>
        <w:t xml:space="preserve"> </w:t>
      </w:r>
      <w:r w:rsidRPr="00A3774E">
        <w:rPr>
          <w:sz w:val="14"/>
        </w:rPr>
        <w:t>than Venezuela. Well before reporting its first coronavirus case on March 13, the country’s health care system was in total collapse and its population afflicted by a grave humanitarian crisis stemming from malnutrition and lack of basic medical supplies. According to the most recent Global Health Security Index,16 Venezuela is woefully unprepared to detect and respond to the emerging pandemic. Over the past five years, the country has seen a resurgence17 in vaccine-preventable diseases such as measles, diphtheria, and polio that are extremely rare elsewhere in the Americas. Most hospitals and clinics in the country are understaffed and underequipped, and many lack electricity and running water.18</w:t>
      </w:r>
    </w:p>
    <w:p w14:paraId="406D72AA" w14:textId="77777777" w:rsidR="00C3543B" w:rsidRPr="005348DC" w:rsidRDefault="00C3543B" w:rsidP="00C3543B">
      <w:pPr>
        <w:rPr>
          <w:sz w:val="12"/>
          <w:szCs w:val="12"/>
        </w:rPr>
      </w:pPr>
      <w:r w:rsidRPr="005348DC">
        <w:rPr>
          <w:sz w:val="12"/>
          <w:szCs w:val="12"/>
        </w:rPr>
        <w:t>Venezuela’s number of reported coronavirus cases is relatively small at present; however, given the limitations of the country’s health care system, this is likely a function of underreporting or the calm before the storm. President Nicolás Maduro has declared a strict lockdown, and Colombia and Brazil have both closed their borders with Venezuela. But these measures are unlikely to succeed in containing the virus as long as the country’s government remains mired in chaos and dysfunction. Some Venezuelan migrants have also been returning19 home, as quarantine measures in host countries have made it nearly impossible for them to earn a living abroad. Many returning migrants are reportedly being detained in unsanitary and dangerous conditions described as “stirring pots for disease.”20</w:t>
      </w:r>
    </w:p>
    <w:p w14:paraId="41D4C52A" w14:textId="77777777" w:rsidR="00C3543B" w:rsidRPr="005348DC" w:rsidRDefault="00C3543B" w:rsidP="00C3543B">
      <w:pPr>
        <w:rPr>
          <w:sz w:val="12"/>
          <w:szCs w:val="12"/>
        </w:rPr>
      </w:pPr>
      <w:r w:rsidRPr="005348DC">
        <w:rPr>
          <w:sz w:val="12"/>
          <w:szCs w:val="12"/>
        </w:rPr>
        <w:t>The desperation that has already driven millions of Venezuelans to leave home is likely to intensify in the event that COVID-19 takes hold across Venezuela. In such circumstances, more Venezuelans will seek refuge elsewhere in the region using informal crossing points, many of which are controlled by separatist militias and armed criminal groups.21 This, in turn, will put greater strain on public health systems in Venezuela’s neighboring countries that are already home to more than 5 million Venezuelan migrants who have fled the country since 2015.22</w:t>
      </w:r>
    </w:p>
    <w:p w14:paraId="1A9CBB32" w14:textId="77777777" w:rsidR="00C3543B" w:rsidRPr="005348DC" w:rsidRDefault="00C3543B" w:rsidP="00C3543B">
      <w:pPr>
        <w:rPr>
          <w:sz w:val="12"/>
          <w:szCs w:val="12"/>
        </w:rPr>
      </w:pPr>
      <w:r w:rsidRPr="005348DC">
        <w:rPr>
          <w:sz w:val="12"/>
          <w:szCs w:val="12"/>
        </w:rPr>
        <w:t>Steps to mitigate the health effects of COVID-19—coupled with a collapse in commodity prices and the “flight to quality” effect hampering emerging economies across the globe—are also taking a significant economic toll across the Americas. According to the Inter-American Development Bank’s 2020 Latin America and the Caribbean Macroeconomic Report, the region is likely to experience anywhere from a 1.8 percent to 5.5 percent contraction in gross domestic product in 2020.23 The World Bank also projects a 4.6 percent contraction in 2020, excluding Venezuela, and the United Nations’ Economic Commission for Latin America and the Caribbean predicts a fall in GDP between 1.8 percent and 4 percent.24 To remedy some of the immediate effects of COVID-19-related economic shocks, countries across the region such as Peru and Colombia have implemented fiscal and monetary responses.25 However, those efforts will be limited due to the high level of informality across the Americas; more than 50 percent26 of the workforce operates outside of formal government structures, making those workers harder to reach with economic supports.</w:t>
      </w:r>
    </w:p>
    <w:p w14:paraId="09C625F7" w14:textId="77777777" w:rsidR="00C3543B" w:rsidRPr="005348DC" w:rsidRDefault="00C3543B" w:rsidP="00C3543B">
      <w:pPr>
        <w:rPr>
          <w:sz w:val="12"/>
          <w:szCs w:val="12"/>
        </w:rPr>
      </w:pPr>
      <w:r w:rsidRPr="005348DC">
        <w:rPr>
          <w:sz w:val="12"/>
          <w:szCs w:val="12"/>
        </w:rPr>
        <w:t>A serious risk to U.S. interests</w:t>
      </w:r>
    </w:p>
    <w:p w14:paraId="11AB1C12" w14:textId="77777777" w:rsidR="00C3543B" w:rsidRPr="005348DC" w:rsidRDefault="00C3543B" w:rsidP="00C3543B">
      <w:pPr>
        <w:rPr>
          <w:sz w:val="14"/>
        </w:rPr>
      </w:pPr>
      <w:r w:rsidRPr="005348DC">
        <w:rPr>
          <w:rStyle w:val="StyleUnderline"/>
        </w:rPr>
        <w:t>A worsened COVID-19 situation in the Americas would seriously impede U.S. efforts to suppress the spread of the virus at home and mitigate the economic fallout from the pandemic</w:t>
      </w:r>
      <w:r w:rsidRPr="005348DC">
        <w:rPr>
          <w:sz w:val="14"/>
        </w:rPr>
        <w:t xml:space="preserve">. It would also </w:t>
      </w:r>
      <w:r w:rsidRPr="005348DC">
        <w:rPr>
          <w:rStyle w:val="StyleUnderline"/>
        </w:rPr>
        <w:t>increase instability and hardship in already fragile countries and increase the likelihood of humanitarian crisis and civil unrest</w:t>
      </w:r>
      <w:r w:rsidRPr="005348DC">
        <w:rPr>
          <w:sz w:val="14"/>
        </w:rPr>
        <w:t>.</w:t>
      </w:r>
    </w:p>
    <w:p w14:paraId="6C609FE0" w14:textId="77777777" w:rsidR="00C3543B" w:rsidRPr="005348DC" w:rsidRDefault="00C3543B" w:rsidP="00C3543B">
      <w:pPr>
        <w:rPr>
          <w:rStyle w:val="StyleUnderline"/>
        </w:rPr>
      </w:pPr>
      <w:r w:rsidRPr="005348DC">
        <w:rPr>
          <w:rStyle w:val="StyleUnderline"/>
        </w:rPr>
        <w:t xml:space="preserve">Worsening of </w:t>
      </w:r>
      <w:r w:rsidRPr="005348DC">
        <w:rPr>
          <w:rStyle w:val="Emphasis"/>
        </w:rPr>
        <w:t>COVID-19 in the Americas threatens public health</w:t>
      </w:r>
      <w:r w:rsidRPr="005348DC">
        <w:rPr>
          <w:rStyle w:val="StyleUnderline"/>
        </w:rPr>
        <w:t xml:space="preserve"> in the United States</w:t>
      </w:r>
    </w:p>
    <w:p w14:paraId="51E23D33" w14:textId="77777777" w:rsidR="00C3543B" w:rsidRPr="005348DC" w:rsidRDefault="00C3543B" w:rsidP="00C3543B">
      <w:pPr>
        <w:rPr>
          <w:rStyle w:val="StyleUnderline"/>
        </w:rPr>
      </w:pPr>
      <w:r w:rsidRPr="005348DC">
        <w:rPr>
          <w:sz w:val="14"/>
        </w:rPr>
        <w:t xml:space="preserve">Even accounting for population differences, the number and density of COVID-19 cases in the United States dwarf those of Latin American and Caribbean countries, owing in no small part to the erratic and dilatory response of the Trump administration. For the moment, the most serious threat to U.S. public health is domestic transmission of the virus. However, even if the United States succeeds in flattening the curve of infections, it may eventually find itself in a situation where countries in close proximity are facing serious outbreaks that could jeopardize domestic progress against the virus. </w:t>
      </w:r>
      <w:r w:rsidRPr="005348DC">
        <w:rPr>
          <w:rStyle w:val="StyleUnderline"/>
        </w:rPr>
        <w:t xml:space="preserve">The chances of this occurring increase if the United States continues to pursue policies that </w:t>
      </w:r>
      <w:r w:rsidRPr="00A3774E">
        <w:rPr>
          <w:rStyle w:val="Emphasis"/>
        </w:rPr>
        <w:t>undermine global mitigation efforts.</w:t>
      </w:r>
    </w:p>
    <w:p w14:paraId="6F52ABDC" w14:textId="77777777" w:rsidR="00C3543B" w:rsidRPr="005348DC" w:rsidRDefault="00C3543B" w:rsidP="00C3543B">
      <w:pPr>
        <w:rPr>
          <w:sz w:val="14"/>
        </w:rPr>
      </w:pPr>
      <w:r w:rsidRPr="005348DC">
        <w:rPr>
          <w:rStyle w:val="StyleUnderline"/>
        </w:rPr>
        <w:t>U.S. arrests, detentions, and deportations</w:t>
      </w:r>
      <w:r w:rsidRPr="005348DC">
        <w:rPr>
          <w:sz w:val="14"/>
        </w:rPr>
        <w:t xml:space="preserve"> have played a role in </w:t>
      </w:r>
      <w:r w:rsidRPr="005348DC">
        <w:rPr>
          <w:rStyle w:val="StyleUnderline"/>
        </w:rPr>
        <w:t>spread</w:t>
      </w:r>
      <w:r w:rsidRPr="005348DC">
        <w:rPr>
          <w:sz w:val="14"/>
        </w:rPr>
        <w:t xml:space="preserve">ing </w:t>
      </w:r>
      <w:r w:rsidRPr="005348DC">
        <w:rPr>
          <w:rStyle w:val="StyleUnderline"/>
        </w:rPr>
        <w:t>the virus in receiving countries in the Americas</w:t>
      </w:r>
      <w:r w:rsidRPr="005348DC">
        <w:rPr>
          <w:sz w:val="14"/>
        </w:rPr>
        <w:t xml:space="preserve">. For example, as of May 4, </w:t>
      </w:r>
      <w:r w:rsidRPr="005348DC">
        <w:rPr>
          <w:rStyle w:val="StyleUnderline"/>
        </w:rPr>
        <w:t>there have been 522 confirmed cases of COVID-19 among individuals who were recently in</w:t>
      </w:r>
      <w:r w:rsidRPr="005348DC">
        <w:rPr>
          <w:sz w:val="14"/>
        </w:rPr>
        <w:t xml:space="preserve"> U.S. Immigration and Customs Enforcement (</w:t>
      </w:r>
      <w:r w:rsidRPr="005348DC">
        <w:rPr>
          <w:rStyle w:val="StyleUnderline"/>
        </w:rPr>
        <w:t>ICE</w:t>
      </w:r>
      <w:r w:rsidRPr="005348DC">
        <w:rPr>
          <w:sz w:val="14"/>
        </w:rPr>
        <w:t xml:space="preserve">) </w:t>
      </w:r>
      <w:r w:rsidRPr="005348DC">
        <w:rPr>
          <w:rStyle w:val="StyleUnderline"/>
        </w:rPr>
        <w:t>custody</w:t>
      </w:r>
      <w:r w:rsidRPr="005348DC">
        <w:rPr>
          <w:sz w:val="14"/>
        </w:rPr>
        <w:t xml:space="preserve">—a total of 1,073 detainees have been tested—and there have been 39 confirmed cases among ICE employees working in detention facilities.27 </w:t>
      </w:r>
      <w:r w:rsidRPr="005348DC">
        <w:rPr>
          <w:rStyle w:val="StyleUnderline"/>
        </w:rPr>
        <w:t>Guatemala</w:t>
      </w:r>
      <w:r w:rsidRPr="005348DC">
        <w:rPr>
          <w:sz w:val="14"/>
        </w:rPr>
        <w:t xml:space="preserve">’s health minister recently </w:t>
      </w:r>
      <w:r w:rsidRPr="005348DC">
        <w:rPr>
          <w:rStyle w:val="StyleUnderline"/>
        </w:rPr>
        <w:t>said that 75 percent of migrants deported from the United States to Guatemala on a single flight tested positive for COVID</w:t>
      </w:r>
      <w:r w:rsidRPr="005348DC">
        <w:rPr>
          <w:sz w:val="14"/>
        </w:rPr>
        <w:t>-19.28 The U.S. government sent Centers for Disease Control and Prevention (</w:t>
      </w:r>
      <w:r w:rsidRPr="005348DC">
        <w:rPr>
          <w:rStyle w:val="StyleUnderline"/>
        </w:rPr>
        <w:t>CDC</w:t>
      </w:r>
      <w:r w:rsidRPr="005348DC">
        <w:rPr>
          <w:sz w:val="14"/>
        </w:rPr>
        <w:t xml:space="preserve">) officials to review and </w:t>
      </w:r>
      <w:r w:rsidRPr="005348DC">
        <w:rPr>
          <w:rStyle w:val="StyleUnderline"/>
        </w:rPr>
        <w:t>validate the claims</w:t>
      </w:r>
      <w:r w:rsidRPr="005348DC">
        <w:rPr>
          <w:sz w:val="14"/>
        </w:rPr>
        <w:t xml:space="preserve"> from two recent deportation flights to Guatemala, who confirmed that at least 12 deportees who were randomly selected tested positive.29 In early April, </w:t>
      </w:r>
      <w:r w:rsidRPr="005348DC">
        <w:rPr>
          <w:rStyle w:val="StyleUnderline"/>
        </w:rPr>
        <w:t>at least two deportees sent back to Mexico tested positive for the virus, with one prompting an outbreak in a Mexican migrant shelter</w:t>
      </w:r>
      <w:r w:rsidRPr="005348DC">
        <w:rPr>
          <w:sz w:val="14"/>
        </w:rPr>
        <w:t xml:space="preserve">, and </w:t>
      </w:r>
      <w:r w:rsidRPr="005348DC">
        <w:rPr>
          <w:rStyle w:val="StyleUnderline"/>
        </w:rPr>
        <w:t>at least three people sent back to Haiti tested positive</w:t>
      </w:r>
      <w:r w:rsidRPr="005348DC">
        <w:rPr>
          <w:sz w:val="14"/>
        </w:rPr>
        <w:t xml:space="preserve"> for COVID-19.30 In addition, about </w:t>
      </w:r>
      <w:r w:rsidRPr="005348DC">
        <w:rPr>
          <w:rStyle w:val="StyleUnderline"/>
        </w:rPr>
        <w:t xml:space="preserve">24 migrants deported from the United States on a flight to Colombia on March 30 have </w:t>
      </w:r>
      <w:r w:rsidRPr="005348DC">
        <w:rPr>
          <w:sz w:val="14"/>
        </w:rPr>
        <w:t>since</w:t>
      </w:r>
      <w:r w:rsidRPr="005348DC">
        <w:rPr>
          <w:rStyle w:val="StyleUnderline"/>
        </w:rPr>
        <w:t xml:space="preserve"> tested positive</w:t>
      </w:r>
      <w:r w:rsidRPr="005348DC">
        <w:rPr>
          <w:sz w:val="14"/>
        </w:rPr>
        <w:t>.31 As receiving countries call for pauses in deportation flights, ICE plans to increase COVID-19 testing for people with final orders of removal before deportation.32 The Trump administration also plans on aiding receiving countries with ventilators and COVID-19 tests.33</w:t>
      </w:r>
    </w:p>
    <w:p w14:paraId="51980B0F" w14:textId="77777777" w:rsidR="00C3543B" w:rsidRPr="005348DC" w:rsidRDefault="00C3543B" w:rsidP="00C3543B">
      <w:pPr>
        <w:rPr>
          <w:sz w:val="14"/>
        </w:rPr>
      </w:pPr>
      <w:r w:rsidRPr="005348DC">
        <w:rPr>
          <w:rStyle w:val="StyleUnderline"/>
        </w:rPr>
        <w:t>The U</w:t>
      </w:r>
      <w:r w:rsidRPr="005348DC">
        <w:rPr>
          <w:sz w:val="14"/>
        </w:rPr>
        <w:t xml:space="preserve">nited </w:t>
      </w:r>
      <w:r w:rsidRPr="005348DC">
        <w:rPr>
          <w:rStyle w:val="StyleUnderline"/>
        </w:rPr>
        <w:t>S</w:t>
      </w:r>
      <w:r w:rsidRPr="005348DC">
        <w:rPr>
          <w:sz w:val="14"/>
        </w:rPr>
        <w:t xml:space="preserve">tates </w:t>
      </w:r>
      <w:r w:rsidRPr="005348DC">
        <w:rPr>
          <w:rStyle w:val="StyleUnderline"/>
        </w:rPr>
        <w:t xml:space="preserve">will be considerably less safe if the pandemic </w:t>
      </w:r>
      <w:r w:rsidRPr="00A3774E">
        <w:rPr>
          <w:rStyle w:val="Emphasis"/>
        </w:rPr>
        <w:t>spirals out of control</w:t>
      </w:r>
      <w:r w:rsidRPr="005348DC">
        <w:rPr>
          <w:rStyle w:val="StyleUnderline"/>
        </w:rPr>
        <w:t xml:space="preserve"> in the region</w:t>
      </w:r>
      <w:r w:rsidRPr="005348DC">
        <w:rPr>
          <w:sz w:val="14"/>
        </w:rPr>
        <w:t xml:space="preserve">. Specifically, </w:t>
      </w:r>
      <w:r w:rsidRPr="005348DC">
        <w:rPr>
          <w:rStyle w:val="StyleUnderline"/>
        </w:rPr>
        <w:t>the sheer scale of economic and person-to-person contacts between the U</w:t>
      </w:r>
      <w:r w:rsidRPr="005348DC">
        <w:rPr>
          <w:sz w:val="14"/>
        </w:rPr>
        <w:t xml:space="preserve">nited </w:t>
      </w:r>
      <w:r w:rsidRPr="005348DC">
        <w:rPr>
          <w:rStyle w:val="StyleUnderline"/>
        </w:rPr>
        <w:t>S</w:t>
      </w:r>
      <w:r w:rsidRPr="005348DC">
        <w:rPr>
          <w:sz w:val="14"/>
        </w:rPr>
        <w:t xml:space="preserve">tates </w:t>
      </w:r>
      <w:r w:rsidRPr="005348DC">
        <w:rPr>
          <w:rStyle w:val="StyleUnderline"/>
        </w:rPr>
        <w:t>and Latin American and Caribbean countries suggests that border restrictions would not necessarily limit the spread of COVID</w:t>
      </w:r>
      <w:r w:rsidRPr="005348DC">
        <w:rPr>
          <w:sz w:val="14"/>
        </w:rPr>
        <w:t xml:space="preserve">-19. This is particularly concerning given that a vast majority of foreign visitors to the United States come from its hemispheric neighbors, with individuals from Mexico and Canada alone representing approximately 50 percent of all international visitors each year.34 </w:t>
      </w:r>
      <w:r w:rsidRPr="005348DC">
        <w:rPr>
          <w:rStyle w:val="StyleUnderline"/>
        </w:rPr>
        <w:t xml:space="preserve">A deterioration of the COVID-19 situation in Mexico would create a substantial risk of </w:t>
      </w:r>
      <w:r w:rsidRPr="00A3774E">
        <w:rPr>
          <w:rStyle w:val="Emphasis"/>
        </w:rPr>
        <w:t>“boomerang” infections</w:t>
      </w:r>
      <w:r w:rsidRPr="005348DC">
        <w:rPr>
          <w:sz w:val="14"/>
        </w:rPr>
        <w:t xml:space="preserve"> given the number of Americans who travel to Mexico each year and vice versa.35 Going forward, the United States and Mexico will need to follow the advice of public health experts, coordinate with each other, and make sure that long-established cross-border lifestyles are not a factor in contributing to the spread of the virus.36 Considering the magnitude of daily traffic along the U.S.-Mexico border before the pandemic and its fundamental importance to the health of the U.S. economy—with $1.7 billion in two-way trade and hundreds of thousands of legal border crossings each day37—both countries will depend on having a well-managed and functioning border both to ensure public safety and maintain the flow of commerce and people that support their economies.</w:t>
      </w:r>
    </w:p>
    <w:p w14:paraId="50ED2D44" w14:textId="77777777" w:rsidR="00C3543B" w:rsidRPr="005348DC" w:rsidRDefault="00C3543B" w:rsidP="00C3543B">
      <w:pPr>
        <w:rPr>
          <w:sz w:val="12"/>
        </w:rPr>
      </w:pPr>
      <w:r w:rsidRPr="005348DC">
        <w:rPr>
          <w:rStyle w:val="StyleUnderline"/>
        </w:rPr>
        <w:t>Further spread of COVID</w:t>
      </w:r>
      <w:r w:rsidRPr="005348DC">
        <w:rPr>
          <w:sz w:val="12"/>
        </w:rPr>
        <w:t xml:space="preserve">-19 </w:t>
      </w:r>
      <w:r w:rsidRPr="005348DC">
        <w:rPr>
          <w:rStyle w:val="StyleUnderline"/>
        </w:rPr>
        <w:t xml:space="preserve">in the Americas may </w:t>
      </w:r>
      <w:r w:rsidRPr="00A3774E">
        <w:rPr>
          <w:rStyle w:val="Emphasis"/>
        </w:rPr>
        <w:t>impede economic recovery</w:t>
      </w:r>
      <w:r w:rsidRPr="005348DC">
        <w:rPr>
          <w:sz w:val="12"/>
        </w:rPr>
        <w:t xml:space="preserve"> in the United States</w:t>
      </w:r>
    </w:p>
    <w:p w14:paraId="35EE7C58" w14:textId="77777777" w:rsidR="00C3543B" w:rsidRPr="00B810A3" w:rsidRDefault="00C3543B" w:rsidP="00C3543B">
      <w:pPr>
        <w:rPr>
          <w:sz w:val="14"/>
        </w:rPr>
      </w:pPr>
      <w:r w:rsidRPr="00B810A3">
        <w:rPr>
          <w:sz w:val="14"/>
        </w:rPr>
        <w:t xml:space="preserve">The response to the coronavirus has already caused immense economic damage around the world, where lockdowns and closures of nonessential businesses have caused a historic and ever-increasing spike in unemployment claims. </w:t>
      </w:r>
      <w:r w:rsidRPr="005348DC">
        <w:rPr>
          <w:rStyle w:val="StyleUnderline"/>
        </w:rPr>
        <w:t>Under an optimistic scenario, the U.S. economy will rebound after the threat of the virus recedes and restrictions on commercial activity are eased</w:t>
      </w:r>
      <w:r w:rsidRPr="00B810A3">
        <w:rPr>
          <w:sz w:val="14"/>
        </w:rPr>
        <w:t xml:space="preserve">. But </w:t>
      </w:r>
      <w:r w:rsidRPr="005348DC">
        <w:rPr>
          <w:rStyle w:val="StyleUnderline"/>
        </w:rPr>
        <w:t>that recovery may be jeopardized if Latin American and Caribbean economies—particularly Mexico—are still in the throes of the pandemic</w:t>
      </w:r>
      <w:r w:rsidRPr="00B810A3">
        <w:rPr>
          <w:sz w:val="14"/>
        </w:rPr>
        <w:t xml:space="preserve">. </w:t>
      </w:r>
      <w:r w:rsidRPr="005348DC">
        <w:rPr>
          <w:rStyle w:val="StyleUnderline"/>
        </w:rPr>
        <w:t>Mexico has overtaken China</w:t>
      </w:r>
      <w:r w:rsidRPr="00B810A3">
        <w:rPr>
          <w:sz w:val="14"/>
        </w:rPr>
        <w:t xml:space="preserve">38 </w:t>
      </w:r>
      <w:r w:rsidRPr="005348DC">
        <w:rPr>
          <w:rStyle w:val="StyleUnderline"/>
        </w:rPr>
        <w:t>as the U</w:t>
      </w:r>
      <w:r w:rsidRPr="00B810A3">
        <w:rPr>
          <w:sz w:val="14"/>
        </w:rPr>
        <w:t xml:space="preserve">nited </w:t>
      </w:r>
      <w:r w:rsidRPr="005348DC">
        <w:rPr>
          <w:rStyle w:val="StyleUnderline"/>
        </w:rPr>
        <w:t>S</w:t>
      </w:r>
      <w:r w:rsidRPr="00B810A3">
        <w:rPr>
          <w:sz w:val="14"/>
        </w:rPr>
        <w:t xml:space="preserve">tates’ </w:t>
      </w:r>
      <w:r w:rsidRPr="00A3774E">
        <w:rPr>
          <w:rStyle w:val="Emphasis"/>
        </w:rPr>
        <w:t>largest trading partner</w:t>
      </w:r>
      <w:r w:rsidRPr="00B810A3">
        <w:rPr>
          <w:sz w:val="14"/>
        </w:rPr>
        <w:t xml:space="preserve">, </w:t>
      </w:r>
      <w:r w:rsidRPr="005348DC">
        <w:rPr>
          <w:rStyle w:val="StyleUnderline"/>
        </w:rPr>
        <w:t>and</w:t>
      </w:r>
      <w:r w:rsidRPr="00B810A3">
        <w:rPr>
          <w:sz w:val="14"/>
        </w:rPr>
        <w:t xml:space="preserve"> it </w:t>
      </w:r>
      <w:r w:rsidRPr="005348DC">
        <w:rPr>
          <w:rStyle w:val="StyleUnderline"/>
        </w:rPr>
        <w:t>is</w:t>
      </w:r>
      <w:r w:rsidRPr="00B810A3">
        <w:rPr>
          <w:sz w:val="14"/>
        </w:rPr>
        <w:t xml:space="preserve"> also </w:t>
      </w:r>
      <w:r w:rsidRPr="005348DC">
        <w:rPr>
          <w:rStyle w:val="StyleUnderline"/>
        </w:rPr>
        <w:t>a critical jurisdiction for supply chains that are vital to the U.S. economy</w:t>
      </w:r>
      <w:r w:rsidRPr="00B810A3">
        <w:rPr>
          <w:sz w:val="14"/>
        </w:rPr>
        <w:t xml:space="preserve">, such as car parts, computers, crude oil, medical devices, and agricultural products. For the moment, most U.S.-Mexico supply chains remain intact. </w:t>
      </w:r>
      <w:r w:rsidRPr="00B810A3">
        <w:rPr>
          <w:rStyle w:val="StyleUnderline"/>
        </w:rPr>
        <w:t>Temporary factory closures in Mexico have occurred in nonessential sectors and have been driven largely by decreases in U.S. demand</w:t>
      </w:r>
      <w:r w:rsidRPr="00B810A3">
        <w:rPr>
          <w:sz w:val="14"/>
        </w:rPr>
        <w:t xml:space="preserve">, as in the auto parts industry.39 </w:t>
      </w:r>
      <w:r w:rsidRPr="00B810A3">
        <w:rPr>
          <w:rStyle w:val="StyleUnderline"/>
        </w:rPr>
        <w:t xml:space="preserve">Should the pandemic worsen to the point where Mexico’s leaders have no choice but to impose major constraints on commercial activity, however, the shock to an already </w:t>
      </w:r>
      <w:r w:rsidRPr="00A3774E">
        <w:rPr>
          <w:rStyle w:val="Emphasis"/>
        </w:rPr>
        <w:t>weakened U.S. economy could be significant</w:t>
      </w:r>
      <w:r w:rsidRPr="00B810A3">
        <w:rPr>
          <w:sz w:val="14"/>
        </w:rPr>
        <w:t>.</w:t>
      </w:r>
    </w:p>
    <w:p w14:paraId="1925125D" w14:textId="77777777" w:rsidR="00C3543B" w:rsidRPr="00B810A3" w:rsidRDefault="00C3543B" w:rsidP="00C3543B">
      <w:pPr>
        <w:rPr>
          <w:sz w:val="14"/>
        </w:rPr>
      </w:pPr>
      <w:r w:rsidRPr="00B810A3">
        <w:rPr>
          <w:rStyle w:val="StyleUnderline"/>
        </w:rPr>
        <w:t>The pandemic’s disruption of normal economic activity also has illustrated how crucial farmworkers</w:t>
      </w:r>
      <w:r w:rsidRPr="00B810A3">
        <w:rPr>
          <w:sz w:val="14"/>
        </w:rPr>
        <w:t>—</w:t>
      </w:r>
      <w:r w:rsidRPr="00B810A3">
        <w:rPr>
          <w:rStyle w:val="StyleUnderline"/>
        </w:rPr>
        <w:t>the majority of whom are immigrants and about half of whom are</w:t>
      </w:r>
      <w:r w:rsidRPr="00B810A3">
        <w:rPr>
          <w:sz w:val="14"/>
        </w:rPr>
        <w:t xml:space="preserve"> </w:t>
      </w:r>
      <w:r w:rsidRPr="00B810A3">
        <w:rPr>
          <w:rStyle w:val="StyleUnderline"/>
        </w:rPr>
        <w:t>undocumented immigrants</w:t>
      </w:r>
      <w:r w:rsidRPr="00B810A3">
        <w:rPr>
          <w:sz w:val="14"/>
        </w:rPr>
        <w:t xml:space="preserve"> from Mexico—</w:t>
      </w:r>
      <w:r w:rsidRPr="00B810A3">
        <w:rPr>
          <w:rStyle w:val="StyleUnderline"/>
        </w:rPr>
        <w:t xml:space="preserve">are to </w:t>
      </w:r>
      <w:r w:rsidRPr="00A3774E">
        <w:rPr>
          <w:rStyle w:val="Emphasis"/>
        </w:rPr>
        <w:t>national security and food access</w:t>
      </w:r>
      <w:r w:rsidRPr="00B810A3">
        <w:rPr>
          <w:rStyle w:val="StyleUnderline"/>
        </w:rPr>
        <w:t xml:space="preserve"> for the U</w:t>
      </w:r>
      <w:r w:rsidRPr="00B810A3">
        <w:rPr>
          <w:sz w:val="14"/>
        </w:rPr>
        <w:t xml:space="preserve">nited </w:t>
      </w:r>
      <w:r w:rsidRPr="00B810A3">
        <w:rPr>
          <w:rStyle w:val="StyleUnderline"/>
        </w:rPr>
        <w:t>S</w:t>
      </w:r>
      <w:r w:rsidRPr="00B810A3">
        <w:rPr>
          <w:sz w:val="14"/>
        </w:rPr>
        <w:t xml:space="preserve">tates.40 </w:t>
      </w:r>
      <w:r w:rsidRPr="00B810A3">
        <w:rPr>
          <w:rStyle w:val="StyleUnderline"/>
        </w:rPr>
        <w:t>Even before COVID-19, there was a concerning shortage of farm labor in the U</w:t>
      </w:r>
      <w:r w:rsidRPr="00B810A3">
        <w:rPr>
          <w:sz w:val="14"/>
        </w:rPr>
        <w:t xml:space="preserve">nited </w:t>
      </w:r>
      <w:r w:rsidRPr="00B810A3">
        <w:rPr>
          <w:rStyle w:val="StyleUnderline"/>
        </w:rPr>
        <w:t>S</w:t>
      </w:r>
      <w:r w:rsidRPr="00B810A3">
        <w:rPr>
          <w:sz w:val="14"/>
        </w:rPr>
        <w:t xml:space="preserve">tates. To supplement the domestic labor supply, the U.S. Department of State recently relaxed its rules regarding the H-2A visa program, easing a bottleneck in the application process caused by COVID-19 precautions and allowing more foreign agricultural guest-workers into the United States.41 Yet farmworkers lack many of the legal and safety protections enjoyed by most workers in the United States.42 </w:t>
      </w:r>
      <w:r w:rsidRPr="00B810A3">
        <w:rPr>
          <w:rStyle w:val="StyleUnderline"/>
        </w:rPr>
        <w:t>It is essential that employers and the federal government ensure the safety and security of</w:t>
      </w:r>
      <w:r w:rsidRPr="00B810A3">
        <w:rPr>
          <w:sz w:val="14"/>
        </w:rPr>
        <w:t xml:space="preserve"> H-2A program participants, as well as current </w:t>
      </w:r>
      <w:r w:rsidRPr="00B810A3">
        <w:rPr>
          <w:rStyle w:val="StyleUnderline"/>
        </w:rPr>
        <w:t>farmworkers and other food system workers, to strengthen the security of the U.S. food supply</w:t>
      </w:r>
      <w:r w:rsidRPr="00B810A3">
        <w:rPr>
          <w:sz w:val="14"/>
        </w:rPr>
        <w:t>. Workers must be adequately screened before being permitted entry and must be guaranteed safe transportation, housing, and working conditions to ensure their health and safety and that of the people around them.</w:t>
      </w:r>
    </w:p>
    <w:p w14:paraId="3E3E3DD2" w14:textId="77777777" w:rsidR="00C3543B" w:rsidRPr="00A3774E" w:rsidRDefault="00C3543B" w:rsidP="00C3543B">
      <w:pPr>
        <w:rPr>
          <w:rStyle w:val="Emphasis"/>
        </w:rPr>
      </w:pPr>
      <w:r w:rsidRPr="00B810A3">
        <w:rPr>
          <w:rStyle w:val="StyleUnderline"/>
        </w:rPr>
        <w:t>COVID</w:t>
      </w:r>
      <w:r w:rsidRPr="00B810A3">
        <w:rPr>
          <w:sz w:val="14"/>
        </w:rPr>
        <w:t xml:space="preserve">-19 may </w:t>
      </w:r>
      <w:r w:rsidRPr="00A3774E">
        <w:rPr>
          <w:rStyle w:val="Emphasis"/>
        </w:rPr>
        <w:t>intensify political instability</w:t>
      </w:r>
      <w:r w:rsidRPr="00B810A3">
        <w:rPr>
          <w:sz w:val="14"/>
        </w:rPr>
        <w:t xml:space="preserve"> and human suffering, </w:t>
      </w:r>
      <w:r w:rsidRPr="00B810A3">
        <w:rPr>
          <w:rStyle w:val="StyleUnderline"/>
        </w:rPr>
        <w:t xml:space="preserve">leading to </w:t>
      </w:r>
      <w:r w:rsidRPr="00A3774E">
        <w:rPr>
          <w:rStyle w:val="Emphasis"/>
        </w:rPr>
        <w:t>more forced migration</w:t>
      </w:r>
    </w:p>
    <w:p w14:paraId="74D6786E" w14:textId="77777777" w:rsidR="00C3543B" w:rsidRPr="00B810A3" w:rsidRDefault="00C3543B" w:rsidP="00C3543B">
      <w:pPr>
        <w:rPr>
          <w:sz w:val="14"/>
        </w:rPr>
      </w:pPr>
      <w:r w:rsidRPr="00B810A3">
        <w:rPr>
          <w:sz w:val="14"/>
        </w:rPr>
        <w:t xml:space="preserve">The </w:t>
      </w:r>
      <w:r w:rsidRPr="00B810A3">
        <w:rPr>
          <w:rStyle w:val="StyleUnderline"/>
        </w:rPr>
        <w:t>coronavirus</w:t>
      </w:r>
      <w:r w:rsidRPr="00B810A3">
        <w:rPr>
          <w:sz w:val="14"/>
        </w:rPr>
        <w:t xml:space="preserve"> has the </w:t>
      </w:r>
      <w:r w:rsidRPr="00B810A3">
        <w:rPr>
          <w:rStyle w:val="StyleUnderline"/>
        </w:rPr>
        <w:t>potential to wreak havoc on the health systems and economies of Latin American and Caribbean countries</w:t>
      </w:r>
      <w:r w:rsidRPr="00B810A3">
        <w:rPr>
          <w:sz w:val="14"/>
        </w:rPr>
        <w:t xml:space="preserve">. More than half of all workers in the region are informally employed,43 and social safety nets are weak to nonexistent. Critical medical equipment needed to treat sick patients is generally in short supply—even Mexico, an important exporter of ventilators, was recently forced to import machines from China to address its own health needs.44 </w:t>
      </w:r>
      <w:r w:rsidRPr="00B810A3">
        <w:rPr>
          <w:rStyle w:val="StyleUnderline"/>
        </w:rPr>
        <w:t>A major outbreak of the virus would likely lead to many deaths as well as sudden unemployment or loss of income for millions of people</w:t>
      </w:r>
      <w:r w:rsidRPr="00B810A3">
        <w:rPr>
          <w:sz w:val="14"/>
        </w:rPr>
        <w:t>.</w:t>
      </w:r>
    </w:p>
    <w:p w14:paraId="62D6F750" w14:textId="37583C1F" w:rsidR="00C3543B" w:rsidRDefault="00C3543B" w:rsidP="00C3543B">
      <w:pPr>
        <w:rPr>
          <w:sz w:val="14"/>
        </w:rPr>
      </w:pPr>
      <w:r w:rsidRPr="00B810A3">
        <w:rPr>
          <w:sz w:val="14"/>
        </w:rPr>
        <w:t xml:space="preserve">In places already grappling with serious social and economic challenges, </w:t>
      </w:r>
      <w:r w:rsidRPr="00B810A3">
        <w:rPr>
          <w:rStyle w:val="StyleUnderline"/>
        </w:rPr>
        <w:t xml:space="preserve">these outcomes could produce new crises on top of existing ones. Venezuela’s already grave humanitarian situation could </w:t>
      </w:r>
      <w:r w:rsidRPr="00A3774E">
        <w:rPr>
          <w:rStyle w:val="Emphasis"/>
        </w:rPr>
        <w:t>spiral into a full-blown catastrophe</w:t>
      </w:r>
      <w:r w:rsidRPr="00B810A3">
        <w:rPr>
          <w:rStyle w:val="StyleUnderline"/>
        </w:rPr>
        <w:t xml:space="preserve"> that accelerates the spread of the pandemic in Latin America and the Caribbean, which may </w:t>
      </w:r>
      <w:r w:rsidRPr="00A3774E">
        <w:rPr>
          <w:rStyle w:val="StyleUnderline"/>
        </w:rPr>
        <w:t>in turn destabilize Colombia and</w:t>
      </w:r>
      <w:r w:rsidRPr="00B810A3">
        <w:rPr>
          <w:rStyle w:val="StyleUnderline"/>
        </w:rPr>
        <w:t xml:space="preserve"> a number of small Caribbean states</w:t>
      </w:r>
      <w:r w:rsidRPr="00B810A3">
        <w:rPr>
          <w:sz w:val="14"/>
        </w:rPr>
        <w:t xml:space="preserve">. Elsewhere in the region, </w:t>
      </w:r>
      <w:r w:rsidRPr="00B810A3">
        <w:rPr>
          <w:rStyle w:val="StyleUnderline"/>
        </w:rPr>
        <w:t xml:space="preserve">the virus could </w:t>
      </w:r>
      <w:r w:rsidRPr="00A3774E">
        <w:rPr>
          <w:rStyle w:val="Emphasis"/>
        </w:rPr>
        <w:t>aggravate the drivers of forced migration</w:t>
      </w:r>
      <w:r w:rsidRPr="00B810A3">
        <w:rPr>
          <w:rStyle w:val="StyleUnderline"/>
        </w:rPr>
        <w:t xml:space="preserve"> and lead to an </w:t>
      </w:r>
      <w:r w:rsidRPr="00A3774E">
        <w:rPr>
          <w:rStyle w:val="Emphasis"/>
        </w:rPr>
        <w:t>increase in the number of asylum-seekers</w:t>
      </w:r>
      <w:r w:rsidRPr="00B810A3">
        <w:rPr>
          <w:rStyle w:val="StyleUnderline"/>
        </w:rPr>
        <w:t xml:space="preserve"> and other involuntary migrants from countries such as El Salvador, Guatemala, Honduras, and Haiti</w:t>
      </w:r>
      <w:r w:rsidRPr="00B810A3">
        <w:rPr>
          <w:sz w:val="14"/>
        </w:rPr>
        <w:t xml:space="preserve">. More generally, </w:t>
      </w:r>
      <w:r w:rsidRPr="00B810A3">
        <w:rPr>
          <w:rStyle w:val="StyleUnderline"/>
        </w:rPr>
        <w:t xml:space="preserve">the social and economic dislocations caused by the virus could contribute to a </w:t>
      </w:r>
      <w:r w:rsidRPr="00A3774E">
        <w:rPr>
          <w:rStyle w:val="Emphasis"/>
        </w:rPr>
        <w:t>breakdown in rule of law</w:t>
      </w:r>
      <w:r w:rsidRPr="00B810A3">
        <w:rPr>
          <w:rStyle w:val="StyleUnderline"/>
        </w:rPr>
        <w:t xml:space="preserve"> across the region and </w:t>
      </w:r>
      <w:r w:rsidRPr="00A3774E">
        <w:rPr>
          <w:rStyle w:val="Emphasis"/>
        </w:rPr>
        <w:t>impair efforts to improve public security and fight transnational crime</w:t>
      </w:r>
      <w:r w:rsidRPr="00B810A3">
        <w:rPr>
          <w:sz w:val="14"/>
        </w:rPr>
        <w:t>.</w:t>
      </w:r>
    </w:p>
    <w:p w14:paraId="65DEB5DB" w14:textId="77777777" w:rsidR="00C3543B" w:rsidRPr="00801736" w:rsidRDefault="00C3543B" w:rsidP="00C3543B">
      <w:pPr>
        <w:pStyle w:val="Heading4"/>
      </w:pPr>
      <w:r w:rsidRPr="00801736">
        <w:t xml:space="preserve">Latin American insecurity forces reorientation of US national security strategy that results in war with </w:t>
      </w:r>
      <w:r w:rsidRPr="00801736">
        <w:rPr>
          <w:u w:val="single"/>
        </w:rPr>
        <w:t>China</w:t>
      </w:r>
      <w:r w:rsidRPr="00801736">
        <w:t xml:space="preserve"> and </w:t>
      </w:r>
      <w:r w:rsidRPr="00801736">
        <w:rPr>
          <w:u w:val="single"/>
        </w:rPr>
        <w:t>Russia</w:t>
      </w:r>
    </w:p>
    <w:p w14:paraId="2BF38A12" w14:textId="77777777" w:rsidR="00C3543B" w:rsidRPr="00256FAB" w:rsidRDefault="00C3543B" w:rsidP="00C3543B">
      <w:r w:rsidRPr="00801736">
        <w:t xml:space="preserve">Dr. R. Evan </w:t>
      </w:r>
      <w:r w:rsidRPr="00801736">
        <w:rPr>
          <w:rStyle w:val="Style13ptBold"/>
        </w:rPr>
        <w:t>Ellis 16</w:t>
      </w:r>
      <w:r w:rsidRPr="00801736">
        <w:t xml:space="preserve">. Research professor of Latin American Studies at the U.S. Army War College (USAWC) Strategic Studies Institute (SSI), with a focus on the region’s relationships with China and other non-Western Hemisphere actors, as well as transnational organized crime and populism in the region, Ph.D. in political science with a specialization in comparative politics. 12-09-16. "Strategic Insights: Thinking </w:t>
      </w:r>
      <w:r w:rsidRPr="00256FAB">
        <w:t xml:space="preserve">Strategically About Latin America and the Caribbean", Strategic Studies Institute, </w:t>
      </w:r>
      <w:hyperlink r:id="rId8" w:history="1">
        <w:r w:rsidRPr="00256FAB">
          <w:rPr>
            <w:rStyle w:val="Hyperlink"/>
          </w:rPr>
          <w:t>http://ssi.armywarcollege.edu/index.cfm/articles/Thinking-Strategically-About-Latin-America-Caribbean/2016/12/09</w:t>
        </w:r>
      </w:hyperlink>
    </w:p>
    <w:p w14:paraId="4F074B40" w14:textId="0201C3AB" w:rsidR="00C3543B" w:rsidRPr="00C3543B" w:rsidRDefault="00C3543B" w:rsidP="00C3543B">
      <w:pPr>
        <w:rPr>
          <w:sz w:val="16"/>
        </w:rPr>
      </w:pPr>
      <w:r w:rsidRPr="00256FAB">
        <w:rPr>
          <w:sz w:val="16"/>
        </w:rPr>
        <w:t xml:space="preserve">As noted previously, </w:t>
      </w:r>
      <w:r w:rsidRPr="00256FAB">
        <w:rPr>
          <w:rStyle w:val="Emphasis"/>
        </w:rPr>
        <w:t>there is</w:t>
      </w:r>
      <w:r w:rsidRPr="00256FAB">
        <w:rPr>
          <w:sz w:val="16"/>
        </w:rPr>
        <w:t xml:space="preserve"> arguably </w:t>
      </w:r>
      <w:r w:rsidRPr="00256FAB">
        <w:rPr>
          <w:rStyle w:val="Emphasis"/>
        </w:rPr>
        <w:t>no region</w:t>
      </w:r>
      <w:r w:rsidRPr="00256FAB">
        <w:rPr>
          <w:sz w:val="16"/>
        </w:rPr>
        <w:t xml:space="preserve"> (including Asia) upon </w:t>
      </w:r>
      <w:r w:rsidRPr="00256FAB">
        <w:rPr>
          <w:rStyle w:val="Emphasis"/>
        </w:rPr>
        <w:t>which the U</w:t>
      </w:r>
      <w:r w:rsidRPr="00256FAB">
        <w:rPr>
          <w:rStyle w:val="StyleUnderline"/>
        </w:rPr>
        <w:t xml:space="preserve">nited </w:t>
      </w:r>
      <w:r w:rsidRPr="00256FAB">
        <w:rPr>
          <w:rStyle w:val="Emphasis"/>
        </w:rPr>
        <w:t>S</w:t>
      </w:r>
      <w:r w:rsidRPr="00256FAB">
        <w:rPr>
          <w:rStyle w:val="StyleUnderline"/>
        </w:rPr>
        <w:t xml:space="preserve">tates </w:t>
      </w:r>
      <w:r w:rsidRPr="00256FAB">
        <w:rPr>
          <w:rStyle w:val="Emphasis"/>
        </w:rPr>
        <w:t xml:space="preserve">is more dependent for its </w:t>
      </w:r>
      <w:r w:rsidRPr="00256FAB">
        <w:rPr>
          <w:sz w:val="16"/>
        </w:rPr>
        <w:t>prosperity and</w:t>
      </w:r>
      <w:r w:rsidRPr="00256FAB">
        <w:rPr>
          <w:rStyle w:val="StyleUnderline"/>
        </w:rPr>
        <w:t xml:space="preserve"> </w:t>
      </w:r>
      <w:r w:rsidRPr="00256FAB">
        <w:rPr>
          <w:rStyle w:val="Emphasis"/>
        </w:rPr>
        <w:t>security</w:t>
      </w:r>
      <w:r w:rsidRPr="00256FAB">
        <w:rPr>
          <w:sz w:val="16"/>
        </w:rPr>
        <w:t xml:space="preserve">, and with which it is more closely tied through bonds of family, than Latin America and the Caribbean. In terms of trade and investment, from manufacturers to the food Americans put on the table, there is no region for which disruption of commerce with the United States could do more damage to our economy and the everyday lives of Americans. Reciprocally, the region’s proximity to the United States makes it a logical and attractive business partner; there is not another region of the world for which prosperity, healthy infrastructure, and institutions could contribute more to a win-win commercial relationship with the United States. With respect to security, </w:t>
      </w:r>
      <w:r w:rsidRPr="00256FAB">
        <w:rPr>
          <w:rStyle w:val="StyleUnderline"/>
        </w:rPr>
        <w:t xml:space="preserve">the United States is blessed by the absence of neighbors that pose a direct military threat to the nation, are experiencing conditions of chaos, or permit U.S. adversaries to operate from their territory. Yet, </w:t>
      </w:r>
      <w:r w:rsidRPr="00256FAB">
        <w:rPr>
          <w:rStyle w:val="Emphasis"/>
        </w:rPr>
        <w:t>if these</w:t>
      </w:r>
      <w:r w:rsidRPr="00256FAB">
        <w:rPr>
          <w:rStyle w:val="StyleUnderline"/>
        </w:rPr>
        <w:t xml:space="preserve"> fortunate </w:t>
      </w:r>
      <w:r w:rsidRPr="00256FAB">
        <w:rPr>
          <w:rStyle w:val="Emphasis"/>
        </w:rPr>
        <w:t>conditions were to change, the</w:t>
      </w:r>
      <w:r w:rsidRPr="00256FAB">
        <w:rPr>
          <w:rStyle w:val="StyleUnderline"/>
        </w:rPr>
        <w:t xml:space="preserve"> resulting </w:t>
      </w:r>
      <w:r w:rsidRPr="00256FAB">
        <w:rPr>
          <w:rStyle w:val="Emphasis"/>
        </w:rPr>
        <w:t>threat</w:t>
      </w:r>
      <w:r w:rsidRPr="00256FAB">
        <w:rPr>
          <w:rStyle w:val="StyleUnderline"/>
        </w:rPr>
        <w:t xml:space="preserve"> to U.S. national security </w:t>
      </w:r>
      <w:r w:rsidRPr="00256FAB">
        <w:rPr>
          <w:rStyle w:val="Emphasis"/>
        </w:rPr>
        <w:t>could</w:t>
      </w:r>
      <w:r w:rsidRPr="00256FAB">
        <w:rPr>
          <w:rStyle w:val="StyleUnderline"/>
        </w:rPr>
        <w:t xml:space="preserve"> force a significant </w:t>
      </w:r>
      <w:r w:rsidRPr="00256FAB">
        <w:rPr>
          <w:rStyle w:val="Emphasis"/>
        </w:rPr>
        <w:t>reorient</w:t>
      </w:r>
      <w:r w:rsidRPr="00256FAB">
        <w:rPr>
          <w:rStyle w:val="StyleUnderline"/>
        </w:rPr>
        <w:t xml:space="preserve">ation of U.S. </w:t>
      </w:r>
      <w:r w:rsidRPr="00256FAB">
        <w:rPr>
          <w:rStyle w:val="Emphasis"/>
        </w:rPr>
        <w:t>security initiatives away from</w:t>
      </w:r>
      <w:r w:rsidRPr="00256FAB">
        <w:rPr>
          <w:rStyle w:val="StyleUnderline"/>
        </w:rPr>
        <w:t xml:space="preserve"> its </w:t>
      </w:r>
      <w:r w:rsidRPr="00256FAB">
        <w:rPr>
          <w:rStyle w:val="Emphasis"/>
        </w:rPr>
        <w:t>foreign engagements</w:t>
      </w:r>
      <w:r w:rsidRPr="00256FAB">
        <w:rPr>
          <w:rStyle w:val="StyleUnderline"/>
        </w:rPr>
        <w:t xml:space="preserve"> to address the emergent threat closer to home. </w:t>
      </w:r>
      <w:r w:rsidRPr="00256FAB">
        <w:rPr>
          <w:sz w:val="16"/>
        </w:rPr>
        <w:t xml:space="preserve">To use a military analogy, </w:t>
      </w:r>
      <w:r w:rsidRPr="00256FAB">
        <w:rPr>
          <w:rStyle w:val="StyleUnderline"/>
        </w:rPr>
        <w:t xml:space="preserve">Latin America and the Caribbean is, for the United States, an “unoccupied high ground.” </w:t>
      </w:r>
      <w:r w:rsidRPr="00256FAB">
        <w:rPr>
          <w:sz w:val="16"/>
        </w:rPr>
        <w:t xml:space="preserve">The fact that the United States does not fully leverage the opportunities offered by Latin America, nor suffers a significant immediate security threat from the region, does not make it any less strategic. </w:t>
      </w:r>
      <w:r w:rsidRPr="00256FAB">
        <w:rPr>
          <w:rStyle w:val="StyleUnderline"/>
        </w:rPr>
        <w:t xml:space="preserve">The Challenge of Transnational Organized Crime in the Region. The activities of transnational organized crime in Latin America and the Caribbean, often characterized as the principle security issue in the region, is more of a strategic challenge to the United States than is commonly understood. </w:t>
      </w:r>
      <w:r w:rsidRPr="00256FAB">
        <w:rPr>
          <w:sz w:val="16"/>
        </w:rPr>
        <w:t xml:space="preserve">On the one hand, the </w:t>
      </w:r>
      <w:r w:rsidRPr="00256FAB">
        <w:rPr>
          <w:rStyle w:val="StyleUnderline"/>
        </w:rPr>
        <w:t>activities of groups</w:t>
      </w:r>
      <w:r w:rsidRPr="00256FAB">
        <w:rPr>
          <w:sz w:val="16"/>
        </w:rPr>
        <w:t xml:space="preserve"> such as the Maras </w:t>
      </w:r>
      <w:r w:rsidRPr="00256FAB">
        <w:rPr>
          <w:rStyle w:val="StyleUnderline"/>
        </w:rPr>
        <w:t xml:space="preserve">in the </w:t>
      </w:r>
      <w:r w:rsidRPr="00256FAB">
        <w:rPr>
          <w:rStyle w:val="Emphasis"/>
        </w:rPr>
        <w:t>Northern Triangle</w:t>
      </w:r>
      <w:r w:rsidRPr="00256FAB">
        <w:rPr>
          <w:rStyle w:val="StyleUnderline"/>
        </w:rPr>
        <w:t xml:space="preserve"> and warring </w:t>
      </w:r>
      <w:r w:rsidRPr="00256FAB">
        <w:rPr>
          <w:rStyle w:val="Emphasis"/>
        </w:rPr>
        <w:t>cartels in Mexico</w:t>
      </w:r>
      <w:r w:rsidRPr="00256FAB">
        <w:rPr>
          <w:rStyle w:val="StyleUnderline"/>
        </w:rPr>
        <w:t xml:space="preserve"> generate violence and destroy economic opportunity in ways that generate refugee flows toward the United States. </w:t>
      </w:r>
      <w:r w:rsidRPr="00256FAB">
        <w:rPr>
          <w:sz w:val="16"/>
        </w:rPr>
        <w:t xml:space="preserve">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 In addition, </w:t>
      </w:r>
      <w:r w:rsidRPr="00256FAB">
        <w:rPr>
          <w:rStyle w:val="StyleUnderline"/>
        </w:rPr>
        <w:t xml:space="preserve">the money used to enable transnational criminal activities </w:t>
      </w:r>
      <w:r w:rsidRPr="00256FAB">
        <w:rPr>
          <w:rStyle w:val="Emphasis"/>
        </w:rPr>
        <w:t>corrupts institutions</w:t>
      </w:r>
      <w:r w:rsidRPr="00256FAB">
        <w:rPr>
          <w:rStyle w:val="StyleUnderline"/>
        </w:rPr>
        <w:t xml:space="preserve">, </w:t>
      </w:r>
      <w:r w:rsidRPr="00256FAB">
        <w:rPr>
          <w:rStyle w:val="Emphasis"/>
        </w:rPr>
        <w:t>undermining governance</w:t>
      </w:r>
      <w:r w:rsidRPr="00256FAB">
        <w:rPr>
          <w:rStyle w:val="StyleUnderline"/>
        </w:rPr>
        <w:t xml:space="preserve">, and </w:t>
      </w:r>
      <w:r w:rsidRPr="00256FAB">
        <w:rPr>
          <w:rStyle w:val="Emphasis"/>
        </w:rPr>
        <w:t>expanding criminal networks</w:t>
      </w:r>
      <w:r w:rsidRPr="00256FAB">
        <w:rPr>
          <w:rStyle w:val="StyleUnderline"/>
        </w:rPr>
        <w:t xml:space="preserve"> that can be used by </w:t>
      </w:r>
      <w:r w:rsidRPr="00256FAB">
        <w:rPr>
          <w:rStyle w:val="Emphasis"/>
        </w:rPr>
        <w:t>terrorist organizations</w:t>
      </w:r>
      <w:r w:rsidRPr="00256FAB">
        <w:rPr>
          <w:rStyle w:val="StyleUnderline"/>
        </w:rPr>
        <w:t xml:space="preserve"> to raise and launder money, </w:t>
      </w:r>
      <w:r w:rsidRPr="00256FAB">
        <w:rPr>
          <w:rStyle w:val="Emphasis"/>
        </w:rPr>
        <w:t>smuggle</w:t>
      </w:r>
      <w:r w:rsidRPr="00256FAB">
        <w:rPr>
          <w:rStyle w:val="StyleUnderline"/>
        </w:rPr>
        <w:t xml:space="preserve"> persons and </w:t>
      </w:r>
      <w:r w:rsidRPr="00256FAB">
        <w:rPr>
          <w:rStyle w:val="Emphasis"/>
        </w:rPr>
        <w:t>materiel</w:t>
      </w:r>
      <w:r w:rsidRPr="00256FAB">
        <w:rPr>
          <w:rStyle w:val="StyleUnderline"/>
        </w:rPr>
        <w:t xml:space="preserve"> through the region, as well as creating spaces in which they can </w:t>
      </w:r>
      <w:r w:rsidRPr="00256FAB">
        <w:rPr>
          <w:rStyle w:val="Emphasis"/>
        </w:rPr>
        <w:t>hide, train, plan</w:t>
      </w:r>
      <w:r w:rsidRPr="00256FAB">
        <w:rPr>
          <w:rStyle w:val="StyleUnderline"/>
        </w:rPr>
        <w:t xml:space="preserve"> operations, </w:t>
      </w:r>
      <w:r w:rsidRPr="00256FAB">
        <w:rPr>
          <w:rStyle w:val="Emphasis"/>
        </w:rPr>
        <w:t>and recruit</w:t>
      </w:r>
      <w:r w:rsidRPr="00256FAB">
        <w:rPr>
          <w:rStyle w:val="StyleUnderline"/>
        </w:rPr>
        <w:t xml:space="preserve"> fighters for their global activities.</w:t>
      </w:r>
      <w:r w:rsidRPr="00256FAB">
        <w:rPr>
          <w:sz w:val="16"/>
        </w:rPr>
        <w:t xml:space="preserve"> Such threats are magnified further where anti-U.S. governments, such as the “Bolivarian Socialist” government of Venezuela, tolerate and possibly even facilitate the activities of such groups, permitting, </w:t>
      </w:r>
      <w:r w:rsidRPr="00256FAB">
        <w:rPr>
          <w:rStyle w:val="StyleUnderline"/>
        </w:rPr>
        <w:t>for example, the entry of Iranian paramilitary Qods forces into the region</w:t>
      </w:r>
      <w:r w:rsidRPr="00256FAB">
        <w:rPr>
          <w:sz w:val="16"/>
        </w:rPr>
        <w:t xml:space="preserve"> through the country.3 The Need for U.S. Scenario Planning to Include the Potential Use of the Region by U.S. Adversaries to Conduct Actions Against the United States. Military professionals in the United States have the responsibility for planning how to fight the nation’s wars if called upon to do so by their elected leaders. In today’s globally interconnected world, </w:t>
      </w:r>
      <w:r w:rsidRPr="00256FAB">
        <w:rPr>
          <w:rStyle w:val="StyleUnderline"/>
        </w:rPr>
        <w:t xml:space="preserve">it is highly unlikely that a U.S. “near-peer competitor,” such as </w:t>
      </w:r>
      <w:r w:rsidRPr="00256FAB">
        <w:rPr>
          <w:rStyle w:val="Emphasis"/>
        </w:rPr>
        <w:t>China or Russia</w:t>
      </w:r>
      <w:r w:rsidRPr="00256FAB">
        <w:rPr>
          <w:rStyle w:val="StyleUnderline"/>
        </w:rPr>
        <w:t>, would allow the United States to engage with them in such a conflict</w:t>
      </w:r>
      <w:r w:rsidRPr="00256FAB">
        <w:rPr>
          <w:sz w:val="16"/>
        </w:rPr>
        <w:t xml:space="preserve"> (however undesirable) </w:t>
      </w:r>
      <w:r w:rsidRPr="00256FAB">
        <w:rPr>
          <w:rStyle w:val="StyleUnderline"/>
        </w:rPr>
        <w:t xml:space="preserve">entirely as an “away game.” </w:t>
      </w:r>
      <w:r w:rsidRPr="00256FAB">
        <w:rPr>
          <w:sz w:val="16"/>
        </w:rPr>
        <w:t xml:space="preserve">U.S. defense planners must expect that </w:t>
      </w:r>
      <w:r w:rsidRPr="00256FAB">
        <w:rPr>
          <w:rStyle w:val="StyleUnderline"/>
        </w:rPr>
        <w:t>in such a conflict, the adversary would employ its full global range of assets, capabilities, and options, including: relationships and access agreements with foreign militaries</w:t>
      </w:r>
      <w:r w:rsidRPr="00256FAB">
        <w:rPr>
          <w:sz w:val="16"/>
        </w:rPr>
        <w:t xml:space="preserve"> (however benign) </w:t>
      </w:r>
      <w:r w:rsidRPr="00256FAB">
        <w:rPr>
          <w:rStyle w:val="StyleUnderline"/>
        </w:rPr>
        <w:t>in all parts of the world</w:t>
      </w:r>
      <w:r w:rsidRPr="00256FAB">
        <w:rPr>
          <w:sz w:val="16"/>
        </w:rPr>
        <w:t xml:space="preserve">, knowledge of, and the potential for, staging activities leveraging their commercial operations near the United States, as well as information technology infrastructure built by the adversary’s companies there. </w:t>
      </w:r>
      <w:r w:rsidRPr="00256FAB">
        <w:rPr>
          <w:rStyle w:val="StyleUnderline"/>
        </w:rPr>
        <w:t>Potential U.S. adversaries such as Russia and China may be expected to leverage such assets and relationships in Latin America and the Caribbean</w:t>
      </w:r>
      <w:r w:rsidRPr="00256FAB">
        <w:rPr>
          <w:sz w:val="16"/>
        </w:rPr>
        <w:t xml:space="preserve">, in addition to other regions, </w:t>
      </w:r>
      <w:r w:rsidRPr="00256FAB">
        <w:rPr>
          <w:rStyle w:val="StyleUnderline"/>
        </w:rPr>
        <w:t>in order to undermine U.S. coalition formation in the run-up to a conflict</w:t>
      </w:r>
      <w:r w:rsidRPr="00256FAB">
        <w:rPr>
          <w:sz w:val="16"/>
        </w:rPr>
        <w:t xml:space="preserve">, to conduct operations in the region during the conflict to disrupt the U.S. economy and financial system, and potentially </w:t>
      </w:r>
      <w:r w:rsidRPr="00256FAB">
        <w:rPr>
          <w:rStyle w:val="StyleUnderline"/>
        </w:rPr>
        <w:t xml:space="preserve">to </w:t>
      </w:r>
      <w:r w:rsidRPr="00256FAB">
        <w:rPr>
          <w:rStyle w:val="Emphasis"/>
        </w:rPr>
        <w:t>conduct military operations</w:t>
      </w:r>
      <w:r w:rsidRPr="00256FAB">
        <w:rPr>
          <w:rStyle w:val="StyleUnderline"/>
        </w:rPr>
        <w:t xml:space="preserve"> from Latin America and the Caribbean to attack U.S. deployment and sustainment flows, and to </w:t>
      </w:r>
      <w:r w:rsidRPr="00256FAB">
        <w:rPr>
          <w:rStyle w:val="Emphasis"/>
        </w:rPr>
        <w:t>put the</w:t>
      </w:r>
      <w:r w:rsidRPr="00256FAB">
        <w:rPr>
          <w:rStyle w:val="StyleUnderline"/>
        </w:rPr>
        <w:t xml:space="preserve"> U.S. </w:t>
      </w:r>
      <w:r w:rsidRPr="00256FAB">
        <w:rPr>
          <w:rStyle w:val="Emphasis"/>
        </w:rPr>
        <w:t>homeland at risk,</w:t>
      </w:r>
      <w:r w:rsidRPr="00256FAB">
        <w:rPr>
          <w:rStyle w:val="StyleUnderline"/>
        </w:rPr>
        <w:t xml:space="preserve"> thus </w:t>
      </w:r>
      <w:r w:rsidRPr="00256FAB">
        <w:rPr>
          <w:rStyle w:val="Emphasis"/>
        </w:rPr>
        <w:t>forcing</w:t>
      </w:r>
      <w:r w:rsidRPr="00256FAB">
        <w:rPr>
          <w:rStyle w:val="StyleUnderline"/>
        </w:rPr>
        <w:t xml:space="preserve"> the </w:t>
      </w:r>
      <w:r w:rsidRPr="00256FAB">
        <w:rPr>
          <w:rStyle w:val="Emphasis"/>
        </w:rPr>
        <w:t>diversion</w:t>
      </w:r>
      <w:r w:rsidRPr="00256FAB">
        <w:rPr>
          <w:rStyle w:val="StyleUnderline"/>
        </w:rPr>
        <w:t xml:space="preserve"> of U.S. forces from other theaters</w:t>
      </w:r>
      <w:r w:rsidRPr="00256FAB">
        <w:rPr>
          <w:sz w:val="16"/>
        </w:rPr>
        <w:t xml:space="preserve">. While </w:t>
      </w:r>
      <w:r w:rsidRPr="00256FAB">
        <w:rPr>
          <w:rStyle w:val="StyleUnderline"/>
        </w:rPr>
        <w:t>Russia and China</w:t>
      </w:r>
      <w:r w:rsidRPr="00256FAB">
        <w:rPr>
          <w:sz w:val="16"/>
        </w:rPr>
        <w:t xml:space="preserve"> have not currently established formal military bases in the region that could be used against the United States, their familiarity with Latin American armed forces through regular military-to-military engagement, their knowledge of regional infrastructure such as ports, airports, and commercial logistics systems, means that they </w:t>
      </w:r>
      <w:r w:rsidRPr="00256FAB">
        <w:rPr>
          <w:rStyle w:val="StyleUnderline"/>
        </w:rPr>
        <w:t xml:space="preserve">could achieve a functional military capability in the region rapidly in the </w:t>
      </w:r>
      <w:r w:rsidRPr="00256FAB">
        <w:rPr>
          <w:rStyle w:val="Emphasis"/>
        </w:rPr>
        <w:t>months</w:t>
      </w:r>
      <w:r w:rsidRPr="00256FAB">
        <w:rPr>
          <w:rStyle w:val="StyleUnderline"/>
        </w:rPr>
        <w:t xml:space="preserve"> leading up to the conflict,</w:t>
      </w:r>
      <w:r w:rsidRPr="00256FAB">
        <w:rPr>
          <w:sz w:val="16"/>
        </w:rPr>
        <w:t xml:space="preserve"> if U.S. adversaries in Latin America permitted them to do so.</w:t>
      </w:r>
    </w:p>
    <w:p w14:paraId="555CC668" w14:textId="3193B148" w:rsidR="00C3543B" w:rsidRPr="00C3543B" w:rsidRDefault="00C3543B" w:rsidP="00C3543B">
      <w:pPr>
        <w:pStyle w:val="Heading4"/>
      </w:pPr>
      <w:r>
        <w:t xml:space="preserve">Deportations create </w:t>
      </w:r>
      <w:r>
        <w:rPr>
          <w:u w:val="single"/>
        </w:rPr>
        <w:t>cyclical</w:t>
      </w:r>
      <w:r>
        <w:t xml:space="preserve"> mass migration.</w:t>
      </w:r>
    </w:p>
    <w:p w14:paraId="633469AF" w14:textId="77777777" w:rsidR="00C3543B" w:rsidRPr="00D36366" w:rsidRDefault="00C3543B" w:rsidP="00C3543B">
      <w:r>
        <w:rPr>
          <w:rStyle w:val="Style13ptBold"/>
        </w:rPr>
        <w:t>Fernández 18</w:t>
      </w:r>
      <w:r>
        <w:rPr>
          <w:rStyle w:val="Style13ptBold"/>
          <w:b w:val="0"/>
          <w:bCs w:val="0"/>
        </w:rPr>
        <w:t xml:space="preserve"> — </w:t>
      </w:r>
      <w:r w:rsidRPr="00D36366">
        <w:t>Sofía Martínez Fernández is an analyst for the conflict-prevention organization International Crisis Group covering politics, crime and humanitarian issues in Central America.</w:t>
      </w:r>
      <w:r>
        <w:t xml:space="preserve"> (“Mass </w:t>
      </w:r>
      <w:r w:rsidRPr="00DC29C5">
        <w:rPr>
          <w:rStyle w:val="Emphasis"/>
        </w:rPr>
        <w:t>Deportations Only Fuel A Cycle Of Violence And Migration</w:t>
      </w:r>
      <w:r>
        <w:t>” International Crisis Group, originally published in Huffington Post, June 25, 2018. https://www.crisisgroup.org/latin-america-caribbean/mass-deportations-only-fuel-cycle-violence-and-migration)//JLPark</w:t>
      </w:r>
    </w:p>
    <w:p w14:paraId="6CC7399C" w14:textId="77777777" w:rsidR="00C3543B" w:rsidRPr="00DC29C5" w:rsidRDefault="00C3543B" w:rsidP="00C3543B">
      <w:pPr>
        <w:rPr>
          <w:sz w:val="14"/>
          <w:szCs w:val="14"/>
        </w:rPr>
      </w:pPr>
      <w:r w:rsidRPr="00DC29C5">
        <w:rPr>
          <w:sz w:val="14"/>
          <w:szCs w:val="14"/>
        </w:rPr>
        <w:t>Every day a stream of anxious passengers disembarks at San Pedro Sula airport, weary from the flight and weighed down by a lifetime’s worth of luggage. But these passengers are not coming to Honduras by choice: They have been deported, from either Mexico or the United States.</w:t>
      </w:r>
    </w:p>
    <w:p w14:paraId="31FA0A1D" w14:textId="77777777" w:rsidR="00C3543B" w:rsidRPr="00DC29C5" w:rsidRDefault="00C3543B" w:rsidP="00C3543B">
      <w:pPr>
        <w:rPr>
          <w:sz w:val="14"/>
          <w:szCs w:val="14"/>
        </w:rPr>
      </w:pPr>
      <w:r w:rsidRPr="00DC29C5">
        <w:rPr>
          <w:sz w:val="14"/>
          <w:szCs w:val="14"/>
        </w:rPr>
        <w:t xml:space="preserve">Between January and April 2018, the reception center at the transport hub received 23,601 arrivals, about 64 percent from Mexico, which has for some time acted as the long arm of U.S. migration control. The country stops many Central American migrants before they ever reach the U.S. border. </w:t>
      </w:r>
    </w:p>
    <w:p w14:paraId="6062B880" w14:textId="77777777" w:rsidR="00C3543B" w:rsidRPr="00DC29C5" w:rsidRDefault="00C3543B" w:rsidP="00C3543B">
      <w:pPr>
        <w:rPr>
          <w:sz w:val="14"/>
          <w:szCs w:val="14"/>
        </w:rPr>
      </w:pPr>
      <w:r w:rsidRPr="00DC29C5">
        <w:rPr>
          <w:sz w:val="14"/>
          <w:szCs w:val="14"/>
        </w:rPr>
        <w:t>Now, across the U.S., some 57,000 Hondurans, along with 195,000 Salvadorans, are asking when they might face the same uncertain future. In early 2018, the Trump administration announced the termination of the Temporary Protected Status (TPS) program for beneficiaries from both El Salvador and Honduras. The program allowed recipients to work and live legally in the U.S.</w:t>
      </w:r>
    </w:p>
    <w:p w14:paraId="464CE8A8" w14:textId="77777777" w:rsidR="00C3543B" w:rsidRPr="00DC29C5" w:rsidRDefault="00C3543B" w:rsidP="00C3543B">
      <w:pPr>
        <w:rPr>
          <w:sz w:val="14"/>
        </w:rPr>
      </w:pPr>
      <w:r w:rsidRPr="00DC29C5">
        <w:rPr>
          <w:sz w:val="14"/>
        </w:rPr>
        <w:t xml:space="preserve">The administration decided that the conditions justifying the TPS for both countries – natural disasters that happened close to 20 years ago – no longer applied. This decision will pose challenges not just for the U.S. (It will cost taxpayers $3.1 billion to deport 252,000 TPS holders and their 245,000 children), but also for Central America. </w:t>
      </w:r>
      <w:r w:rsidRPr="00DC29C5">
        <w:rPr>
          <w:rStyle w:val="StyleUnderline"/>
        </w:rPr>
        <w:t>The increased deportations will put even more stress on countries struggling with economic hardship</w:t>
      </w:r>
      <w:r w:rsidRPr="00DC29C5">
        <w:rPr>
          <w:sz w:val="14"/>
        </w:rPr>
        <w:t xml:space="preserve"> and rampant gang brutality.</w:t>
      </w:r>
    </w:p>
    <w:p w14:paraId="0F864CED" w14:textId="77777777" w:rsidR="00C3543B" w:rsidRPr="00DC29C5" w:rsidRDefault="00C3543B" w:rsidP="00C3543B">
      <w:pPr>
        <w:rPr>
          <w:sz w:val="14"/>
          <w:szCs w:val="14"/>
        </w:rPr>
      </w:pPr>
      <w:r w:rsidRPr="00DC29C5">
        <w:rPr>
          <w:sz w:val="14"/>
          <w:szCs w:val="14"/>
        </w:rPr>
        <w:t>Deportation will leave many feeling uprooted: Between 30 and 50 percent of TPS holders has lived in the U.S. for more than two decades. For many arrivals in the San Pedro Sula and San Salvador airports, home is Maryland, Los Angeles or New York. Their official “welcome back” to Honduras or El Salvador lasts for a few hours in a crowded airport annex, where functionaries shout instructions about getting national ID cards. “That is the last time you hear from them,” said one young Salvadoran deportee.</w:t>
      </w:r>
    </w:p>
    <w:p w14:paraId="2E41D60C" w14:textId="77777777" w:rsidR="00C3543B" w:rsidRPr="00DC29C5" w:rsidRDefault="00C3543B" w:rsidP="00C3543B">
      <w:pPr>
        <w:rPr>
          <w:sz w:val="14"/>
        </w:rPr>
      </w:pPr>
      <w:r w:rsidRPr="00DC29C5">
        <w:rPr>
          <w:sz w:val="14"/>
        </w:rPr>
        <w:t xml:space="preserve"> </w:t>
      </w:r>
      <w:r w:rsidRPr="00DC29C5">
        <w:rPr>
          <w:rStyle w:val="StyleUnderline"/>
        </w:rPr>
        <w:t>Most deportees will struggle to make a living without interacting with organized crime</w:t>
      </w:r>
      <w:r w:rsidRPr="00DC29C5">
        <w:rPr>
          <w:sz w:val="14"/>
        </w:rPr>
        <w:t xml:space="preserve">, which owes its prevalence in Central America partly to previous waves of U.S. deportations. </w:t>
      </w:r>
    </w:p>
    <w:p w14:paraId="2EBD5BCF" w14:textId="77777777" w:rsidR="00C3543B" w:rsidRDefault="00C3543B" w:rsidP="00C3543B">
      <w:r>
        <w:t>After that, deportees must fend for themselves. If they’re lucky, they get jobs in call centers, a booming industry in Central America thanks to generous tax incentives, low operating costs and a constant flow of newly arrived English-speaking employees. In El Salvador, call centers employ about 20,000 people.</w:t>
      </w:r>
    </w:p>
    <w:p w14:paraId="3177D8AF" w14:textId="77777777" w:rsidR="00C3543B" w:rsidRPr="00DC29C5" w:rsidRDefault="00C3543B" w:rsidP="00C3543B">
      <w:pPr>
        <w:rPr>
          <w:sz w:val="14"/>
        </w:rPr>
      </w:pPr>
      <w:r w:rsidRPr="00DC29C5">
        <w:rPr>
          <w:sz w:val="14"/>
        </w:rPr>
        <w:t xml:space="preserve">However, </w:t>
      </w:r>
      <w:r w:rsidRPr="00DC29C5">
        <w:rPr>
          <w:rStyle w:val="StyleUnderline"/>
        </w:rPr>
        <w:t>most deportees will struggle to make a living without interacting with organized crime, which owes its prevalence in Central America partly to previous waves of U.S. deportations</w:t>
      </w:r>
      <w:r w:rsidRPr="00DC29C5">
        <w:rPr>
          <w:sz w:val="14"/>
        </w:rPr>
        <w:t>. In 1996, the U.S. Congress passed the Illegal Immigration Reform and Immigrant Responsibility Act, whereby non-U.S. convicts had to be deported to their home countries.</w:t>
      </w:r>
    </w:p>
    <w:p w14:paraId="5DC08C29" w14:textId="77777777" w:rsidR="00C3543B" w:rsidRPr="00DC29C5" w:rsidRDefault="00C3543B" w:rsidP="00C3543B">
      <w:pPr>
        <w:rPr>
          <w:sz w:val="14"/>
        </w:rPr>
      </w:pPr>
      <w:r w:rsidRPr="00DC29C5">
        <w:rPr>
          <w:sz w:val="14"/>
        </w:rPr>
        <w:t xml:space="preserve">As a result, Central America absorbed 46,000 deportees with criminal record from the U.S. between 1998 and 2005. </w:t>
      </w:r>
      <w:r w:rsidRPr="00DC29C5">
        <w:rPr>
          <w:rStyle w:val="StyleUnderline"/>
        </w:rPr>
        <w:t>This prompted the expansion of U.S.-bred gang culture across El Salvador, Guatemala and Honduras</w:t>
      </w:r>
      <w:r w:rsidRPr="00DC29C5">
        <w:rPr>
          <w:sz w:val="14"/>
        </w:rPr>
        <w:t xml:space="preserve"> and midwifed such notorious groups as Mara Salvatrucha (MS-13) and Barrio 18. El Salvador has the highest population of gang members – some 65,000 – with a further half a million people considered sympathizers or dependents.</w:t>
      </w:r>
    </w:p>
    <w:p w14:paraId="3ECDF1E3" w14:textId="77777777" w:rsidR="00C3543B" w:rsidRPr="00DC29C5" w:rsidRDefault="00C3543B" w:rsidP="00C3543B">
      <w:pPr>
        <w:rPr>
          <w:sz w:val="14"/>
          <w:szCs w:val="14"/>
        </w:rPr>
      </w:pPr>
      <w:r w:rsidRPr="00DC29C5">
        <w:rPr>
          <w:sz w:val="14"/>
          <w:szCs w:val="14"/>
        </w:rPr>
        <w:t>Today, should new deportees want to start a business, most will have to deal with the local gang – the de facto authority in many barrios. Gangs are present in 247 of 262 of El Salvador’s municipalities and extort 70 percent of businesses there, according to the online newspaper El Faro.</w:t>
      </w:r>
    </w:p>
    <w:p w14:paraId="7DC56801" w14:textId="77777777" w:rsidR="00C3543B" w:rsidRPr="00DC29C5" w:rsidRDefault="00C3543B" w:rsidP="00C3543B">
      <w:pPr>
        <w:rPr>
          <w:sz w:val="14"/>
          <w:szCs w:val="14"/>
        </w:rPr>
      </w:pPr>
      <w:r w:rsidRPr="00DC29C5">
        <w:rPr>
          <w:sz w:val="14"/>
          <w:szCs w:val="14"/>
        </w:rPr>
        <w:t>“Every single thing that takes place in this neighborhood has the green light of the clique [the gang’s local cells],” said an NGO worker as we walked in a San Salvador district controlled by the MS-13. “You may not see them, but they are watching you right now.” The damage of gang activity to El Salvador’s economy is estimated at 16 percent of the country’s GDP.</w:t>
      </w:r>
    </w:p>
    <w:p w14:paraId="1933E6B3" w14:textId="77777777" w:rsidR="00C3543B" w:rsidRPr="00DC29C5" w:rsidRDefault="00C3543B" w:rsidP="00C3543B">
      <w:pPr>
        <w:rPr>
          <w:sz w:val="14"/>
          <w:szCs w:val="14"/>
        </w:rPr>
      </w:pPr>
      <w:r w:rsidRPr="00DC29C5">
        <w:rPr>
          <w:sz w:val="14"/>
          <w:szCs w:val="14"/>
        </w:rPr>
        <w:t>Youths are perhaps the most vulnerable to gang influence. Many boys are asked to join the local gang and threatened if they refuse. Entire families are displaced trying to prevent their kids from being forcibly recruited, usually when they are 12 to 16 years old. Girls may face worse. A social worker in Tegucigalpa, the capital of Honduras, told me about a girl who an MS-13 gangster had made a sex slave. Every day for two years, he snatched the girl up after school, raped and abused her, and returned her home in the morning. She eventually ran away with her parents. Why didn’t the family report what was going on? The social worker replied: “Fear is a big thing here…. And where would they go? The police?”</w:t>
      </w:r>
    </w:p>
    <w:p w14:paraId="77263013" w14:textId="77777777" w:rsidR="00C3543B" w:rsidRPr="00DC29C5" w:rsidRDefault="00C3543B" w:rsidP="00C3543B">
      <w:pPr>
        <w:rPr>
          <w:sz w:val="14"/>
          <w:szCs w:val="14"/>
        </w:rPr>
      </w:pPr>
      <w:r w:rsidRPr="00DC29C5">
        <w:rPr>
          <w:sz w:val="14"/>
          <w:szCs w:val="14"/>
        </w:rPr>
        <w:t xml:space="preserve"> Despite a recent fall in the murder rate and police reform efforts, Hondurans have ever more reasons to flee. </w:t>
      </w:r>
    </w:p>
    <w:p w14:paraId="0F0F3AF2" w14:textId="77777777" w:rsidR="00C3543B" w:rsidRPr="00DC29C5" w:rsidRDefault="00C3543B" w:rsidP="00C3543B">
      <w:pPr>
        <w:rPr>
          <w:sz w:val="14"/>
          <w:szCs w:val="14"/>
        </w:rPr>
      </w:pPr>
      <w:r w:rsidRPr="00DC29C5">
        <w:rPr>
          <w:sz w:val="14"/>
          <w:szCs w:val="14"/>
        </w:rPr>
        <w:t>Despite a recent fall in the murder rate and police reform efforts, Hondurans have ever more reasons to flee. Security forces are understaffed and poorly trained – and very often corrupt. Their links to gangs scare many victims away from reporting crimes due to fear of retaliation. Meanwhile, the country’s chronic political crisis has intensified since the 2017 general elections, which sparked violent unrest following a dispute over the results. In the months following the clashes, the number of undocumented Honduran migrants apprehended in Mexico rose sharply.</w:t>
      </w:r>
    </w:p>
    <w:p w14:paraId="56551B12" w14:textId="77777777" w:rsidR="00C3543B" w:rsidRPr="00DC29C5" w:rsidRDefault="00C3543B" w:rsidP="00C3543B">
      <w:pPr>
        <w:rPr>
          <w:sz w:val="14"/>
          <w:szCs w:val="14"/>
        </w:rPr>
      </w:pPr>
      <w:r w:rsidRPr="00DC29C5">
        <w:rPr>
          <w:sz w:val="14"/>
          <w:szCs w:val="14"/>
        </w:rPr>
        <w:t>Conditions in El Salvador are similarly inhospitable. The country’s murder rate rose slightly more than 15 percent in the first three months of 2018 compared to the previous year. In 2016, the country’s Congress approved of a set of “extraordinary measures” ― prison and law enforcement rules aimed at limiting inmates’ communication. The gangs’ violent response to these policies, as well as internal tensions inside the country’s largest criminal organizations, can explain much of the increase in violence.</w:t>
      </w:r>
    </w:p>
    <w:p w14:paraId="19FC747B" w14:textId="77777777" w:rsidR="00C3543B" w:rsidRPr="00DC29C5" w:rsidRDefault="00C3543B" w:rsidP="00C3543B">
      <w:pPr>
        <w:rPr>
          <w:sz w:val="14"/>
        </w:rPr>
      </w:pPr>
      <w:r w:rsidRPr="00DC29C5">
        <w:rPr>
          <w:sz w:val="14"/>
        </w:rPr>
        <w:t xml:space="preserve">And </w:t>
      </w:r>
      <w:r w:rsidRPr="00DC29C5">
        <w:rPr>
          <w:rStyle w:val="StyleUnderline"/>
        </w:rPr>
        <w:t>so ever more Central Americans flee northward, in spite of the manifest dangers and intensifying border control</w:t>
      </w:r>
      <w:r w:rsidRPr="00DC29C5">
        <w:rPr>
          <w:sz w:val="14"/>
        </w:rPr>
        <w:t xml:space="preserve"> in Mexico and the U.S. In 2017, both </w:t>
      </w:r>
      <w:r w:rsidRPr="00DC29C5">
        <w:rPr>
          <w:rStyle w:val="StyleUnderline"/>
        </w:rPr>
        <w:t>countries received most of the 294,000 new asylum seekers – 58 percent more than the previous year – from Guatemala, Honduras and El Salvador</w:t>
      </w:r>
      <w:r w:rsidRPr="00DC29C5">
        <w:rPr>
          <w:sz w:val="14"/>
        </w:rPr>
        <w:t>, according to the U.N. High Commissioner for Refugees. The U.N. agency attributes the increase to more cases of “forced recruitment into armed criminal gangs and death threats” in northern Central America.</w:t>
      </w:r>
    </w:p>
    <w:p w14:paraId="050D5E97" w14:textId="77777777" w:rsidR="00C3543B" w:rsidRPr="00DC29C5" w:rsidRDefault="00C3543B" w:rsidP="00C3543B">
      <w:pPr>
        <w:rPr>
          <w:rStyle w:val="StyleUnderline"/>
        </w:rPr>
      </w:pPr>
      <w:r w:rsidRPr="00DC29C5">
        <w:rPr>
          <w:sz w:val="14"/>
        </w:rPr>
        <w:t xml:space="preserve">And yet, last week, Attorney General Jeff Sessions said that victims of gang violence no longer qualify for asylum in the U.S. This decision closes the door to thousands fleeing life-or-death situations. It could force other countries in the region like Mexico, Costa Rica and Panama to absorb the burdens of a humanitarian crisis that, in the long-term, </w:t>
      </w:r>
      <w:r w:rsidRPr="00DC29C5">
        <w:rPr>
          <w:rStyle w:val="StyleUnderline"/>
        </w:rPr>
        <w:t>will only be worsened by another wave of massive deportations from the U.S.</w:t>
      </w:r>
    </w:p>
    <w:p w14:paraId="6CF27A67" w14:textId="77777777" w:rsidR="00C3543B" w:rsidRPr="00DC29C5" w:rsidRDefault="00C3543B" w:rsidP="00C3543B">
      <w:pPr>
        <w:rPr>
          <w:rStyle w:val="StyleUnderline"/>
        </w:rPr>
      </w:pPr>
      <w:r w:rsidRPr="00DC29C5">
        <w:rPr>
          <w:sz w:val="12"/>
        </w:rPr>
        <w:t xml:space="preserve">Sure, the future wave of TPS deportees will not be made up of convicted criminals. But if the precarious security and political conditions awaiting them in their home countries are not addressed, many of these returnees are unlikely to stay long. </w:t>
      </w:r>
      <w:r w:rsidRPr="00DC29C5">
        <w:rPr>
          <w:rStyle w:val="StyleUnderline"/>
        </w:rPr>
        <w:t>This will only fuel a pernicious cycle whereby deportations swell the ranks of violent criminal groups</w:t>
      </w:r>
      <w:r w:rsidRPr="00DC29C5">
        <w:rPr>
          <w:sz w:val="12"/>
        </w:rPr>
        <w:t xml:space="preserve"> in Central America with new recruits</w:t>
      </w:r>
      <w:r w:rsidRPr="00DC29C5">
        <w:rPr>
          <w:rStyle w:val="StyleUnderline"/>
        </w:rPr>
        <w:t>, in turn forcing more people to flee north, leading to still more deportations.</w:t>
      </w:r>
    </w:p>
    <w:p w14:paraId="2D4EC06C" w14:textId="77777777" w:rsidR="00C3543B" w:rsidRPr="00DC29C5" w:rsidRDefault="00C3543B" w:rsidP="00C3543B">
      <w:pPr>
        <w:rPr>
          <w:sz w:val="14"/>
          <w:szCs w:val="14"/>
        </w:rPr>
      </w:pPr>
      <w:r w:rsidRPr="00DC29C5">
        <w:rPr>
          <w:sz w:val="14"/>
          <w:szCs w:val="14"/>
        </w:rPr>
        <w:t>The U.S. could do more to support refugee reception, especially in Latin America, so that those who have credible fears meriting safe harbor can find it. Washington could also invest more in security, justice and development across Central America by funding rehabilitation programs for gang members who want to leave criminal life (approximately 70 percent of jailed gang members in El Salvador, according to one survey).</w:t>
      </w:r>
    </w:p>
    <w:p w14:paraId="4138C494" w14:textId="77777777" w:rsidR="00C3543B" w:rsidRPr="00DC29C5" w:rsidRDefault="00C3543B" w:rsidP="00C3543B">
      <w:pPr>
        <w:rPr>
          <w:sz w:val="14"/>
          <w:szCs w:val="14"/>
        </w:rPr>
      </w:pPr>
      <w:r w:rsidRPr="00DC29C5">
        <w:rPr>
          <w:sz w:val="14"/>
          <w:szCs w:val="14"/>
        </w:rPr>
        <w:t>Against the backdrop of its inhumane zero tolerance migration policies, emphasizing these more supportive initiatives would be a good way for the U.S. to signal to its southern neighbors that it understands its stability is linked to theirs and to demonstrate its commitment to investing in their future.</w:t>
      </w:r>
    </w:p>
    <w:p w14:paraId="3C185CDE" w14:textId="2DC53774" w:rsidR="00C3543B" w:rsidRPr="00DC29C5" w:rsidRDefault="00C3543B" w:rsidP="00C3543B">
      <w:pPr>
        <w:pStyle w:val="Heading4"/>
        <w:spacing w:before="0"/>
        <w:rPr>
          <w:rFonts w:asciiTheme="minorHAnsi" w:hAnsiTheme="minorHAnsi" w:cstheme="minorHAnsi"/>
          <w:b w:val="0"/>
          <w:bCs/>
        </w:rPr>
      </w:pPr>
      <w:r>
        <w:rPr>
          <w:rFonts w:asciiTheme="minorHAnsi" w:hAnsiTheme="minorHAnsi" w:cstheme="minorHAnsi"/>
        </w:rPr>
        <w:t>That causes great power wars.</w:t>
      </w:r>
    </w:p>
    <w:p w14:paraId="0DAF822C" w14:textId="6EDFD398" w:rsidR="00C3543B" w:rsidRPr="005F6E9D" w:rsidRDefault="00C3543B" w:rsidP="00C3543B">
      <w:r>
        <w:rPr>
          <w:rStyle w:val="Style13ptBold"/>
        </w:rPr>
        <w:t>Eikenberry et al</w:t>
      </w:r>
      <w:r w:rsidR="00985763">
        <w:rPr>
          <w:rStyle w:val="Style13ptBold"/>
        </w:rPr>
        <w:t>.</w:t>
      </w:r>
      <w:r>
        <w:rPr>
          <w:rStyle w:val="Style13ptBold"/>
        </w:rPr>
        <w:t xml:space="preserve"> </w:t>
      </w:r>
      <w:r w:rsidRPr="00492466">
        <w:rPr>
          <w:rStyle w:val="Style13ptBold"/>
        </w:rPr>
        <w:t>1</w:t>
      </w:r>
      <w:r>
        <w:rPr>
          <w:rStyle w:val="Style13ptBold"/>
        </w:rPr>
        <w:t xml:space="preserve">8 </w:t>
      </w:r>
      <w:r w:rsidRPr="001A249E">
        <w:t>—</w:t>
      </w:r>
      <w:r>
        <w:rPr>
          <w:rFonts w:asciiTheme="minorHAnsi" w:hAnsiTheme="minorHAnsi" w:cstheme="minorHAnsi"/>
        </w:rPr>
        <w:t xml:space="preserve"> </w:t>
      </w:r>
      <w:r w:rsidRPr="005F6E9D">
        <w:t>Karl</w:t>
      </w:r>
      <w:r>
        <w:t xml:space="preserve"> Eikenberr</w:t>
      </w:r>
      <w:r w:rsidR="009064B8">
        <w:t xml:space="preserve">y, </w:t>
      </w:r>
      <w:r>
        <w:t xml:space="preserve">Fellow in International Security at </w:t>
      </w:r>
      <w:r w:rsidR="001A249E">
        <w:t xml:space="preserve">the CSIS, </w:t>
      </w:r>
      <w:r>
        <w:t>a faculty member of the Shorenstein Asia-Pacific Research Center at Stanford University</w:t>
      </w:r>
      <w:r w:rsidR="001A249E">
        <w:t>,</w:t>
      </w:r>
      <w:r>
        <w:t xml:space="preserve"> a National Security Fellow at the Kennedy School of Government at Harvard. Stephen Krasner</w:t>
      </w:r>
      <w:r w:rsidR="001A249E">
        <w:t xml:space="preserve">, </w:t>
      </w:r>
      <w:r>
        <w:t>the Graham H. Stuart Professor of International Studies</w:t>
      </w:r>
      <w:r w:rsidR="001A249E">
        <w:t>,</w:t>
      </w:r>
      <w:r>
        <w:t xml:space="preserve"> a PhD in political science from Harvard. (“Ending Civil Wars: Constraints &amp; Possibilities” Daedalus: Journal of the American Academy of Arts &amp; Sciences, Winter 2018 Edition. Cutting Conclusion. View at: https://www.amacad.org/daedalus/ending-civil-wars-constraints-possibilities)//JLPark</w:t>
      </w:r>
    </w:p>
    <w:p w14:paraId="21219D70" w14:textId="77777777" w:rsidR="00C3543B" w:rsidRPr="00616447" w:rsidRDefault="00C3543B" w:rsidP="00C3543B">
      <w:pPr>
        <w:rPr>
          <w:sz w:val="14"/>
        </w:rPr>
      </w:pPr>
      <w:r w:rsidRPr="00616447">
        <w:rPr>
          <w:rStyle w:val="StyleUnderline"/>
        </w:rPr>
        <w:t>Migration</w:t>
      </w:r>
      <w:r w:rsidRPr="00616447">
        <w:rPr>
          <w:sz w:val="14"/>
        </w:rPr>
        <w:t xml:space="preserve">, regional instability, and great-power conflict. Civil wars are also dangerous because they </w:t>
      </w:r>
      <w:r w:rsidRPr="00616447">
        <w:rPr>
          <w:rStyle w:val="StyleUnderline"/>
        </w:rPr>
        <w:t>could lead to greater</w:t>
      </w:r>
      <w:r w:rsidRPr="00616447">
        <w:rPr>
          <w:sz w:val="14"/>
        </w:rPr>
        <w:t xml:space="preserve"> refugee </w:t>
      </w:r>
      <w:r w:rsidRPr="00616447">
        <w:rPr>
          <w:rStyle w:val="StyleUnderline"/>
        </w:rPr>
        <w:t>flows</w:t>
      </w:r>
      <w:r w:rsidRPr="00616447">
        <w:rPr>
          <w:sz w:val="14"/>
        </w:rPr>
        <w:t xml:space="preserve">, regional destabilization, </w:t>
      </w:r>
      <w:r w:rsidRPr="00616447">
        <w:rPr>
          <w:rStyle w:val="StyleUnderline"/>
        </w:rPr>
        <w:t>and great-power conflict</w:t>
      </w:r>
      <w:r w:rsidRPr="00616447">
        <w:rPr>
          <w:sz w:val="14"/>
        </w:rPr>
        <w:t>. Not every civil war has the potential for generating these global crises, but if generated, they would be a product not just of civil strife but also of policy choices that were made by advanced industrialized countries. In this regard, they should be contrasted with possible pandemics and transnational terrorism that, arguably, would occur regardless of the policies adopted by wealthy democratic states.</w:t>
      </w:r>
    </w:p>
    <w:p w14:paraId="21A1A828" w14:textId="77777777" w:rsidR="00C3543B" w:rsidRPr="00616447" w:rsidRDefault="00C3543B" w:rsidP="00C3543B">
      <w:pPr>
        <w:rPr>
          <w:rStyle w:val="StyleUnderline"/>
        </w:rPr>
      </w:pPr>
      <w:r w:rsidRPr="00616447">
        <w:rPr>
          <w:sz w:val="14"/>
        </w:rPr>
        <w:t>As Sarah Lischer’s essay shows, the number of migrants – especially people displaced by civil wars – has increased dramatically in recent years.</w:t>
      </w:r>
      <w:hyperlink r:id="rId9" w:anchor="toNote4" w:history="1">
        <w:r w:rsidRPr="00616447">
          <w:rPr>
            <w:rStyle w:val="Hyperlink"/>
            <w:sz w:val="14"/>
          </w:rPr>
          <w:t>4</w:t>
        </w:r>
      </w:hyperlink>
      <w:r w:rsidRPr="00616447">
        <w:rPr>
          <w:sz w:val="14"/>
        </w:rPr>
        <w:t xml:space="preserve"> Most of these migrants have been generated by three conflicts, those in Afghanistan, Syria, and Somalia. </w:t>
      </w:r>
      <w:r w:rsidRPr="00616447">
        <w:rPr>
          <w:rStyle w:val="StyleUnderline"/>
        </w:rPr>
        <w:t>The wave of migrants</w:t>
      </w:r>
      <w:r w:rsidRPr="00616447">
        <w:rPr>
          <w:sz w:val="14"/>
        </w:rPr>
        <w:t xml:space="preserve"> entering Western Europe </w:t>
      </w:r>
      <w:r w:rsidRPr="00616447">
        <w:rPr>
          <w:rStyle w:val="StyleUnderline"/>
        </w:rPr>
        <w:t xml:space="preserve">has </w:t>
      </w:r>
      <w:r w:rsidRPr="00616447">
        <w:rPr>
          <w:rStyle w:val="Emphasis"/>
        </w:rPr>
        <w:t>destabilized traditional politics</w:t>
      </w:r>
      <w:r w:rsidRPr="00616447">
        <w:rPr>
          <w:rStyle w:val="StyleUnderline"/>
        </w:rPr>
        <w:t xml:space="preserve"> and</w:t>
      </w:r>
      <w:r w:rsidRPr="00616447">
        <w:rPr>
          <w:sz w:val="14"/>
        </w:rPr>
        <w:t xml:space="preserve"> contributed to the success of Brexit in the UK, the </w:t>
      </w:r>
      <w:r w:rsidRPr="00616447">
        <w:rPr>
          <w:rStyle w:val="StyleUnderline"/>
        </w:rPr>
        <w:t>increased</w:t>
      </w:r>
      <w:r w:rsidRPr="00616447">
        <w:rPr>
          <w:sz w:val="14"/>
        </w:rPr>
        <w:t xml:space="preserve"> share of votes secured by </w:t>
      </w:r>
      <w:r w:rsidRPr="00616447">
        <w:rPr>
          <w:rStyle w:val="StyleUnderline"/>
        </w:rPr>
        <w:t>right-wing parties</w:t>
      </w:r>
      <w:r w:rsidRPr="00616447">
        <w:rPr>
          <w:sz w:val="14"/>
        </w:rPr>
        <w:t xml:space="preserve"> in a number of Western European countries, and the electoral gains of a number of right-wing parties in Eastern Europe. Anxiety about immigration contributed to Donald Trump’s victory in the United States. European countries, even those on the left like Sweden, have responded to rising numbers of refugees by tightening the rules for potential migrants. The European Union reached a deal with Turkey in 2016 to provide financial resources in exchange – among other things – for an increase in acceptance of refugees. At the same time, </w:t>
      </w:r>
      <w:r w:rsidRPr="00616447">
        <w:rPr>
          <w:rStyle w:val="StyleUnderline"/>
        </w:rPr>
        <w:t>the sheer number</w:t>
      </w:r>
      <w:r w:rsidRPr="00616447">
        <w:rPr>
          <w:sz w:val="14"/>
        </w:rPr>
        <w:t xml:space="preserve"> of refugees in Jordan and Lebanon </w:t>
      </w:r>
      <w:r w:rsidRPr="00616447">
        <w:rPr>
          <w:rStyle w:val="StyleUnderline"/>
        </w:rPr>
        <w:t>can potentially undermine government control in those countries.</w:t>
      </w:r>
    </w:p>
    <w:p w14:paraId="51BCD189" w14:textId="77777777" w:rsidR="00C3543B" w:rsidRPr="00616447" w:rsidRDefault="00C3543B" w:rsidP="00C3543B">
      <w:pPr>
        <w:rPr>
          <w:sz w:val="14"/>
        </w:rPr>
      </w:pPr>
      <w:r w:rsidRPr="00616447">
        <w:rPr>
          <w:rStyle w:val="StyleUnderline"/>
        </w:rPr>
        <w:t xml:space="preserve">The impact of civil wars in one country </w:t>
      </w:r>
      <w:r w:rsidRPr="00616447">
        <w:rPr>
          <w:rStyle w:val="Emphasis"/>
        </w:rPr>
        <w:t>can spread to surrounding areas</w:t>
      </w:r>
      <w:r w:rsidRPr="00616447">
        <w:rPr>
          <w:sz w:val="14"/>
        </w:rPr>
        <w:t>. ISIL’s ambitious campaigns have afflicted Syria and Iraq. Civil strife in Somalia has, as Seyoum Mesfin and Abdeta Beyene write, influenced the policies of Ethiopia.</w:t>
      </w:r>
      <w:hyperlink r:id="rId10" w:anchor="toNote5" w:history="1">
        <w:r w:rsidRPr="00616447">
          <w:rPr>
            <w:rStyle w:val="Hyperlink"/>
            <w:sz w:val="14"/>
          </w:rPr>
          <w:t>5</w:t>
        </w:r>
      </w:hyperlink>
      <w:r w:rsidRPr="00616447">
        <w:rPr>
          <w:sz w:val="14"/>
        </w:rPr>
        <w:t xml:space="preserve"> The FARC insurgency in Colombia impacted Venezuela and Ecuador. </w:t>
      </w:r>
      <w:r w:rsidRPr="00616447">
        <w:rPr>
          <w:rStyle w:val="StyleUnderline"/>
        </w:rPr>
        <w:t>Conflict</w:t>
      </w:r>
      <w:r w:rsidRPr="00616447">
        <w:rPr>
          <w:sz w:val="14"/>
        </w:rPr>
        <w:t xml:space="preserve"> in the Democratic Republic of the Congo (DRC) </w:t>
      </w:r>
      <w:r w:rsidRPr="00616447">
        <w:rPr>
          <w:rStyle w:val="StyleUnderline"/>
        </w:rPr>
        <w:t xml:space="preserve">drew in several neighboring states. Some regional conflicts have </w:t>
      </w:r>
      <w:r w:rsidRPr="00616447">
        <w:rPr>
          <w:rStyle w:val="Emphasis"/>
        </w:rPr>
        <w:t>resulted in millions of deaths</w:t>
      </w:r>
      <w:r w:rsidRPr="00616447">
        <w:rPr>
          <w:sz w:val="14"/>
        </w:rPr>
        <w:t xml:space="preserve">, most notably the war in the DRC, with limited impact on and attention from wealthy industrialized countries. </w:t>
      </w:r>
      <w:r w:rsidRPr="00616447">
        <w:rPr>
          <w:rStyle w:val="StyleUnderline"/>
        </w:rPr>
        <w:t>Wars</w:t>
      </w:r>
      <w:r w:rsidRPr="00616447">
        <w:rPr>
          <w:sz w:val="14"/>
        </w:rPr>
        <w:t xml:space="preserve"> in the Middle East, however, </w:t>
      </w:r>
      <w:r w:rsidRPr="00616447">
        <w:rPr>
          <w:rStyle w:val="StyleUnderline"/>
        </w:rPr>
        <w:t>have been more consequential because they have led to the involvement of Russia and the U</w:t>
      </w:r>
      <w:r w:rsidRPr="00616447">
        <w:rPr>
          <w:sz w:val="14"/>
        </w:rPr>
        <w:t xml:space="preserve">nited </w:t>
      </w:r>
      <w:r w:rsidRPr="00616447">
        <w:rPr>
          <w:rStyle w:val="StyleUnderline"/>
        </w:rPr>
        <w:t>S</w:t>
      </w:r>
      <w:r w:rsidRPr="00616447">
        <w:rPr>
          <w:sz w:val="14"/>
        </w:rPr>
        <w:t>tates, they are closer to Europe and have therefore generated more refugees, and Middle Eastern oil is a global commodity on which much of the world depends. Regional destabilization in the Middle East does matter for the West; regional destabilization in Central Africa may only matter for those who live in the neighborhood.</w:t>
      </w:r>
    </w:p>
    <w:p w14:paraId="53BF47CA" w14:textId="77777777" w:rsidR="00C3543B" w:rsidRPr="00616447" w:rsidRDefault="00C3543B" w:rsidP="00C3543B">
      <w:pPr>
        <w:rPr>
          <w:sz w:val="14"/>
        </w:rPr>
      </w:pPr>
      <w:r w:rsidRPr="00616447">
        <w:rPr>
          <w:sz w:val="14"/>
        </w:rPr>
        <w:t xml:space="preserve">Direct confrontation between major powers has not occurred since the end of World War II. </w:t>
      </w:r>
      <w:r w:rsidRPr="00616447">
        <w:rPr>
          <w:rStyle w:val="StyleUnderline"/>
        </w:rPr>
        <w:t>In well-governed areas</w:t>
      </w:r>
      <w:r w:rsidRPr="00616447">
        <w:rPr>
          <w:sz w:val="14"/>
        </w:rPr>
        <w:t xml:space="preserve">, where civil wars are absent, </w:t>
      </w:r>
      <w:r w:rsidRPr="00616447">
        <w:rPr>
          <w:rStyle w:val="StyleUnderline"/>
        </w:rPr>
        <w:t>the likelihood of great-power conflict is small</w:t>
      </w:r>
      <w:r w:rsidRPr="00616447">
        <w:rPr>
          <w:sz w:val="14"/>
        </w:rPr>
        <w:t xml:space="preserve">. Territorial conquest has been delegitimized (though Russia’s annexation of Crimea stands as a recent exception to this norm). </w:t>
      </w:r>
      <w:r w:rsidRPr="00616447">
        <w:rPr>
          <w:rStyle w:val="StyleUnderline"/>
        </w:rPr>
        <w:t>The existence of nuclear weapons has removed uncertainty about the costs of a confrontation between nuclear-armed states</w:t>
      </w:r>
      <w:r w:rsidRPr="00616447">
        <w:rPr>
          <w:sz w:val="14"/>
        </w:rPr>
        <w:t xml:space="preserve"> with assured second-strike capability. </w:t>
      </w:r>
      <w:r w:rsidRPr="00616447">
        <w:rPr>
          <w:rStyle w:val="StyleUnderline"/>
        </w:rPr>
        <w:t>Great-power confrontations are</w:t>
      </w:r>
      <w:r w:rsidRPr="00616447">
        <w:rPr>
          <w:sz w:val="14"/>
        </w:rPr>
        <w:t xml:space="preserve">, however, </w:t>
      </w:r>
      <w:r w:rsidRPr="00616447">
        <w:rPr>
          <w:rStyle w:val="StyleUnderline"/>
        </w:rPr>
        <w:t xml:space="preserve">more likely in </w:t>
      </w:r>
      <w:r w:rsidRPr="00616447">
        <w:rPr>
          <w:rStyle w:val="Emphasis"/>
        </w:rPr>
        <w:t>areas that are afflicted by civil strife</w:t>
      </w:r>
      <w:r w:rsidRPr="00616447">
        <w:rPr>
          <w:sz w:val="14"/>
        </w:rPr>
        <w:t xml:space="preserve">, </w:t>
      </w:r>
      <w:r w:rsidRPr="00616447">
        <w:rPr>
          <w:rStyle w:val="StyleUnderline"/>
        </w:rPr>
        <w:t xml:space="preserve">because instability and appeals from local actors could draw in </w:t>
      </w:r>
      <w:r w:rsidRPr="00616447">
        <w:rPr>
          <w:rStyle w:val="Emphasis"/>
        </w:rPr>
        <w:t>major state actors with vested interests</w:t>
      </w:r>
      <w:r w:rsidRPr="00616447">
        <w:rPr>
          <w:sz w:val="14"/>
        </w:rPr>
        <w:t xml:space="preserve">. This is especially true for the Middle East. Moreover, in countries on the periphery of Russia that were formerly part of the Soviet Union, especially those with sizeable Russian ethnic populations, the government in Moscow has demonstrated that it can increase the level of internal unrest. </w:t>
      </w:r>
      <w:r w:rsidRPr="00616447">
        <w:rPr>
          <w:rStyle w:val="StyleUnderline"/>
        </w:rPr>
        <w:t>There is no guarantee of stability</w:t>
      </w:r>
      <w:r w:rsidRPr="00616447">
        <w:rPr>
          <w:sz w:val="14"/>
        </w:rPr>
        <w:t>, even in countries that might have been stable absent external support for dissident groups that would otherwise have remained quiescent.</w:t>
      </w:r>
    </w:p>
    <w:p w14:paraId="4C63850E" w14:textId="03B7CD1D" w:rsidR="00C3543B" w:rsidRPr="000B26B7" w:rsidRDefault="00C3543B" w:rsidP="00CF5793">
      <w:pPr>
        <w:rPr>
          <w:sz w:val="14"/>
        </w:rPr>
      </w:pPr>
      <w:r w:rsidRPr="00616447">
        <w:rPr>
          <w:sz w:val="14"/>
        </w:rPr>
        <w:t xml:space="preserve">As Barry </w:t>
      </w:r>
      <w:r w:rsidRPr="00616447">
        <w:rPr>
          <w:rStyle w:val="StyleUnderline"/>
        </w:rPr>
        <w:t>Posen suggests</w:t>
      </w:r>
      <w:r w:rsidRPr="00616447">
        <w:rPr>
          <w:sz w:val="14"/>
        </w:rPr>
        <w:t xml:space="preserve"> in his essay, </w:t>
      </w:r>
      <w:r w:rsidRPr="00616447">
        <w:rPr>
          <w:rStyle w:val="Emphasis"/>
        </w:rPr>
        <w:t>multipolarity</w:t>
      </w:r>
      <w:r w:rsidRPr="00616447">
        <w:rPr>
          <w:rStyle w:val="StyleUnderline"/>
        </w:rPr>
        <w:t xml:space="preserve"> makes</w:t>
      </w:r>
      <w:r w:rsidRPr="00616447">
        <w:rPr>
          <w:sz w:val="14"/>
        </w:rPr>
        <w:t xml:space="preserve"> all aspects of </w:t>
      </w:r>
      <w:r w:rsidRPr="00616447">
        <w:rPr>
          <w:rStyle w:val="StyleUnderline"/>
        </w:rPr>
        <w:t>external involvement in</w:t>
      </w:r>
      <w:r w:rsidRPr="00616447">
        <w:rPr>
          <w:sz w:val="14"/>
        </w:rPr>
        <w:t xml:space="preserve"> civil </w:t>
      </w:r>
      <w:r w:rsidRPr="00616447">
        <w:rPr>
          <w:rStyle w:val="StyleUnderline"/>
        </w:rPr>
        <w:t>wars more fraught</w:t>
      </w:r>
      <w:r w:rsidRPr="00616447">
        <w:rPr>
          <w:sz w:val="14"/>
        </w:rPr>
        <w:t xml:space="preserve">, </w:t>
      </w:r>
      <w:r w:rsidRPr="00616447">
        <w:rPr>
          <w:rStyle w:val="StyleUnderline"/>
        </w:rPr>
        <w:t>including the possibility of a conflict among the major powers</w:t>
      </w:r>
      <w:r w:rsidRPr="00616447">
        <w:rPr>
          <w:sz w:val="14"/>
        </w:rPr>
        <w:t>.</w:t>
      </w:r>
      <w:hyperlink r:id="rId11" w:anchor="toNote6" w:history="1">
        <w:r w:rsidRPr="00616447">
          <w:rPr>
            <w:rStyle w:val="Hyperlink"/>
            <w:sz w:val="14"/>
          </w:rPr>
          <w:t>6</w:t>
        </w:r>
      </w:hyperlink>
      <w:r w:rsidRPr="00616447">
        <w:rPr>
          <w:sz w:val="14"/>
        </w:rPr>
        <w:t> </w:t>
      </w:r>
      <w:r w:rsidRPr="00616447">
        <w:rPr>
          <w:rStyle w:val="StyleUnderline"/>
        </w:rPr>
        <w:t>In a multipolar world, no single pole is likely to be able to dictate outcomes to potential combatants. The possibility of</w:t>
      </w:r>
      <w:r w:rsidRPr="00616447">
        <w:rPr>
          <w:sz w:val="14"/>
        </w:rPr>
        <w:t xml:space="preserve"> a hurting </w:t>
      </w:r>
      <w:r w:rsidRPr="00616447">
        <w:rPr>
          <w:rStyle w:val="StyleUnderline"/>
        </w:rPr>
        <w:t>stalemate declines because all sides hope that their fortunes could be resurrected by some outside power</w:t>
      </w:r>
      <w:r w:rsidRPr="00616447">
        <w:rPr>
          <w:sz w:val="14"/>
        </w:rPr>
        <w:t xml:space="preserve">. Absent a hurting stalemate, which makes the standard treatment including UN Peacekeeping Operations (UN PKOs) and other forms of assistance attractive to major combatants, civil </w:t>
      </w:r>
      <w:r w:rsidRPr="00616447">
        <w:rPr>
          <w:rStyle w:val="StyleUnderline"/>
        </w:rPr>
        <w:t>wars are more likely to continue. The contemporary international environment is more multipolar</w:t>
      </w:r>
      <w:r w:rsidRPr="00616447">
        <w:rPr>
          <w:sz w:val="14"/>
        </w:rPr>
        <w:t xml:space="preserve"> than was the case during the bipolarity of the Cold War or the unipolarity of the United States that lasted for a little over a decade after the Soviet Union collapsed. Managing civil wars will now be more difficult. </w:t>
      </w:r>
      <w:r w:rsidRPr="00616447">
        <w:rPr>
          <w:rStyle w:val="StyleUnderline"/>
        </w:rPr>
        <w:t>The poss</w:t>
      </w:r>
      <w:r w:rsidRPr="00616447">
        <w:rPr>
          <w:rStyle w:val="Emphasis"/>
        </w:rPr>
        <w:t>ibility of great-power conflict has increased.</w:t>
      </w:r>
      <w:r w:rsidRPr="00616447">
        <w:rPr>
          <w:rStyle w:val="StyleUnderline"/>
        </w:rPr>
        <w:t xml:space="preserve"> And because wars will prove harder to end</w:t>
      </w:r>
      <w:r w:rsidRPr="00616447">
        <w:rPr>
          <w:sz w:val="14"/>
        </w:rPr>
        <w:t>, refugee</w:t>
      </w:r>
      <w:r w:rsidRPr="00616447">
        <w:rPr>
          <w:rStyle w:val="StyleUnderline"/>
        </w:rPr>
        <w:t xml:space="preserve"> flows will persist.</w:t>
      </w:r>
    </w:p>
    <w:p w14:paraId="5D8CEBE1" w14:textId="28183E15" w:rsidR="00C8282D" w:rsidRDefault="00C8282D" w:rsidP="00C8282D">
      <w:pPr>
        <w:pStyle w:val="Heading4"/>
      </w:pPr>
      <w:r>
        <w:t xml:space="preserve">The plan incites a </w:t>
      </w:r>
      <w:r>
        <w:rPr>
          <w:u w:val="single"/>
        </w:rPr>
        <w:t>culture of judicial vigilance</w:t>
      </w:r>
      <w:r>
        <w:t xml:space="preserve"> while falling </w:t>
      </w:r>
      <w:r w:rsidRPr="00C8282D">
        <w:rPr>
          <w:u w:val="single"/>
        </w:rPr>
        <w:t>in line</w:t>
      </w:r>
      <w:r>
        <w:t xml:space="preserve"> with </w:t>
      </w:r>
      <w:r w:rsidRPr="00C8282D">
        <w:rPr>
          <w:i/>
          <w:iCs w:val="0"/>
        </w:rPr>
        <w:t>Chevron’s</w:t>
      </w:r>
      <w:r>
        <w:t xml:space="preserve"> </w:t>
      </w:r>
      <w:r>
        <w:rPr>
          <w:u w:val="single"/>
        </w:rPr>
        <w:t>very justifications</w:t>
      </w:r>
      <w:r>
        <w:t>.</w:t>
      </w:r>
    </w:p>
    <w:p w14:paraId="0241F753" w14:textId="77777777" w:rsidR="00C8282D" w:rsidRDefault="00C8282D" w:rsidP="00C8282D">
      <w:r w:rsidRPr="00C8282D">
        <w:rPr>
          <w:rStyle w:val="Style13ptBold"/>
        </w:rPr>
        <w:t>Safstrom 19</w:t>
      </w:r>
      <w:r>
        <w:t xml:space="preserve"> – Jennifer Safstrom, JD at Georgetown University in 2018 (already earned at time of writing), Dunn Legal Fellow for the American Civil Liberties Union of Virginia. [An Analysis of the Applications and Implications of Chevron Deference in Immigration, Georgetown Immigration Law Journal, 34(1), https://www.law.georgetown.edu/immigration-law-journal/wp-content/uploads/sites/19/2020/01/GT-GILJ190044.pdf]//BPS</w:t>
      </w:r>
    </w:p>
    <w:p w14:paraId="7164EF3C" w14:textId="77777777" w:rsidR="00C8282D" w:rsidRPr="004E5101" w:rsidRDefault="00C8282D" w:rsidP="00C8282D">
      <w:pPr>
        <w:rPr>
          <w:sz w:val="16"/>
        </w:rPr>
      </w:pPr>
      <w:r w:rsidRPr="004E5101">
        <w:rPr>
          <w:sz w:val="16"/>
        </w:rPr>
        <w:t xml:space="preserve">B. </w:t>
      </w:r>
      <w:r w:rsidRPr="00BA45DC">
        <w:rPr>
          <w:rStyle w:val="Emphasis"/>
        </w:rPr>
        <w:t>Incorporation</w:t>
      </w:r>
      <w:r w:rsidRPr="004E5101">
        <w:rPr>
          <w:sz w:val="16"/>
        </w:rPr>
        <w:t xml:space="preserve"> of the Immigration Rule </w:t>
      </w:r>
      <w:r w:rsidRPr="00BA45DC">
        <w:rPr>
          <w:rStyle w:val="StyleUnderline"/>
        </w:rPr>
        <w:t>of Lenity</w:t>
      </w:r>
    </w:p>
    <w:p w14:paraId="483AD7BE" w14:textId="77777777" w:rsidR="00C8282D" w:rsidRPr="004E5101" w:rsidRDefault="00C8282D" w:rsidP="00C8282D">
      <w:pPr>
        <w:rPr>
          <w:sz w:val="16"/>
        </w:rPr>
      </w:pPr>
      <w:r w:rsidRPr="004E5101">
        <w:rPr>
          <w:sz w:val="16"/>
        </w:rPr>
        <w:t xml:space="preserve">The immigration rule of lenity doctrine99 originated in the Supreme Court’s Fong Haw Tan v. Phelan decision, in which the Court had to have adopted a variety of approaches in applying these principles to statutory interpretation issues in the immigration context. One scholar categorized the various approaches that courts have followed: </w:t>
      </w:r>
    </w:p>
    <w:p w14:paraId="1473731C" w14:textId="77777777" w:rsidR="00C8282D" w:rsidRPr="004E5101" w:rsidRDefault="00C8282D" w:rsidP="00C8282D">
      <w:pPr>
        <w:ind w:left="720"/>
        <w:rPr>
          <w:sz w:val="16"/>
        </w:rPr>
      </w:pPr>
      <w:r w:rsidRPr="004E5101">
        <w:rPr>
          <w:sz w:val="16"/>
        </w:rPr>
        <w:t xml:space="preserve">(1) applying Chevron and ignoring the rule of lenity; (2) applying the rule of lenity and ignoring Chevron; (3) recognizing both doctrines and not deferring to the agency’s interpretation because the statute was clear on its face; (4) recognizing both doctrines and rejecting the principle of lenity because the statute was clear on its face; (5) applying the rule of lenity where Chevron was found not to apply; (6) considering the rule of lenity at Chevron’s first step in determining whether Congress’s intent was clear; (7) considering the rule of lenity at Chevron’s second step in determining whether the agency’s interpretation was reasonable; (8) applying Chevron deference and finding that the rule of lenity did not apply at step two because the agency’s interpretation was otherwise reasonable; and (9) employing the rule of lenity after determining that the agency’s construction was unreasonable.108 </w:t>
      </w:r>
    </w:p>
    <w:p w14:paraId="2C13BFE8" w14:textId="77777777" w:rsidR="00C8282D" w:rsidRPr="004E5101" w:rsidRDefault="00C8282D" w:rsidP="00C8282D">
      <w:pPr>
        <w:rPr>
          <w:sz w:val="16"/>
        </w:rPr>
      </w:pPr>
      <w:r w:rsidRPr="00456038">
        <w:rPr>
          <w:rStyle w:val="StyleUnderline"/>
          <w:highlight w:val="cyan"/>
        </w:rPr>
        <w:t>Courts</w:t>
      </w:r>
      <w:r w:rsidRPr="004E5101">
        <w:rPr>
          <w:sz w:val="16"/>
        </w:rPr>
        <w:t xml:space="preserve"> have </w:t>
      </w:r>
      <w:r w:rsidRPr="00456038">
        <w:rPr>
          <w:rStyle w:val="StyleUnderline"/>
          <w:highlight w:val="cyan"/>
        </w:rPr>
        <w:t>adopted</w:t>
      </w:r>
      <w:r w:rsidRPr="004A4CD2">
        <w:rPr>
          <w:rStyle w:val="StyleUnderline"/>
        </w:rPr>
        <w:t xml:space="preserve"> “just about </w:t>
      </w:r>
      <w:r w:rsidRPr="00456038">
        <w:rPr>
          <w:rStyle w:val="Emphasis"/>
          <w:highlight w:val="cyan"/>
        </w:rPr>
        <w:t>every</w:t>
      </w:r>
      <w:r w:rsidRPr="004A4CD2">
        <w:rPr>
          <w:rStyle w:val="Emphasis"/>
        </w:rPr>
        <w:t xml:space="preserve"> conceivable </w:t>
      </w:r>
      <w:r w:rsidRPr="00456038">
        <w:rPr>
          <w:rStyle w:val="Emphasis"/>
          <w:highlight w:val="cyan"/>
        </w:rPr>
        <w:t>approach</w:t>
      </w:r>
      <w:r w:rsidRPr="004E5101">
        <w:rPr>
          <w:sz w:val="16"/>
        </w:rPr>
        <w:t xml:space="preserve"> [that] has been </w:t>
      </w:r>
      <w:r w:rsidRPr="004A4CD2">
        <w:rPr>
          <w:rStyle w:val="StyleUnderline"/>
        </w:rPr>
        <w:t xml:space="preserve">employed or </w:t>
      </w:r>
      <w:r w:rsidRPr="00456038">
        <w:rPr>
          <w:rStyle w:val="StyleUnderline"/>
          <w:highlight w:val="cyan"/>
        </w:rPr>
        <w:t>suggested</w:t>
      </w:r>
      <w:r w:rsidRPr="004A4CD2">
        <w:rPr>
          <w:rStyle w:val="StyleUnderline"/>
        </w:rPr>
        <w:t xml:space="preserve"> by the circuit[s]” in assessing the application of these doctrines in the </w:t>
      </w:r>
      <w:r w:rsidRPr="004A4CD2">
        <w:rPr>
          <w:rStyle w:val="Emphasis"/>
        </w:rPr>
        <w:t>immigration context</w:t>
      </w:r>
      <w:r w:rsidRPr="004E5101">
        <w:rPr>
          <w:sz w:val="16"/>
        </w:rPr>
        <w:t xml:space="preserve">.109 Under these varying approaches, </w:t>
      </w:r>
      <w:r w:rsidRPr="00BA45DC">
        <w:rPr>
          <w:rStyle w:val="StyleUnderline"/>
        </w:rPr>
        <w:t xml:space="preserve">it is </w:t>
      </w:r>
      <w:r w:rsidRPr="00BA45DC">
        <w:rPr>
          <w:rStyle w:val="Emphasis"/>
        </w:rPr>
        <w:t>unclear</w:t>
      </w:r>
      <w:r w:rsidRPr="00BA45DC">
        <w:rPr>
          <w:rStyle w:val="StyleUnderline"/>
        </w:rPr>
        <w:t xml:space="preserve"> wheth</w:t>
      </w:r>
      <w:r w:rsidRPr="004A4CD2">
        <w:rPr>
          <w:rStyle w:val="StyleUnderline"/>
        </w:rPr>
        <w:t xml:space="preserve">er courts should consider lenity </w:t>
      </w:r>
      <w:r w:rsidRPr="004A4CD2">
        <w:rPr>
          <w:rStyle w:val="Emphasis"/>
        </w:rPr>
        <w:t>separately</w:t>
      </w:r>
      <w:r w:rsidRPr="004E5101">
        <w:rPr>
          <w:sz w:val="16"/>
        </w:rPr>
        <w:t xml:space="preserve"> from Chevron, </w:t>
      </w:r>
      <w:r w:rsidRPr="004A4CD2">
        <w:rPr>
          <w:rStyle w:val="StyleUnderline"/>
        </w:rPr>
        <w:t>during</w:t>
      </w:r>
      <w:r w:rsidRPr="004E5101">
        <w:rPr>
          <w:sz w:val="16"/>
        </w:rPr>
        <w:t xml:space="preserve"> Chevron </w:t>
      </w:r>
      <w:r w:rsidRPr="004A4CD2">
        <w:rPr>
          <w:rStyle w:val="StyleUnderline"/>
        </w:rPr>
        <w:t>Step One</w:t>
      </w:r>
      <w:r w:rsidRPr="004E5101">
        <w:rPr>
          <w:sz w:val="16"/>
        </w:rPr>
        <w:t xml:space="preserve"> as a guide to legislative intent, </w:t>
      </w:r>
      <w:r w:rsidRPr="004A4CD2">
        <w:rPr>
          <w:rStyle w:val="StyleUnderline"/>
        </w:rPr>
        <w:t>or</w:t>
      </w:r>
      <w:r w:rsidRPr="004E5101">
        <w:rPr>
          <w:sz w:val="16"/>
        </w:rPr>
        <w:t xml:space="preserve"> during Chevron </w:t>
      </w:r>
      <w:r w:rsidRPr="004A4CD2">
        <w:rPr>
          <w:rStyle w:val="StyleUnderline"/>
        </w:rPr>
        <w:t>Step Two</w:t>
      </w:r>
      <w:r w:rsidRPr="004E5101">
        <w:rPr>
          <w:sz w:val="16"/>
        </w:rPr>
        <w:t xml:space="preserve"> “as one factor in determining whether the agency’s interpretation is reasonable.”110 </w:t>
      </w:r>
    </w:p>
    <w:p w14:paraId="0CB5ECBE" w14:textId="77777777" w:rsidR="00C8282D" w:rsidRPr="004E5101" w:rsidRDefault="00C8282D" w:rsidP="00C8282D">
      <w:pPr>
        <w:rPr>
          <w:sz w:val="16"/>
        </w:rPr>
      </w:pPr>
      <w:r w:rsidRPr="00456038">
        <w:rPr>
          <w:rStyle w:val="StyleUnderline"/>
          <w:highlight w:val="cyan"/>
        </w:rPr>
        <w:t>Despite</w:t>
      </w:r>
      <w:r w:rsidRPr="004A4CD2">
        <w:rPr>
          <w:rStyle w:val="StyleUnderline"/>
        </w:rPr>
        <w:t xml:space="preserve"> this </w:t>
      </w:r>
      <w:r w:rsidRPr="004A4CD2">
        <w:rPr>
          <w:rStyle w:val="Emphasis"/>
        </w:rPr>
        <w:t xml:space="preserve">methodological </w:t>
      </w:r>
      <w:r w:rsidRPr="00456038">
        <w:rPr>
          <w:rStyle w:val="Emphasis"/>
          <w:highlight w:val="cyan"/>
        </w:rPr>
        <w:t>confusion</w:t>
      </w:r>
      <w:r w:rsidRPr="00456038">
        <w:rPr>
          <w:rStyle w:val="StyleUnderline"/>
          <w:highlight w:val="cyan"/>
        </w:rPr>
        <w:t xml:space="preserve">, courts should </w:t>
      </w:r>
      <w:r w:rsidRPr="00456038">
        <w:rPr>
          <w:rStyle w:val="Emphasis"/>
          <w:highlight w:val="cyan"/>
        </w:rPr>
        <w:t>apply</w:t>
      </w:r>
      <w:r w:rsidRPr="00BA45DC">
        <w:rPr>
          <w:rStyle w:val="Emphasis"/>
        </w:rPr>
        <w:t xml:space="preserve"> a simple</w:t>
      </w:r>
      <w:r w:rsidRPr="004A4CD2">
        <w:rPr>
          <w:rStyle w:val="Emphasis"/>
        </w:rPr>
        <w:t xml:space="preserve"> principle</w:t>
      </w:r>
      <w:r w:rsidRPr="004A4CD2">
        <w:rPr>
          <w:rStyle w:val="StyleUnderline"/>
        </w:rPr>
        <w:t xml:space="preserve">: </w:t>
      </w:r>
      <w:r w:rsidRPr="00456038">
        <w:rPr>
          <w:rStyle w:val="StyleUnderline"/>
          <w:highlight w:val="cyan"/>
        </w:rPr>
        <w:t xml:space="preserve">lenity </w:t>
      </w:r>
      <w:r w:rsidRPr="00456038">
        <w:rPr>
          <w:rStyle w:val="Emphasis"/>
          <w:highlight w:val="cyan"/>
        </w:rPr>
        <w:t>supersedes</w:t>
      </w:r>
      <w:r w:rsidRPr="00456038">
        <w:rPr>
          <w:rStyle w:val="StyleUnderline"/>
          <w:highlight w:val="cyan"/>
        </w:rPr>
        <w:t xml:space="preserve"> deference</w:t>
      </w:r>
      <w:r w:rsidRPr="004A4CD2">
        <w:rPr>
          <w:rStyle w:val="StyleUnderline"/>
        </w:rPr>
        <w:t>.</w:t>
      </w:r>
      <w:r w:rsidRPr="004E5101">
        <w:rPr>
          <w:sz w:val="16"/>
        </w:rPr>
        <w:t xml:space="preserve"> Courts have </w:t>
      </w:r>
      <w:r w:rsidRPr="004A4CD2">
        <w:rPr>
          <w:rStyle w:val="StyleUnderline"/>
        </w:rPr>
        <w:t>applied</w:t>
      </w:r>
      <w:r w:rsidRPr="004E5101">
        <w:rPr>
          <w:sz w:val="16"/>
        </w:rPr>
        <w:t xml:space="preserve"> the principle of </w:t>
      </w:r>
      <w:r w:rsidRPr="004A4CD2">
        <w:rPr>
          <w:rStyle w:val="StyleUnderline"/>
        </w:rPr>
        <w:t xml:space="preserve">lenity, “[d]espite </w:t>
      </w:r>
      <w:r w:rsidRPr="004A4CD2">
        <w:rPr>
          <w:rStyle w:val="Emphasis"/>
        </w:rPr>
        <w:t xml:space="preserve">the </w:t>
      </w:r>
      <w:r w:rsidRPr="00456038">
        <w:rPr>
          <w:rStyle w:val="Emphasis"/>
          <w:highlight w:val="cyan"/>
        </w:rPr>
        <w:t>extreme</w:t>
      </w:r>
      <w:r w:rsidRPr="004A4CD2">
        <w:rPr>
          <w:rStyle w:val="Emphasis"/>
        </w:rPr>
        <w:t xml:space="preserve"> judicial </w:t>
      </w:r>
      <w:r w:rsidRPr="00456038">
        <w:rPr>
          <w:rStyle w:val="Emphasis"/>
          <w:highlight w:val="cyan"/>
        </w:rPr>
        <w:t>deference</w:t>
      </w:r>
      <w:r w:rsidRPr="004E5101">
        <w:rPr>
          <w:sz w:val="16"/>
        </w:rPr>
        <w:t xml:space="preserve"> traditionally </w:t>
      </w:r>
      <w:r w:rsidRPr="004A4CD2">
        <w:rPr>
          <w:rStyle w:val="StyleUnderline"/>
        </w:rPr>
        <w:t>given the political branches in immigration matters</w:t>
      </w:r>
      <w:r w:rsidRPr="004E5101">
        <w:rPr>
          <w:sz w:val="16"/>
        </w:rPr>
        <w:t xml:space="preserve"> . . . </w:t>
      </w:r>
      <w:r w:rsidRPr="004A4CD2">
        <w:rPr>
          <w:rStyle w:val="StyleUnderline"/>
        </w:rPr>
        <w:t xml:space="preserve">in light of </w:t>
      </w:r>
      <w:r w:rsidRPr="004A4CD2">
        <w:rPr>
          <w:rStyle w:val="Emphasis"/>
        </w:rPr>
        <w:t>the harshness of deportation</w:t>
      </w:r>
      <w:r w:rsidRPr="004A4CD2">
        <w:rPr>
          <w:rStyle w:val="StyleUnderline"/>
        </w:rPr>
        <w:t>.”</w:t>
      </w:r>
      <w:r w:rsidRPr="004E5101">
        <w:rPr>
          <w:sz w:val="16"/>
        </w:rPr>
        <w:t xml:space="preserve">111 </w:t>
      </w:r>
      <w:r w:rsidRPr="004A4CD2">
        <w:rPr>
          <w:rStyle w:val="StyleUnderline"/>
        </w:rPr>
        <w:t xml:space="preserve">It is </w:t>
      </w:r>
      <w:r w:rsidRPr="004A4CD2">
        <w:rPr>
          <w:rStyle w:val="Emphasis"/>
        </w:rPr>
        <w:t>wrong</w:t>
      </w:r>
      <w:r w:rsidRPr="004A4CD2">
        <w:rPr>
          <w:rStyle w:val="StyleUnderline"/>
        </w:rPr>
        <w:t xml:space="preserve"> to suggest</w:t>
      </w:r>
      <w:r w:rsidRPr="004E5101">
        <w:rPr>
          <w:sz w:val="16"/>
        </w:rPr>
        <w:t xml:space="preserve"> that </w:t>
      </w:r>
      <w:r w:rsidRPr="004A4CD2">
        <w:rPr>
          <w:rStyle w:val="StyleUnderline"/>
        </w:rPr>
        <w:t xml:space="preserve">courts may only “consider the rule of lenity in construing the statute in favor of aliens </w:t>
      </w:r>
      <w:r w:rsidRPr="004A4CD2">
        <w:rPr>
          <w:rStyle w:val="Emphasis"/>
        </w:rPr>
        <w:t>if, and only if</w:t>
      </w:r>
      <w:r w:rsidRPr="004A4CD2">
        <w:rPr>
          <w:rStyle w:val="StyleUnderline"/>
        </w:rPr>
        <w:t xml:space="preserve">, the agency’s interpretation is </w:t>
      </w:r>
      <w:r w:rsidRPr="004A4CD2">
        <w:rPr>
          <w:rStyle w:val="Emphasis"/>
        </w:rPr>
        <w:t>unreasonable</w:t>
      </w:r>
      <w:r w:rsidRPr="004A4CD2">
        <w:rPr>
          <w:rStyle w:val="StyleUnderline"/>
        </w:rPr>
        <w:t>.”</w:t>
      </w:r>
      <w:r w:rsidRPr="004E5101">
        <w:rPr>
          <w:sz w:val="16"/>
        </w:rPr>
        <w:t xml:space="preserve">112 </w:t>
      </w:r>
      <w:r w:rsidRPr="004A4CD2">
        <w:rPr>
          <w:rStyle w:val="StyleUnderline"/>
        </w:rPr>
        <w:t xml:space="preserve">Such an approach </w:t>
      </w:r>
      <w:r w:rsidRPr="004A4CD2">
        <w:rPr>
          <w:rStyle w:val="Emphasis"/>
        </w:rPr>
        <w:t xml:space="preserve">impermissibly </w:t>
      </w:r>
      <w:r w:rsidRPr="00456038">
        <w:rPr>
          <w:rStyle w:val="Emphasis"/>
          <w:highlight w:val="cyan"/>
        </w:rPr>
        <w:t>eliminates</w:t>
      </w:r>
      <w:r w:rsidRPr="00456038">
        <w:rPr>
          <w:rStyle w:val="StyleUnderline"/>
          <w:highlight w:val="cyan"/>
        </w:rPr>
        <w:t xml:space="preserve"> lenity</w:t>
      </w:r>
      <w:r w:rsidRPr="004E5101">
        <w:rPr>
          <w:sz w:val="16"/>
        </w:rPr>
        <w:t xml:space="preserve"> considerations from the court’s analysis </w:t>
      </w:r>
      <w:r w:rsidRPr="004A4CD2">
        <w:rPr>
          <w:rStyle w:val="StyleUnderline"/>
        </w:rPr>
        <w:t xml:space="preserve">and fails to account for </w:t>
      </w:r>
      <w:r w:rsidRPr="004A4CD2">
        <w:rPr>
          <w:rStyle w:val="Emphasis"/>
        </w:rPr>
        <w:t>Supreme Court precedent</w:t>
      </w:r>
      <w:r w:rsidRPr="004A4CD2">
        <w:rPr>
          <w:rStyle w:val="StyleUnderline"/>
        </w:rPr>
        <w:t xml:space="preserve"> that “has made it </w:t>
      </w:r>
      <w:r w:rsidRPr="004A4CD2">
        <w:rPr>
          <w:rStyle w:val="Emphasis"/>
        </w:rPr>
        <w:t>unequivocally clear</w:t>
      </w:r>
      <w:r w:rsidRPr="004E5101">
        <w:rPr>
          <w:sz w:val="16"/>
        </w:rPr>
        <w:t xml:space="preserve"> that </w:t>
      </w:r>
      <w:r w:rsidRPr="004A4CD2">
        <w:rPr>
          <w:rStyle w:val="StyleUnderline"/>
        </w:rPr>
        <w:t xml:space="preserve">the Government is entitled to </w:t>
      </w:r>
      <w:r w:rsidRPr="004A4CD2">
        <w:rPr>
          <w:rStyle w:val="Emphasis"/>
        </w:rPr>
        <w:t>no deference</w:t>
      </w:r>
      <w:r w:rsidRPr="004A4CD2">
        <w:rPr>
          <w:rStyle w:val="StyleUnderline"/>
        </w:rPr>
        <w:t xml:space="preserve"> for</w:t>
      </w:r>
      <w:r w:rsidRPr="004E5101">
        <w:rPr>
          <w:sz w:val="16"/>
        </w:rPr>
        <w:t xml:space="preserve"> its interpretation of </w:t>
      </w:r>
      <w:r w:rsidRPr="004A4CD2">
        <w:rPr>
          <w:rStyle w:val="StyleUnderline"/>
        </w:rPr>
        <w:t>a criminal statute.”</w:t>
      </w:r>
      <w:r w:rsidRPr="004E5101">
        <w:rPr>
          <w:sz w:val="16"/>
        </w:rPr>
        <w:t xml:space="preserve">113 Although deportation is not exclusively a criminal penalty, it is a consequence that flows directly from the BIA’s interpretation of a criminal statute. Like lenity in the criminal context, the governmental entity seeking enforcement should not be favored in its interpretation of a provision that should be sufficiently clear to give notice to the individual against which enforcement is sought.114 This is especially true given that </w:t>
      </w:r>
      <w:r w:rsidRPr="004A4CD2">
        <w:rPr>
          <w:rStyle w:val="StyleUnderline"/>
        </w:rPr>
        <w:t xml:space="preserve">lenity is </w:t>
      </w:r>
      <w:r w:rsidRPr="004A4CD2">
        <w:rPr>
          <w:rStyle w:val="Emphasis"/>
        </w:rPr>
        <w:t>not limited</w:t>
      </w:r>
      <w:r w:rsidRPr="004A4CD2">
        <w:rPr>
          <w:rStyle w:val="StyleUnderline"/>
        </w:rPr>
        <w:t xml:space="preserve"> to the criminal sphere</w:t>
      </w:r>
      <w:r w:rsidRPr="004E5101">
        <w:rPr>
          <w:sz w:val="16"/>
        </w:rPr>
        <w:t xml:space="preserve">.115 </w:t>
      </w:r>
    </w:p>
    <w:p w14:paraId="3A47F71C" w14:textId="77777777" w:rsidR="00C8282D" w:rsidRPr="004E5101" w:rsidRDefault="00C8282D" w:rsidP="00C8282D">
      <w:pPr>
        <w:rPr>
          <w:sz w:val="16"/>
        </w:rPr>
      </w:pPr>
      <w:r w:rsidRPr="004E5101">
        <w:rPr>
          <w:sz w:val="16"/>
        </w:rPr>
        <w:t xml:space="preserve">This is because Chevron applies to agencies’ interpretations of regulatory statutes but not to prosecuting agencies’ interpretation of criminal provisions.116 Courts have reasoned that Chevron deference does not apply to criminal statutes because Congress did not delegate interpretative authority to the Department of Justice, instead making courts “the proper administrators of federal criminal statutes.”117 Courts have also recognized that criminal laws must be clear and that agency interpretative flexibility would violate this requirement.118 Last and perhaps most self-evident, </w:t>
      </w:r>
      <w:r w:rsidRPr="004A4CD2">
        <w:rPr>
          <w:rStyle w:val="StyleUnderline"/>
        </w:rPr>
        <w:t xml:space="preserve">prosecutorial </w:t>
      </w:r>
      <w:r w:rsidRPr="00456038">
        <w:rPr>
          <w:rStyle w:val="StyleUnderline"/>
          <w:highlight w:val="cyan"/>
        </w:rPr>
        <w:t>entities such as</w:t>
      </w:r>
      <w:r w:rsidRPr="004A4CD2">
        <w:rPr>
          <w:rStyle w:val="StyleUnderline"/>
        </w:rPr>
        <w:t xml:space="preserve"> </w:t>
      </w:r>
      <w:r w:rsidRPr="004A4CD2">
        <w:rPr>
          <w:rStyle w:val="Emphasis"/>
        </w:rPr>
        <w:t xml:space="preserve">the </w:t>
      </w:r>
      <w:r w:rsidRPr="00456038">
        <w:rPr>
          <w:rStyle w:val="Emphasis"/>
          <w:highlight w:val="cyan"/>
        </w:rPr>
        <w:t>Justice</w:t>
      </w:r>
      <w:r w:rsidRPr="004A4CD2">
        <w:rPr>
          <w:rStyle w:val="Emphasis"/>
        </w:rPr>
        <w:t xml:space="preserve"> Department</w:t>
      </w:r>
      <w:r w:rsidRPr="004A4CD2">
        <w:rPr>
          <w:rStyle w:val="StyleUnderline"/>
        </w:rPr>
        <w:t xml:space="preserve"> </w:t>
      </w:r>
      <w:r w:rsidRPr="00456038">
        <w:rPr>
          <w:rStyle w:val="StyleUnderline"/>
          <w:highlight w:val="cyan"/>
        </w:rPr>
        <w:t>“would</w:t>
      </w:r>
      <w:r w:rsidRPr="004A4CD2">
        <w:rPr>
          <w:rStyle w:val="StyleUnderline"/>
        </w:rPr>
        <w:t xml:space="preserve"> have </w:t>
      </w:r>
      <w:r w:rsidRPr="004A4CD2">
        <w:rPr>
          <w:rStyle w:val="Emphasis"/>
        </w:rPr>
        <w:t>too many incentives</w:t>
      </w:r>
      <w:r w:rsidRPr="004A4CD2">
        <w:rPr>
          <w:rStyle w:val="StyleUnderline"/>
        </w:rPr>
        <w:t xml:space="preserve"> to </w:t>
      </w:r>
      <w:r w:rsidRPr="00456038">
        <w:rPr>
          <w:rStyle w:val="StyleUnderline"/>
          <w:highlight w:val="cyan"/>
        </w:rPr>
        <w:t>interpret</w:t>
      </w:r>
      <w:r w:rsidRPr="004A4CD2">
        <w:rPr>
          <w:rStyle w:val="StyleUnderline"/>
        </w:rPr>
        <w:t xml:space="preserve"> criminal </w:t>
      </w:r>
      <w:r w:rsidRPr="00456038">
        <w:rPr>
          <w:rStyle w:val="StyleUnderline"/>
          <w:highlight w:val="cyan"/>
        </w:rPr>
        <w:t xml:space="preserve">statutes </w:t>
      </w:r>
      <w:r w:rsidRPr="00456038">
        <w:rPr>
          <w:rStyle w:val="Emphasis"/>
          <w:highlight w:val="cyan"/>
        </w:rPr>
        <w:t>expansively</w:t>
      </w:r>
      <w:r w:rsidRPr="00456038">
        <w:rPr>
          <w:rStyle w:val="StyleUnderline"/>
          <w:highlight w:val="cyan"/>
        </w:rPr>
        <w:t>.”</w:t>
      </w:r>
      <w:r w:rsidRPr="004E5101">
        <w:rPr>
          <w:sz w:val="16"/>
        </w:rPr>
        <w:t xml:space="preserve">119 These rationales apply with equal force to the interpretation of criminal provisions in the immigration context.120 </w:t>
      </w:r>
    </w:p>
    <w:p w14:paraId="75DFCEF3" w14:textId="77777777" w:rsidR="00C8282D" w:rsidRPr="004E5101" w:rsidRDefault="00C8282D" w:rsidP="00C8282D">
      <w:pPr>
        <w:rPr>
          <w:sz w:val="16"/>
        </w:rPr>
      </w:pPr>
      <w:r w:rsidRPr="004E5101">
        <w:rPr>
          <w:sz w:val="16"/>
        </w:rPr>
        <w:t xml:space="preserve">With respect to the legal question at issue here, </w:t>
      </w:r>
      <w:r w:rsidRPr="004A4CD2">
        <w:rPr>
          <w:rStyle w:val="Emphasis"/>
        </w:rPr>
        <w:t>the Tenth Circuit</w:t>
      </w:r>
      <w:r w:rsidRPr="004A4CD2">
        <w:rPr>
          <w:rStyle w:val="StyleUnderline"/>
        </w:rPr>
        <w:t xml:space="preserve"> is </w:t>
      </w:r>
      <w:r w:rsidRPr="004A4CD2">
        <w:rPr>
          <w:rStyle w:val="Emphasis"/>
        </w:rPr>
        <w:t>the only court</w:t>
      </w:r>
      <w:r w:rsidRPr="004E5101">
        <w:rPr>
          <w:sz w:val="16"/>
        </w:rPr>
        <w:t xml:space="preserve"> in the circuit split </w:t>
      </w:r>
      <w:r w:rsidRPr="004A4CD2">
        <w:rPr>
          <w:rStyle w:val="StyleUnderline"/>
        </w:rPr>
        <w:t>that</w:t>
      </w:r>
      <w:r w:rsidRPr="004E5101">
        <w:rPr>
          <w:sz w:val="16"/>
        </w:rPr>
        <w:t xml:space="preserve"> has </w:t>
      </w:r>
      <w:r w:rsidRPr="004A4CD2">
        <w:rPr>
          <w:rStyle w:val="StyleUnderline"/>
        </w:rPr>
        <w:t>applied</w:t>
      </w:r>
      <w:r w:rsidRPr="004E5101">
        <w:rPr>
          <w:sz w:val="16"/>
        </w:rPr>
        <w:t xml:space="preserve"> the immigration rule of </w:t>
      </w:r>
      <w:r w:rsidRPr="004A4CD2">
        <w:rPr>
          <w:rStyle w:val="StyleUnderline"/>
        </w:rPr>
        <w:t>lenity to its analysis</w:t>
      </w:r>
      <w:r w:rsidRPr="004E5101">
        <w:rPr>
          <w:sz w:val="16"/>
        </w:rPr>
        <w:t>. The Tenth Circuit’s critical assessment of the BIA’s interpretation applies the rule of lenity to the realm of immigration law, requiring “that statutory ambiguities in deportation provisions be resolved in favor of the noncitizen.”121 Although the court did not use the term lenity by name, its reasoning elevated this principle, as it noted, “[t]he BIA’s definition is particularly indefensible because . . . it is nongeneric in an overinclusive way despite the canon that ‘ambiguity in criminal statutes referenced by the INA must be construed in the noncitizen’s favor.’”122</w:t>
      </w:r>
    </w:p>
    <w:p w14:paraId="2613420E" w14:textId="77777777" w:rsidR="00C8282D" w:rsidRPr="004E5101" w:rsidRDefault="00C8282D" w:rsidP="00C8282D">
      <w:pPr>
        <w:rPr>
          <w:sz w:val="16"/>
        </w:rPr>
      </w:pPr>
      <w:r w:rsidRPr="004E5101">
        <w:rPr>
          <w:sz w:val="16"/>
        </w:rPr>
        <w:t>By contrast, the Second Circuit explicitly rejected the application of the immigration rule of lenity in its assessment, reasoning that the principle is “set aside if the BIA has reasonably interpreted the INA in favor of removal.”123 The court held the doctrine of lenity need not “be applied whenever there is an ambiguity in an immigration statute because, if that were true, it would supplant the application of Chevron in the immigration context.”124 This reading, however, fails to account for the myriad ways these canons can be jointly applied and eschews the court’s responsibility to analyze both principles.</w:t>
      </w:r>
    </w:p>
    <w:p w14:paraId="4BD9DDA4" w14:textId="77777777" w:rsidR="00C8282D" w:rsidRPr="004E5101" w:rsidRDefault="00C8282D" w:rsidP="00C8282D">
      <w:pPr>
        <w:rPr>
          <w:sz w:val="16"/>
        </w:rPr>
      </w:pPr>
      <w:r w:rsidRPr="004E5101">
        <w:rPr>
          <w:sz w:val="16"/>
        </w:rPr>
        <w:t>The Third Circuit also ignored lenity when it held the BIA’s interpretation of the “crime of child abuse” was reasonable and entitled to deference because its definition was not “arbitrary, capricious, or manifestly contrary to the statute.”125 The court did not assess the role that lenity may play in interpreting statutory ambiguity.</w:t>
      </w:r>
    </w:p>
    <w:p w14:paraId="0018AC28" w14:textId="77777777" w:rsidR="00C8282D" w:rsidRPr="004E5101" w:rsidRDefault="00C8282D" w:rsidP="00C8282D">
      <w:pPr>
        <w:rPr>
          <w:sz w:val="16"/>
        </w:rPr>
      </w:pPr>
      <w:r w:rsidRPr="004E5101">
        <w:rPr>
          <w:sz w:val="16"/>
        </w:rPr>
        <w:t>The Eleventh Circuit referenced these considerations but nevertheless failed to apply lenity principles in its analysis in Martinez. 126 In that case, Lucia Medina Martinez was charged for allowing her husband and the father of four of her six children to re-enter their home after her oldest daughter accused him of molestation.127 Authorities later substantiated the allegations; Martinez’s husband was convicted of child molestation and sentenced to fifteen years in prison.128 Even though “[t]here were no alleged incidents of molestation during the three weeks that Martinez allowed [her husband] to return to their home,” the state still charged Martinez after she reported the incident.129 She pled no contest, believing her plea “would allow her children to be returned to her care and custody as soon as possible.”130 Despite acknowledging these facts and recognizing that following the BIA’s definition “yields a profoundly unfair, inequitable, and harsh result,” the Eleventh Circuit concluded it was “constrained by the law” to rule against Martinez in this “heartbreaking case.”131 The court resigned itself to the conclusion that “this case calls for more mercy than the law permits this Court to provide,” without ever considering or applying the immigration rule of lenity in its legal analysis.132 Consequently, Martinez and her six young children will be removed to Mexico, a country in which they have no relatives. As the court acknowledged, doing so will “work an extreme hardship on a family that has already been forced to endure domestic abuse, the molestation of a child by her step-father, and the incarceration of a father and husband.”133</w:t>
      </w:r>
    </w:p>
    <w:p w14:paraId="4D912A43" w14:textId="77777777" w:rsidR="00C8282D" w:rsidRPr="004E5101" w:rsidRDefault="00C8282D" w:rsidP="00C8282D">
      <w:pPr>
        <w:rPr>
          <w:sz w:val="16"/>
        </w:rPr>
      </w:pPr>
      <w:r w:rsidRPr="004E5101">
        <w:rPr>
          <w:sz w:val="16"/>
        </w:rPr>
        <w:t>Judge Wardlaw’s dissent in Martinez-Cedillo warned that “[t]he Board’s vague definition makes it unreasonably difficult for a lawful permanent resident to predict whether he will be subject to immigration consequences as a result of a state court conviction,” particularly in cases of child endangerment where statutes permit conviction even if the child incurs no injury.”134 She observed the inherent unfairness of the majority opinion: although “many lawful permanent residents relied on the definition to make decisions about how to plead in criminal proceedings,” the Board’s ever-changing definition can arbitrarily impose heightened consequences after-the-fact.135 The need to apply the rule of lenity in the face of the BIA’s changing definition is best evidenced by the facts of Martinez:</w:t>
      </w:r>
    </w:p>
    <w:p w14:paraId="550F1ADD" w14:textId="77777777" w:rsidR="00C8282D" w:rsidRPr="004E5101" w:rsidRDefault="00C8282D" w:rsidP="00C8282D">
      <w:pPr>
        <w:ind w:left="720"/>
        <w:rPr>
          <w:sz w:val="16"/>
        </w:rPr>
      </w:pPr>
      <w:r w:rsidRPr="004E5101">
        <w:rPr>
          <w:sz w:val="16"/>
        </w:rPr>
        <w:t>[He] pleaded guilty to a violation of section 273a(a) at the time that the Board’s definition of “crime of child abuse” required an injury for purposes of deportation, and we know that Martinez’s son was not injured. [. . .] [T]he state court that told him that his crime was not among the list of removable offenses[.]136</w:t>
      </w:r>
    </w:p>
    <w:p w14:paraId="3F86858C" w14:textId="77777777" w:rsidR="00C8282D" w:rsidRPr="004E5101" w:rsidRDefault="00C8282D" w:rsidP="00C8282D">
      <w:pPr>
        <w:rPr>
          <w:sz w:val="16"/>
        </w:rPr>
      </w:pPr>
      <w:r w:rsidRPr="004E5101">
        <w:rPr>
          <w:rStyle w:val="StyleUnderline"/>
        </w:rPr>
        <w:t>Such a result is “contrary to</w:t>
      </w:r>
      <w:r w:rsidRPr="004E5101">
        <w:rPr>
          <w:sz w:val="16"/>
        </w:rPr>
        <w:t xml:space="preserve"> familiar considerations of </w:t>
      </w:r>
      <w:r w:rsidRPr="004E5101">
        <w:rPr>
          <w:rStyle w:val="StyleUnderline"/>
        </w:rPr>
        <w:t>fair notice, reasonable reliance, and settled expectations,”</w:t>
      </w:r>
      <w:r w:rsidRPr="004E5101">
        <w:rPr>
          <w:sz w:val="16"/>
        </w:rPr>
        <w:t xml:space="preserve"> yet the Board refused to address the gaps and inconsistencies in its interpretation “despite knowing it was confusing at the time it was made[.]”137 </w:t>
      </w:r>
      <w:r w:rsidRPr="00456038">
        <w:rPr>
          <w:rStyle w:val="StyleUnderline"/>
          <w:highlight w:val="cyan"/>
        </w:rPr>
        <w:t>Without</w:t>
      </w:r>
      <w:r w:rsidRPr="00BA45DC">
        <w:rPr>
          <w:rStyle w:val="StyleUnderline"/>
        </w:rPr>
        <w:t xml:space="preserve"> </w:t>
      </w:r>
      <w:r w:rsidRPr="00BA45DC">
        <w:rPr>
          <w:rStyle w:val="Emphasis"/>
        </w:rPr>
        <w:t xml:space="preserve">definitional </w:t>
      </w:r>
      <w:r w:rsidRPr="00456038">
        <w:rPr>
          <w:rStyle w:val="Emphasis"/>
          <w:highlight w:val="cyan"/>
        </w:rPr>
        <w:t>clarity</w:t>
      </w:r>
      <w:r w:rsidRPr="00BA45DC">
        <w:rPr>
          <w:rStyle w:val="StyleUnderline"/>
        </w:rPr>
        <w:t xml:space="preserve">, immigrant </w:t>
      </w:r>
      <w:r w:rsidRPr="00456038">
        <w:rPr>
          <w:rStyle w:val="StyleUnderline"/>
          <w:highlight w:val="cyan"/>
        </w:rPr>
        <w:t>defendants cannot</w:t>
      </w:r>
      <w:r w:rsidRPr="004E5101">
        <w:rPr>
          <w:sz w:val="16"/>
        </w:rPr>
        <w:t xml:space="preserve"> accurately ascertain the consequences of their plea or conviction to</w:t>
      </w:r>
      <w:r w:rsidRPr="00BA45DC">
        <w:rPr>
          <w:rStyle w:val="StyleUnderline"/>
        </w:rPr>
        <w:t xml:space="preserve"> </w:t>
      </w:r>
      <w:r w:rsidRPr="00456038">
        <w:rPr>
          <w:rStyle w:val="StyleUnderline"/>
          <w:highlight w:val="cyan"/>
        </w:rPr>
        <w:t xml:space="preserve">make </w:t>
      </w:r>
      <w:r w:rsidRPr="00456038">
        <w:rPr>
          <w:rStyle w:val="Emphasis"/>
          <w:highlight w:val="cyan"/>
        </w:rPr>
        <w:t>informed decisions</w:t>
      </w:r>
      <w:r w:rsidRPr="004E5101">
        <w:rPr>
          <w:sz w:val="16"/>
        </w:rPr>
        <w:t xml:space="preserve"> about their case and future. </w:t>
      </w:r>
    </w:p>
    <w:p w14:paraId="26BE2FF7" w14:textId="77777777" w:rsidR="00C8282D" w:rsidRPr="004E5101" w:rsidRDefault="00C8282D" w:rsidP="00C8282D">
      <w:pPr>
        <w:rPr>
          <w:sz w:val="16"/>
        </w:rPr>
      </w:pPr>
      <w:r w:rsidRPr="004E5101">
        <w:rPr>
          <w:sz w:val="16"/>
        </w:rPr>
        <w:t xml:space="preserve">C. </w:t>
      </w:r>
      <w:r w:rsidRPr="00456038">
        <w:rPr>
          <w:rStyle w:val="StyleUnderline"/>
          <w:highlight w:val="cyan"/>
        </w:rPr>
        <w:t xml:space="preserve">Alignment with </w:t>
      </w:r>
      <w:r w:rsidRPr="00456038">
        <w:rPr>
          <w:rStyle w:val="Emphasis"/>
          <w:highlight w:val="cyan"/>
        </w:rPr>
        <w:t>Chevron’s</w:t>
      </w:r>
      <w:r w:rsidRPr="004E5101">
        <w:rPr>
          <w:rStyle w:val="Emphasis"/>
        </w:rPr>
        <w:t xml:space="preserve"> Animating</w:t>
      </w:r>
      <w:r w:rsidRPr="00BA45DC">
        <w:rPr>
          <w:rStyle w:val="Emphasis"/>
        </w:rPr>
        <w:t xml:space="preserve"> </w:t>
      </w:r>
      <w:r w:rsidRPr="00456038">
        <w:rPr>
          <w:rStyle w:val="Emphasis"/>
          <w:highlight w:val="cyan"/>
        </w:rPr>
        <w:t>Principles</w:t>
      </w:r>
    </w:p>
    <w:p w14:paraId="6942E3FB" w14:textId="77777777" w:rsidR="00C8282D" w:rsidRPr="004E5101" w:rsidRDefault="00C8282D" w:rsidP="00C8282D">
      <w:pPr>
        <w:rPr>
          <w:sz w:val="16"/>
        </w:rPr>
      </w:pPr>
      <w:r w:rsidRPr="004E5101">
        <w:rPr>
          <w:sz w:val="16"/>
        </w:rPr>
        <w:t xml:space="preserve">Lenity has an important role to play in interpreting immigration statutes, particularly when </w:t>
      </w:r>
      <w:r w:rsidRPr="00BA45DC">
        <w:rPr>
          <w:rStyle w:val="StyleUnderline"/>
        </w:rPr>
        <w:t xml:space="preserve">statutory interpretations are </w:t>
      </w:r>
      <w:r w:rsidRPr="004E5101">
        <w:rPr>
          <w:rStyle w:val="StyleUnderline"/>
        </w:rPr>
        <w:t>inextricably linked</w:t>
      </w:r>
      <w:r w:rsidRPr="00BA45DC">
        <w:rPr>
          <w:rStyle w:val="StyleUnderline"/>
        </w:rPr>
        <w:t xml:space="preserve"> with criminal law</w:t>
      </w:r>
      <w:r w:rsidRPr="004E5101">
        <w:rPr>
          <w:sz w:val="16"/>
        </w:rPr>
        <w:t xml:space="preserve">. Nevertheless, the Tenth Circuit’s determination </w:t>
      </w:r>
      <w:r w:rsidRPr="00456038">
        <w:rPr>
          <w:rStyle w:val="StyleUnderline"/>
          <w:highlight w:val="cyan"/>
        </w:rPr>
        <w:t>not to</w:t>
      </w:r>
      <w:r w:rsidRPr="00BA45DC">
        <w:rPr>
          <w:rStyle w:val="StyleUnderline"/>
        </w:rPr>
        <w:t xml:space="preserve"> grant</w:t>
      </w:r>
      <w:r w:rsidRPr="004E5101">
        <w:rPr>
          <w:sz w:val="16"/>
        </w:rPr>
        <w:t xml:space="preserve"> the BIA’s interpretation </w:t>
      </w:r>
      <w:r w:rsidRPr="00456038">
        <w:rPr>
          <w:rStyle w:val="StyleUnderline"/>
          <w:highlight w:val="cyan"/>
        </w:rPr>
        <w:t>defer</w:t>
      </w:r>
      <w:r w:rsidRPr="00BA45DC">
        <w:rPr>
          <w:rStyle w:val="StyleUnderline"/>
        </w:rPr>
        <w:t xml:space="preserve">ence better </w:t>
      </w:r>
      <w:r w:rsidRPr="00456038">
        <w:rPr>
          <w:rStyle w:val="StyleUnderline"/>
          <w:highlight w:val="cyan"/>
        </w:rPr>
        <w:t>aligns with</w:t>
      </w:r>
      <w:r w:rsidRPr="00BA45DC">
        <w:rPr>
          <w:rStyle w:val="StyleUnderline"/>
        </w:rPr>
        <w:t xml:space="preserve"> </w:t>
      </w:r>
      <w:r w:rsidRPr="00BA45DC">
        <w:rPr>
          <w:rStyle w:val="Emphasis"/>
        </w:rPr>
        <w:t xml:space="preserve">the philosophical </w:t>
      </w:r>
      <w:r w:rsidRPr="00456038">
        <w:rPr>
          <w:rStyle w:val="Emphasis"/>
          <w:highlight w:val="cyan"/>
        </w:rPr>
        <w:t>underpinnings</w:t>
      </w:r>
      <w:r w:rsidRPr="00456038">
        <w:rPr>
          <w:rStyle w:val="StyleUnderline"/>
          <w:highlight w:val="cyan"/>
        </w:rPr>
        <w:t xml:space="preserve"> of Chevron</w:t>
      </w:r>
      <w:r w:rsidRPr="00BA45DC">
        <w:rPr>
          <w:rStyle w:val="StyleUnderline"/>
        </w:rPr>
        <w:t xml:space="preserve">: reliance on </w:t>
      </w:r>
      <w:r w:rsidRPr="00BA45DC">
        <w:rPr>
          <w:rStyle w:val="Emphasis"/>
        </w:rPr>
        <w:t xml:space="preserve">agency </w:t>
      </w:r>
      <w:r w:rsidRPr="00456038">
        <w:rPr>
          <w:rStyle w:val="Emphasis"/>
          <w:highlight w:val="cyan"/>
        </w:rPr>
        <w:t>expertise</w:t>
      </w:r>
      <w:r w:rsidRPr="00BA45DC">
        <w:rPr>
          <w:rStyle w:val="StyleUnderline"/>
        </w:rPr>
        <w:t xml:space="preserve">, </w:t>
      </w:r>
      <w:r w:rsidRPr="00BA45DC">
        <w:rPr>
          <w:rStyle w:val="Emphasis"/>
        </w:rPr>
        <w:t xml:space="preserve">efficient administrative </w:t>
      </w:r>
      <w:r w:rsidRPr="00456038">
        <w:rPr>
          <w:rStyle w:val="Emphasis"/>
          <w:highlight w:val="cyan"/>
        </w:rPr>
        <w:t>delegation</w:t>
      </w:r>
      <w:r w:rsidRPr="00456038">
        <w:rPr>
          <w:rStyle w:val="StyleUnderline"/>
          <w:highlight w:val="cyan"/>
        </w:rPr>
        <w:t>, and</w:t>
      </w:r>
      <w:r w:rsidRPr="00BA45DC">
        <w:rPr>
          <w:rStyle w:val="StyleUnderline"/>
        </w:rPr>
        <w:t xml:space="preserve"> </w:t>
      </w:r>
      <w:r w:rsidRPr="00BA45DC">
        <w:rPr>
          <w:rStyle w:val="Emphasis"/>
        </w:rPr>
        <w:t xml:space="preserve">political </w:t>
      </w:r>
      <w:r w:rsidRPr="00456038">
        <w:rPr>
          <w:rStyle w:val="Emphasis"/>
          <w:highlight w:val="cyan"/>
        </w:rPr>
        <w:t>accountability</w:t>
      </w:r>
      <w:r w:rsidRPr="004E5101">
        <w:rPr>
          <w:sz w:val="16"/>
        </w:rPr>
        <w:t>.</w:t>
      </w:r>
    </w:p>
    <w:p w14:paraId="4630F870" w14:textId="77777777" w:rsidR="00C8282D" w:rsidRPr="004E5101" w:rsidRDefault="00C8282D" w:rsidP="00C8282D">
      <w:pPr>
        <w:rPr>
          <w:sz w:val="16"/>
        </w:rPr>
      </w:pPr>
      <w:r w:rsidRPr="004E5101">
        <w:rPr>
          <w:sz w:val="16"/>
        </w:rPr>
        <w:t>1. Agency Expertise</w:t>
      </w:r>
    </w:p>
    <w:p w14:paraId="5FB7BBE0" w14:textId="77777777" w:rsidR="00C8282D" w:rsidRPr="004E5101" w:rsidRDefault="00C8282D" w:rsidP="00C8282D">
      <w:pPr>
        <w:rPr>
          <w:sz w:val="16"/>
        </w:rPr>
      </w:pPr>
      <w:r w:rsidRPr="00456038">
        <w:rPr>
          <w:rStyle w:val="StyleUnderline"/>
          <w:highlight w:val="cyan"/>
        </w:rPr>
        <w:t>One rationale</w:t>
      </w:r>
      <w:r w:rsidRPr="004E5101">
        <w:rPr>
          <w:sz w:val="16"/>
        </w:rPr>
        <w:t xml:space="preserve"> for granting Chevron deference </w:t>
      </w:r>
      <w:r w:rsidRPr="00456038">
        <w:rPr>
          <w:rStyle w:val="StyleUnderline"/>
          <w:highlight w:val="cyan"/>
        </w:rPr>
        <w:t>is</w:t>
      </w:r>
      <w:r w:rsidRPr="004E5101">
        <w:rPr>
          <w:sz w:val="16"/>
        </w:rPr>
        <w:t xml:space="preserve"> the value of an agency’s technical </w:t>
      </w:r>
      <w:r w:rsidRPr="00456038">
        <w:rPr>
          <w:rStyle w:val="StyleUnderline"/>
          <w:highlight w:val="cyan"/>
        </w:rPr>
        <w:t>expertise</w:t>
      </w:r>
      <w:r w:rsidRPr="004E5101">
        <w:rPr>
          <w:sz w:val="16"/>
        </w:rPr>
        <w:t xml:space="preserve">. As the Supreme Court reasoned, “those with great expertise and charged with responsibility for administering the provision would be </w:t>
      </w:r>
      <w:r w:rsidRPr="00456038">
        <w:rPr>
          <w:rStyle w:val="StyleUnderline"/>
          <w:highlight w:val="cyan"/>
        </w:rPr>
        <w:t>in</w:t>
      </w:r>
      <w:r w:rsidRPr="004E5101">
        <w:rPr>
          <w:sz w:val="16"/>
        </w:rPr>
        <w:t xml:space="preserve"> a better position” to provide interpretative guidance.138 </w:t>
      </w:r>
      <w:r w:rsidRPr="00D366F0">
        <w:rPr>
          <w:rStyle w:val="StyleUnderline"/>
        </w:rPr>
        <w:t xml:space="preserve">Although </w:t>
      </w:r>
      <w:r w:rsidRPr="00D366F0">
        <w:rPr>
          <w:rStyle w:val="Emphasis"/>
        </w:rPr>
        <w:t>many administrative contexts</w:t>
      </w:r>
      <w:r w:rsidRPr="00BA45DC">
        <w:rPr>
          <w:rStyle w:val="StyleUnderline"/>
        </w:rPr>
        <w:t xml:space="preserve">, such as </w:t>
      </w:r>
      <w:r w:rsidRPr="00456038">
        <w:rPr>
          <w:rStyle w:val="StyleUnderline"/>
          <w:highlight w:val="cyan"/>
        </w:rPr>
        <w:t>environment</w:t>
      </w:r>
      <w:r w:rsidRPr="00BA45DC">
        <w:rPr>
          <w:rStyle w:val="StyleUnderline"/>
        </w:rPr>
        <w:t xml:space="preserve">al, </w:t>
      </w:r>
      <w:r w:rsidRPr="00456038">
        <w:rPr>
          <w:rStyle w:val="StyleUnderline"/>
          <w:highlight w:val="cyan"/>
        </w:rPr>
        <w:t>food</w:t>
      </w:r>
      <w:r w:rsidRPr="00BA45DC">
        <w:rPr>
          <w:rStyle w:val="StyleUnderline"/>
        </w:rPr>
        <w:t xml:space="preserve"> and </w:t>
      </w:r>
      <w:r w:rsidRPr="00456038">
        <w:rPr>
          <w:rStyle w:val="StyleUnderline"/>
          <w:highlight w:val="cyan"/>
        </w:rPr>
        <w:t>drug, and energy</w:t>
      </w:r>
      <w:r w:rsidRPr="00BA45DC">
        <w:rPr>
          <w:rStyle w:val="StyleUnderline"/>
        </w:rPr>
        <w:t xml:space="preserve"> regul</w:t>
      </w:r>
      <w:r w:rsidRPr="00D366F0">
        <w:rPr>
          <w:rStyle w:val="StyleUnderline"/>
        </w:rPr>
        <w:t>ation</w:t>
      </w:r>
      <w:r w:rsidRPr="00D366F0">
        <w:rPr>
          <w:sz w:val="16"/>
        </w:rPr>
        <w:t xml:space="preserve"> “frequently </w:t>
      </w:r>
      <w:r w:rsidRPr="00D366F0">
        <w:rPr>
          <w:rStyle w:val="StyleUnderline"/>
        </w:rPr>
        <w:t>require</w:t>
      </w:r>
      <w:r w:rsidRPr="00D366F0">
        <w:rPr>
          <w:sz w:val="16"/>
        </w:rPr>
        <w:t xml:space="preserve"> this type of </w:t>
      </w:r>
      <w:r w:rsidRPr="00D366F0">
        <w:rPr>
          <w:rStyle w:val="Emphasis"/>
        </w:rPr>
        <w:t>technical decis</w:t>
      </w:r>
      <w:r w:rsidRPr="00BA45DC">
        <w:rPr>
          <w:rStyle w:val="Emphasis"/>
        </w:rPr>
        <w:t>ion-making</w:t>
      </w:r>
      <w:r w:rsidRPr="004E5101">
        <w:rPr>
          <w:sz w:val="16"/>
        </w:rPr>
        <w:t xml:space="preserve">,” the BIA does not bring any expertise to bear regarding interpretation of relevant statutory terms.139 Rather, when the BIA “draws directly on a particular federal statute or an amalgamation of federal and state provisions to produce a definition for a term, it does not perform a task outside the competence of the courts.”140 Thus, before applying the Chevron framework, courts should be cognizant that the federal judiciary is “best positioned to interpret the relationship between multiple statutes in the federal system,” whereas the Board “does not draw on any of its expertise in the INA” in its reasoning.141 </w:t>
      </w:r>
    </w:p>
    <w:p w14:paraId="26AF5C64" w14:textId="77777777" w:rsidR="00C8282D" w:rsidRPr="004E5101" w:rsidRDefault="00C8282D" w:rsidP="00C8282D">
      <w:pPr>
        <w:rPr>
          <w:sz w:val="16"/>
        </w:rPr>
      </w:pPr>
      <w:r w:rsidRPr="004E5101">
        <w:rPr>
          <w:sz w:val="16"/>
        </w:rPr>
        <w:t xml:space="preserve">Both the Tenth Circuit opinion and Ninth Circuit dissent recognized this consideration. In Ibarra, the Tenth Circuit noted, as “Velazquez, Soram, and the present case illustrate, [that] the interpretation and exposition of criminal law is a task outside the BIA’s sphere of special competence.”142 Accordingly, the dissent reasoned that where an agency’s expertise does not in itself invite deference, </w:t>
      </w:r>
      <w:r w:rsidRPr="004E5101">
        <w:rPr>
          <w:rStyle w:val="StyleUnderline"/>
        </w:rPr>
        <w:t xml:space="preserve">Chevron should </w:t>
      </w:r>
      <w:r w:rsidRPr="00D366F0">
        <w:rPr>
          <w:rStyle w:val="StyleUnderline"/>
        </w:rPr>
        <w:t>not</w:t>
      </w:r>
      <w:r w:rsidRPr="004E5101">
        <w:rPr>
          <w:rStyle w:val="StyleUnderline"/>
        </w:rPr>
        <w:t xml:space="preserve"> compel the court to </w:t>
      </w:r>
      <w:r w:rsidRPr="00D366F0">
        <w:rPr>
          <w:rStyle w:val="StyleUnderline"/>
        </w:rPr>
        <w:t>defer to the BIA’s interpretation</w:t>
      </w:r>
      <w:r w:rsidRPr="004E5101">
        <w:rPr>
          <w:sz w:val="16"/>
        </w:rPr>
        <w:t xml:space="preserve">.143 Likewise, as the Ninth Circuit dissent explained, the BIA’s assertion that the IIRIRA was intended to be “enforcement oriented” provided an insufficient basis for the application of Chevron. 144 Judge Wardlaw’s dissent similarly emphasized this rationale by stating, </w:t>
      </w:r>
      <w:r w:rsidRPr="00456038">
        <w:rPr>
          <w:rStyle w:val="StyleUnderline"/>
          <w:highlight w:val="cyan"/>
        </w:rPr>
        <w:t xml:space="preserve">“[t]he BIA has </w:t>
      </w:r>
      <w:r w:rsidRPr="00456038">
        <w:rPr>
          <w:rStyle w:val="Emphasis"/>
          <w:highlight w:val="cyan"/>
        </w:rPr>
        <w:t>no</w:t>
      </w:r>
      <w:r w:rsidRPr="00BA45DC">
        <w:rPr>
          <w:rStyle w:val="Emphasis"/>
        </w:rPr>
        <w:t xml:space="preserve"> special </w:t>
      </w:r>
      <w:r w:rsidRPr="00456038">
        <w:rPr>
          <w:rStyle w:val="Emphasis"/>
          <w:highlight w:val="cyan"/>
        </w:rPr>
        <w:t>expertise</w:t>
      </w:r>
      <w:r w:rsidRPr="00BA45DC">
        <w:rPr>
          <w:rStyle w:val="StyleUnderline"/>
        </w:rPr>
        <w:t xml:space="preserve"> by virtue of </w:t>
      </w:r>
      <w:r w:rsidRPr="00BA45DC">
        <w:rPr>
          <w:rStyle w:val="Emphasis"/>
        </w:rPr>
        <w:t>its statutory responsibilities</w:t>
      </w:r>
      <w:r w:rsidRPr="00BA45DC">
        <w:rPr>
          <w:rStyle w:val="StyleUnderline"/>
        </w:rPr>
        <w:t xml:space="preserve"> </w:t>
      </w:r>
      <w:r w:rsidRPr="00456038">
        <w:rPr>
          <w:rStyle w:val="StyleUnderline"/>
          <w:highlight w:val="cyan"/>
        </w:rPr>
        <w:t>in</w:t>
      </w:r>
      <w:r w:rsidRPr="004E5101">
        <w:rPr>
          <w:sz w:val="16"/>
        </w:rPr>
        <w:t xml:space="preserve"> construing state or </w:t>
      </w:r>
      <w:r w:rsidRPr="00BA45DC">
        <w:rPr>
          <w:rStyle w:val="Emphasis"/>
        </w:rPr>
        <w:t xml:space="preserve">federal </w:t>
      </w:r>
      <w:r w:rsidRPr="00456038">
        <w:rPr>
          <w:rStyle w:val="Emphasis"/>
          <w:highlight w:val="cyan"/>
        </w:rPr>
        <w:t>criminal statutes</w:t>
      </w:r>
      <w:r w:rsidRPr="00456038">
        <w:rPr>
          <w:rStyle w:val="StyleUnderline"/>
          <w:highlight w:val="cyan"/>
        </w:rPr>
        <w:t>.”</w:t>
      </w:r>
      <w:r w:rsidRPr="004E5101">
        <w:rPr>
          <w:sz w:val="16"/>
        </w:rPr>
        <w:t xml:space="preserve">145 </w:t>
      </w:r>
    </w:p>
    <w:p w14:paraId="30781DE7" w14:textId="77777777" w:rsidR="00C8282D" w:rsidRPr="004E5101" w:rsidRDefault="00C8282D" w:rsidP="00C8282D">
      <w:pPr>
        <w:rPr>
          <w:sz w:val="16"/>
        </w:rPr>
      </w:pPr>
      <w:r w:rsidRPr="004E5101">
        <w:rPr>
          <w:sz w:val="16"/>
        </w:rPr>
        <w:t>2. Delegation</w:t>
      </w:r>
    </w:p>
    <w:p w14:paraId="0B1FFBE4" w14:textId="77777777" w:rsidR="00C8282D" w:rsidRPr="004E5101" w:rsidRDefault="00C8282D" w:rsidP="00C8282D">
      <w:pPr>
        <w:rPr>
          <w:sz w:val="16"/>
        </w:rPr>
      </w:pPr>
      <w:r w:rsidRPr="004E5101">
        <w:rPr>
          <w:sz w:val="16"/>
        </w:rPr>
        <w:t>Courts also invoke Chevron deference where Congress has made clear its intent to delegate authority.146 This delegation allows agencies to interpret policy when Congress has indicated it is proper to “rely upon the incumbent administration’s views of wise policy to inform its judgments.”147 Agency interpretations, however, must fall within the scope of delegated authority.148 Thus, the Board’s consideration of “whether it is wise policy to define ‘crime of child abuse’ in the INA to include criminally negligent non-injurious conduct” is secondary to the court’s determination that such a policy is impermissible “because Congress gave no indication it intended the crimes it detailed.”149</w:t>
      </w:r>
    </w:p>
    <w:p w14:paraId="650F0C8D" w14:textId="77777777" w:rsidR="00C8282D" w:rsidRPr="004E5101" w:rsidRDefault="00C8282D" w:rsidP="00C8282D">
      <w:pPr>
        <w:rPr>
          <w:sz w:val="16"/>
        </w:rPr>
      </w:pPr>
      <w:r w:rsidRPr="004E5101">
        <w:rPr>
          <w:sz w:val="16"/>
        </w:rPr>
        <w:t>Even assuming Congress’ delegation of authority is appropriate, it must still be consistent with the separation of powers underlying the constitutional system wherein “laws are enacted by the legislature, administered by the executive, and interpreted by the judiciary.” At least one scholar has suggested applying the void for vagueness doctrine to statutory provisions “that lie at the crossroads of immigration and criminal law” because the canon’s underwriting values of “providing reasonable notice and preventing arbitrary or discriminatory law enforcement practices—apply with exceptional force in immigration.”151</w:t>
      </w:r>
    </w:p>
    <w:p w14:paraId="0D617C4E" w14:textId="77777777" w:rsidR="00C8282D" w:rsidRPr="004E5101" w:rsidRDefault="00C8282D" w:rsidP="00C8282D">
      <w:pPr>
        <w:rPr>
          <w:sz w:val="16"/>
        </w:rPr>
      </w:pPr>
      <w:r w:rsidRPr="004E5101">
        <w:rPr>
          <w:sz w:val="16"/>
        </w:rPr>
        <w:t xml:space="preserve">A primary benefit of </w:t>
      </w:r>
      <w:r w:rsidRPr="004E5101">
        <w:rPr>
          <w:rStyle w:val="StyleUnderline"/>
        </w:rPr>
        <w:t>delegation</w:t>
      </w:r>
      <w:r w:rsidRPr="004E5101">
        <w:rPr>
          <w:sz w:val="16"/>
        </w:rPr>
        <w:t xml:space="preserve"> is that agency interpretations </w:t>
      </w:r>
      <w:r w:rsidRPr="00BA45DC">
        <w:rPr>
          <w:rStyle w:val="StyleUnderline"/>
        </w:rPr>
        <w:t xml:space="preserve">“result in a </w:t>
      </w:r>
      <w:r w:rsidRPr="00BA45DC">
        <w:rPr>
          <w:rStyle w:val="Emphasis"/>
        </w:rPr>
        <w:t xml:space="preserve">more </w:t>
      </w:r>
      <w:r w:rsidRPr="00456038">
        <w:rPr>
          <w:rStyle w:val="Emphasis"/>
          <w:highlight w:val="cyan"/>
        </w:rPr>
        <w:t>consistent</w:t>
      </w:r>
      <w:r w:rsidRPr="00BA45DC">
        <w:rPr>
          <w:rStyle w:val="Emphasis"/>
        </w:rPr>
        <w:t xml:space="preserve"> national </w:t>
      </w:r>
      <w:r w:rsidRPr="00456038">
        <w:rPr>
          <w:rStyle w:val="Emphasis"/>
          <w:highlight w:val="cyan"/>
        </w:rPr>
        <w:t>law</w:t>
      </w:r>
      <w:r w:rsidRPr="00BA45DC">
        <w:rPr>
          <w:rStyle w:val="StyleUnderline"/>
        </w:rPr>
        <w:t>.”</w:t>
      </w:r>
      <w:r w:rsidRPr="004E5101">
        <w:rPr>
          <w:sz w:val="16"/>
        </w:rPr>
        <w:t xml:space="preserve">152 Yet, as the Ninth Circuit’s dissent wryly observed: </w:t>
      </w:r>
      <w:r w:rsidRPr="00BA45DC">
        <w:rPr>
          <w:rStyle w:val="StyleUnderline"/>
        </w:rPr>
        <w:t xml:space="preserve">“the </w:t>
      </w:r>
      <w:r w:rsidRPr="00456038">
        <w:rPr>
          <w:rStyle w:val="StyleUnderline"/>
          <w:highlight w:val="cyan"/>
        </w:rPr>
        <w:t xml:space="preserve">ship has </w:t>
      </w:r>
      <w:r w:rsidRPr="00456038">
        <w:rPr>
          <w:rStyle w:val="Emphasis"/>
          <w:highlight w:val="cyan"/>
        </w:rPr>
        <w:t>sailed</w:t>
      </w:r>
      <w:r w:rsidRPr="00BA45DC">
        <w:rPr>
          <w:rStyle w:val="StyleUnderline"/>
        </w:rPr>
        <w:t xml:space="preserve"> on </w:t>
      </w:r>
      <w:r w:rsidRPr="00BA45DC">
        <w:rPr>
          <w:rStyle w:val="Emphasis"/>
        </w:rPr>
        <w:t>this justification</w:t>
      </w:r>
      <w:r w:rsidRPr="00BA45DC">
        <w:rPr>
          <w:rStyle w:val="StyleUnderline"/>
        </w:rPr>
        <w:t xml:space="preserve">,” </w:t>
      </w:r>
      <w:r w:rsidRPr="00456038">
        <w:rPr>
          <w:rStyle w:val="StyleUnderline"/>
          <w:highlight w:val="cyan"/>
        </w:rPr>
        <w:t>as the</w:t>
      </w:r>
      <w:r w:rsidRPr="004E5101">
        <w:rPr>
          <w:rStyle w:val="StyleUnderline"/>
        </w:rPr>
        <w:t xml:space="preserve"> existing</w:t>
      </w:r>
      <w:r w:rsidRPr="00BA45DC">
        <w:rPr>
          <w:rStyle w:val="StyleUnderline"/>
        </w:rPr>
        <w:t xml:space="preserve"> </w:t>
      </w:r>
      <w:r w:rsidRPr="00456038">
        <w:rPr>
          <w:rStyle w:val="StyleUnderline"/>
          <w:highlight w:val="cyan"/>
        </w:rPr>
        <w:t>circuit split</w:t>
      </w:r>
      <w:r w:rsidRPr="00BA45DC">
        <w:rPr>
          <w:rStyle w:val="StyleUnderline"/>
        </w:rPr>
        <w:t xml:space="preserve"> </w:t>
      </w:r>
      <w:r w:rsidRPr="00BA45DC">
        <w:rPr>
          <w:rStyle w:val="Emphasis"/>
        </w:rPr>
        <w:t xml:space="preserve">already </w:t>
      </w:r>
      <w:r w:rsidRPr="00456038">
        <w:rPr>
          <w:rStyle w:val="Emphasis"/>
          <w:highlight w:val="cyan"/>
        </w:rPr>
        <w:t>foreclosed</w:t>
      </w:r>
      <w:r w:rsidRPr="00456038">
        <w:rPr>
          <w:rStyle w:val="StyleUnderline"/>
          <w:highlight w:val="cyan"/>
        </w:rPr>
        <w:t xml:space="preserve"> this</w:t>
      </w:r>
      <w:r w:rsidRPr="00BA45DC">
        <w:rPr>
          <w:rStyle w:val="StyleUnderline"/>
        </w:rPr>
        <w:t xml:space="preserve"> possibility</w:t>
      </w:r>
      <w:r w:rsidRPr="004E5101">
        <w:rPr>
          <w:sz w:val="16"/>
        </w:rPr>
        <w:t xml:space="preserve">.153 </w:t>
      </w:r>
      <w:r w:rsidRPr="00BA45DC">
        <w:rPr>
          <w:rStyle w:val="StyleUnderline"/>
        </w:rPr>
        <w:t xml:space="preserve">Although </w:t>
      </w:r>
      <w:r w:rsidRPr="004E5101">
        <w:rPr>
          <w:rStyle w:val="StyleUnderline"/>
        </w:rPr>
        <w:t>the</w:t>
      </w:r>
      <w:r w:rsidRPr="004E5101">
        <w:rPr>
          <w:sz w:val="16"/>
        </w:rPr>
        <w:t xml:space="preserve"> current </w:t>
      </w:r>
      <w:r w:rsidRPr="00BA45DC">
        <w:rPr>
          <w:rStyle w:val="StyleUnderline"/>
        </w:rPr>
        <w:t>split</w:t>
      </w:r>
      <w:r w:rsidRPr="004E5101">
        <w:rPr>
          <w:sz w:val="16"/>
        </w:rPr>
        <w:t xml:space="preserve"> has </w:t>
      </w:r>
      <w:r w:rsidRPr="00BA45DC">
        <w:rPr>
          <w:rStyle w:val="Emphasis"/>
        </w:rPr>
        <w:t>solidified and deepened</w:t>
      </w:r>
      <w:r w:rsidRPr="004E5101">
        <w:rPr>
          <w:sz w:val="16"/>
        </w:rPr>
        <w:t xml:space="preserve"> the circuit divide on this issue, </w:t>
      </w:r>
      <w:r w:rsidRPr="00BA45DC">
        <w:rPr>
          <w:rStyle w:val="StyleUnderline"/>
        </w:rPr>
        <w:t>the BIA has</w:t>
      </w:r>
      <w:r w:rsidRPr="004E5101">
        <w:rPr>
          <w:sz w:val="16"/>
        </w:rPr>
        <w:t xml:space="preserve"> also </w:t>
      </w:r>
      <w:r w:rsidRPr="00BA45DC">
        <w:rPr>
          <w:rStyle w:val="Emphasis"/>
        </w:rPr>
        <w:t>refused</w:t>
      </w:r>
      <w:r w:rsidRPr="00BA45DC">
        <w:rPr>
          <w:rStyle w:val="StyleUnderline"/>
        </w:rPr>
        <w:t xml:space="preserve"> to resolve </w:t>
      </w:r>
      <w:r w:rsidRPr="00BA45DC">
        <w:rPr>
          <w:rStyle w:val="Emphasis"/>
        </w:rPr>
        <w:t>facial inconsistencies</w:t>
      </w:r>
      <w:r w:rsidRPr="004E5101">
        <w:rPr>
          <w:sz w:val="16"/>
        </w:rPr>
        <w:t xml:space="preserve"> stemming from its decision to rely on varying state-dependent definitions in its interpretation of the INA; indeed, this policy caused the problem in the first place. The BIA’s interpretation therefore undercuts the crucial, interconnected values of clarity and consistency. </w:t>
      </w:r>
    </w:p>
    <w:p w14:paraId="6FEA7235" w14:textId="77777777" w:rsidR="00C8282D" w:rsidRPr="004E5101" w:rsidRDefault="00C8282D" w:rsidP="00C8282D">
      <w:pPr>
        <w:rPr>
          <w:sz w:val="16"/>
        </w:rPr>
      </w:pPr>
      <w:r w:rsidRPr="004E5101">
        <w:rPr>
          <w:sz w:val="16"/>
        </w:rPr>
        <w:t>3. Political Accountability</w:t>
      </w:r>
    </w:p>
    <w:p w14:paraId="102C4C19" w14:textId="77777777" w:rsidR="00C8282D" w:rsidRPr="004E5101" w:rsidRDefault="00C8282D" w:rsidP="00C8282D">
      <w:pPr>
        <w:rPr>
          <w:sz w:val="16"/>
        </w:rPr>
      </w:pPr>
      <w:r w:rsidRPr="004E5101">
        <w:rPr>
          <w:sz w:val="16"/>
        </w:rPr>
        <w:t xml:space="preserve">Another motivating </w:t>
      </w:r>
      <w:r w:rsidRPr="00BA45DC">
        <w:rPr>
          <w:rStyle w:val="StyleUnderline"/>
        </w:rPr>
        <w:t xml:space="preserve">rationale </w:t>
      </w:r>
      <w:r w:rsidRPr="00D366F0">
        <w:rPr>
          <w:rStyle w:val="StyleUnderline"/>
        </w:rPr>
        <w:t>underpinning</w:t>
      </w:r>
      <w:r w:rsidRPr="00BA45DC">
        <w:rPr>
          <w:rStyle w:val="StyleUnderline"/>
        </w:rPr>
        <w:t xml:space="preserve"> Chevron</w:t>
      </w:r>
      <w:r w:rsidRPr="004E5101">
        <w:rPr>
          <w:sz w:val="16"/>
        </w:rPr>
        <w:t xml:space="preserve"> deference </w:t>
      </w:r>
      <w:r w:rsidRPr="00BA45DC">
        <w:rPr>
          <w:rStyle w:val="StyleUnderline"/>
        </w:rPr>
        <w:t xml:space="preserve">is </w:t>
      </w:r>
      <w:r w:rsidRPr="00D366F0">
        <w:rPr>
          <w:rStyle w:val="StyleUnderline"/>
        </w:rPr>
        <w:t>political accountability</w:t>
      </w:r>
      <w:r w:rsidRPr="004E5101">
        <w:rPr>
          <w:sz w:val="16"/>
        </w:rPr>
        <w:t>.154 As judges are not part of either political branch of government, policy choices should be left to legislative or executive authorities because these branches are accountable to the electorate.155 Agencies, which are accountable to the public through the President, are well-positioned to resolve “the competing interests which Congress itself either inadvertently did not resolve, or intentionally left to be resolved by the agency charged with the administration of the statute in light of everyday realities.”156</w:t>
      </w:r>
    </w:p>
    <w:p w14:paraId="0E7023D7" w14:textId="77777777" w:rsidR="00C8282D" w:rsidRPr="004E5101" w:rsidRDefault="00C8282D" w:rsidP="00C8282D">
      <w:pPr>
        <w:rPr>
          <w:sz w:val="16"/>
        </w:rPr>
      </w:pPr>
      <w:r w:rsidRPr="004E5101">
        <w:rPr>
          <w:sz w:val="16"/>
        </w:rPr>
        <w:t xml:space="preserve">Although political accountability may at first seem to favor deference to the BIA, </w:t>
      </w:r>
      <w:r w:rsidRPr="00456038">
        <w:rPr>
          <w:rStyle w:val="Emphasis"/>
          <w:highlight w:val="cyan"/>
        </w:rPr>
        <w:t>rote</w:t>
      </w:r>
      <w:r w:rsidRPr="00BA45DC">
        <w:rPr>
          <w:rStyle w:val="Emphasis"/>
        </w:rPr>
        <w:t xml:space="preserve"> and unexacting </w:t>
      </w:r>
      <w:r w:rsidRPr="00456038">
        <w:rPr>
          <w:rStyle w:val="Emphasis"/>
          <w:highlight w:val="cyan"/>
        </w:rPr>
        <w:t>review</w:t>
      </w:r>
      <w:r w:rsidRPr="00BA45DC">
        <w:rPr>
          <w:rStyle w:val="StyleUnderline"/>
        </w:rPr>
        <w:t xml:space="preserve"> by the courts </w:t>
      </w:r>
      <w:r w:rsidRPr="00456038">
        <w:rPr>
          <w:rStyle w:val="StyleUnderline"/>
          <w:highlight w:val="cyan"/>
        </w:rPr>
        <w:t>presents</w:t>
      </w:r>
      <w:r w:rsidRPr="00BA45DC">
        <w:rPr>
          <w:rStyle w:val="StyleUnderline"/>
        </w:rPr>
        <w:t xml:space="preserve"> </w:t>
      </w:r>
      <w:r w:rsidRPr="00BA45DC">
        <w:rPr>
          <w:rStyle w:val="Emphasis"/>
        </w:rPr>
        <w:t xml:space="preserve">serious </w:t>
      </w:r>
      <w:r w:rsidRPr="00456038">
        <w:rPr>
          <w:rStyle w:val="Emphasis"/>
          <w:highlight w:val="cyan"/>
        </w:rPr>
        <w:t>concerns</w:t>
      </w:r>
      <w:r w:rsidRPr="00456038">
        <w:rPr>
          <w:rStyle w:val="StyleUnderline"/>
          <w:highlight w:val="cyan"/>
        </w:rPr>
        <w:t xml:space="preserve"> with</w:t>
      </w:r>
      <w:r w:rsidRPr="00BA45DC">
        <w:rPr>
          <w:rStyle w:val="StyleUnderline"/>
        </w:rPr>
        <w:t xml:space="preserve"> respect to </w:t>
      </w:r>
      <w:r w:rsidRPr="00456038">
        <w:rPr>
          <w:rStyle w:val="Emphasis"/>
          <w:highlight w:val="cyan"/>
        </w:rPr>
        <w:t>transparency</w:t>
      </w:r>
      <w:r w:rsidRPr="00BA45DC">
        <w:rPr>
          <w:rStyle w:val="StyleUnderline"/>
        </w:rPr>
        <w:t xml:space="preserve"> and </w:t>
      </w:r>
      <w:r w:rsidRPr="00BA45DC">
        <w:rPr>
          <w:rStyle w:val="Emphasis"/>
        </w:rPr>
        <w:t>accountability</w:t>
      </w:r>
      <w:r w:rsidRPr="00BA45DC">
        <w:rPr>
          <w:rStyle w:val="StyleUnderline"/>
        </w:rPr>
        <w:t xml:space="preserve">. The INA’s </w:t>
      </w:r>
      <w:r w:rsidRPr="00456038">
        <w:rPr>
          <w:rStyle w:val="StyleUnderline"/>
          <w:highlight w:val="cyan"/>
        </w:rPr>
        <w:t>vagueness</w:t>
      </w:r>
      <w:r w:rsidRPr="004E5101">
        <w:rPr>
          <w:sz w:val="16"/>
        </w:rPr>
        <w:t xml:space="preserve">, especially </w:t>
      </w:r>
      <w:r w:rsidRPr="004E5101">
        <w:rPr>
          <w:rStyle w:val="StyleUnderline"/>
        </w:rPr>
        <w:t>when</w:t>
      </w:r>
      <w:r w:rsidRPr="00BA45DC">
        <w:rPr>
          <w:rStyle w:val="StyleUnderline"/>
        </w:rPr>
        <w:t xml:space="preserve"> combined with </w:t>
      </w:r>
      <w:r w:rsidRPr="00BA45DC">
        <w:rPr>
          <w:rStyle w:val="Emphasis"/>
        </w:rPr>
        <w:t>the wide berth</w:t>
      </w:r>
      <w:r w:rsidRPr="00BA45DC">
        <w:rPr>
          <w:rStyle w:val="StyleUnderline"/>
        </w:rPr>
        <w:t xml:space="preserve"> granted to the BIA, </w:t>
      </w:r>
      <w:r w:rsidRPr="00456038">
        <w:rPr>
          <w:rStyle w:val="StyleUnderline"/>
          <w:highlight w:val="cyan"/>
        </w:rPr>
        <w:t>creates</w:t>
      </w:r>
      <w:r w:rsidRPr="004E5101">
        <w:rPr>
          <w:sz w:val="16"/>
        </w:rPr>
        <w:t xml:space="preserve"> the potential for </w:t>
      </w:r>
      <w:r w:rsidRPr="00456038">
        <w:rPr>
          <w:rStyle w:val="Emphasis"/>
          <w:highlight w:val="cyan"/>
        </w:rPr>
        <w:t>abuse</w:t>
      </w:r>
      <w:r w:rsidRPr="004E5101">
        <w:rPr>
          <w:sz w:val="16"/>
        </w:rPr>
        <w:t xml:space="preserve">. Without closer scrutiny by courts, there is a significant risk that the BIA’s interpretation of statutory terms is – or has the potential to become – overly broad.157 </w:t>
      </w:r>
      <w:r w:rsidRPr="004E5101">
        <w:rPr>
          <w:rStyle w:val="StyleUnderline"/>
        </w:rPr>
        <w:t>To the extent</w:t>
      </w:r>
      <w:r w:rsidRPr="004E5101">
        <w:rPr>
          <w:sz w:val="16"/>
        </w:rPr>
        <w:t xml:space="preserve"> that </w:t>
      </w:r>
      <w:r w:rsidRPr="00456038">
        <w:rPr>
          <w:rStyle w:val="StyleUnderline"/>
          <w:highlight w:val="cyan"/>
        </w:rPr>
        <w:t>these</w:t>
      </w:r>
      <w:r w:rsidRPr="004E5101">
        <w:rPr>
          <w:rStyle w:val="StyleUnderline"/>
        </w:rPr>
        <w:t xml:space="preserve"> decisions </w:t>
      </w:r>
      <w:r w:rsidRPr="00456038">
        <w:rPr>
          <w:rStyle w:val="StyleUnderline"/>
          <w:highlight w:val="cyan"/>
        </w:rPr>
        <w:t xml:space="preserve">are </w:t>
      </w:r>
      <w:r w:rsidRPr="00456038">
        <w:rPr>
          <w:rStyle w:val="Emphasis"/>
          <w:highlight w:val="cyan"/>
        </w:rPr>
        <w:t>a</w:t>
      </w:r>
      <w:r w:rsidRPr="004E5101">
        <w:rPr>
          <w:rStyle w:val="Emphasis"/>
        </w:rPr>
        <w:t xml:space="preserve"> direct and intentional </w:t>
      </w:r>
      <w:r w:rsidRPr="00456038">
        <w:rPr>
          <w:rStyle w:val="Emphasis"/>
          <w:highlight w:val="cyan"/>
        </w:rPr>
        <w:t>result</w:t>
      </w:r>
      <w:r w:rsidRPr="00456038">
        <w:rPr>
          <w:rStyle w:val="StyleUnderline"/>
          <w:highlight w:val="cyan"/>
        </w:rPr>
        <w:t xml:space="preserve"> of</w:t>
      </w:r>
      <w:r w:rsidRPr="004E5101">
        <w:rPr>
          <w:rStyle w:val="StyleUnderline"/>
        </w:rPr>
        <w:t xml:space="preserve"> </w:t>
      </w:r>
      <w:r w:rsidRPr="004E5101">
        <w:rPr>
          <w:rStyle w:val="Emphasis"/>
        </w:rPr>
        <w:t xml:space="preserve">the administration’s </w:t>
      </w:r>
      <w:r w:rsidRPr="00456038">
        <w:rPr>
          <w:rStyle w:val="Emphasis"/>
          <w:highlight w:val="cyan"/>
        </w:rPr>
        <w:t>anti-immigrant stance</w:t>
      </w:r>
      <w:r w:rsidRPr="004E5101">
        <w:rPr>
          <w:rStyle w:val="StyleUnderline"/>
        </w:rPr>
        <w:t xml:space="preserve">, the </w:t>
      </w:r>
      <w:r w:rsidRPr="00456038">
        <w:rPr>
          <w:rStyle w:val="StyleUnderline"/>
          <w:highlight w:val="cyan"/>
        </w:rPr>
        <w:t>courts must</w:t>
      </w:r>
      <w:r w:rsidRPr="004E5101">
        <w:rPr>
          <w:rStyle w:val="StyleUnderline"/>
        </w:rPr>
        <w:t xml:space="preserve"> play a role in </w:t>
      </w:r>
      <w:r w:rsidRPr="00456038">
        <w:rPr>
          <w:rStyle w:val="StyleUnderline"/>
          <w:highlight w:val="cyan"/>
        </w:rPr>
        <w:t>curb</w:t>
      </w:r>
      <w:r w:rsidRPr="004E5101">
        <w:rPr>
          <w:rStyle w:val="StyleUnderline"/>
        </w:rPr>
        <w:t xml:space="preserve">ing </w:t>
      </w:r>
      <w:r w:rsidRPr="00456038">
        <w:rPr>
          <w:rStyle w:val="Emphasis"/>
          <w:highlight w:val="cyan"/>
        </w:rPr>
        <w:t>arbitrary</w:t>
      </w:r>
      <w:r w:rsidRPr="004E5101">
        <w:rPr>
          <w:rStyle w:val="Emphasis"/>
        </w:rPr>
        <w:t xml:space="preserve"> executive </w:t>
      </w:r>
      <w:r w:rsidRPr="00456038">
        <w:rPr>
          <w:rStyle w:val="Emphasis"/>
          <w:highlight w:val="cyan"/>
        </w:rPr>
        <w:t>action</w:t>
      </w:r>
      <w:r w:rsidRPr="004E5101">
        <w:rPr>
          <w:sz w:val="16"/>
        </w:rPr>
        <w:t xml:space="preserve">.158 </w:t>
      </w:r>
    </w:p>
    <w:p w14:paraId="7F1BB0E4" w14:textId="77777777" w:rsidR="00C8282D" w:rsidRPr="004E5101" w:rsidRDefault="00C8282D" w:rsidP="00C8282D">
      <w:pPr>
        <w:rPr>
          <w:sz w:val="16"/>
        </w:rPr>
      </w:pPr>
      <w:r w:rsidRPr="004E5101">
        <w:rPr>
          <w:sz w:val="16"/>
        </w:rPr>
        <w:t xml:space="preserve">In a recent immigration case, Justice </w:t>
      </w:r>
      <w:r w:rsidRPr="004E5101">
        <w:rPr>
          <w:rStyle w:val="StyleUnderline"/>
        </w:rPr>
        <w:t>Gorsuch summarized this</w:t>
      </w:r>
      <w:r w:rsidRPr="004E5101">
        <w:rPr>
          <w:sz w:val="16"/>
        </w:rPr>
        <w:t xml:space="preserve"> concern </w:t>
      </w:r>
      <w:r w:rsidRPr="004E5101">
        <w:rPr>
          <w:rStyle w:val="StyleUnderline"/>
        </w:rPr>
        <w:t>when he recognized</w:t>
      </w:r>
      <w:r w:rsidRPr="004E5101">
        <w:rPr>
          <w:sz w:val="16"/>
        </w:rPr>
        <w:t xml:space="preserve"> that </w:t>
      </w:r>
      <w:r w:rsidRPr="004E5101">
        <w:rPr>
          <w:rStyle w:val="StyleUnderline"/>
        </w:rPr>
        <w:t xml:space="preserve">“[v]ague laws invite </w:t>
      </w:r>
      <w:r w:rsidRPr="004E5101">
        <w:rPr>
          <w:rStyle w:val="Emphasis"/>
        </w:rPr>
        <w:t>arbitrary power</w:t>
      </w:r>
      <w:r w:rsidRPr="004E5101">
        <w:rPr>
          <w:rStyle w:val="StyleUnderline"/>
        </w:rPr>
        <w:t>.”</w:t>
      </w:r>
      <w:r w:rsidRPr="004E5101">
        <w:rPr>
          <w:sz w:val="16"/>
        </w:rPr>
        <w:t xml:space="preserve">159 Contrary to the political accountability that Chevron seeks to promote, vague laws and broad interpretative discretion reduce transparency by allowing for discretion that may not be applied consistently. In quoting these words, Judge Wardlaw mounted a call to action in opposition to the majority in Martinez-Cedillo, which follows the majority of the courts that have weighed in on the existing circuit split. Judge Wardlaw condemned a trend that she characterizes as “an abdication of the Judiciary’s proper role in interpreting federal statutes.”160 Courts must also ensure “the BIA’s reasoning in these cases does not demonstrate accountability to permissible policy objectives of the Executive.”161 Simply put, </w:t>
      </w:r>
      <w:r w:rsidRPr="004E5101">
        <w:rPr>
          <w:rStyle w:val="StyleUnderline"/>
        </w:rPr>
        <w:t xml:space="preserve">“[c]ourts have a role in correcting </w:t>
      </w:r>
      <w:r w:rsidRPr="004E5101">
        <w:rPr>
          <w:rStyle w:val="Emphasis"/>
        </w:rPr>
        <w:t>arbitrary</w:t>
      </w:r>
      <w:r w:rsidRPr="004E5101">
        <w:rPr>
          <w:rStyle w:val="StyleUnderline"/>
        </w:rPr>
        <w:t xml:space="preserve"> and </w:t>
      </w:r>
      <w:r w:rsidRPr="004E5101">
        <w:rPr>
          <w:rStyle w:val="Emphasis"/>
        </w:rPr>
        <w:t>capricious agency action</w:t>
      </w:r>
      <w:r w:rsidRPr="004E5101">
        <w:rPr>
          <w:rStyle w:val="StyleUnderline"/>
        </w:rPr>
        <w:t>.”</w:t>
      </w:r>
      <w:r w:rsidRPr="004E5101">
        <w:rPr>
          <w:sz w:val="16"/>
        </w:rPr>
        <w:t>162</w:t>
      </w:r>
    </w:p>
    <w:p w14:paraId="645E0719" w14:textId="77777777" w:rsidR="00C8282D" w:rsidRPr="004E5101" w:rsidRDefault="00C8282D" w:rsidP="00C8282D">
      <w:pPr>
        <w:rPr>
          <w:sz w:val="16"/>
        </w:rPr>
      </w:pPr>
      <w:r w:rsidRPr="004E5101">
        <w:rPr>
          <w:rStyle w:val="StyleUnderline"/>
        </w:rPr>
        <w:t xml:space="preserve">The need for </w:t>
      </w:r>
      <w:r w:rsidRPr="00C8282D">
        <w:rPr>
          <w:rStyle w:val="StyleUnderline"/>
        </w:rPr>
        <w:t>critical examination</w:t>
      </w:r>
      <w:r w:rsidRPr="004E5101">
        <w:rPr>
          <w:rStyle w:val="StyleUnderline"/>
        </w:rPr>
        <w:t xml:space="preserve"> of agency interpretations is </w:t>
      </w:r>
      <w:r w:rsidRPr="00C8282D">
        <w:rPr>
          <w:rStyle w:val="StyleUnderline"/>
        </w:rPr>
        <w:t>most pronounced</w:t>
      </w:r>
      <w:r w:rsidRPr="004E5101">
        <w:rPr>
          <w:rStyle w:val="StyleUnderline"/>
        </w:rPr>
        <w:t xml:space="preserve"> at the intersection of </w:t>
      </w:r>
      <w:r w:rsidRPr="00D366F0">
        <w:rPr>
          <w:rStyle w:val="StyleUnderline"/>
        </w:rPr>
        <w:t>immigration and criminal law</w:t>
      </w:r>
      <w:r w:rsidRPr="004E5101">
        <w:rPr>
          <w:rStyle w:val="StyleUnderline"/>
        </w:rPr>
        <w:t>, wher</w:t>
      </w:r>
      <w:r w:rsidRPr="00C8282D">
        <w:rPr>
          <w:rStyle w:val="StyleUnderline"/>
        </w:rPr>
        <w:t>e “</w:t>
      </w:r>
      <w:r w:rsidRPr="00456038">
        <w:rPr>
          <w:rStyle w:val="Emphasis"/>
          <w:highlight w:val="cyan"/>
        </w:rPr>
        <w:t>the liberty stakes</w:t>
      </w:r>
      <w:r w:rsidRPr="004E5101">
        <w:rPr>
          <w:rStyle w:val="StyleUnderline"/>
        </w:rPr>
        <w:t xml:space="preserve"> of </w:t>
      </w:r>
      <w:r w:rsidRPr="00C8282D">
        <w:rPr>
          <w:rStyle w:val="Emphasis"/>
        </w:rPr>
        <w:t>the crime</w:t>
      </w:r>
      <w:r w:rsidRPr="004E5101">
        <w:rPr>
          <w:rStyle w:val="Emphasis"/>
        </w:rPr>
        <w:t xml:space="preserve">-based </w:t>
      </w:r>
      <w:r w:rsidRPr="00456038">
        <w:rPr>
          <w:rStyle w:val="Emphasis"/>
          <w:highlight w:val="cyan"/>
        </w:rPr>
        <w:t>removal</w:t>
      </w:r>
      <w:r w:rsidRPr="004E5101">
        <w:rPr>
          <w:rStyle w:val="Emphasis"/>
        </w:rPr>
        <w:t xml:space="preserve"> grounds</w:t>
      </w:r>
      <w:r w:rsidRPr="004E5101">
        <w:rPr>
          <w:rStyle w:val="StyleUnderline"/>
        </w:rPr>
        <w:t xml:space="preserve"> </w:t>
      </w:r>
      <w:r w:rsidRPr="00456038">
        <w:rPr>
          <w:rStyle w:val="StyleUnderline"/>
          <w:highlight w:val="cyan"/>
        </w:rPr>
        <w:t xml:space="preserve">are </w:t>
      </w:r>
      <w:r w:rsidRPr="00456038">
        <w:rPr>
          <w:rStyle w:val="Emphasis"/>
          <w:highlight w:val="cyan"/>
        </w:rPr>
        <w:t>high</w:t>
      </w:r>
      <w:r w:rsidRPr="00C8282D">
        <w:rPr>
          <w:rStyle w:val="StyleUnderline"/>
        </w:rPr>
        <w:t xml:space="preserve">, notice is </w:t>
      </w:r>
      <w:r w:rsidRPr="00D366F0">
        <w:rPr>
          <w:rStyle w:val="StyleUnderline"/>
        </w:rPr>
        <w:t>critical</w:t>
      </w:r>
      <w:r w:rsidRPr="00C8282D">
        <w:rPr>
          <w:rStyle w:val="StyleUnderline"/>
        </w:rPr>
        <w:t>, and the</w:t>
      </w:r>
      <w:r w:rsidRPr="004E5101">
        <w:rPr>
          <w:rStyle w:val="StyleUnderline"/>
        </w:rPr>
        <w:t xml:space="preserve"> risk of </w:t>
      </w:r>
      <w:r w:rsidRPr="00D366F0">
        <w:rPr>
          <w:rStyle w:val="StyleUnderline"/>
        </w:rPr>
        <w:t>arbitrariness and discrimination</w:t>
      </w:r>
      <w:r w:rsidRPr="004E5101">
        <w:rPr>
          <w:rStyle w:val="StyleUnderline"/>
        </w:rPr>
        <w:t xml:space="preserve"> by government actors at multiple levels is </w:t>
      </w:r>
      <w:r w:rsidRPr="004E5101">
        <w:rPr>
          <w:rStyle w:val="Emphasis"/>
        </w:rPr>
        <w:t>acute</w:t>
      </w:r>
      <w:r w:rsidRPr="004E5101">
        <w:rPr>
          <w:rStyle w:val="StyleUnderline"/>
        </w:rPr>
        <w:t>.”</w:t>
      </w:r>
      <w:r w:rsidRPr="004E5101">
        <w:rPr>
          <w:sz w:val="16"/>
        </w:rPr>
        <w:t xml:space="preserve">163 This </w:t>
      </w:r>
      <w:r w:rsidRPr="004E5101">
        <w:rPr>
          <w:rStyle w:val="StyleUnderline"/>
        </w:rPr>
        <w:t>“</w:t>
      </w:r>
      <w:r w:rsidRPr="004E5101">
        <w:rPr>
          <w:rStyle w:val="Emphasis"/>
        </w:rPr>
        <w:t>independent analysis</w:t>
      </w:r>
      <w:r w:rsidRPr="004E5101">
        <w:rPr>
          <w:rStyle w:val="StyleUnderline"/>
        </w:rPr>
        <w:t xml:space="preserve"> rather than </w:t>
      </w:r>
      <w:r w:rsidRPr="004E5101">
        <w:rPr>
          <w:rStyle w:val="Emphasis"/>
        </w:rPr>
        <w:t>mechanically and summarily</w:t>
      </w:r>
      <w:r w:rsidRPr="004E5101">
        <w:rPr>
          <w:rStyle w:val="StyleUnderline"/>
        </w:rPr>
        <w:t xml:space="preserve"> adopting an agency interpretation, provid[es] </w:t>
      </w:r>
      <w:r w:rsidRPr="00C8282D">
        <w:rPr>
          <w:rStyle w:val="StyleUnderline"/>
        </w:rPr>
        <w:t>guidance</w:t>
      </w:r>
      <w:r w:rsidRPr="004E5101">
        <w:rPr>
          <w:rStyle w:val="StyleUnderline"/>
        </w:rPr>
        <w:t xml:space="preserve"> for future litigants, legislators, and the BIA.</w:t>
      </w:r>
      <w:r w:rsidRPr="00C8282D">
        <w:rPr>
          <w:rStyle w:val="StyleUnderline"/>
        </w:rPr>
        <w:t>”</w:t>
      </w:r>
      <w:r w:rsidRPr="00C8282D">
        <w:rPr>
          <w:sz w:val="16"/>
        </w:rPr>
        <w:t xml:space="preserve">164 </w:t>
      </w:r>
      <w:r w:rsidRPr="00C8282D">
        <w:rPr>
          <w:rStyle w:val="Emphasis"/>
        </w:rPr>
        <w:t xml:space="preserve">Even </w:t>
      </w:r>
      <w:r w:rsidRPr="00456038">
        <w:rPr>
          <w:rStyle w:val="Emphasis"/>
          <w:highlight w:val="cyan"/>
        </w:rPr>
        <w:t>if</w:t>
      </w:r>
      <w:r w:rsidRPr="00456038">
        <w:rPr>
          <w:rStyle w:val="StyleUnderline"/>
          <w:highlight w:val="cyan"/>
        </w:rPr>
        <w:t xml:space="preserve"> courts</w:t>
      </w:r>
      <w:r w:rsidRPr="004E5101">
        <w:rPr>
          <w:rStyle w:val="StyleUnderline"/>
        </w:rPr>
        <w:t xml:space="preserve"> </w:t>
      </w:r>
      <w:r w:rsidRPr="004E5101">
        <w:rPr>
          <w:rStyle w:val="Emphasis"/>
        </w:rPr>
        <w:t xml:space="preserve">ultimately </w:t>
      </w:r>
      <w:r w:rsidRPr="00456038">
        <w:rPr>
          <w:rStyle w:val="Emphasis"/>
          <w:highlight w:val="cyan"/>
        </w:rPr>
        <w:t>defer</w:t>
      </w:r>
      <w:r w:rsidRPr="004E5101">
        <w:rPr>
          <w:rStyle w:val="StyleUnderline"/>
        </w:rPr>
        <w:t xml:space="preserve"> to the BIA’s interpretation, </w:t>
      </w:r>
      <w:r w:rsidRPr="00456038">
        <w:rPr>
          <w:rStyle w:val="StyleUnderline"/>
          <w:highlight w:val="cyan"/>
        </w:rPr>
        <w:t xml:space="preserve">in </w:t>
      </w:r>
      <w:r w:rsidRPr="00456038">
        <w:rPr>
          <w:rStyle w:val="Emphasis"/>
          <w:highlight w:val="cyan"/>
        </w:rPr>
        <w:t>a culture of</w:t>
      </w:r>
      <w:r w:rsidRPr="004E5101">
        <w:rPr>
          <w:rStyle w:val="Emphasis"/>
        </w:rPr>
        <w:t xml:space="preserve"> judicial </w:t>
      </w:r>
      <w:r w:rsidRPr="00456038">
        <w:rPr>
          <w:rStyle w:val="Emphasis"/>
          <w:highlight w:val="cyan"/>
        </w:rPr>
        <w:t>vigilance</w:t>
      </w:r>
      <w:r w:rsidRPr="00456038">
        <w:rPr>
          <w:rStyle w:val="StyleUnderline"/>
          <w:highlight w:val="cyan"/>
        </w:rPr>
        <w:t xml:space="preserve"> “the BIA would have</w:t>
      </w:r>
      <w:r w:rsidRPr="004E5101">
        <w:rPr>
          <w:rStyle w:val="StyleUnderline"/>
        </w:rPr>
        <w:t xml:space="preserve"> </w:t>
      </w:r>
      <w:r w:rsidRPr="004E5101">
        <w:rPr>
          <w:rStyle w:val="Emphasis"/>
        </w:rPr>
        <w:t xml:space="preserve">greater </w:t>
      </w:r>
      <w:r w:rsidRPr="00456038">
        <w:rPr>
          <w:rStyle w:val="Emphasis"/>
          <w:highlight w:val="cyan"/>
        </w:rPr>
        <w:t>incentives</w:t>
      </w:r>
      <w:r w:rsidRPr="00456038">
        <w:rPr>
          <w:rStyle w:val="StyleUnderline"/>
          <w:highlight w:val="cyan"/>
        </w:rPr>
        <w:t xml:space="preserve"> to justify its decisions</w:t>
      </w:r>
      <w:r w:rsidRPr="004E5101">
        <w:rPr>
          <w:rStyle w:val="StyleUnderline"/>
        </w:rPr>
        <w:t xml:space="preserve"> with immigration-specific rationales or statements of policy.”</w:t>
      </w:r>
      <w:r w:rsidRPr="004E5101">
        <w:rPr>
          <w:sz w:val="16"/>
        </w:rPr>
        <w:t>165</w:t>
      </w:r>
    </w:p>
    <w:p w14:paraId="0643360F" w14:textId="77777777" w:rsidR="00C8282D" w:rsidRPr="004E5101" w:rsidRDefault="00C8282D" w:rsidP="00C8282D">
      <w:pPr>
        <w:rPr>
          <w:sz w:val="16"/>
        </w:rPr>
      </w:pPr>
      <w:r w:rsidRPr="004E5101">
        <w:rPr>
          <w:sz w:val="16"/>
        </w:rPr>
        <w:t>V. THE SUPREME COURT, IMMIGRATION, AND CHEVRON</w:t>
      </w:r>
    </w:p>
    <w:p w14:paraId="5B7D871C" w14:textId="77777777" w:rsidR="00C8282D" w:rsidRPr="004E5101" w:rsidRDefault="00C8282D" w:rsidP="00C8282D">
      <w:pPr>
        <w:rPr>
          <w:sz w:val="16"/>
        </w:rPr>
      </w:pPr>
      <w:r w:rsidRPr="004E5101">
        <w:rPr>
          <w:rStyle w:val="StyleUnderline"/>
        </w:rPr>
        <w:t xml:space="preserve">This </w:t>
      </w:r>
      <w:r w:rsidRPr="00C8282D">
        <w:rPr>
          <w:rStyle w:val="StyleUnderline"/>
        </w:rPr>
        <w:t>circuit</w:t>
      </w:r>
      <w:r w:rsidRPr="004E5101">
        <w:rPr>
          <w:rStyle w:val="StyleUnderline"/>
        </w:rPr>
        <w:t xml:space="preserve"> split is </w:t>
      </w:r>
      <w:r w:rsidRPr="00456038">
        <w:rPr>
          <w:rStyle w:val="Emphasis"/>
          <w:highlight w:val="cyan"/>
        </w:rPr>
        <w:t>prime</w:t>
      </w:r>
      <w:r w:rsidRPr="00456038">
        <w:rPr>
          <w:rStyle w:val="StyleUnderline"/>
          <w:highlight w:val="cyan"/>
        </w:rPr>
        <w:t xml:space="preserve"> for</w:t>
      </w:r>
      <w:r w:rsidRPr="004E5101">
        <w:rPr>
          <w:rStyle w:val="StyleUnderline"/>
        </w:rPr>
        <w:t xml:space="preserve"> </w:t>
      </w:r>
      <w:r w:rsidRPr="004E5101">
        <w:rPr>
          <w:rStyle w:val="Emphasis"/>
        </w:rPr>
        <w:t xml:space="preserve">Supreme </w:t>
      </w:r>
      <w:r w:rsidRPr="00456038">
        <w:rPr>
          <w:rStyle w:val="Emphasis"/>
          <w:highlight w:val="cyan"/>
        </w:rPr>
        <w:t>Court review</w:t>
      </w:r>
      <w:r w:rsidRPr="00456038">
        <w:rPr>
          <w:rStyle w:val="StyleUnderline"/>
          <w:highlight w:val="cyan"/>
        </w:rPr>
        <w:t xml:space="preserve"> because</w:t>
      </w:r>
      <w:r w:rsidRPr="004E5101">
        <w:rPr>
          <w:rStyle w:val="StyleUnderline"/>
        </w:rPr>
        <w:t xml:space="preserve"> </w:t>
      </w:r>
      <w:r w:rsidRPr="004E5101">
        <w:rPr>
          <w:rStyle w:val="Emphasis"/>
        </w:rPr>
        <w:t>the curr</w:t>
      </w:r>
      <w:r w:rsidRPr="00C8282D">
        <w:rPr>
          <w:rStyle w:val="Emphasis"/>
        </w:rPr>
        <w:t>ent divide</w:t>
      </w:r>
      <w:r w:rsidRPr="00C8282D">
        <w:rPr>
          <w:sz w:val="16"/>
        </w:rPr>
        <w:t xml:space="preserve"> on thi</w:t>
      </w:r>
      <w:r w:rsidRPr="004E5101">
        <w:rPr>
          <w:sz w:val="16"/>
        </w:rPr>
        <w:t xml:space="preserve">s question </w:t>
      </w:r>
      <w:r w:rsidRPr="004E5101">
        <w:rPr>
          <w:rStyle w:val="StyleUnderline"/>
        </w:rPr>
        <w:t>“means</w:t>
      </w:r>
      <w:r w:rsidRPr="004E5101">
        <w:rPr>
          <w:sz w:val="16"/>
        </w:rPr>
        <w:t xml:space="preserve"> that </w:t>
      </w:r>
      <w:r w:rsidRPr="00456038">
        <w:rPr>
          <w:rStyle w:val="Emphasis"/>
          <w:highlight w:val="cyan"/>
        </w:rPr>
        <w:t>people convicted</w:t>
      </w:r>
      <w:r w:rsidRPr="00C8282D">
        <w:rPr>
          <w:rStyle w:val="Emphasis"/>
        </w:rPr>
        <w:t xml:space="preserve"> of identical crimes</w:t>
      </w:r>
      <w:r w:rsidRPr="004E5101">
        <w:rPr>
          <w:sz w:val="16"/>
        </w:rPr>
        <w:t xml:space="preserve"> in states </w:t>
      </w:r>
      <w:r w:rsidRPr="00456038">
        <w:rPr>
          <w:rStyle w:val="StyleUnderline"/>
          <w:highlight w:val="cyan"/>
        </w:rPr>
        <w:t>in the Tenth Circuit will</w:t>
      </w:r>
      <w:r w:rsidRPr="00C8282D">
        <w:rPr>
          <w:rStyle w:val="StyleUnderline"/>
        </w:rPr>
        <w:t xml:space="preserve"> </w:t>
      </w:r>
      <w:r w:rsidRPr="00C8282D">
        <w:rPr>
          <w:rStyle w:val="Emphasis"/>
        </w:rPr>
        <w:t xml:space="preserve">be permitted to </w:t>
      </w:r>
      <w:r w:rsidRPr="00456038">
        <w:rPr>
          <w:rStyle w:val="Emphasis"/>
          <w:highlight w:val="cyan"/>
        </w:rPr>
        <w:t>remain</w:t>
      </w:r>
      <w:r w:rsidRPr="004E5101">
        <w:rPr>
          <w:rStyle w:val="StyleUnderline"/>
        </w:rPr>
        <w:t xml:space="preserve"> in the U</w:t>
      </w:r>
      <w:r w:rsidRPr="004E5101">
        <w:rPr>
          <w:sz w:val="16"/>
        </w:rPr>
        <w:t xml:space="preserve">nited </w:t>
      </w:r>
      <w:r w:rsidRPr="004E5101">
        <w:rPr>
          <w:rStyle w:val="StyleUnderline"/>
        </w:rPr>
        <w:t>S</w:t>
      </w:r>
      <w:r w:rsidRPr="004E5101">
        <w:rPr>
          <w:sz w:val="16"/>
        </w:rPr>
        <w:t xml:space="preserve">tates, </w:t>
      </w:r>
      <w:r w:rsidRPr="00456038">
        <w:rPr>
          <w:rStyle w:val="StyleUnderline"/>
          <w:highlight w:val="cyan"/>
        </w:rPr>
        <w:t>while those in</w:t>
      </w:r>
      <w:r w:rsidRPr="004E5101">
        <w:rPr>
          <w:sz w:val="16"/>
        </w:rPr>
        <w:t xml:space="preserve"> states in </w:t>
      </w:r>
      <w:r w:rsidRPr="004E5101">
        <w:rPr>
          <w:rStyle w:val="StyleUnderline"/>
        </w:rPr>
        <w:t xml:space="preserve">the </w:t>
      </w:r>
      <w:r w:rsidRPr="00456038">
        <w:rPr>
          <w:rStyle w:val="StyleUnderline"/>
          <w:highlight w:val="cyan"/>
        </w:rPr>
        <w:t>Second</w:t>
      </w:r>
      <w:r w:rsidRPr="004E5101">
        <w:rPr>
          <w:rStyle w:val="StyleUnderline"/>
        </w:rPr>
        <w:t xml:space="preserve">[, </w:t>
      </w:r>
      <w:r w:rsidRPr="00456038">
        <w:rPr>
          <w:rStyle w:val="StyleUnderline"/>
          <w:highlight w:val="cyan"/>
        </w:rPr>
        <w:t>Third</w:t>
      </w:r>
      <w:r w:rsidRPr="004E5101">
        <w:rPr>
          <w:rStyle w:val="StyleUnderline"/>
        </w:rPr>
        <w:t xml:space="preserve">, </w:t>
      </w:r>
      <w:r w:rsidRPr="00456038">
        <w:rPr>
          <w:rStyle w:val="StyleUnderline"/>
          <w:highlight w:val="cyan"/>
        </w:rPr>
        <w:t>Eleventh</w:t>
      </w:r>
      <w:r w:rsidRPr="004E5101">
        <w:rPr>
          <w:rStyle w:val="StyleUnderline"/>
        </w:rPr>
        <w:t xml:space="preserve">,] </w:t>
      </w:r>
      <w:r w:rsidRPr="00456038">
        <w:rPr>
          <w:rStyle w:val="StyleUnderline"/>
          <w:highlight w:val="cyan"/>
        </w:rPr>
        <w:t>and Ninth</w:t>
      </w:r>
      <w:r w:rsidRPr="004E5101">
        <w:rPr>
          <w:rStyle w:val="StyleUnderline"/>
        </w:rPr>
        <w:t xml:space="preserve"> Circuits </w:t>
      </w:r>
      <w:r w:rsidRPr="00456038">
        <w:rPr>
          <w:rStyle w:val="StyleUnderline"/>
          <w:highlight w:val="cyan"/>
        </w:rPr>
        <w:t xml:space="preserve">will be </w:t>
      </w:r>
      <w:r w:rsidRPr="00456038">
        <w:rPr>
          <w:rStyle w:val="Emphasis"/>
          <w:highlight w:val="cyan"/>
        </w:rPr>
        <w:t>removed</w:t>
      </w:r>
      <w:r w:rsidRPr="00456038">
        <w:rPr>
          <w:rStyle w:val="StyleUnderline"/>
          <w:highlight w:val="cyan"/>
        </w:rPr>
        <w:t>.”</w:t>
      </w:r>
      <w:r w:rsidRPr="004E5101">
        <w:rPr>
          <w:sz w:val="16"/>
        </w:rPr>
        <w:t>166 Although immigration cases are only a fraction of the Supreme Court’s docket, the Court invoked Chevron deference as part of its review of agency legal conclusions in four immigration decisions since 2010: Holder v. Martinez Gutierrez and Holder v. Sawyers (2012), Scialabba v. Cuellar de Osorio (2014), Mellouli v. Lynch (2015), and Esquivel Quintana v. Sessions (2017).167 Although dealing with a range of legal questions, “the first three cases were ultimately resolved at step two of the Chevron analysis,” with the Court granting deference to the agency’s interpretation in Martinez Guttierez and Cuellar de Osorio, but “finding the agency’s definition unreasonable in Mellouli.”168 The Court declined to grant deference to the BIA’s interpretation “on the grounds that it was unambiguously foreclosed by the statute” in Esquivel Quintana. 169</w:t>
      </w:r>
    </w:p>
    <w:p w14:paraId="79B516B5" w14:textId="5349126D" w:rsidR="00C8282D" w:rsidRDefault="00C8282D" w:rsidP="00C8282D">
      <w:pPr>
        <w:rPr>
          <w:sz w:val="16"/>
        </w:rPr>
      </w:pPr>
      <w:r w:rsidRPr="004E5101">
        <w:rPr>
          <w:sz w:val="16"/>
        </w:rPr>
        <w:t xml:space="preserve">These cases do not provide direct guidance in resolving the circuit split because none of these cases address the relationship between the principles of Chevron and lenity. The Supreme Court’s resolution of this circuit split could potentially provide guidance for how courts should apply Chevron in the immigration context more broadly and clarify how these principles interrelate. As the Ibarra court observed, there are a number of crimes listed under § 1227(a)(2), including “crimes of moral turpitude; aggravated felonies; high speed flight from an immigration checkpoint; failure to register as a sex offender; . . . and crimes of domestic violence, stalking, or violation of protection order.”170 </w:t>
      </w:r>
      <w:r w:rsidRPr="004E5101">
        <w:rPr>
          <w:rStyle w:val="StyleUnderline"/>
        </w:rPr>
        <w:t xml:space="preserve">Were the Court to address this issue, the </w:t>
      </w:r>
      <w:r w:rsidRPr="00456038">
        <w:rPr>
          <w:rStyle w:val="StyleUnderline"/>
          <w:highlight w:val="cyan"/>
        </w:rPr>
        <w:t>impact would</w:t>
      </w:r>
      <w:r w:rsidRPr="004E5101">
        <w:rPr>
          <w:rStyle w:val="StyleUnderline"/>
        </w:rPr>
        <w:t xml:space="preserve"> </w:t>
      </w:r>
      <w:r w:rsidRPr="004E5101">
        <w:rPr>
          <w:rStyle w:val="Emphasis"/>
        </w:rPr>
        <w:t xml:space="preserve">likely </w:t>
      </w:r>
      <w:r w:rsidRPr="00456038">
        <w:rPr>
          <w:rStyle w:val="Emphasis"/>
          <w:highlight w:val="cyan"/>
        </w:rPr>
        <w:t>extend</w:t>
      </w:r>
      <w:r w:rsidRPr="00456038">
        <w:rPr>
          <w:rStyle w:val="StyleUnderline"/>
          <w:highlight w:val="cyan"/>
        </w:rPr>
        <w:t xml:space="preserve"> to </w:t>
      </w:r>
      <w:r w:rsidRPr="00456038">
        <w:rPr>
          <w:rStyle w:val="Emphasis"/>
          <w:highlight w:val="cyan"/>
        </w:rPr>
        <w:t>other cases</w:t>
      </w:r>
      <w:r w:rsidRPr="004E5101">
        <w:rPr>
          <w:rStyle w:val="StyleUnderline"/>
        </w:rPr>
        <w:t xml:space="preserve"> where the BIA requested that courts defer </w:t>
      </w:r>
      <w:r w:rsidRPr="00456038">
        <w:rPr>
          <w:rStyle w:val="StyleUnderline"/>
          <w:highlight w:val="cyan"/>
        </w:rPr>
        <w:t>to</w:t>
      </w:r>
      <w:r w:rsidRPr="004E5101">
        <w:rPr>
          <w:rStyle w:val="StyleUnderline"/>
        </w:rPr>
        <w:t xml:space="preserve"> </w:t>
      </w:r>
      <w:r w:rsidRPr="004E5101">
        <w:rPr>
          <w:rStyle w:val="Emphasis"/>
        </w:rPr>
        <w:t xml:space="preserve">its </w:t>
      </w:r>
      <w:r w:rsidRPr="00456038">
        <w:rPr>
          <w:rStyle w:val="Emphasis"/>
          <w:highlight w:val="cyan"/>
        </w:rPr>
        <w:t>interp</w:t>
      </w:r>
      <w:r w:rsidRPr="00C8282D">
        <w:rPr>
          <w:rStyle w:val="Emphasis"/>
        </w:rPr>
        <w:t>retation</w:t>
      </w:r>
      <w:r w:rsidRPr="00456038">
        <w:rPr>
          <w:rStyle w:val="Emphasis"/>
          <w:highlight w:val="cyan"/>
        </w:rPr>
        <w:t>s</w:t>
      </w:r>
      <w:r w:rsidRPr="00456038">
        <w:rPr>
          <w:rStyle w:val="StyleUnderline"/>
          <w:highlight w:val="cyan"/>
        </w:rPr>
        <w:t xml:space="preserve"> of </w:t>
      </w:r>
      <w:r w:rsidRPr="00C8282D">
        <w:rPr>
          <w:rStyle w:val="Emphasis"/>
        </w:rPr>
        <w:t xml:space="preserve">other </w:t>
      </w:r>
      <w:r w:rsidRPr="00456038">
        <w:rPr>
          <w:rStyle w:val="Emphasis"/>
          <w:highlight w:val="cyan"/>
        </w:rPr>
        <w:t>criminal</w:t>
      </w:r>
      <w:r w:rsidRPr="004E5101">
        <w:rPr>
          <w:rStyle w:val="Emphasis"/>
        </w:rPr>
        <w:t xml:space="preserve"> statutory </w:t>
      </w:r>
      <w:r w:rsidRPr="00456038">
        <w:rPr>
          <w:rStyle w:val="Emphasis"/>
          <w:highlight w:val="cyan"/>
        </w:rPr>
        <w:t>provisions</w:t>
      </w:r>
      <w:r w:rsidRPr="004E5101">
        <w:rPr>
          <w:sz w:val="16"/>
        </w:rPr>
        <w:t xml:space="preserve">. </w:t>
      </w:r>
    </w:p>
    <w:p w14:paraId="0D04BEC1" w14:textId="79B41AA1" w:rsidR="00621D20" w:rsidRPr="008F6C51" w:rsidRDefault="00621D20" w:rsidP="00621D20">
      <w:pPr>
        <w:pStyle w:val="Heading4"/>
      </w:pPr>
      <w:r>
        <w:t xml:space="preserve">No disads – circuit courts give </w:t>
      </w:r>
      <w:r w:rsidRPr="001F7110">
        <w:rPr>
          <w:u w:val="single"/>
        </w:rPr>
        <w:t>mixed signals</w:t>
      </w:r>
      <w:r>
        <w:t>.</w:t>
      </w:r>
    </w:p>
    <w:p w14:paraId="0A169CD3" w14:textId="77777777" w:rsidR="00621D20" w:rsidRPr="004D626F" w:rsidRDefault="00621D20" w:rsidP="00621D20">
      <w:r>
        <w:rPr>
          <w:rStyle w:val="Style13ptBold"/>
        </w:rPr>
        <w:t>Sharpless 17</w:t>
      </w:r>
      <w:r>
        <w:t xml:space="preserve"> – Rebecca Sharpless, Clinical Professor at University of Miami School of Law ("Zone of Nondeference: Chevron and Deportation for a Crime,” 9 Drexel L. Review 323, available online at https://drexel.edu/law/lawreview/issues/Archives/v9-2/sharpless/, accessed 6-25-2020) LR</w:t>
      </w:r>
    </w:p>
    <w:p w14:paraId="208B12A9" w14:textId="77777777" w:rsidR="00621D20" w:rsidRPr="00310889" w:rsidRDefault="00621D20" w:rsidP="00621D20">
      <w:pPr>
        <w:rPr>
          <w:sz w:val="16"/>
        </w:rPr>
      </w:pPr>
      <w:r w:rsidRPr="00310889">
        <w:rPr>
          <w:sz w:val="16"/>
        </w:rPr>
        <w:t xml:space="preserve">Crime-based deportation has existed since the earliest general expulsion statutes.172 With the post-New Deal rise of agencies as the “fourth branch” of government, it is only natural that the Supreme Court should consider how the judiciary relates to agency interpretation of statutes that in some way relate to criminal law.173 To date, </w:t>
      </w:r>
      <w:r w:rsidRPr="00310889">
        <w:rPr>
          <w:rStyle w:val="StyleUnderline"/>
        </w:rPr>
        <w:t xml:space="preserve">the Court has </w:t>
      </w:r>
      <w:r w:rsidRPr="00310889">
        <w:rPr>
          <w:sz w:val="16"/>
        </w:rPr>
        <w:t xml:space="preserve">left </w:t>
      </w:r>
      <w:r w:rsidRPr="00393754">
        <w:rPr>
          <w:rStyle w:val="Emphasis"/>
        </w:rPr>
        <w:t>largely unaddressed</w:t>
      </w:r>
      <w:r w:rsidRPr="00310889">
        <w:rPr>
          <w:rStyle w:val="StyleUnderline"/>
        </w:rPr>
        <w:t xml:space="preserve"> whether Chevron applies to interpretations of crime-based deportation provisions.</w:t>
      </w:r>
      <w:r w:rsidRPr="00310889">
        <w:rPr>
          <w:sz w:val="16"/>
        </w:rPr>
        <w:t xml:space="preserve">174 </w:t>
      </w:r>
      <w:r w:rsidRPr="00310889">
        <w:rPr>
          <w:rStyle w:val="StyleUnderline"/>
        </w:rPr>
        <w:t>Unlike lower courts, the Supreme Court has never deferred to the Attorney General or BIA’s interpretations of the scope of a criminal ground of deportation.</w:t>
      </w:r>
      <w:r w:rsidRPr="00310889">
        <w:rPr>
          <w:sz w:val="16"/>
        </w:rPr>
        <w:t xml:space="preserve">175 </w:t>
      </w:r>
      <w:r w:rsidRPr="00310889">
        <w:rPr>
          <w:rStyle w:val="StyleUnderline"/>
        </w:rPr>
        <w:t xml:space="preserve">Rather, the Court has usually decided this type of case </w:t>
      </w:r>
      <w:r w:rsidRPr="00393754">
        <w:rPr>
          <w:rStyle w:val="Emphasis"/>
        </w:rPr>
        <w:t>without mentioning Chevron</w:t>
      </w:r>
      <w:r w:rsidRPr="00310889">
        <w:rPr>
          <w:rStyle w:val="StyleUnderline"/>
        </w:rPr>
        <w:t>, even if the parties briefed it</w:t>
      </w:r>
      <w:r w:rsidRPr="00310889">
        <w:rPr>
          <w:sz w:val="16"/>
        </w:rPr>
        <w:t xml:space="preserve">.176 </w:t>
      </w:r>
      <w:r w:rsidRPr="00310889">
        <w:rPr>
          <w:rStyle w:val="StyleUnderline"/>
        </w:rPr>
        <w:t>In these cases, it is often unclear whether the Court regarded Chevron as irrelevant</w:t>
      </w:r>
      <w:r w:rsidRPr="00310889">
        <w:rPr>
          <w:sz w:val="16"/>
        </w:rPr>
        <w:t xml:space="preserve"> (a step zero decision) </w:t>
      </w:r>
      <w:r w:rsidRPr="00310889">
        <w:rPr>
          <w:rStyle w:val="StyleUnderline"/>
        </w:rPr>
        <w:t>or regarded Chevron relevant but the statutory meaning clear</w:t>
      </w:r>
      <w:r w:rsidRPr="00310889">
        <w:rPr>
          <w:sz w:val="16"/>
        </w:rPr>
        <w:t xml:space="preserve"> (a step one decision). </w:t>
      </w:r>
      <w:r w:rsidRPr="00393754">
        <w:rPr>
          <w:rStyle w:val="Emphasis"/>
        </w:rPr>
        <w:t>Lower courts</w:t>
      </w:r>
      <w:r w:rsidRPr="00310889">
        <w:rPr>
          <w:rStyle w:val="StyleUnderline"/>
        </w:rPr>
        <w:t xml:space="preserve">, in contrast, </w:t>
      </w:r>
      <w:r w:rsidRPr="00393754">
        <w:rPr>
          <w:rStyle w:val="Emphasis"/>
        </w:rPr>
        <w:t>have routinely invoked Chevron</w:t>
      </w:r>
      <w:r w:rsidRPr="00310889">
        <w:rPr>
          <w:rStyle w:val="StyleUnderline"/>
        </w:rPr>
        <w:t xml:space="preserve"> when reviewing the same type of statutory interpretation questions.</w:t>
      </w:r>
      <w:r w:rsidRPr="00310889">
        <w:rPr>
          <w:sz w:val="16"/>
        </w:rPr>
        <w:t xml:space="preserve">177 </w:t>
      </w:r>
    </w:p>
    <w:p w14:paraId="3554B085" w14:textId="60DDCD24" w:rsidR="00621D20" w:rsidRDefault="00621D20" w:rsidP="00C8282D">
      <w:pPr>
        <w:rPr>
          <w:rStyle w:val="StyleUnderline"/>
        </w:rPr>
      </w:pPr>
      <w:r w:rsidRPr="00393754">
        <w:rPr>
          <w:rStyle w:val="StyleUnderline"/>
        </w:rPr>
        <w:t xml:space="preserve">The Court </w:t>
      </w:r>
      <w:r w:rsidRPr="00393754">
        <w:rPr>
          <w:rStyle w:val="Emphasis"/>
        </w:rPr>
        <w:t>needs a jurisprudence</w:t>
      </w:r>
      <w:r w:rsidRPr="00393754">
        <w:rPr>
          <w:rStyle w:val="StyleUnderline"/>
        </w:rPr>
        <w:t xml:space="preserve"> of how Chevron relates to interpretive questions arising out of crime-based removal adjudications. </w:t>
      </w:r>
      <w:r w:rsidRPr="00393754">
        <w:rPr>
          <w:sz w:val="16"/>
        </w:rPr>
        <w:t xml:space="preserve">Even if the Court had reached the Chevron question in Esquivel-Quintana, an aggravated felony case, </w:t>
      </w:r>
      <w:r w:rsidRPr="00393754">
        <w:rPr>
          <w:rStyle w:val="StyleUnderline"/>
        </w:rPr>
        <w:t>its holding</w:t>
      </w:r>
      <w:r w:rsidRPr="00393754">
        <w:rPr>
          <w:sz w:val="16"/>
        </w:rPr>
        <w:t xml:space="preserve"> would </w:t>
      </w:r>
      <w:r w:rsidRPr="00393754">
        <w:rPr>
          <w:rStyle w:val="StyleUnderline"/>
        </w:rPr>
        <w:t>not</w:t>
      </w:r>
      <w:r w:rsidRPr="00393754">
        <w:rPr>
          <w:sz w:val="16"/>
        </w:rPr>
        <w:t xml:space="preserve"> have </w:t>
      </w:r>
      <w:r w:rsidRPr="00393754">
        <w:rPr>
          <w:rStyle w:val="StyleUnderline"/>
        </w:rPr>
        <w:t>resolved the general question</w:t>
      </w:r>
      <w:r w:rsidRPr="00393754">
        <w:rPr>
          <w:sz w:val="16"/>
        </w:rPr>
        <w:t xml:space="preserve"> of what interpretive rules govern non-aggravated felony crime-based adjudications, </w:t>
      </w:r>
      <w:r w:rsidRPr="00393754">
        <w:rPr>
          <w:rStyle w:val="StyleUnderline"/>
        </w:rPr>
        <w:t>especially when the</w:t>
      </w:r>
      <w:r w:rsidRPr="00393754">
        <w:rPr>
          <w:sz w:val="16"/>
        </w:rPr>
        <w:t xml:space="preserve"> interpretative </w:t>
      </w:r>
      <w:r w:rsidRPr="00393754">
        <w:rPr>
          <w:rStyle w:val="StyleUnderline"/>
        </w:rPr>
        <w:t>question does not involve a criminal term with a settled meaning.</w:t>
      </w:r>
      <w:r w:rsidRPr="00393754">
        <w:rPr>
          <w:sz w:val="16"/>
        </w:rPr>
        <w:t xml:space="preserve"> This Article begins to develop a jurisprudence of Chevron and crime-based deportation. </w:t>
      </w:r>
      <w:r w:rsidRPr="00393754">
        <w:rPr>
          <w:rStyle w:val="StyleUnderline"/>
        </w:rPr>
        <w:t xml:space="preserve">The animating concerns of Chevron, the ban on deference to the Attorney General as a prosecutor, and the criminal and immigration </w:t>
      </w:r>
      <w:r w:rsidRPr="00393754">
        <w:rPr>
          <w:rStyle w:val="Emphasis"/>
        </w:rPr>
        <w:t>rules of lenity</w:t>
      </w:r>
      <w:r w:rsidRPr="00393754">
        <w:rPr>
          <w:rStyle w:val="StyleUnderline"/>
        </w:rPr>
        <w:t xml:space="preserve"> all suggest that courts </w:t>
      </w:r>
      <w:r w:rsidRPr="00393754">
        <w:rPr>
          <w:rStyle w:val="Emphasis"/>
        </w:rPr>
        <w:t>should not defer to immigration agency</w:t>
      </w:r>
      <w:r w:rsidRPr="00393754">
        <w:rPr>
          <w:rStyle w:val="StyleUnderline"/>
        </w:rPr>
        <w:t xml:space="preserve"> interpretations of </w:t>
      </w:r>
      <w:r w:rsidRPr="00393754">
        <w:rPr>
          <w:rStyle w:val="Emphasis"/>
        </w:rPr>
        <w:t>deportation statutes</w:t>
      </w:r>
      <w:r w:rsidRPr="00393754">
        <w:rPr>
          <w:rStyle w:val="StyleUnderline"/>
        </w:rPr>
        <w:t xml:space="preserve"> triggered by a conviction for a crime. </w:t>
      </w:r>
    </w:p>
    <w:p w14:paraId="3BDF00A5" w14:textId="56646039" w:rsidR="00230F4D" w:rsidRDefault="00230F4D" w:rsidP="00644FD1">
      <w:pPr>
        <w:pStyle w:val="Heading2"/>
      </w:pPr>
      <w:r>
        <w:t>Case</w:t>
      </w:r>
    </w:p>
    <w:p w14:paraId="69559DC1" w14:textId="77777777" w:rsidR="0095149D" w:rsidRDefault="0095149D" w:rsidP="0095149D">
      <w:pPr>
        <w:pStyle w:val="Heading3"/>
      </w:pPr>
      <w:r>
        <w:t xml:space="preserve">2AC – AT: </w:t>
      </w:r>
      <w:r w:rsidRPr="000D25BD">
        <w:rPr>
          <w:i/>
          <w:iCs/>
        </w:rPr>
        <w:t>Babbitt</w:t>
      </w:r>
      <w:r>
        <w:t xml:space="preserve"> Good</w:t>
      </w:r>
    </w:p>
    <w:p w14:paraId="1491EBCD" w14:textId="77777777" w:rsidR="0095149D" w:rsidRDefault="0095149D" w:rsidP="0095149D">
      <w:pPr>
        <w:pStyle w:val="Heading4"/>
      </w:pPr>
      <w:r>
        <w:t xml:space="preserve">This </w:t>
      </w:r>
      <w:r>
        <w:rPr>
          <w:u w:val="single"/>
        </w:rPr>
        <w:t>does violence</w:t>
      </w:r>
      <w:r>
        <w:t xml:space="preserve"> to </w:t>
      </w:r>
      <w:r>
        <w:rPr>
          <w:u w:val="single"/>
        </w:rPr>
        <w:t>due process</w:t>
      </w:r>
      <w:r>
        <w:t xml:space="preserve"> AND </w:t>
      </w:r>
      <w:r>
        <w:rPr>
          <w:u w:val="single"/>
        </w:rPr>
        <w:t>separation of powers</w:t>
      </w:r>
      <w:r>
        <w:t xml:space="preserve"> – the plan </w:t>
      </w:r>
      <w:r>
        <w:rPr>
          <w:u w:val="single"/>
        </w:rPr>
        <w:t>rebalances</w:t>
      </w:r>
      <w:r>
        <w:t xml:space="preserve"> </w:t>
      </w:r>
      <w:r>
        <w:rPr>
          <w:i/>
          <w:iCs w:val="0"/>
        </w:rPr>
        <w:t>Chevron</w:t>
      </w:r>
      <w:r>
        <w:t xml:space="preserve"> to honor its true tenets.</w:t>
      </w:r>
    </w:p>
    <w:p w14:paraId="3D0FE686" w14:textId="77777777" w:rsidR="0095149D" w:rsidRDefault="0095149D" w:rsidP="0095149D">
      <w:r w:rsidRPr="000B3396">
        <w:rPr>
          <w:rStyle w:val="Style13ptBold"/>
        </w:rPr>
        <w:t>Prince et al. 19</w:t>
      </w:r>
      <w:r>
        <w:t xml:space="preserve"> – Joshua Prince, JD at Widener Law School. Adam Kraut, JD at Widener Law School. Erik Jaffe, JD at Columbia Law School, clerk to a law clerk to Judge Douglas H. Ginsburg of the Court of Appeals DC Circuit. Gene Schaerr, JD at Yale Law School, law clerk for DC Circuit Judge Ken Starr, law clerk for US Supreme Court Justices Warren Burger and Antonin Scalia. Alan Alexander Beck, a lawyer. Stephen D. Stamboulieh, JD at Mississippi College. [On Petition for Writ of Certiorari for the case Damien Guedes et al. v. Bureau of Alcohol, Tobacco, Firearms and Explosives, on behalf of Damien Guedes, filed 8-29-19, https://www.supremecourt.gov/DocketPDF/19/19-296/114103/20190829143128966_Guedes Cert Pet-final PDFA.pdf]//BPS</w:t>
      </w:r>
    </w:p>
    <w:p w14:paraId="260B6E5C" w14:textId="77777777" w:rsidR="0095149D" w:rsidRPr="00C30512" w:rsidRDefault="0095149D" w:rsidP="0095149D">
      <w:pPr>
        <w:rPr>
          <w:sz w:val="16"/>
        </w:rPr>
      </w:pPr>
      <w:r w:rsidRPr="00C30512">
        <w:rPr>
          <w:sz w:val="16"/>
        </w:rPr>
        <w:t>REASONS FOR GRANTING THE WRIT</w:t>
      </w:r>
    </w:p>
    <w:p w14:paraId="1F95846F" w14:textId="77777777" w:rsidR="0095149D" w:rsidRPr="00C30512" w:rsidRDefault="0095149D" w:rsidP="0095149D">
      <w:pPr>
        <w:rPr>
          <w:sz w:val="16"/>
        </w:rPr>
      </w:pPr>
      <w:r w:rsidRPr="00C30512">
        <w:rPr>
          <w:sz w:val="16"/>
        </w:rPr>
        <w:t xml:space="preserve">This Court should grant the Petition for three reasons: (1) </w:t>
      </w:r>
      <w:r w:rsidRPr="00517996">
        <w:rPr>
          <w:rStyle w:val="StyleUnderline"/>
        </w:rPr>
        <w:t xml:space="preserve">the decision below </w:t>
      </w:r>
      <w:r w:rsidRPr="00517996">
        <w:rPr>
          <w:rStyle w:val="Emphasis"/>
        </w:rPr>
        <w:t>conflicts</w:t>
      </w:r>
      <w:r w:rsidRPr="00517996">
        <w:rPr>
          <w:rStyle w:val="StyleUnderline"/>
        </w:rPr>
        <w:t xml:space="preserve"> with </w:t>
      </w:r>
      <w:r w:rsidRPr="00517996">
        <w:rPr>
          <w:rStyle w:val="Emphasis"/>
        </w:rPr>
        <w:t>multiple decisions</w:t>
      </w:r>
      <w:r w:rsidRPr="00517996">
        <w:rPr>
          <w:rStyle w:val="StyleUnderline"/>
        </w:rPr>
        <w:t xml:space="preserve"> of this Court by elevating Chevron deference </w:t>
      </w:r>
      <w:r w:rsidRPr="00517996">
        <w:rPr>
          <w:rStyle w:val="Emphasis"/>
        </w:rPr>
        <w:t>above</w:t>
      </w:r>
      <w:r w:rsidRPr="00517996">
        <w:rPr>
          <w:rStyle w:val="StyleUnderline"/>
        </w:rPr>
        <w:t xml:space="preserve"> the rule of lenity as applied to </w:t>
      </w:r>
      <w:r w:rsidRPr="00517996">
        <w:rPr>
          <w:rStyle w:val="Emphasis"/>
        </w:rPr>
        <w:t>ambiguous criminal statutes</w:t>
      </w:r>
      <w:r w:rsidRPr="00C30512">
        <w:rPr>
          <w:sz w:val="16"/>
        </w:rPr>
        <w:t>; (2) the decision improperly finds Chevron deference to be unwaivable; and (3) the decision so grossly interprets Chevron deference as to raise the question whether Chevron should be overruled.</w:t>
      </w:r>
    </w:p>
    <w:p w14:paraId="460654F7" w14:textId="77777777" w:rsidR="0095149D" w:rsidRPr="00C30512" w:rsidRDefault="0095149D" w:rsidP="0095149D">
      <w:pPr>
        <w:rPr>
          <w:sz w:val="16"/>
        </w:rPr>
      </w:pPr>
      <w:r w:rsidRPr="00C30512">
        <w:rPr>
          <w:sz w:val="16"/>
        </w:rPr>
        <w:t xml:space="preserve">Because both the district and circuit court below agreed that the statutory definition of machinegun was ambiguous, there is no need for this Court to address the precise terms of the definition, the details of the agency redefinition, or the technical aspects of bump stocks. </w:t>
      </w:r>
      <w:r w:rsidRPr="00517996">
        <w:rPr>
          <w:rStyle w:val="StyleUnderline"/>
        </w:rPr>
        <w:t>The</w:t>
      </w:r>
      <w:r w:rsidRPr="00C30512">
        <w:rPr>
          <w:sz w:val="16"/>
        </w:rPr>
        <w:t xml:space="preserve"> sole </w:t>
      </w:r>
      <w:r w:rsidRPr="00517996">
        <w:rPr>
          <w:rStyle w:val="StyleUnderline"/>
        </w:rPr>
        <w:t>issues</w:t>
      </w:r>
      <w:r w:rsidRPr="00C30512">
        <w:rPr>
          <w:sz w:val="16"/>
        </w:rPr>
        <w:t xml:space="preserve"> in this Petition </w:t>
      </w:r>
      <w:r w:rsidRPr="00517996">
        <w:rPr>
          <w:rStyle w:val="StyleUnderline"/>
        </w:rPr>
        <w:t xml:space="preserve">are </w:t>
      </w:r>
      <w:r w:rsidRPr="00517996">
        <w:rPr>
          <w:rStyle w:val="Emphasis"/>
        </w:rPr>
        <w:t>methodological</w:t>
      </w:r>
      <w:r w:rsidRPr="00517996">
        <w:rPr>
          <w:rStyle w:val="StyleUnderline"/>
        </w:rPr>
        <w:t xml:space="preserve"> and </w:t>
      </w:r>
      <w:r w:rsidRPr="00517996">
        <w:rPr>
          <w:rStyle w:val="Emphasis"/>
        </w:rPr>
        <w:t>procedural</w:t>
      </w:r>
      <w:r w:rsidRPr="00517996">
        <w:rPr>
          <w:rStyle w:val="StyleUnderline"/>
        </w:rPr>
        <w:t xml:space="preserve"> and are </w:t>
      </w:r>
      <w:r w:rsidRPr="00517996">
        <w:rPr>
          <w:rStyle w:val="Emphasis"/>
        </w:rPr>
        <w:t>pure questions of law</w:t>
      </w:r>
      <w:r w:rsidRPr="00517996">
        <w:rPr>
          <w:rStyle w:val="StyleUnderline"/>
        </w:rPr>
        <w:t xml:space="preserve"> to be reviewed </w:t>
      </w:r>
      <w:r w:rsidRPr="00517996">
        <w:rPr>
          <w:rStyle w:val="Emphasis"/>
        </w:rPr>
        <w:t>de novo</w:t>
      </w:r>
      <w:r w:rsidRPr="00C30512">
        <w:rPr>
          <w:sz w:val="16"/>
        </w:rPr>
        <w:t xml:space="preserve">. The court of appeals itself recognized that the decision whether to apply Chevron was of great consequence in this case, App. A27-A28, and </w:t>
      </w:r>
      <w:r w:rsidRPr="00517996">
        <w:rPr>
          <w:rStyle w:val="StyleUnderline"/>
        </w:rPr>
        <w:t xml:space="preserve">there is </w:t>
      </w:r>
      <w:r w:rsidRPr="00517996">
        <w:rPr>
          <w:rStyle w:val="Emphasis"/>
        </w:rPr>
        <w:t>little question</w:t>
      </w:r>
      <w:r w:rsidRPr="00517996">
        <w:rPr>
          <w:rStyle w:val="StyleUnderline"/>
        </w:rPr>
        <w:t xml:space="preserve"> that if the rule of lenity applies, the government </w:t>
      </w:r>
      <w:r w:rsidRPr="00517996">
        <w:rPr>
          <w:rStyle w:val="Emphasis"/>
        </w:rPr>
        <w:t>loses</w:t>
      </w:r>
      <w:r w:rsidRPr="00C30512">
        <w:rPr>
          <w:sz w:val="16"/>
        </w:rPr>
        <w:t>. In short, this case is the perfect vehicle for considering important Chevron-related questions without the distraction or potential interference of the underlying statutory construction.</w:t>
      </w:r>
    </w:p>
    <w:p w14:paraId="7BF65BDF" w14:textId="77777777" w:rsidR="0095149D" w:rsidRPr="00C30512" w:rsidRDefault="0095149D" w:rsidP="0095149D">
      <w:pPr>
        <w:rPr>
          <w:sz w:val="16"/>
        </w:rPr>
      </w:pPr>
      <w:r w:rsidRPr="00C30512">
        <w:rPr>
          <w:sz w:val="16"/>
        </w:rPr>
        <w:t>I. The Decision Below Incorrectly Applies Chevron Deference Rather than the Rule of Lenity to a Criminal Statute that also Has Administrative Application.</w:t>
      </w:r>
    </w:p>
    <w:p w14:paraId="352F798A" w14:textId="77777777" w:rsidR="0095149D" w:rsidRPr="00C30512" w:rsidRDefault="0095149D" w:rsidP="0095149D">
      <w:pPr>
        <w:rPr>
          <w:sz w:val="16"/>
        </w:rPr>
      </w:pPr>
      <w:r w:rsidRPr="00517996">
        <w:rPr>
          <w:rStyle w:val="StyleUnderline"/>
        </w:rPr>
        <w:t>This Court should</w:t>
      </w:r>
      <w:r w:rsidRPr="00C30512">
        <w:rPr>
          <w:sz w:val="16"/>
        </w:rPr>
        <w:t xml:space="preserve"> grant certiorari to </w:t>
      </w:r>
      <w:r w:rsidRPr="00517996">
        <w:rPr>
          <w:rStyle w:val="Emphasis"/>
        </w:rPr>
        <w:t>review</w:t>
      </w:r>
      <w:r w:rsidRPr="00517996">
        <w:rPr>
          <w:rStyle w:val="StyleUnderline"/>
        </w:rPr>
        <w:t xml:space="preserve"> the decision below giving Chevron deference </w:t>
      </w:r>
      <w:r w:rsidRPr="00517996">
        <w:rPr>
          <w:rStyle w:val="Emphasis"/>
        </w:rPr>
        <w:t>priority</w:t>
      </w:r>
      <w:r w:rsidRPr="00517996">
        <w:rPr>
          <w:rStyle w:val="StyleUnderline"/>
        </w:rPr>
        <w:t xml:space="preserve"> over the rule of lenity where an agency construes a criminal statute that</w:t>
      </w:r>
      <w:r w:rsidRPr="00C30512">
        <w:rPr>
          <w:sz w:val="16"/>
        </w:rPr>
        <w:t xml:space="preserve"> also </w:t>
      </w:r>
      <w:r w:rsidRPr="00517996">
        <w:rPr>
          <w:rStyle w:val="StyleUnderline"/>
        </w:rPr>
        <w:t xml:space="preserve">has </w:t>
      </w:r>
      <w:r w:rsidRPr="00517996">
        <w:rPr>
          <w:rStyle w:val="Emphasis"/>
        </w:rPr>
        <w:t>administrative applications</w:t>
      </w:r>
      <w:r w:rsidRPr="00C30512">
        <w:rPr>
          <w:sz w:val="16"/>
        </w:rPr>
        <w:t>.</w:t>
      </w:r>
    </w:p>
    <w:p w14:paraId="795682F7" w14:textId="77777777" w:rsidR="0095149D" w:rsidRPr="00C30512" w:rsidRDefault="0095149D" w:rsidP="0095149D">
      <w:pPr>
        <w:rPr>
          <w:sz w:val="16"/>
        </w:rPr>
      </w:pPr>
      <w:r w:rsidRPr="00517996">
        <w:rPr>
          <w:rStyle w:val="StyleUnderline"/>
        </w:rPr>
        <w:t xml:space="preserve">In rejecting </w:t>
      </w:r>
      <w:r w:rsidRPr="00517996">
        <w:rPr>
          <w:rStyle w:val="Emphasis"/>
        </w:rPr>
        <w:t>the rule of lenity</w:t>
      </w:r>
      <w:r w:rsidRPr="00517996">
        <w:rPr>
          <w:rStyle w:val="StyleUnderline"/>
        </w:rPr>
        <w:t xml:space="preserve"> and applying Chevron deference, the panel below relied on </w:t>
      </w:r>
      <w:r w:rsidRPr="00517996">
        <w:rPr>
          <w:rStyle w:val="Emphasis"/>
        </w:rPr>
        <w:t>a footnote</w:t>
      </w:r>
      <w:r w:rsidRPr="00517996">
        <w:rPr>
          <w:rStyle w:val="StyleUnderline"/>
        </w:rPr>
        <w:t xml:space="preserve"> in Babbitt </w:t>
      </w:r>
      <w:r w:rsidRPr="00C30512">
        <w:rPr>
          <w:sz w:val="16"/>
        </w:rPr>
        <w:t>and rejected application of Apel, Abramski, and other cases as not involving agency rulemaking. App. A44. But Judge Henderson had the better argument that cases such as Apel and Abramski broadly reject deference to agency interpretations of criminal statutes, at least absent a clear statement of delegated authority to make legislative rules defining crimes, App. A76-A77, A81.</w:t>
      </w:r>
    </w:p>
    <w:p w14:paraId="06EB23C9" w14:textId="77777777" w:rsidR="0095149D" w:rsidRPr="00C30512" w:rsidRDefault="0095149D" w:rsidP="0095149D">
      <w:pPr>
        <w:rPr>
          <w:sz w:val="16"/>
        </w:rPr>
      </w:pPr>
      <w:r w:rsidRPr="00C30512">
        <w:rPr>
          <w:sz w:val="16"/>
        </w:rPr>
        <w:t xml:space="preserve">Judge </w:t>
      </w:r>
      <w:r w:rsidRPr="00456038">
        <w:rPr>
          <w:rStyle w:val="StyleUnderline"/>
          <w:highlight w:val="cyan"/>
        </w:rPr>
        <w:t>Sutton</w:t>
      </w:r>
      <w:r w:rsidRPr="00C30512">
        <w:rPr>
          <w:sz w:val="16"/>
        </w:rPr>
        <w:t xml:space="preserve"> similarly has </w:t>
      </w:r>
      <w:r w:rsidRPr="00456038">
        <w:rPr>
          <w:rStyle w:val="Emphasis"/>
          <w:highlight w:val="cyan"/>
        </w:rPr>
        <w:t>rejected</w:t>
      </w:r>
      <w:r w:rsidRPr="00EF4FE9">
        <w:rPr>
          <w:rStyle w:val="StyleUnderline"/>
        </w:rPr>
        <w:t xml:space="preserve"> the notion </w:t>
      </w:r>
      <w:r w:rsidRPr="00456038">
        <w:rPr>
          <w:rStyle w:val="StyleUnderline"/>
          <w:highlight w:val="cyan"/>
        </w:rPr>
        <w:t>that Babbitt elevates Chevron</w:t>
      </w:r>
      <w:r w:rsidRPr="00EF4FE9">
        <w:rPr>
          <w:rStyle w:val="StyleUnderline"/>
        </w:rPr>
        <w:t xml:space="preserve"> deference </w:t>
      </w:r>
      <w:r w:rsidRPr="00456038">
        <w:rPr>
          <w:rStyle w:val="StyleUnderline"/>
          <w:highlight w:val="cyan"/>
        </w:rPr>
        <w:t>over</w:t>
      </w:r>
      <w:r w:rsidRPr="00EF4FE9">
        <w:rPr>
          <w:rStyle w:val="StyleUnderline"/>
        </w:rPr>
        <w:t xml:space="preserve"> the rule of </w:t>
      </w:r>
      <w:r w:rsidRPr="00456038">
        <w:rPr>
          <w:rStyle w:val="StyleUnderline"/>
          <w:highlight w:val="cyan"/>
        </w:rPr>
        <w:t>lenity</w:t>
      </w:r>
      <w:r w:rsidRPr="00EF4FE9">
        <w:rPr>
          <w:rStyle w:val="StyleUnderline"/>
        </w:rPr>
        <w:t xml:space="preserve">, opining that such a reading “is </w:t>
      </w:r>
      <w:r w:rsidRPr="00EF4FE9">
        <w:rPr>
          <w:rStyle w:val="Emphasis"/>
        </w:rPr>
        <w:t>a lot to ask</w:t>
      </w:r>
      <w:r w:rsidRPr="00EF4FE9">
        <w:rPr>
          <w:rStyle w:val="StyleUnderline"/>
        </w:rPr>
        <w:t xml:space="preserve"> of a footnote, more it seems to me than </w:t>
      </w:r>
      <w:r w:rsidRPr="00EF4FE9">
        <w:rPr>
          <w:rStyle w:val="Emphasis"/>
        </w:rPr>
        <w:t>these four sentences</w:t>
      </w:r>
      <w:r w:rsidRPr="00EF4FE9">
        <w:rPr>
          <w:rStyle w:val="StyleUnderline"/>
        </w:rPr>
        <w:t xml:space="preserve"> can </w:t>
      </w:r>
      <w:r w:rsidRPr="00EF4FE9">
        <w:rPr>
          <w:rStyle w:val="Emphasis"/>
        </w:rPr>
        <w:t>reasonably demand</w:t>
      </w:r>
      <w:r w:rsidRPr="00EF4FE9">
        <w:rPr>
          <w:rStyle w:val="StyleUnderline"/>
        </w:rPr>
        <w:t>.”</w:t>
      </w:r>
      <w:r w:rsidRPr="00C30512">
        <w:rPr>
          <w:sz w:val="16"/>
        </w:rPr>
        <w:t xml:space="preserve"> Carter v. Welles- Bowen Realty, Inc., 736 F.3d 722, 734 (6th Cir. 2013) (Sutton, J., concurring); Esquivel-Quintana v. Lynch, 810 F.3d 1019, 1030 (6th Cir. 2016) (Sutton, J., concurring in part and dissenting in part) (criticizing Babbitt footnote and doubting that it “ha[d] (silently) overruled an entire line of cases that ‘hold that, if Congress wants to assign responsibility for crime definition to the executive, it must speak clearly’ ” (citations omitted)), rev’d, 137 S. Ct. 1562 (2017).</w:t>
      </w:r>
    </w:p>
    <w:p w14:paraId="05C898C9" w14:textId="77777777" w:rsidR="0095149D" w:rsidRPr="00C30512" w:rsidRDefault="0095149D" w:rsidP="0095149D">
      <w:pPr>
        <w:rPr>
          <w:sz w:val="16"/>
        </w:rPr>
      </w:pPr>
      <w:r w:rsidRPr="00C30512">
        <w:rPr>
          <w:sz w:val="16"/>
        </w:rPr>
        <w:t xml:space="preserve">Then-Judge Gorsuch also has understood Apel and Abramski to limit deference for criminal laws, though </w:t>
      </w:r>
      <w:r w:rsidRPr="00EF4FE9">
        <w:rPr>
          <w:rStyle w:val="StyleUnderline"/>
        </w:rPr>
        <w:t xml:space="preserve">he questioned the </w:t>
      </w:r>
      <w:r w:rsidRPr="00EF4FE9">
        <w:rPr>
          <w:rStyle w:val="Emphasis"/>
        </w:rPr>
        <w:t>civil/criminal distinction</w:t>
      </w:r>
      <w:r w:rsidRPr="00EF4FE9">
        <w:rPr>
          <w:rStyle w:val="StyleUnderline"/>
        </w:rPr>
        <w:t xml:space="preserve"> and suggested Chevron is likely </w:t>
      </w:r>
      <w:r w:rsidRPr="00EF4FE9">
        <w:rPr>
          <w:rStyle w:val="Emphasis"/>
        </w:rPr>
        <w:t>inappropriate</w:t>
      </w:r>
      <w:r w:rsidRPr="00EF4FE9">
        <w:rPr>
          <w:rStyle w:val="StyleUnderline"/>
        </w:rPr>
        <w:t xml:space="preserve"> for all laws and should be </w:t>
      </w:r>
      <w:r w:rsidRPr="00EF4FE9">
        <w:rPr>
          <w:rStyle w:val="Emphasis"/>
        </w:rPr>
        <w:t>overruled</w:t>
      </w:r>
      <w:r w:rsidRPr="00C30512">
        <w:rPr>
          <w:sz w:val="16"/>
        </w:rPr>
        <w:t>. Gutierrez-Brizuela v. Lynch, 834 F.3d at 1156-58 (Gorsuch, J., concurring). Commentators likewise have been critical of the Babbitt footnote’s elevation of Chevron deference above the rule of lenity. See, e.g., Paul J. Larkin, Jr., Chevron and Federal Criminal Law, 32 J.L. &amp; POLITICS 211, 232-33 nn. 104-07 (2017) (discussing Babbitt and other cases).</w:t>
      </w:r>
    </w:p>
    <w:p w14:paraId="7B9A046C" w14:textId="77777777" w:rsidR="0095149D" w:rsidRPr="00C30512" w:rsidRDefault="0095149D" w:rsidP="0095149D">
      <w:pPr>
        <w:rPr>
          <w:sz w:val="16"/>
        </w:rPr>
      </w:pPr>
      <w:r w:rsidRPr="00C30512">
        <w:rPr>
          <w:sz w:val="16"/>
        </w:rPr>
        <w:t>The conflict between the decision below and this Court’s many cases rejecting Chevron deference for interpretations of criminal statutes amply warrants this Court’s review.</w:t>
      </w:r>
    </w:p>
    <w:p w14:paraId="5EA8A648" w14:textId="77777777" w:rsidR="0095149D" w:rsidRPr="00C30512" w:rsidRDefault="0095149D" w:rsidP="0095149D">
      <w:pPr>
        <w:rPr>
          <w:sz w:val="16"/>
        </w:rPr>
      </w:pPr>
      <w:r w:rsidRPr="00C30512">
        <w:rPr>
          <w:sz w:val="16"/>
        </w:rPr>
        <w:t xml:space="preserve">Indeed, </w:t>
      </w:r>
      <w:r w:rsidRPr="00456038">
        <w:rPr>
          <w:rStyle w:val="Emphasis"/>
          <w:highlight w:val="cyan"/>
        </w:rPr>
        <w:t>the need</w:t>
      </w:r>
      <w:r w:rsidRPr="00456038">
        <w:rPr>
          <w:rStyle w:val="StyleUnderline"/>
          <w:highlight w:val="cyan"/>
        </w:rPr>
        <w:t xml:space="preserve"> for</w:t>
      </w:r>
      <w:r w:rsidRPr="00EF4FE9">
        <w:rPr>
          <w:rStyle w:val="StyleUnderline"/>
        </w:rPr>
        <w:t xml:space="preserve"> this Court’s </w:t>
      </w:r>
      <w:r w:rsidRPr="00456038">
        <w:rPr>
          <w:rStyle w:val="Emphasis"/>
          <w:highlight w:val="cyan"/>
        </w:rPr>
        <w:t>review</w:t>
      </w:r>
      <w:r w:rsidRPr="00EF4FE9">
        <w:rPr>
          <w:rStyle w:val="Emphasis"/>
        </w:rPr>
        <w:t xml:space="preserve"> of the conflict</w:t>
      </w:r>
      <w:r w:rsidRPr="00EF4FE9">
        <w:rPr>
          <w:rStyle w:val="StyleUnderline"/>
        </w:rPr>
        <w:t xml:space="preserve"> </w:t>
      </w:r>
      <w:r w:rsidRPr="00456038">
        <w:rPr>
          <w:rStyle w:val="StyleUnderline"/>
          <w:highlight w:val="cyan"/>
        </w:rPr>
        <w:t xml:space="preserve">was recognized </w:t>
      </w:r>
      <w:r w:rsidRPr="00456038">
        <w:rPr>
          <w:rStyle w:val="Emphasis"/>
          <w:highlight w:val="cyan"/>
        </w:rPr>
        <w:t>five years ago</w:t>
      </w:r>
      <w:r w:rsidRPr="00456038">
        <w:rPr>
          <w:rStyle w:val="StyleUnderline"/>
          <w:highlight w:val="cyan"/>
        </w:rPr>
        <w:t xml:space="preserve"> by</w:t>
      </w:r>
      <w:r w:rsidRPr="00C30512">
        <w:rPr>
          <w:sz w:val="16"/>
        </w:rPr>
        <w:t xml:space="preserve"> Justices </w:t>
      </w:r>
      <w:r w:rsidRPr="00456038">
        <w:rPr>
          <w:rStyle w:val="StyleUnderline"/>
          <w:highlight w:val="cyan"/>
        </w:rPr>
        <w:t>Scalia and Thomas</w:t>
      </w:r>
      <w:r w:rsidRPr="00C30512">
        <w:rPr>
          <w:sz w:val="16"/>
        </w:rPr>
        <w:t xml:space="preserve">. In Whitman, Justice </w:t>
      </w:r>
      <w:r w:rsidRPr="00EF4FE9">
        <w:rPr>
          <w:rStyle w:val="StyleUnderline"/>
        </w:rPr>
        <w:t>Scalia, joined by</w:t>
      </w:r>
      <w:r w:rsidRPr="00C30512">
        <w:rPr>
          <w:sz w:val="16"/>
        </w:rPr>
        <w:t xml:space="preserve"> Justice </w:t>
      </w:r>
      <w:r w:rsidRPr="00EF4FE9">
        <w:rPr>
          <w:rStyle w:val="StyleUnderline"/>
        </w:rPr>
        <w:t xml:space="preserve">Thomas, </w:t>
      </w:r>
      <w:r w:rsidRPr="00456038">
        <w:rPr>
          <w:rStyle w:val="StyleUnderline"/>
          <w:highlight w:val="cyan"/>
        </w:rPr>
        <w:t>wrote</w:t>
      </w:r>
      <w:r w:rsidRPr="00EF4FE9">
        <w:rPr>
          <w:rStyle w:val="StyleUnderline"/>
        </w:rPr>
        <w:t xml:space="preserve"> that Babbitt’s </w:t>
      </w:r>
      <w:r w:rsidRPr="00456038">
        <w:rPr>
          <w:rStyle w:val="Emphasis"/>
          <w:highlight w:val="cyan"/>
        </w:rPr>
        <w:t>“drive-by” footnote</w:t>
      </w:r>
      <w:r w:rsidRPr="00456038">
        <w:rPr>
          <w:rStyle w:val="StyleUnderline"/>
          <w:highlight w:val="cyan"/>
        </w:rPr>
        <w:t xml:space="preserve"> “contradicts</w:t>
      </w:r>
      <w:r w:rsidRPr="00EF4FE9">
        <w:rPr>
          <w:rStyle w:val="StyleUnderline"/>
        </w:rPr>
        <w:t xml:space="preserve"> </w:t>
      </w:r>
      <w:r w:rsidRPr="00EF4FE9">
        <w:rPr>
          <w:rStyle w:val="Emphasis"/>
        </w:rPr>
        <w:t xml:space="preserve">the many </w:t>
      </w:r>
      <w:r w:rsidRPr="00456038">
        <w:rPr>
          <w:rStyle w:val="Emphasis"/>
          <w:highlight w:val="cyan"/>
        </w:rPr>
        <w:t>cases</w:t>
      </w:r>
      <w:r w:rsidRPr="00C30512">
        <w:rPr>
          <w:sz w:val="16"/>
        </w:rPr>
        <w:t xml:space="preserve"> before and since holding that, </w:t>
      </w:r>
      <w:r w:rsidRPr="00EF4FE9">
        <w:rPr>
          <w:rStyle w:val="StyleUnderline"/>
        </w:rPr>
        <w:t xml:space="preserve">if a law has both criminal and civil applications, the rule of </w:t>
      </w:r>
      <w:r w:rsidRPr="00456038">
        <w:rPr>
          <w:rStyle w:val="StyleUnderline"/>
          <w:highlight w:val="cyan"/>
        </w:rPr>
        <w:t>lenity governs</w:t>
      </w:r>
      <w:r w:rsidRPr="00EF4FE9">
        <w:rPr>
          <w:rStyle w:val="StyleUnderline"/>
        </w:rPr>
        <w:t xml:space="preserve"> its interpretation in </w:t>
      </w:r>
      <w:r w:rsidRPr="00456038">
        <w:rPr>
          <w:rStyle w:val="Emphasis"/>
          <w:highlight w:val="cyan"/>
        </w:rPr>
        <w:t>both</w:t>
      </w:r>
      <w:r w:rsidRPr="00EF4FE9">
        <w:rPr>
          <w:rStyle w:val="Emphasis"/>
        </w:rPr>
        <w:t xml:space="preserve"> settings</w:t>
      </w:r>
      <w:r w:rsidRPr="00EF4FE9">
        <w:rPr>
          <w:rStyle w:val="StyleUnderline"/>
        </w:rPr>
        <w:t>.”</w:t>
      </w:r>
      <w:r w:rsidRPr="00C30512">
        <w:rPr>
          <w:sz w:val="16"/>
        </w:rPr>
        <w:t xml:space="preserve"> 135 S. Ct. at 354-55 (statement of Scalia &amp; Thomas, JJ., respecting the deni</w:t>
      </w:r>
      <w:r w:rsidRPr="00F32351">
        <w:rPr>
          <w:sz w:val="16"/>
        </w:rPr>
        <w:t xml:space="preserve">al of certiorari). </w:t>
      </w:r>
      <w:r w:rsidRPr="00F32351">
        <w:rPr>
          <w:rStyle w:val="StyleUnderline"/>
        </w:rPr>
        <w:t xml:space="preserve">Applying Chevron deference to </w:t>
      </w:r>
      <w:r w:rsidRPr="00F32351">
        <w:rPr>
          <w:rStyle w:val="Emphasis"/>
        </w:rPr>
        <w:t>ambiguous statutory language</w:t>
      </w:r>
      <w:r w:rsidRPr="00F32351">
        <w:rPr>
          <w:rStyle w:val="StyleUnderline"/>
        </w:rPr>
        <w:t xml:space="preserve"> with criminal applications</w:t>
      </w:r>
      <w:r w:rsidRPr="00F32351">
        <w:rPr>
          <w:sz w:val="16"/>
        </w:rPr>
        <w:t xml:space="preserve">, he wrote, </w:t>
      </w:r>
      <w:r w:rsidRPr="00F32351">
        <w:rPr>
          <w:rStyle w:val="StyleUnderline"/>
        </w:rPr>
        <w:t xml:space="preserve">would “upend </w:t>
      </w:r>
      <w:r w:rsidRPr="00F32351">
        <w:rPr>
          <w:rStyle w:val="Emphasis"/>
        </w:rPr>
        <w:t>ordinary principles of interpretation</w:t>
      </w:r>
      <w:r w:rsidRPr="00F32351">
        <w:rPr>
          <w:rStyle w:val="StyleUnderline"/>
        </w:rPr>
        <w:t xml:space="preserve"> * * * ‘replacing the doctrine of lenity with a doctrine of severity,’ ” and would undermine “the principle</w:t>
      </w:r>
      <w:r w:rsidRPr="00F32351">
        <w:rPr>
          <w:sz w:val="16"/>
        </w:rPr>
        <w:t xml:space="preserve"> that </w:t>
      </w:r>
      <w:r w:rsidRPr="00F32351">
        <w:rPr>
          <w:rStyle w:val="StyleUnderline"/>
        </w:rPr>
        <w:t>only the legislature may define cr</w:t>
      </w:r>
      <w:r w:rsidRPr="00EF4FE9">
        <w:rPr>
          <w:rStyle w:val="StyleUnderline"/>
        </w:rPr>
        <w:t>imes and fix punishments.”</w:t>
      </w:r>
      <w:r w:rsidRPr="00C30512">
        <w:rPr>
          <w:sz w:val="16"/>
        </w:rPr>
        <w:t xml:space="preserve"> Id. at 354 (emphasis in original). While Justice Scalia viewed Whitman as a poor vehicle given the procedural history of the case and petitioner’s failure to raise the deference issue, he concluded that “when a petition properly presenting the question comes before us, I will be receptive to granting it.” Id.</w:t>
      </w:r>
    </w:p>
    <w:p w14:paraId="07000C86" w14:textId="77777777" w:rsidR="0095149D" w:rsidRPr="00C30512" w:rsidRDefault="0095149D" w:rsidP="0095149D">
      <w:pPr>
        <w:rPr>
          <w:sz w:val="16"/>
        </w:rPr>
      </w:pPr>
      <w:r w:rsidRPr="00C30512">
        <w:rPr>
          <w:sz w:val="16"/>
        </w:rPr>
        <w:t>This is that petition.</w:t>
      </w:r>
    </w:p>
    <w:p w14:paraId="27ED2787" w14:textId="77777777" w:rsidR="0095149D" w:rsidRPr="00C30512" w:rsidRDefault="0095149D" w:rsidP="0095149D">
      <w:pPr>
        <w:rPr>
          <w:sz w:val="16"/>
        </w:rPr>
      </w:pPr>
      <w:r w:rsidRPr="00F32351">
        <w:rPr>
          <w:sz w:val="16"/>
        </w:rPr>
        <w:t xml:space="preserve">Absent review, </w:t>
      </w:r>
      <w:r w:rsidRPr="00F32351">
        <w:rPr>
          <w:rStyle w:val="StyleUnderline"/>
        </w:rPr>
        <w:t xml:space="preserve">Babbitt’s footnote will </w:t>
      </w:r>
      <w:r w:rsidRPr="00F32351">
        <w:rPr>
          <w:rStyle w:val="Emphasis"/>
        </w:rPr>
        <w:t>continue erroneously</w:t>
      </w:r>
      <w:r w:rsidRPr="00F32351">
        <w:rPr>
          <w:rStyle w:val="StyleUnderline"/>
        </w:rPr>
        <w:t xml:space="preserve"> to negate this Court’s </w:t>
      </w:r>
      <w:r w:rsidRPr="00F32351">
        <w:rPr>
          <w:rStyle w:val="Emphasis"/>
        </w:rPr>
        <w:t>many cases</w:t>
      </w:r>
      <w:r w:rsidRPr="00F32351">
        <w:rPr>
          <w:rStyle w:val="StyleUnderline"/>
        </w:rPr>
        <w:t xml:space="preserve"> regard</w:t>
      </w:r>
      <w:r w:rsidRPr="008A1859">
        <w:rPr>
          <w:rStyle w:val="StyleUnderline"/>
        </w:rPr>
        <w:t>ing deference and lenity as applied to</w:t>
      </w:r>
      <w:r w:rsidRPr="00C30512">
        <w:rPr>
          <w:sz w:val="16"/>
        </w:rPr>
        <w:t xml:space="preserve"> criminal and </w:t>
      </w:r>
      <w:r w:rsidRPr="008A1859">
        <w:rPr>
          <w:rStyle w:val="Emphasis"/>
        </w:rPr>
        <w:t>mixed-use laws</w:t>
      </w:r>
      <w:r w:rsidRPr="00C30512">
        <w:rPr>
          <w:sz w:val="16"/>
        </w:rPr>
        <w:t xml:space="preserve">. Even if Babbitt plausibly can be read to support the result below, that is all the more reason to grant certiorari. </w:t>
      </w:r>
      <w:r w:rsidRPr="008A1859">
        <w:rPr>
          <w:rStyle w:val="StyleUnderline"/>
        </w:rPr>
        <w:t xml:space="preserve">Insofar as </w:t>
      </w:r>
      <w:r w:rsidRPr="00456038">
        <w:rPr>
          <w:rStyle w:val="StyleUnderline"/>
          <w:highlight w:val="cyan"/>
        </w:rPr>
        <w:t>Babbitt’s footnote</w:t>
      </w:r>
      <w:r w:rsidRPr="008A1859">
        <w:rPr>
          <w:rStyle w:val="StyleUnderline"/>
        </w:rPr>
        <w:t xml:space="preserve"> elevates Chevron over the rule of lenity, it </w:t>
      </w:r>
      <w:r w:rsidRPr="00456038">
        <w:rPr>
          <w:rStyle w:val="StyleUnderline"/>
          <w:highlight w:val="cyan"/>
        </w:rPr>
        <w:t xml:space="preserve">is </w:t>
      </w:r>
      <w:r w:rsidRPr="00456038">
        <w:rPr>
          <w:rStyle w:val="Emphasis"/>
          <w:highlight w:val="cyan"/>
        </w:rPr>
        <w:t>wrong</w:t>
      </w:r>
      <w:r w:rsidRPr="008A1859">
        <w:rPr>
          <w:rStyle w:val="StyleUnderline"/>
        </w:rPr>
        <w:t xml:space="preserve"> and </w:t>
      </w:r>
      <w:r w:rsidRPr="008A1859">
        <w:rPr>
          <w:rStyle w:val="Emphasis"/>
        </w:rPr>
        <w:t>only this Court</w:t>
      </w:r>
      <w:r w:rsidRPr="00F32351">
        <w:rPr>
          <w:rStyle w:val="StyleUnderline"/>
        </w:rPr>
        <w:t xml:space="preserve"> </w:t>
      </w:r>
      <w:r w:rsidRPr="008A1859">
        <w:rPr>
          <w:rStyle w:val="StyleUnderline"/>
        </w:rPr>
        <w:t>can correct that error</w:t>
      </w:r>
      <w:r w:rsidRPr="00C30512">
        <w:rPr>
          <w:sz w:val="16"/>
        </w:rPr>
        <w:t>.</w:t>
      </w:r>
    </w:p>
    <w:p w14:paraId="50123E62" w14:textId="77777777" w:rsidR="0095149D" w:rsidRPr="00C30512" w:rsidRDefault="0095149D" w:rsidP="0095149D">
      <w:pPr>
        <w:rPr>
          <w:sz w:val="16"/>
        </w:rPr>
      </w:pPr>
      <w:r w:rsidRPr="00C30512">
        <w:rPr>
          <w:sz w:val="16"/>
        </w:rPr>
        <w:t>A. The Decision Below Improperly Applied Deference Rather than the Rule of Lenity, in Conflict with Numerous Decisions of This Court.</w:t>
      </w:r>
    </w:p>
    <w:p w14:paraId="66F0155C" w14:textId="77777777" w:rsidR="0095149D" w:rsidRPr="00C30512" w:rsidRDefault="0095149D" w:rsidP="0095149D">
      <w:pPr>
        <w:rPr>
          <w:sz w:val="16"/>
        </w:rPr>
      </w:pPr>
      <w:r w:rsidRPr="00C30512">
        <w:rPr>
          <w:sz w:val="16"/>
        </w:rPr>
        <w:t xml:space="preserve">As Justice Scalia observed in his Whitman statement, </w:t>
      </w:r>
      <w:r w:rsidRPr="008A1859">
        <w:rPr>
          <w:rStyle w:val="Emphasis"/>
        </w:rPr>
        <w:t>Babbitt’s footnote</w:t>
      </w:r>
      <w:r w:rsidRPr="008A1859">
        <w:rPr>
          <w:rStyle w:val="StyleUnderline"/>
        </w:rPr>
        <w:t xml:space="preserve"> contradicted this Court’s </w:t>
      </w:r>
      <w:r w:rsidRPr="00F32351">
        <w:rPr>
          <w:rStyle w:val="StyleUnderline"/>
        </w:rPr>
        <w:t>cases</w:t>
      </w:r>
      <w:r w:rsidRPr="00C30512">
        <w:rPr>
          <w:sz w:val="16"/>
        </w:rPr>
        <w:t xml:space="preserve"> holding that Chevron deference does not apply to criminal statutes and </w:t>
      </w:r>
      <w:r w:rsidRPr="008A1859">
        <w:rPr>
          <w:rStyle w:val="Emphasis"/>
        </w:rPr>
        <w:t>does violence</w:t>
      </w:r>
      <w:r w:rsidRPr="008A1859">
        <w:rPr>
          <w:rStyle w:val="StyleUnderline"/>
        </w:rPr>
        <w:t xml:space="preserve"> to the underlying principles of those cases</w:t>
      </w:r>
      <w:r w:rsidRPr="00C30512">
        <w:rPr>
          <w:sz w:val="16"/>
        </w:rPr>
        <w:t>. 135 S. Ct. at 354-55.</w:t>
      </w:r>
    </w:p>
    <w:p w14:paraId="23704982" w14:textId="77777777" w:rsidR="0095149D" w:rsidRPr="00C30512" w:rsidRDefault="0095149D" w:rsidP="0095149D">
      <w:pPr>
        <w:rPr>
          <w:sz w:val="16"/>
        </w:rPr>
      </w:pPr>
      <w:r w:rsidRPr="00C30512">
        <w:rPr>
          <w:sz w:val="16"/>
        </w:rPr>
        <w:t>1. Three years prior to Babbitt, a plurality of this Court expressly rejected Justice Stevens’s similar (then-dissenting) view, in a case involving one of the same statutes at issue here. See United States v. Thompson/Center Arms Co., 504 U.S. 505, 517-18 (1992) (plurality) (refusing to apply deference and instead applying the rule of lenity to two other terms in the National Firearms Act with both civil and criminal applications, despite civil nature of suit and Justice Stevens’ dissent to the contrary).</w:t>
      </w:r>
    </w:p>
    <w:p w14:paraId="25C0C6F6" w14:textId="77777777" w:rsidR="0095149D" w:rsidRPr="00C30512" w:rsidRDefault="0095149D" w:rsidP="0095149D">
      <w:pPr>
        <w:rPr>
          <w:sz w:val="16"/>
        </w:rPr>
      </w:pPr>
      <w:r w:rsidRPr="00C30512">
        <w:rPr>
          <w:sz w:val="16"/>
        </w:rPr>
        <w:t>Nine years after Babbitt, in an immigration case, a majority of this Court endorsed the plurality opinion in Thompson/Center and held that the rule of lenity applied to 18 U.S.C. § 16 (defining “crime of violence”) because the statute has criminal as well as civil applications. Leocal v. Ashcroft, 543 U.S. at 11 n. 8. The Court gave no deference to the interpretation of the Board of Immigration Appeals, and it did not cite Babbitt. Ten years further on, this Court continued to apply the rule of lenity and to reject deference in two cases involving statutes with criminal and civil applications, including one of the statutes at issue here. See United States v. Apel, 571 U.S. 359, 369 (2014) (“[W]e have never held that the Government’s reading of a criminal statute is entitled to any deference.”); Abramski v. United States, 573 U.S. 169, 191 (2014) (ATF’s position regarding the interpretation of a Gun Control Act prohibition “not relevant at all”; “criminal laws are for courts, not for the Government, to construe,” citing Apel).</w:t>
      </w:r>
    </w:p>
    <w:p w14:paraId="6F9D90D3" w14:textId="77777777" w:rsidR="0095149D" w:rsidRPr="00C30512" w:rsidRDefault="0095149D" w:rsidP="0095149D">
      <w:pPr>
        <w:rPr>
          <w:sz w:val="16"/>
        </w:rPr>
      </w:pPr>
      <w:r w:rsidRPr="00C30512">
        <w:rPr>
          <w:sz w:val="16"/>
        </w:rPr>
        <w:t>None of those cases turned on whether deference was sought in the context of a rulemaking or some other form of agency interpretation that would have been entitled to deference under Chevron for a purely civil statute. Cf. Carter, 736 F.3d at 729-35, 736 (Sutton, J., concurring) (“All kinds of administrative documents, ranging from manuals to opinion letters, sometimes receive Chevron deference.”).</w:t>
      </w:r>
    </w:p>
    <w:p w14:paraId="0AC9D71B" w14:textId="77777777" w:rsidR="0095149D" w:rsidRPr="00C30512" w:rsidRDefault="0095149D" w:rsidP="0095149D">
      <w:pPr>
        <w:rPr>
          <w:sz w:val="16"/>
        </w:rPr>
      </w:pPr>
      <w:r w:rsidRPr="00C30512">
        <w:rPr>
          <w:sz w:val="16"/>
        </w:rPr>
        <w:t xml:space="preserve">Thus, </w:t>
      </w:r>
      <w:r w:rsidRPr="008405B5">
        <w:rPr>
          <w:rStyle w:val="StyleUnderline"/>
        </w:rPr>
        <w:t xml:space="preserve">while it is </w:t>
      </w:r>
      <w:r w:rsidRPr="008405B5">
        <w:rPr>
          <w:rStyle w:val="Emphasis"/>
        </w:rPr>
        <w:t>doubtful</w:t>
      </w:r>
      <w:r w:rsidRPr="00C30512">
        <w:rPr>
          <w:sz w:val="16"/>
        </w:rPr>
        <w:t xml:space="preserve"> that </w:t>
      </w:r>
      <w:r w:rsidRPr="008405B5">
        <w:rPr>
          <w:rStyle w:val="StyleUnderline"/>
        </w:rPr>
        <w:t>Babbitt’s footnote</w:t>
      </w:r>
      <w:r w:rsidRPr="00C30512">
        <w:rPr>
          <w:sz w:val="16"/>
        </w:rPr>
        <w:t xml:space="preserve"> was or </w:t>
      </w:r>
      <w:r w:rsidRPr="008405B5">
        <w:rPr>
          <w:rStyle w:val="StyleUnderline"/>
        </w:rPr>
        <w:t xml:space="preserve">remains </w:t>
      </w:r>
      <w:r w:rsidRPr="008405B5">
        <w:rPr>
          <w:rStyle w:val="Emphasis"/>
        </w:rPr>
        <w:t>good law</w:t>
      </w:r>
      <w:r w:rsidRPr="008405B5">
        <w:rPr>
          <w:rStyle w:val="StyleUnderline"/>
        </w:rPr>
        <w:t xml:space="preserve">, there is </w:t>
      </w:r>
      <w:r w:rsidRPr="008405B5">
        <w:rPr>
          <w:rStyle w:val="Emphasis"/>
        </w:rPr>
        <w:t>little doubt</w:t>
      </w:r>
      <w:r w:rsidRPr="008405B5">
        <w:rPr>
          <w:rStyle w:val="StyleUnderline"/>
        </w:rPr>
        <w:t xml:space="preserve"> that it contradicts </w:t>
      </w:r>
      <w:r w:rsidRPr="008405B5">
        <w:rPr>
          <w:rStyle w:val="Emphasis"/>
        </w:rPr>
        <w:t>the broader principles</w:t>
      </w:r>
      <w:r w:rsidRPr="00C30512">
        <w:rPr>
          <w:sz w:val="16"/>
        </w:rPr>
        <w:t xml:space="preserve"> and holdings </w:t>
      </w:r>
      <w:r w:rsidRPr="008405B5">
        <w:rPr>
          <w:rStyle w:val="StyleUnderline"/>
        </w:rPr>
        <w:t>of this Court’s cases. This Court</w:t>
      </w:r>
      <w:r w:rsidRPr="00C30512">
        <w:rPr>
          <w:sz w:val="16"/>
        </w:rPr>
        <w:t xml:space="preserve"> has </w:t>
      </w:r>
      <w:r w:rsidRPr="008405B5">
        <w:rPr>
          <w:rStyle w:val="Emphasis"/>
        </w:rPr>
        <w:t>long held</w:t>
      </w:r>
      <w:r w:rsidRPr="00C30512">
        <w:rPr>
          <w:sz w:val="16"/>
        </w:rPr>
        <w:t xml:space="preserve"> that </w:t>
      </w:r>
      <w:r w:rsidRPr="008405B5">
        <w:rPr>
          <w:rStyle w:val="StyleUnderline"/>
        </w:rPr>
        <w:t xml:space="preserve">“when there are </w:t>
      </w:r>
      <w:r w:rsidRPr="008405B5">
        <w:rPr>
          <w:rStyle w:val="Emphasis"/>
        </w:rPr>
        <w:t>two rational readings</w:t>
      </w:r>
      <w:r w:rsidRPr="008405B5">
        <w:rPr>
          <w:rStyle w:val="StyleUnderline"/>
        </w:rPr>
        <w:t xml:space="preserve"> of </w:t>
      </w:r>
      <w:r w:rsidRPr="008405B5">
        <w:rPr>
          <w:rStyle w:val="Emphasis"/>
        </w:rPr>
        <w:t>a criminal statute</w:t>
      </w:r>
      <w:r w:rsidRPr="008405B5">
        <w:rPr>
          <w:rStyle w:val="StyleUnderline"/>
        </w:rPr>
        <w:t xml:space="preserve">, one </w:t>
      </w:r>
      <w:r w:rsidRPr="008405B5">
        <w:rPr>
          <w:rStyle w:val="Emphasis"/>
        </w:rPr>
        <w:t>harsher</w:t>
      </w:r>
      <w:r w:rsidRPr="008405B5">
        <w:rPr>
          <w:rStyle w:val="StyleUnderline"/>
        </w:rPr>
        <w:t xml:space="preserve"> than the other, [the Court is] to choose the harsher </w:t>
      </w:r>
      <w:r w:rsidRPr="008405B5">
        <w:rPr>
          <w:rStyle w:val="Emphasis"/>
        </w:rPr>
        <w:t>only when</w:t>
      </w:r>
      <w:r w:rsidRPr="008405B5">
        <w:rPr>
          <w:rStyle w:val="StyleUnderline"/>
        </w:rPr>
        <w:t xml:space="preserve"> Congress has spoken in </w:t>
      </w:r>
      <w:r w:rsidRPr="008405B5">
        <w:rPr>
          <w:rStyle w:val="Emphasis"/>
        </w:rPr>
        <w:t>clear and definite language</w:t>
      </w:r>
      <w:r w:rsidRPr="008405B5">
        <w:rPr>
          <w:rStyle w:val="StyleUnderline"/>
        </w:rPr>
        <w:t>.”</w:t>
      </w:r>
      <w:r w:rsidRPr="00C30512">
        <w:rPr>
          <w:sz w:val="16"/>
        </w:rPr>
        <w:t xml:space="preserve"> McNally v. United States, 483 U.S. 350, 359-60 (1987); see Yates v. United States, 135 S. Ct. 1074, 1088 (2015) (plurality opinion); Skilling v. United States, 561 U.S. 358, 410- 11 (2010); Scheidler v. NOW, 537 U.S. 393, 409 (2003). As Judge Henderson observed in dissent, App. A82, there certainly is no clear statement here directing or specifically authorizing ATF to adopt the harsher version of ambiguous definitions of crimes.</w:t>
      </w:r>
    </w:p>
    <w:p w14:paraId="7C4DE260" w14:textId="77777777" w:rsidR="0095149D" w:rsidRPr="00C30512" w:rsidRDefault="0095149D" w:rsidP="0095149D">
      <w:pPr>
        <w:rPr>
          <w:sz w:val="16"/>
        </w:rPr>
      </w:pPr>
      <w:r w:rsidRPr="00C30512">
        <w:rPr>
          <w:sz w:val="16"/>
        </w:rPr>
        <w:t xml:space="preserve">2. In contrast to Bobbitt’s doubtful pedigree and subsequent treatment, </w:t>
      </w:r>
      <w:r w:rsidRPr="008405B5">
        <w:rPr>
          <w:rStyle w:val="StyleUnderline"/>
        </w:rPr>
        <w:t>the rule of lenity is one of “</w:t>
      </w:r>
      <w:r w:rsidRPr="008405B5">
        <w:rPr>
          <w:rStyle w:val="Emphasis"/>
        </w:rPr>
        <w:t>the most venerable</w:t>
      </w:r>
      <w:r w:rsidRPr="008405B5">
        <w:rPr>
          <w:rStyle w:val="StyleUnderline"/>
        </w:rPr>
        <w:t xml:space="preserve"> and </w:t>
      </w:r>
      <w:r w:rsidRPr="008405B5">
        <w:rPr>
          <w:rStyle w:val="Emphasis"/>
        </w:rPr>
        <w:t>venerated</w:t>
      </w:r>
      <w:r w:rsidRPr="008405B5">
        <w:rPr>
          <w:rStyle w:val="StyleUnderline"/>
        </w:rPr>
        <w:t xml:space="preserve"> of </w:t>
      </w:r>
      <w:r w:rsidRPr="008405B5">
        <w:rPr>
          <w:rStyle w:val="Emphasis"/>
        </w:rPr>
        <w:t>interpretive principles</w:t>
      </w:r>
      <w:r w:rsidRPr="008405B5">
        <w:rPr>
          <w:rStyle w:val="StyleUnderline"/>
        </w:rPr>
        <w:t>,”</w:t>
      </w:r>
      <w:r w:rsidRPr="00C30512">
        <w:rPr>
          <w:sz w:val="16"/>
        </w:rPr>
        <w:t xml:space="preserve"> Carter, 736 F.3d at 731 (Sutton, J., concurring), </w:t>
      </w:r>
      <w:r w:rsidRPr="008405B5">
        <w:rPr>
          <w:rStyle w:val="StyleUnderline"/>
        </w:rPr>
        <w:t xml:space="preserve">and is deeply “rooted in a </w:t>
      </w:r>
      <w:r w:rsidRPr="008405B5">
        <w:rPr>
          <w:rStyle w:val="Emphasis"/>
        </w:rPr>
        <w:t>constitutional principle</w:t>
      </w:r>
      <w:r w:rsidRPr="008405B5">
        <w:rPr>
          <w:rStyle w:val="StyleUnderline"/>
        </w:rPr>
        <w:t>,”</w:t>
      </w:r>
      <w:r w:rsidRPr="00C30512">
        <w:rPr>
          <w:sz w:val="16"/>
        </w:rPr>
        <w:t xml:space="preserve"> Cass R. Sunstein, Nondelegation Canons, 67 U. CHI. L. REV. 315, 332 (2000). As Chief Justice Marshall observed, the rule of lenity “is perhaps not much less old than construction itself. It is founded on the tenderness of the law for the rights of individuals; and on the plain principle that the power of punishment is vested in the legislative, not in the judicial department. It is the legislature, not the Court, which is to define a crime, and ordain its punishment.” United States v. Wiltberger, 18 U.S. (5 Wheat.) 76, 95 (1820).</w:t>
      </w:r>
    </w:p>
    <w:p w14:paraId="52F26639" w14:textId="77777777" w:rsidR="0095149D" w:rsidRPr="00C30512" w:rsidRDefault="0095149D" w:rsidP="0095149D">
      <w:pPr>
        <w:rPr>
          <w:sz w:val="16"/>
        </w:rPr>
      </w:pPr>
      <w:r w:rsidRPr="00456038">
        <w:rPr>
          <w:rStyle w:val="Emphasis"/>
          <w:highlight w:val="cyan"/>
        </w:rPr>
        <w:t>Narrow construction</w:t>
      </w:r>
      <w:r w:rsidRPr="00456038">
        <w:rPr>
          <w:rStyle w:val="StyleUnderline"/>
          <w:highlight w:val="cyan"/>
        </w:rPr>
        <w:t xml:space="preserve"> of </w:t>
      </w:r>
      <w:r w:rsidRPr="00456038">
        <w:rPr>
          <w:rStyle w:val="Emphasis"/>
          <w:highlight w:val="cyan"/>
        </w:rPr>
        <w:t>ambiguous</w:t>
      </w:r>
      <w:r w:rsidRPr="008405B5">
        <w:rPr>
          <w:rStyle w:val="Emphasis"/>
        </w:rPr>
        <w:t xml:space="preserve"> criminal </w:t>
      </w:r>
      <w:r w:rsidRPr="00456038">
        <w:rPr>
          <w:rStyle w:val="Emphasis"/>
          <w:highlight w:val="cyan"/>
        </w:rPr>
        <w:t>laws</w:t>
      </w:r>
      <w:r w:rsidRPr="00456038">
        <w:rPr>
          <w:rStyle w:val="StyleUnderline"/>
          <w:highlight w:val="cyan"/>
        </w:rPr>
        <w:t xml:space="preserve"> is</w:t>
      </w:r>
      <w:r w:rsidRPr="008405B5">
        <w:rPr>
          <w:rStyle w:val="StyleUnderline"/>
        </w:rPr>
        <w:t xml:space="preserve"> </w:t>
      </w:r>
      <w:r w:rsidRPr="008405B5">
        <w:rPr>
          <w:rStyle w:val="Emphasis"/>
        </w:rPr>
        <w:t xml:space="preserve">especially </w:t>
      </w:r>
      <w:r w:rsidRPr="00456038">
        <w:rPr>
          <w:rStyle w:val="Emphasis"/>
          <w:highlight w:val="cyan"/>
        </w:rPr>
        <w:t>important</w:t>
      </w:r>
      <w:r w:rsidRPr="00456038">
        <w:rPr>
          <w:rStyle w:val="StyleUnderline"/>
          <w:highlight w:val="cyan"/>
        </w:rPr>
        <w:t xml:space="preserve"> in</w:t>
      </w:r>
      <w:r w:rsidRPr="008405B5">
        <w:rPr>
          <w:rStyle w:val="StyleUnderline"/>
        </w:rPr>
        <w:t xml:space="preserve"> the </w:t>
      </w:r>
      <w:r w:rsidRPr="00456038">
        <w:rPr>
          <w:rStyle w:val="StyleUnderline"/>
          <w:highlight w:val="cyan"/>
        </w:rPr>
        <w:t>admin</w:t>
      </w:r>
      <w:r w:rsidRPr="008405B5">
        <w:rPr>
          <w:rStyle w:val="StyleUnderline"/>
        </w:rPr>
        <w:t xml:space="preserve">istrative context. Because </w:t>
      </w:r>
      <w:r w:rsidRPr="00456038">
        <w:rPr>
          <w:rStyle w:val="StyleUnderline"/>
          <w:highlight w:val="cyan"/>
        </w:rPr>
        <w:t xml:space="preserve">agencies have </w:t>
      </w:r>
      <w:r w:rsidRPr="00456038">
        <w:rPr>
          <w:rStyle w:val="Emphasis"/>
          <w:highlight w:val="cyan"/>
        </w:rPr>
        <w:t>a natural tendency</w:t>
      </w:r>
      <w:r w:rsidRPr="00456038">
        <w:rPr>
          <w:rStyle w:val="StyleUnderline"/>
          <w:highlight w:val="cyan"/>
        </w:rPr>
        <w:t xml:space="preserve"> to </w:t>
      </w:r>
      <w:r w:rsidRPr="00456038">
        <w:rPr>
          <w:rStyle w:val="Emphasis"/>
          <w:highlight w:val="cyan"/>
        </w:rPr>
        <w:t>broadly interpret</w:t>
      </w:r>
      <w:r w:rsidRPr="008405B5">
        <w:rPr>
          <w:rStyle w:val="StyleUnderline"/>
        </w:rPr>
        <w:t xml:space="preserve"> the </w:t>
      </w:r>
      <w:r w:rsidRPr="00456038">
        <w:rPr>
          <w:rStyle w:val="StyleUnderline"/>
          <w:highlight w:val="cyan"/>
        </w:rPr>
        <w:t>statutes</w:t>
      </w:r>
      <w:r w:rsidRPr="008405B5">
        <w:rPr>
          <w:rStyle w:val="StyleUnderline"/>
        </w:rPr>
        <w:t xml:space="preserve"> they administer, </w:t>
      </w:r>
      <w:r w:rsidRPr="00456038">
        <w:rPr>
          <w:rStyle w:val="StyleUnderline"/>
          <w:highlight w:val="cyan"/>
        </w:rPr>
        <w:t>deference</w:t>
      </w:r>
      <w:r w:rsidRPr="008405B5">
        <w:rPr>
          <w:rStyle w:val="StyleUnderline"/>
        </w:rPr>
        <w:t xml:space="preserve"> in the crim</w:t>
      </w:r>
      <w:r w:rsidRPr="00F32351">
        <w:rPr>
          <w:rStyle w:val="StyleUnderline"/>
        </w:rPr>
        <w:t>inal context “</w:t>
      </w:r>
      <w:r w:rsidRPr="00456038">
        <w:rPr>
          <w:rStyle w:val="StyleUnderline"/>
          <w:highlight w:val="cyan"/>
        </w:rPr>
        <w:t>would turn</w:t>
      </w:r>
      <w:r w:rsidRPr="008405B5">
        <w:rPr>
          <w:rStyle w:val="StyleUnderline"/>
        </w:rPr>
        <w:t xml:space="preserve"> the normal </w:t>
      </w:r>
      <w:r w:rsidRPr="00F32351">
        <w:rPr>
          <w:rStyle w:val="StyleUnderline"/>
        </w:rPr>
        <w:t>construction</w:t>
      </w:r>
      <w:r w:rsidRPr="008405B5">
        <w:rPr>
          <w:rStyle w:val="StyleUnderline"/>
        </w:rPr>
        <w:t xml:space="preserve"> of </w:t>
      </w:r>
      <w:r w:rsidRPr="00456038">
        <w:rPr>
          <w:rStyle w:val="StyleUnderline"/>
          <w:highlight w:val="cyan"/>
        </w:rPr>
        <w:t xml:space="preserve">criminal statutes </w:t>
      </w:r>
      <w:r w:rsidRPr="00456038">
        <w:rPr>
          <w:rStyle w:val="Emphasis"/>
          <w:highlight w:val="cyan"/>
        </w:rPr>
        <w:t>upside-down</w:t>
      </w:r>
      <w:r w:rsidRPr="008405B5">
        <w:rPr>
          <w:rStyle w:val="StyleUnderline"/>
        </w:rPr>
        <w:t>, replacing</w:t>
      </w:r>
      <w:r w:rsidRPr="00C30512">
        <w:rPr>
          <w:sz w:val="16"/>
        </w:rPr>
        <w:t xml:space="preserve"> the doctrine of </w:t>
      </w:r>
      <w:r w:rsidRPr="008405B5">
        <w:rPr>
          <w:rStyle w:val="StyleUnderline"/>
        </w:rPr>
        <w:t>lenity with</w:t>
      </w:r>
      <w:r w:rsidRPr="00C30512">
        <w:rPr>
          <w:sz w:val="16"/>
        </w:rPr>
        <w:t xml:space="preserve"> a doctrine of </w:t>
      </w:r>
      <w:r w:rsidRPr="008405B5">
        <w:rPr>
          <w:rStyle w:val="StyleUnderline"/>
        </w:rPr>
        <w:t>severity.”</w:t>
      </w:r>
      <w:r w:rsidRPr="00C30512">
        <w:rPr>
          <w:sz w:val="16"/>
        </w:rPr>
        <w:t xml:space="preserve"> Crandon v. United States, 494 U.S. 152, 178 (1990) (Scalia, J., concurring).</w:t>
      </w:r>
    </w:p>
    <w:p w14:paraId="38488188" w14:textId="77777777" w:rsidR="0095149D" w:rsidRPr="00C30512" w:rsidRDefault="0095149D" w:rsidP="0095149D">
      <w:pPr>
        <w:rPr>
          <w:sz w:val="16"/>
        </w:rPr>
      </w:pPr>
      <w:r w:rsidRPr="008405B5">
        <w:rPr>
          <w:rStyle w:val="StyleUnderline"/>
        </w:rPr>
        <w:t xml:space="preserve">The court of appeals’ </w:t>
      </w:r>
      <w:r w:rsidRPr="00456038">
        <w:rPr>
          <w:rStyle w:val="StyleUnderline"/>
          <w:highlight w:val="cyan"/>
        </w:rPr>
        <w:t>suggestion</w:t>
      </w:r>
      <w:r w:rsidRPr="00C30512">
        <w:rPr>
          <w:sz w:val="16"/>
        </w:rPr>
        <w:t xml:space="preserve"> that </w:t>
      </w:r>
      <w:r w:rsidRPr="00456038">
        <w:rPr>
          <w:rStyle w:val="StyleUnderline"/>
          <w:highlight w:val="cyan"/>
        </w:rPr>
        <w:t>Chevron is</w:t>
      </w:r>
      <w:r w:rsidRPr="008405B5">
        <w:rPr>
          <w:rStyle w:val="StyleUnderline"/>
        </w:rPr>
        <w:t xml:space="preserve"> simply </w:t>
      </w:r>
      <w:r w:rsidRPr="008405B5">
        <w:rPr>
          <w:rStyle w:val="Emphasis"/>
        </w:rPr>
        <w:t>a rule of construction</w:t>
      </w:r>
      <w:r w:rsidRPr="008405B5">
        <w:rPr>
          <w:rStyle w:val="StyleUnderline"/>
        </w:rPr>
        <w:t xml:space="preserve"> that applies to eliminate ambiguity </w:t>
      </w:r>
      <w:r w:rsidRPr="00456038">
        <w:rPr>
          <w:rStyle w:val="Emphasis"/>
          <w:highlight w:val="cyan"/>
        </w:rPr>
        <w:t>before</w:t>
      </w:r>
      <w:r w:rsidRPr="00456038">
        <w:rPr>
          <w:rStyle w:val="StyleUnderline"/>
          <w:highlight w:val="cyan"/>
        </w:rPr>
        <w:t xml:space="preserve"> lenity</w:t>
      </w:r>
      <w:r w:rsidRPr="008405B5">
        <w:rPr>
          <w:rStyle w:val="StyleUnderline"/>
        </w:rPr>
        <w:t xml:space="preserve"> kicks in </w:t>
      </w:r>
      <w:r w:rsidRPr="00456038">
        <w:rPr>
          <w:rStyle w:val="Emphasis"/>
          <w:highlight w:val="cyan"/>
        </w:rPr>
        <w:t>gets things</w:t>
      </w:r>
      <w:r w:rsidRPr="008405B5">
        <w:rPr>
          <w:rStyle w:val="Emphasis"/>
        </w:rPr>
        <w:t xml:space="preserve"> exactly </w:t>
      </w:r>
      <w:r w:rsidRPr="00456038">
        <w:rPr>
          <w:rStyle w:val="Emphasis"/>
          <w:highlight w:val="cyan"/>
        </w:rPr>
        <w:t>backwards</w:t>
      </w:r>
      <w:r w:rsidRPr="00CF7DEC">
        <w:rPr>
          <w:rStyle w:val="StyleUnderline"/>
        </w:rPr>
        <w:t xml:space="preserve">. One central purpose of lenity is to avoid </w:t>
      </w:r>
      <w:r w:rsidRPr="00CF7DEC">
        <w:rPr>
          <w:rStyle w:val="Emphasis"/>
        </w:rPr>
        <w:t>improper delegation</w:t>
      </w:r>
      <w:r w:rsidRPr="00CF7DEC">
        <w:rPr>
          <w:rStyle w:val="StyleUnderline"/>
        </w:rPr>
        <w:t xml:space="preserve"> of lawmaking authority in the criminal realm</w:t>
      </w:r>
      <w:r w:rsidRPr="00C30512">
        <w:rPr>
          <w:sz w:val="16"/>
        </w:rPr>
        <w:t xml:space="preserve">. Sunstein, 67 U. CHI. L. REV. at 332 (“One function of the lenity principle is to ensure against delegations.”). </w:t>
      </w:r>
      <w:r w:rsidRPr="00CF7DEC">
        <w:rPr>
          <w:rStyle w:val="StyleUnderline"/>
        </w:rPr>
        <w:t xml:space="preserve">The rule of </w:t>
      </w:r>
      <w:r w:rsidRPr="00456038">
        <w:rPr>
          <w:rStyle w:val="StyleUnderline"/>
          <w:highlight w:val="cyan"/>
        </w:rPr>
        <w:t>lenity</w:t>
      </w:r>
      <w:r w:rsidRPr="00CF7DEC">
        <w:rPr>
          <w:rStyle w:val="StyleUnderline"/>
        </w:rPr>
        <w:t xml:space="preserve"> “is </w:t>
      </w:r>
      <w:r w:rsidRPr="00CF7DEC">
        <w:rPr>
          <w:rStyle w:val="Emphasis"/>
        </w:rPr>
        <w:t>not a rule of administration</w:t>
      </w:r>
      <w:r w:rsidRPr="00CF7DEC">
        <w:rPr>
          <w:rStyle w:val="StyleUnderline"/>
        </w:rPr>
        <w:t xml:space="preserve">,” but “a rule of </w:t>
      </w:r>
      <w:r w:rsidRPr="00CF7DEC">
        <w:rPr>
          <w:rStyle w:val="Emphasis"/>
        </w:rPr>
        <w:t>statutory construction</w:t>
      </w:r>
      <w:r w:rsidRPr="00CF7DEC">
        <w:rPr>
          <w:rStyle w:val="StyleUnderline"/>
        </w:rPr>
        <w:t xml:space="preserve"> whose purpose is to help give </w:t>
      </w:r>
      <w:r w:rsidRPr="00CF7DEC">
        <w:rPr>
          <w:rStyle w:val="Emphasis"/>
        </w:rPr>
        <w:t>authoritative meaning</w:t>
      </w:r>
      <w:r w:rsidRPr="00CF7DEC">
        <w:rPr>
          <w:rStyle w:val="StyleUnderline"/>
        </w:rPr>
        <w:t xml:space="preserve"> to statutory language.”</w:t>
      </w:r>
      <w:r w:rsidRPr="00C30512">
        <w:rPr>
          <w:sz w:val="16"/>
        </w:rPr>
        <w:t xml:space="preserve"> Thompson/Ctr. Arms, 504 U.S. at 518-19 n.10.</w:t>
      </w:r>
    </w:p>
    <w:p w14:paraId="509E1CAA" w14:textId="77777777" w:rsidR="0095149D" w:rsidRPr="00C30512" w:rsidRDefault="0095149D" w:rsidP="0095149D">
      <w:pPr>
        <w:rPr>
          <w:sz w:val="16"/>
        </w:rPr>
      </w:pPr>
      <w:r w:rsidRPr="00C30512">
        <w:rPr>
          <w:sz w:val="16"/>
        </w:rPr>
        <w:t xml:space="preserve">Lenity is an interpretive rule that resolves ambiguity in favor of potential defendants and is part of the traditional toolkit for determining the meaning of statutory language. </w:t>
      </w:r>
      <w:r w:rsidRPr="00CF7DEC">
        <w:rPr>
          <w:rStyle w:val="StyleUnderline"/>
        </w:rPr>
        <w:t xml:space="preserve">“Rules of interpretation </w:t>
      </w:r>
      <w:r w:rsidRPr="00456038">
        <w:rPr>
          <w:rStyle w:val="StyleUnderline"/>
          <w:highlight w:val="cyan"/>
        </w:rPr>
        <w:t xml:space="preserve">bind </w:t>
      </w:r>
      <w:r w:rsidRPr="00456038">
        <w:rPr>
          <w:rStyle w:val="Emphasis"/>
          <w:highlight w:val="cyan"/>
        </w:rPr>
        <w:t>all</w:t>
      </w:r>
      <w:r w:rsidRPr="00CF7DEC">
        <w:rPr>
          <w:rStyle w:val="Emphasis"/>
        </w:rPr>
        <w:t xml:space="preserve"> interpreters</w:t>
      </w:r>
      <w:r w:rsidRPr="00CF7DEC">
        <w:rPr>
          <w:rStyle w:val="StyleUnderline"/>
        </w:rPr>
        <w:t xml:space="preserve">, </w:t>
      </w:r>
      <w:r w:rsidRPr="00CF7DEC">
        <w:rPr>
          <w:rStyle w:val="Emphasis"/>
        </w:rPr>
        <w:t xml:space="preserve">administrative </w:t>
      </w:r>
      <w:r w:rsidRPr="00456038">
        <w:rPr>
          <w:rStyle w:val="Emphasis"/>
          <w:highlight w:val="cyan"/>
        </w:rPr>
        <w:t>agencies</w:t>
      </w:r>
      <w:r w:rsidRPr="00456038">
        <w:rPr>
          <w:rStyle w:val="StyleUnderline"/>
          <w:highlight w:val="cyan"/>
        </w:rPr>
        <w:t xml:space="preserve"> included</w:t>
      </w:r>
      <w:r w:rsidRPr="00CF7DEC">
        <w:rPr>
          <w:rStyle w:val="StyleUnderline"/>
        </w:rPr>
        <w:t xml:space="preserve">. That means </w:t>
      </w:r>
      <w:r w:rsidRPr="00CF7DEC">
        <w:rPr>
          <w:rStyle w:val="Emphasis"/>
        </w:rPr>
        <w:t xml:space="preserve">an </w:t>
      </w:r>
      <w:r w:rsidRPr="00456038">
        <w:rPr>
          <w:rStyle w:val="Emphasis"/>
          <w:highlight w:val="cyan"/>
        </w:rPr>
        <w:t>agency</w:t>
      </w:r>
      <w:r w:rsidRPr="00CF7DEC">
        <w:rPr>
          <w:rStyle w:val="Emphasis"/>
        </w:rPr>
        <w:t>, no less than a court</w:t>
      </w:r>
      <w:r w:rsidRPr="00CF7DEC">
        <w:rPr>
          <w:rStyle w:val="StyleUnderline"/>
        </w:rPr>
        <w:t xml:space="preserve">, </w:t>
      </w:r>
      <w:r w:rsidRPr="00456038">
        <w:rPr>
          <w:rStyle w:val="StyleUnderline"/>
          <w:highlight w:val="cyan"/>
        </w:rPr>
        <w:t>must</w:t>
      </w:r>
      <w:r w:rsidRPr="00CF7DEC">
        <w:rPr>
          <w:rStyle w:val="StyleUnderline"/>
        </w:rPr>
        <w:t xml:space="preserve"> </w:t>
      </w:r>
      <w:r w:rsidRPr="00456038">
        <w:rPr>
          <w:rStyle w:val="StyleUnderline"/>
          <w:highlight w:val="cyan"/>
        </w:rPr>
        <w:t xml:space="preserve">interpret </w:t>
      </w:r>
      <w:r w:rsidRPr="00456038">
        <w:rPr>
          <w:rStyle w:val="Emphasis"/>
          <w:highlight w:val="cyan"/>
        </w:rPr>
        <w:t>a doubtful</w:t>
      </w:r>
      <w:r w:rsidRPr="00CF7DEC">
        <w:rPr>
          <w:rStyle w:val="Emphasis"/>
        </w:rPr>
        <w:t xml:space="preserve"> criminal </w:t>
      </w:r>
      <w:r w:rsidRPr="00456038">
        <w:rPr>
          <w:rStyle w:val="Emphasis"/>
          <w:highlight w:val="cyan"/>
        </w:rPr>
        <w:t>statute</w:t>
      </w:r>
      <w:r w:rsidRPr="00456038">
        <w:rPr>
          <w:rStyle w:val="StyleUnderline"/>
          <w:highlight w:val="cyan"/>
        </w:rPr>
        <w:t xml:space="preserve"> in favor of the defendant.”</w:t>
      </w:r>
      <w:r w:rsidRPr="00C30512">
        <w:rPr>
          <w:sz w:val="16"/>
        </w:rPr>
        <w:t xml:space="preserve"> Carter, 736 F.3d </w:t>
      </w:r>
      <w:r w:rsidRPr="007B6C4D">
        <w:rPr>
          <w:sz w:val="16"/>
        </w:rPr>
        <w:t xml:space="preserve">at 731. </w:t>
      </w:r>
      <w:r w:rsidRPr="007B6C4D">
        <w:rPr>
          <w:rStyle w:val="StyleUnderline"/>
        </w:rPr>
        <w:t>Lenity</w:t>
      </w:r>
      <w:r w:rsidRPr="007B6C4D">
        <w:rPr>
          <w:sz w:val="16"/>
        </w:rPr>
        <w:t xml:space="preserve"> thus </w:t>
      </w:r>
      <w:r w:rsidRPr="007B6C4D">
        <w:rPr>
          <w:rStyle w:val="StyleUnderline"/>
        </w:rPr>
        <w:t>comes before applying</w:t>
      </w:r>
      <w:r w:rsidRPr="00CF7DEC">
        <w:rPr>
          <w:rStyle w:val="StyleUnderline"/>
        </w:rPr>
        <w:t xml:space="preserve"> </w:t>
      </w:r>
      <w:r w:rsidRPr="00CF7DEC">
        <w:rPr>
          <w:rStyle w:val="Emphasis"/>
        </w:rPr>
        <w:t>any questionable inference</w:t>
      </w:r>
      <w:r w:rsidRPr="00C30512">
        <w:rPr>
          <w:sz w:val="16"/>
        </w:rPr>
        <w:t xml:space="preserve"> that </w:t>
      </w:r>
      <w:r w:rsidRPr="00CF7DEC">
        <w:rPr>
          <w:rStyle w:val="StyleUnderline"/>
        </w:rPr>
        <w:t xml:space="preserve">Congress intentionally delegated legislative authority to executive agencies through </w:t>
      </w:r>
      <w:r w:rsidRPr="00CF7DEC">
        <w:rPr>
          <w:rStyle w:val="Emphasis"/>
        </w:rPr>
        <w:t>ambiguous drafting</w:t>
      </w:r>
      <w:r w:rsidRPr="00C30512">
        <w:rPr>
          <w:sz w:val="16"/>
        </w:rPr>
        <w:t xml:space="preserve">. “If you believe that Chevron has two steps, you would say that the relevant interpretive rule—the rule of lenity— operates during step one. </w:t>
      </w:r>
      <w:r w:rsidRPr="00CF7DEC">
        <w:rPr>
          <w:rStyle w:val="StyleUnderline"/>
        </w:rPr>
        <w:t xml:space="preserve">Once the rule resolves an uncertainty at this step, </w:t>
      </w:r>
      <w:r w:rsidRPr="00456038">
        <w:rPr>
          <w:rStyle w:val="StyleUnderline"/>
          <w:highlight w:val="cyan"/>
        </w:rPr>
        <w:t>‘there [remains]</w:t>
      </w:r>
      <w:r w:rsidRPr="007B6C4D">
        <w:rPr>
          <w:rStyle w:val="StyleUnderline"/>
        </w:rPr>
        <w:t>,</w:t>
      </w:r>
      <w:r w:rsidRPr="00CF7DEC">
        <w:rPr>
          <w:rStyle w:val="StyleUnderline"/>
        </w:rPr>
        <w:t xml:space="preserve"> for Chevron purposes, </w:t>
      </w:r>
      <w:r w:rsidRPr="00456038">
        <w:rPr>
          <w:rStyle w:val="Emphasis"/>
          <w:highlight w:val="cyan"/>
        </w:rPr>
        <w:t>no ambiguity</w:t>
      </w:r>
      <w:r w:rsidRPr="00C30512">
        <w:rPr>
          <w:sz w:val="16"/>
        </w:rPr>
        <w:t xml:space="preserve"> * * * </w:t>
      </w:r>
      <w:r w:rsidRPr="00CF7DEC">
        <w:rPr>
          <w:rStyle w:val="StyleUnderline"/>
        </w:rPr>
        <w:t xml:space="preserve">for an agency </w:t>
      </w:r>
      <w:r w:rsidRPr="00456038">
        <w:rPr>
          <w:rStyle w:val="StyleUnderline"/>
          <w:highlight w:val="cyan"/>
        </w:rPr>
        <w:t>to resolve.’</w:t>
      </w:r>
      <w:r w:rsidRPr="00C30512">
        <w:rPr>
          <w:sz w:val="16"/>
        </w:rPr>
        <w:t xml:space="preserve"> </w:t>
      </w:r>
      <w:r w:rsidRPr="007B6C4D">
        <w:rPr>
          <w:sz w:val="16"/>
        </w:rPr>
        <w:t>”</w:t>
      </w:r>
      <w:r w:rsidRPr="00C30512">
        <w:rPr>
          <w:sz w:val="16"/>
        </w:rPr>
        <w:t xml:space="preserve"> Carter, 736 F.3d at 731 (Sutton, J., concur ring) (quoting INS v. St. Cyr, 533 U.S. 289, 320 n. 45 (2001)). That Chevron deference depends on such inferred delegation is all the more reason to apply other rules of construction first. “Only after a court has determined a challenged statute’s meaning can it decide whether the law sufficiently guides executive discretion to accord with Article I.” Gundy v. United States, 139 S. Ct. 2116, 2123 (2019) (plurality opinion).</w:t>
      </w:r>
    </w:p>
    <w:p w14:paraId="5CBE92ED" w14:textId="77777777" w:rsidR="0095149D" w:rsidRPr="00C30512" w:rsidRDefault="0095149D" w:rsidP="0095149D">
      <w:pPr>
        <w:rPr>
          <w:sz w:val="16"/>
        </w:rPr>
      </w:pPr>
      <w:r w:rsidRPr="00C30512">
        <w:rPr>
          <w:sz w:val="16"/>
        </w:rPr>
        <w:t xml:space="preserve">3. </w:t>
      </w:r>
      <w:r w:rsidRPr="00CF7DEC">
        <w:rPr>
          <w:rStyle w:val="Emphasis"/>
        </w:rPr>
        <w:t xml:space="preserve">The </w:t>
      </w:r>
      <w:r w:rsidRPr="00456038">
        <w:rPr>
          <w:rStyle w:val="Emphasis"/>
          <w:highlight w:val="cyan"/>
        </w:rPr>
        <w:t>due process</w:t>
      </w:r>
      <w:r w:rsidRPr="00456038">
        <w:rPr>
          <w:rStyle w:val="StyleUnderline"/>
          <w:highlight w:val="cyan"/>
        </w:rPr>
        <w:t xml:space="preserve"> and</w:t>
      </w:r>
      <w:r w:rsidRPr="00CF7DEC">
        <w:rPr>
          <w:rStyle w:val="StyleUnderline"/>
        </w:rPr>
        <w:t xml:space="preserve"> </w:t>
      </w:r>
      <w:r w:rsidRPr="00456038">
        <w:rPr>
          <w:rStyle w:val="Emphasis"/>
          <w:highlight w:val="cyan"/>
        </w:rPr>
        <w:t>s</w:t>
      </w:r>
      <w:r w:rsidRPr="00CF7DEC">
        <w:rPr>
          <w:rStyle w:val="Emphasis"/>
        </w:rPr>
        <w:t>eparation-</w:t>
      </w:r>
      <w:r w:rsidRPr="00456038">
        <w:rPr>
          <w:rStyle w:val="Emphasis"/>
          <w:highlight w:val="cyan"/>
        </w:rPr>
        <w:t>o</w:t>
      </w:r>
      <w:r w:rsidRPr="00CF7DEC">
        <w:rPr>
          <w:rStyle w:val="Emphasis"/>
        </w:rPr>
        <w:t>f-</w:t>
      </w:r>
      <w:r w:rsidRPr="00456038">
        <w:rPr>
          <w:rStyle w:val="Emphasis"/>
          <w:highlight w:val="cyan"/>
        </w:rPr>
        <w:t>p</w:t>
      </w:r>
      <w:r w:rsidRPr="00CF7DEC">
        <w:rPr>
          <w:rStyle w:val="Emphasis"/>
        </w:rPr>
        <w:t>owers concerns</w:t>
      </w:r>
      <w:r w:rsidRPr="00CF7DEC">
        <w:rPr>
          <w:rStyle w:val="StyleUnderline"/>
        </w:rPr>
        <w:t xml:space="preserve"> </w:t>
      </w:r>
      <w:r w:rsidRPr="00456038">
        <w:rPr>
          <w:rStyle w:val="StyleUnderline"/>
          <w:highlight w:val="cyan"/>
        </w:rPr>
        <w:t xml:space="preserve">that </w:t>
      </w:r>
      <w:r w:rsidRPr="00456038">
        <w:rPr>
          <w:rStyle w:val="Emphasis"/>
          <w:highlight w:val="cyan"/>
        </w:rPr>
        <w:t>animate</w:t>
      </w:r>
      <w:r w:rsidRPr="00CF7DEC">
        <w:rPr>
          <w:rStyle w:val="StyleUnderline"/>
        </w:rPr>
        <w:t xml:space="preserve"> the rule of </w:t>
      </w:r>
      <w:r w:rsidRPr="00456038">
        <w:rPr>
          <w:rStyle w:val="StyleUnderline"/>
          <w:highlight w:val="cyan"/>
        </w:rPr>
        <w:t>lenity would suffer</w:t>
      </w:r>
      <w:r w:rsidRPr="00CF7DEC">
        <w:rPr>
          <w:rStyle w:val="StyleUnderline"/>
        </w:rPr>
        <w:t xml:space="preserve"> </w:t>
      </w:r>
      <w:r w:rsidRPr="00CF7DEC">
        <w:rPr>
          <w:rStyle w:val="Emphasis"/>
        </w:rPr>
        <w:t xml:space="preserve">great </w:t>
      </w:r>
      <w:r w:rsidRPr="00456038">
        <w:rPr>
          <w:rStyle w:val="Emphasis"/>
          <w:highlight w:val="cyan"/>
        </w:rPr>
        <w:t>violence</w:t>
      </w:r>
      <w:r w:rsidRPr="00456038">
        <w:rPr>
          <w:rStyle w:val="StyleUnderline"/>
          <w:highlight w:val="cyan"/>
        </w:rPr>
        <w:t xml:space="preserve"> if agencies were given deference</w:t>
      </w:r>
      <w:r w:rsidRPr="00CF7DEC">
        <w:rPr>
          <w:rStyle w:val="StyleUnderline"/>
        </w:rPr>
        <w:t xml:space="preserve"> when purporting </w:t>
      </w:r>
      <w:r w:rsidRPr="00456038">
        <w:rPr>
          <w:rStyle w:val="StyleUnderline"/>
          <w:highlight w:val="cyan"/>
        </w:rPr>
        <w:t>to define</w:t>
      </w:r>
      <w:r w:rsidRPr="00CF7DEC">
        <w:rPr>
          <w:rStyle w:val="StyleUnderline"/>
        </w:rPr>
        <w:t xml:space="preserve"> </w:t>
      </w:r>
      <w:r w:rsidRPr="00CF7DEC">
        <w:rPr>
          <w:rStyle w:val="Emphasis"/>
        </w:rPr>
        <w:t xml:space="preserve">ambiguous </w:t>
      </w:r>
      <w:r w:rsidRPr="00456038">
        <w:rPr>
          <w:rStyle w:val="Emphasis"/>
          <w:highlight w:val="cyan"/>
        </w:rPr>
        <w:t>terms</w:t>
      </w:r>
      <w:r w:rsidRPr="00CF7DEC">
        <w:rPr>
          <w:rStyle w:val="StyleUnderline"/>
        </w:rPr>
        <w:t xml:space="preserve"> in </w:t>
      </w:r>
      <w:r w:rsidRPr="00CF7DEC">
        <w:rPr>
          <w:rStyle w:val="Emphasis"/>
        </w:rPr>
        <w:t>a criminal statute</w:t>
      </w:r>
      <w:r w:rsidRPr="00C30512">
        <w:rPr>
          <w:sz w:val="16"/>
        </w:rPr>
        <w:t>.</w:t>
      </w:r>
    </w:p>
    <w:p w14:paraId="161780E4" w14:textId="77777777" w:rsidR="0095149D" w:rsidRPr="00C30512" w:rsidRDefault="0095149D" w:rsidP="0095149D">
      <w:pPr>
        <w:rPr>
          <w:sz w:val="16"/>
        </w:rPr>
      </w:pPr>
      <w:r w:rsidRPr="00C30512">
        <w:rPr>
          <w:sz w:val="16"/>
        </w:rPr>
        <w:t>As Judge Sutton has explained, the fair notice aspect of the rule of lenity would be meaningfully diminished if agencies could define and, as here, redefine, crimes. Carter, 736 F.3d at 731-32 (Sutton, J., concurring) (citing Barnhart v. Walton, 535 U.S. 212, 221-22 (2002)).</w:t>
      </w:r>
    </w:p>
    <w:p w14:paraId="1EB868CC" w14:textId="77777777" w:rsidR="0095149D" w:rsidRPr="00C30512" w:rsidRDefault="0095149D" w:rsidP="0095149D">
      <w:pPr>
        <w:rPr>
          <w:sz w:val="16"/>
        </w:rPr>
      </w:pPr>
      <w:r w:rsidRPr="00C30512">
        <w:rPr>
          <w:sz w:val="16"/>
        </w:rPr>
        <w:t xml:space="preserve">Furthermore, </w:t>
      </w:r>
      <w:r w:rsidRPr="00CF7DEC">
        <w:rPr>
          <w:rStyle w:val="StyleUnderline"/>
        </w:rPr>
        <w:t xml:space="preserve">if trumped by Chevron deference, </w:t>
      </w:r>
      <w:r w:rsidRPr="00CF7DEC">
        <w:rPr>
          <w:rStyle w:val="Emphasis"/>
        </w:rPr>
        <w:t>the separation-of-powers function</w:t>
      </w:r>
      <w:r w:rsidRPr="00CF7DEC">
        <w:rPr>
          <w:rStyle w:val="StyleUnderline"/>
        </w:rPr>
        <w:t xml:space="preserve"> of the rule of lenity would be </w:t>
      </w:r>
      <w:r w:rsidRPr="00CF7DEC">
        <w:rPr>
          <w:rStyle w:val="Emphasis"/>
        </w:rPr>
        <w:t>severely compromised</w:t>
      </w:r>
      <w:r w:rsidRPr="00C30512">
        <w:rPr>
          <w:sz w:val="16"/>
        </w:rPr>
        <w:t>.</w:t>
      </w:r>
    </w:p>
    <w:p w14:paraId="239915E7" w14:textId="77777777" w:rsidR="0095149D" w:rsidRPr="00C30512" w:rsidRDefault="0095149D" w:rsidP="0095149D">
      <w:pPr>
        <w:ind w:left="720"/>
        <w:rPr>
          <w:sz w:val="16"/>
        </w:rPr>
      </w:pPr>
      <w:r w:rsidRPr="00C30512">
        <w:rPr>
          <w:sz w:val="16"/>
        </w:rPr>
        <w:t xml:space="preserve">Making something a crime is serious business. It visits the moral condemnation of the community upon the citizen who engages in the forbidden conduct, and it allows the government to take away his liberty and property. The rule of lenity carries into effect the principle that only the legislature, the most democratic and accountable branch of government, should decide what conduct triggers these consequences. </w:t>
      </w:r>
      <w:r w:rsidRPr="00456038">
        <w:rPr>
          <w:rStyle w:val="StyleUnderline"/>
          <w:highlight w:val="cyan"/>
        </w:rPr>
        <w:t xml:space="preserve">By giving </w:t>
      </w:r>
      <w:r w:rsidRPr="00456038">
        <w:rPr>
          <w:rStyle w:val="Emphasis"/>
          <w:highlight w:val="cyan"/>
        </w:rPr>
        <w:t>unelected</w:t>
      </w:r>
      <w:r w:rsidRPr="00C878AD">
        <w:rPr>
          <w:rStyle w:val="StyleUnderline"/>
        </w:rPr>
        <w:t xml:space="preserve"> commissioners and directors and </w:t>
      </w:r>
      <w:r w:rsidRPr="00456038">
        <w:rPr>
          <w:rStyle w:val="StyleUnderline"/>
          <w:highlight w:val="cyan"/>
        </w:rPr>
        <w:t xml:space="preserve">administrators </w:t>
      </w:r>
      <w:r w:rsidRPr="00456038">
        <w:rPr>
          <w:rStyle w:val="Emphasis"/>
          <w:highlight w:val="cyan"/>
        </w:rPr>
        <w:t>carte blanche</w:t>
      </w:r>
      <w:r w:rsidRPr="00456038">
        <w:rPr>
          <w:rStyle w:val="StyleUnderline"/>
          <w:highlight w:val="cyan"/>
        </w:rPr>
        <w:t xml:space="preserve"> to decide when </w:t>
      </w:r>
      <w:r w:rsidRPr="00456038">
        <w:rPr>
          <w:rStyle w:val="Emphasis"/>
          <w:highlight w:val="cyan"/>
        </w:rPr>
        <w:t>a</w:t>
      </w:r>
      <w:r w:rsidRPr="00C878AD">
        <w:rPr>
          <w:rStyle w:val="Emphasis"/>
        </w:rPr>
        <w:t xml:space="preserve">n ambiguous </w:t>
      </w:r>
      <w:r w:rsidRPr="00456038">
        <w:rPr>
          <w:rStyle w:val="Emphasis"/>
          <w:highlight w:val="cyan"/>
        </w:rPr>
        <w:t>statute</w:t>
      </w:r>
      <w:r w:rsidRPr="00456038">
        <w:rPr>
          <w:rStyle w:val="StyleUnderline"/>
          <w:highlight w:val="cyan"/>
        </w:rPr>
        <w:t xml:space="preserve"> justifies sending people to </w:t>
      </w:r>
      <w:r w:rsidRPr="00456038">
        <w:rPr>
          <w:rStyle w:val="Emphasis"/>
          <w:highlight w:val="cyan"/>
        </w:rPr>
        <w:t>prison</w:t>
      </w:r>
      <w:r w:rsidRPr="00C878AD">
        <w:rPr>
          <w:rStyle w:val="StyleUnderline"/>
        </w:rPr>
        <w:t xml:space="preserve">, [Chevron </w:t>
      </w:r>
      <w:r w:rsidRPr="00456038">
        <w:rPr>
          <w:rStyle w:val="StyleUnderline"/>
          <w:highlight w:val="cyan"/>
        </w:rPr>
        <w:t>deference</w:t>
      </w:r>
      <w:r w:rsidRPr="00C878AD">
        <w:rPr>
          <w:rStyle w:val="StyleUnderline"/>
        </w:rPr>
        <w:t xml:space="preserve">] </w:t>
      </w:r>
      <w:r w:rsidRPr="00456038">
        <w:rPr>
          <w:rStyle w:val="Emphasis"/>
          <w:highlight w:val="cyan"/>
        </w:rPr>
        <w:t>diminishes</w:t>
      </w:r>
      <w:r w:rsidRPr="00456038">
        <w:rPr>
          <w:rStyle w:val="StyleUnderline"/>
          <w:highlight w:val="cyan"/>
        </w:rPr>
        <w:t xml:space="preserve"> this</w:t>
      </w:r>
      <w:r w:rsidRPr="007B6C4D">
        <w:rPr>
          <w:rStyle w:val="StyleUnderline"/>
        </w:rPr>
        <w:t xml:space="preserve"> ideal</w:t>
      </w:r>
      <w:r w:rsidRPr="007B6C4D">
        <w:rPr>
          <w:sz w:val="16"/>
        </w:rPr>
        <w:t>.</w:t>
      </w:r>
    </w:p>
    <w:p w14:paraId="42EA16CF" w14:textId="77777777" w:rsidR="0095149D" w:rsidRPr="00C30512" w:rsidRDefault="0095149D" w:rsidP="0095149D">
      <w:pPr>
        <w:rPr>
          <w:sz w:val="16"/>
        </w:rPr>
      </w:pPr>
      <w:r w:rsidRPr="00C30512">
        <w:rPr>
          <w:sz w:val="16"/>
        </w:rPr>
        <w:t>Carter, 736 F.3d at 731 (Sutton, J., concurring); see also Whitman, 135 S. Ct. at 353 (statement of Scalia &amp; Thomas, JJ., respecting the denial of certiorari) (“[E]qually important, [the rule of lenity] vindicates the principle that only the legislature may define crimes and fix punishments. Congress cannot, through ambiguity, effectively leave that function to the courts—much less to the administrative bureaucracy.”) (emphasis in original).</w:t>
      </w:r>
    </w:p>
    <w:p w14:paraId="2979DF83" w14:textId="77777777" w:rsidR="0095149D" w:rsidRPr="00C30512" w:rsidRDefault="0095149D" w:rsidP="0095149D">
      <w:pPr>
        <w:rPr>
          <w:sz w:val="16"/>
        </w:rPr>
      </w:pPr>
      <w:r w:rsidRPr="00C30512">
        <w:rPr>
          <w:sz w:val="16"/>
        </w:rPr>
        <w:t>4. The interplay between Chevron deference and delegation is no small matter, and the decision below implicates serious concerns raised by members of this Court in recent cases involving delegation more broadly.</w:t>
      </w:r>
    </w:p>
    <w:p w14:paraId="43807609" w14:textId="77777777" w:rsidR="0095149D" w:rsidRPr="00C30512" w:rsidRDefault="0095149D" w:rsidP="0095149D">
      <w:pPr>
        <w:rPr>
          <w:sz w:val="16"/>
        </w:rPr>
      </w:pPr>
      <w:r w:rsidRPr="00C30512">
        <w:rPr>
          <w:sz w:val="16"/>
        </w:rPr>
        <w:t>For example, in Gundy, 139 S. Ct. at 2128-29, a plurality of this Court read extremely narrowly the discretion expressly delegated to the Attorney General regarding whether to impose sex offender registration obligations on persons convicted before the enactment of the statute. Based on that narrowly construed discretion and the guidance the plurality discerned therein, it upheld the statute against a delegation doctrine challenge. Id. at 2129.</w:t>
      </w:r>
    </w:p>
    <w:p w14:paraId="323D221E" w14:textId="77777777" w:rsidR="0095149D" w:rsidRPr="00C30512" w:rsidRDefault="0095149D" w:rsidP="0095149D">
      <w:pPr>
        <w:rPr>
          <w:sz w:val="16"/>
        </w:rPr>
      </w:pPr>
      <w:r w:rsidRPr="00C30512">
        <w:rPr>
          <w:sz w:val="16"/>
        </w:rPr>
        <w:t>Justice Alito concurred in the judgment under an application of existing delegation doctrine cases but noted he would be willing to reconsider such doctrine in an appropriate case with a full Court. 139 S. Ct. at 2131 (Alito, J. concurring). With Justice Kavanaugh recused from the case, however, reconsideration risked an evenly divided Court.</w:t>
      </w:r>
    </w:p>
    <w:p w14:paraId="6E52B37C" w14:textId="77777777" w:rsidR="0095149D" w:rsidRPr="00C30512" w:rsidRDefault="0095149D" w:rsidP="0095149D">
      <w:pPr>
        <w:rPr>
          <w:sz w:val="16"/>
        </w:rPr>
      </w:pPr>
      <w:r w:rsidRPr="00C30512">
        <w:rPr>
          <w:sz w:val="16"/>
        </w:rPr>
        <w:t>But in an opinion that could have been written with this case in mind, Justice Gorsuch, joined by the Chief Justice and Justice Thomas, rejected the expansive delegation of legislative powers permitted under modern and mistakenly evolved delegation doctrine. 139 S. Ct. at 2131-48 (Gorsuch, J., dissenting).</w:t>
      </w:r>
    </w:p>
    <w:p w14:paraId="75BC8D09" w14:textId="77777777" w:rsidR="0095149D" w:rsidRPr="00C30512" w:rsidRDefault="0095149D" w:rsidP="0095149D">
      <w:pPr>
        <w:rPr>
          <w:sz w:val="16"/>
        </w:rPr>
      </w:pPr>
      <w:r w:rsidRPr="00C30512">
        <w:rPr>
          <w:sz w:val="16"/>
        </w:rPr>
        <w:t>Justice Gorsuch recognized the Framers’ view that the “federal government’s most dangerous power was the power to enact laws restricting the people’s liberty” and that “that it would frustrate ‘the system of government ordained by the Constitution’ if Congress could merely announce vague aspirations and then assign others the responsibility of adopting legislation to realize its goals.” Id. at 2134-35. And he recognized, too, the dangers posed by allowing Congress to “pass off its legislative power to the executive branch,” including circumventing “the demands of bicameralism and presentment,” risking supposed “legislation * * * becoming nothing more than the will of the current President,” and losing accountability for the eventual choices made. Id. Legislators might seek “to take credit for addressing a pressing social problem by sending it to the executive for resolution” and “blam[e] the executive for the problems that attend whatever measures he chooses to pursue.” Id. at 2136. The “executive might point to Congress as the source of the problem,” take the “temptingly advantageous” “opportunities for finger-pointing,” and thereby disguise responsibility for the decisions. Id. Such are the dangers of the “mutated version of the ‘intelligible principle’” test for delegation, which “has no basis in the original meaning of the Constitution, in history, or even in the decision from which it was plucked.” Id. at 2140.</w:t>
      </w:r>
    </w:p>
    <w:p w14:paraId="5D7B8F2C" w14:textId="77777777" w:rsidR="0095149D" w:rsidRPr="00C30512" w:rsidRDefault="0095149D" w:rsidP="0095149D">
      <w:pPr>
        <w:rPr>
          <w:sz w:val="16"/>
        </w:rPr>
      </w:pPr>
      <w:r w:rsidRPr="00C30512">
        <w:rPr>
          <w:sz w:val="16"/>
        </w:rPr>
        <w:t>Justice Gorsuch could just as easily have been describing the dangers of Chevron’s version of implied delegation and the actual circumstances surrounding this case. Indeed, as described by the amicus brief of the Cato Institute in the court of appeals, the desire to do something in response to the perceived use of bump-stocks in the Las Vegas shooting was followed by Congress beginning to consider legislation, the President instead relieving them of their legislative responsibility by asserting he would fix it himself, his throwing the longstanding ATF understanding of the definition of machinegun overboard, claiming a newly discovered (and frivolous) recognition of the plain meaning of the existing statute, and pointing fingers at his predecessors. See Cato Br., Guedes v. ATF, No. 19-5042, Doc. 1776768 (Mar. 8, 2019), at 3-6.</w:t>
      </w:r>
    </w:p>
    <w:p w14:paraId="68308364" w14:textId="77777777" w:rsidR="0095149D" w:rsidRPr="00C30512" w:rsidRDefault="0095149D" w:rsidP="0095149D">
      <w:pPr>
        <w:rPr>
          <w:sz w:val="16"/>
        </w:rPr>
      </w:pPr>
      <w:r w:rsidRPr="00C30512">
        <w:rPr>
          <w:sz w:val="16"/>
        </w:rPr>
        <w:t xml:space="preserve">As in Gundy, </w:t>
      </w:r>
      <w:r w:rsidRPr="00B50E81">
        <w:rPr>
          <w:rStyle w:val="StyleUnderline"/>
        </w:rPr>
        <w:t xml:space="preserve">the </w:t>
      </w:r>
      <w:r w:rsidRPr="00456038">
        <w:rPr>
          <w:rStyle w:val="StyleUnderline"/>
          <w:highlight w:val="cyan"/>
        </w:rPr>
        <w:t>decision</w:t>
      </w:r>
      <w:r w:rsidRPr="00C30512">
        <w:rPr>
          <w:sz w:val="16"/>
        </w:rPr>
        <w:t xml:space="preserve"> below “gives the Attorney General the authority to ‘prescrib[e] the rules by which the duties and rights’ of citizens are determined, a quintessentially legislative power.” 139 S. Ct. at 2144 (Gorsuch, J., dissenting). And it </w:t>
      </w:r>
      <w:r w:rsidRPr="00456038">
        <w:rPr>
          <w:rStyle w:val="StyleUnderline"/>
          <w:highlight w:val="cyan"/>
        </w:rPr>
        <w:t>“sounds</w:t>
      </w:r>
      <w:r w:rsidRPr="00B50E81">
        <w:rPr>
          <w:rStyle w:val="StyleUnderline"/>
        </w:rPr>
        <w:t xml:space="preserve"> </w:t>
      </w:r>
      <w:r w:rsidRPr="00B50E81">
        <w:rPr>
          <w:rStyle w:val="Emphasis"/>
        </w:rPr>
        <w:t xml:space="preserve">all the </w:t>
      </w:r>
      <w:r w:rsidRPr="00456038">
        <w:rPr>
          <w:rStyle w:val="Emphasis"/>
          <w:highlight w:val="cyan"/>
        </w:rPr>
        <w:t>alarms</w:t>
      </w:r>
      <w:r w:rsidRPr="00B50E81">
        <w:rPr>
          <w:rStyle w:val="StyleUnderline"/>
        </w:rPr>
        <w:t xml:space="preserve"> the </w:t>
      </w:r>
      <w:r w:rsidRPr="00456038">
        <w:rPr>
          <w:rStyle w:val="StyleUnderline"/>
          <w:highlight w:val="cyan"/>
        </w:rPr>
        <w:t>founders left for us.”</w:t>
      </w:r>
      <w:r w:rsidRPr="00C30512">
        <w:rPr>
          <w:sz w:val="16"/>
        </w:rPr>
        <w:t xml:space="preserve"> Id. </w:t>
      </w:r>
      <w:r w:rsidRPr="00835595">
        <w:rPr>
          <w:rStyle w:val="StyleUnderline"/>
        </w:rPr>
        <w:t xml:space="preserve">Because “Congress could not achieve the consensus </w:t>
      </w:r>
      <w:r w:rsidRPr="00835595">
        <w:rPr>
          <w:rStyle w:val="Emphasis"/>
        </w:rPr>
        <w:t>necessary</w:t>
      </w:r>
      <w:r w:rsidRPr="00835595">
        <w:rPr>
          <w:rStyle w:val="StyleUnderline"/>
        </w:rPr>
        <w:t xml:space="preserve"> to resolve the hard problems </w:t>
      </w:r>
      <w:r w:rsidRPr="00835595">
        <w:rPr>
          <w:sz w:val="16"/>
        </w:rPr>
        <w:t>associated with” bump stocks, “</w:t>
      </w:r>
      <w:r w:rsidRPr="00835595">
        <w:rPr>
          <w:rStyle w:val="StyleUnderline"/>
        </w:rPr>
        <w:t xml:space="preserve">it passed </w:t>
      </w:r>
      <w:r w:rsidRPr="00835595">
        <w:rPr>
          <w:rStyle w:val="Emphasis"/>
        </w:rPr>
        <w:t>the potato</w:t>
      </w:r>
      <w:r w:rsidRPr="00835595">
        <w:rPr>
          <w:rStyle w:val="StyleUnderline"/>
        </w:rPr>
        <w:t xml:space="preserve"> to the </w:t>
      </w:r>
      <w:r w:rsidRPr="00835595">
        <w:rPr>
          <w:rStyle w:val="Emphasis"/>
        </w:rPr>
        <w:t>A</w:t>
      </w:r>
      <w:r w:rsidRPr="00835595">
        <w:rPr>
          <w:sz w:val="16"/>
        </w:rPr>
        <w:t xml:space="preserve">ttorney </w:t>
      </w:r>
      <w:r w:rsidRPr="00835595">
        <w:rPr>
          <w:rStyle w:val="Emphasis"/>
        </w:rPr>
        <w:t>G</w:t>
      </w:r>
      <w:r w:rsidRPr="00835595">
        <w:rPr>
          <w:sz w:val="16"/>
        </w:rPr>
        <w:t>eneral</w:t>
      </w:r>
      <w:r w:rsidRPr="00835595">
        <w:rPr>
          <w:rStyle w:val="StyleUnderline"/>
        </w:rPr>
        <w:t xml:space="preserve">” (or </w:t>
      </w:r>
      <w:r w:rsidRPr="00456038">
        <w:rPr>
          <w:rStyle w:val="StyleUnderline"/>
          <w:highlight w:val="cyan"/>
        </w:rPr>
        <w:t>the President</w:t>
      </w:r>
      <w:r w:rsidRPr="00456038">
        <w:rPr>
          <w:sz w:val="16"/>
          <w:highlight w:val="cyan"/>
        </w:rPr>
        <w:t xml:space="preserve"> </w:t>
      </w:r>
      <w:r w:rsidRPr="00456038">
        <w:rPr>
          <w:rStyle w:val="Emphasis"/>
          <w:highlight w:val="cyan"/>
        </w:rPr>
        <w:t>grabbed the potato</w:t>
      </w:r>
      <w:r w:rsidRPr="00456038">
        <w:rPr>
          <w:rStyle w:val="StyleUnderline"/>
          <w:highlight w:val="cyan"/>
        </w:rPr>
        <w:t xml:space="preserve"> from Congress’s hands</w:t>
      </w:r>
      <w:r w:rsidRPr="00835595">
        <w:rPr>
          <w:rStyle w:val="StyleUnderline"/>
        </w:rPr>
        <w:t>)</w:t>
      </w:r>
      <w:r w:rsidRPr="00835595">
        <w:rPr>
          <w:sz w:val="16"/>
        </w:rPr>
        <w:t>, the Attorney General was unable to “afford the issue t</w:t>
      </w:r>
      <w:r w:rsidRPr="00C30512">
        <w:rPr>
          <w:sz w:val="16"/>
        </w:rPr>
        <w:t xml:space="preserve">he kind of deliberative care the framers designed a representative legislature to ensure,” </w:t>
      </w:r>
      <w:r w:rsidRPr="00B50E81">
        <w:rPr>
          <w:rStyle w:val="StyleUnderline"/>
        </w:rPr>
        <w:t>and</w:t>
      </w:r>
      <w:r w:rsidRPr="00C30512">
        <w:rPr>
          <w:sz w:val="16"/>
        </w:rPr>
        <w:t xml:space="preserve"> thus </w:t>
      </w:r>
      <w:r w:rsidRPr="00B50E81">
        <w:rPr>
          <w:rStyle w:val="StyleUnderline"/>
        </w:rPr>
        <w:t>“the executive branch found</w:t>
      </w:r>
      <w:r w:rsidRPr="00C30512">
        <w:rPr>
          <w:sz w:val="16"/>
        </w:rPr>
        <w:t xml:space="preserve"> itself </w:t>
      </w:r>
      <w:r w:rsidRPr="00456038">
        <w:rPr>
          <w:rStyle w:val="Emphasis"/>
          <w:highlight w:val="cyan"/>
        </w:rPr>
        <w:t>rapidly adopting</w:t>
      </w:r>
      <w:r w:rsidRPr="00B50E81">
        <w:rPr>
          <w:rStyle w:val="StyleUnderline"/>
        </w:rPr>
        <w:t xml:space="preserve"> different </w:t>
      </w:r>
      <w:r w:rsidRPr="00456038">
        <w:rPr>
          <w:rStyle w:val="StyleUnderline"/>
          <w:highlight w:val="cyan"/>
        </w:rPr>
        <w:t>positions across</w:t>
      </w:r>
      <w:r w:rsidRPr="00B50E81">
        <w:rPr>
          <w:rStyle w:val="StyleUnderline"/>
        </w:rPr>
        <w:t xml:space="preserve"> </w:t>
      </w:r>
      <w:r w:rsidRPr="00B50E81">
        <w:rPr>
          <w:rStyle w:val="Emphasis"/>
        </w:rPr>
        <w:t xml:space="preserve">different </w:t>
      </w:r>
      <w:r w:rsidRPr="00456038">
        <w:rPr>
          <w:rStyle w:val="Emphasis"/>
          <w:highlight w:val="cyan"/>
        </w:rPr>
        <w:t>administrations</w:t>
      </w:r>
      <w:r w:rsidRPr="00B50E81">
        <w:rPr>
          <w:rStyle w:val="StyleUnderline"/>
        </w:rPr>
        <w:t>.”</w:t>
      </w:r>
      <w:r w:rsidRPr="00C30512">
        <w:rPr>
          <w:sz w:val="16"/>
        </w:rPr>
        <w:t xml:space="preserve"> Id.</w:t>
      </w:r>
    </w:p>
    <w:p w14:paraId="282D8F90" w14:textId="77777777" w:rsidR="0095149D" w:rsidRPr="00C30512" w:rsidRDefault="0095149D" w:rsidP="0095149D">
      <w:pPr>
        <w:rPr>
          <w:sz w:val="16"/>
        </w:rPr>
      </w:pPr>
      <w:r w:rsidRPr="00C30512">
        <w:rPr>
          <w:sz w:val="16"/>
        </w:rPr>
        <w:t>Like the delegation at issue in Gundy, it “would be easy enough to let this case go. After all,” bump stock owners (and perhaps gun owners generally), are rapidly becoming “one of the most disfavored groups” in at least some quarters of our society. Id. “But the rule that prevents Congress from giving the executive carte blanche to write laws for” bump stock owners “is the same rule that protects everyone else.” Id. This Court thus should not shy away from addressing the Chevron issues in this case out of concern for the underlying subject matter. Indeed, it is precisely the controversial nature of the subject that highlights the need to ensure proper congressional exercise of legislative power: The requirement for separation of powers “is a procedural guarantee that requires Congress to assemble a social consensus before choosing our nation’s course on policy questions like those implicated by” by firearms. Id. at 2145.</w:t>
      </w:r>
    </w:p>
    <w:p w14:paraId="76E940EE" w14:textId="77777777" w:rsidR="0095149D" w:rsidRPr="00C30512" w:rsidRDefault="0095149D" w:rsidP="0095149D">
      <w:pPr>
        <w:rPr>
          <w:sz w:val="16"/>
        </w:rPr>
      </w:pPr>
      <w:r w:rsidRPr="00C30512">
        <w:rPr>
          <w:sz w:val="16"/>
        </w:rPr>
        <w:t>This case is well-positioned for addressing such systemic concerns given that it provides the concrete context in which to consider the continued viability or scope of Chevron’s implied delegations. And the ambiguity- driven implied delegation underlying Chevron is, in many ways, worse than an express delegation because it lacks express congressional principles to guide it. Chevron’s implied delegation thus provides a good starting point for these broader issues and presents an easier case than any truly considered and express congressional delegation of discretion to the executive branch.4</w:t>
      </w:r>
    </w:p>
    <w:p w14:paraId="6D6CDE73" w14:textId="77777777" w:rsidR="0095149D" w:rsidRPr="00C30512" w:rsidRDefault="0095149D" w:rsidP="0095149D">
      <w:pPr>
        <w:rPr>
          <w:sz w:val="16"/>
        </w:rPr>
      </w:pPr>
      <w:r w:rsidRPr="00C30512">
        <w:rPr>
          <w:sz w:val="16"/>
        </w:rPr>
        <w:t>This case is thus an ideal vehicle for both presenting issues at the intersection of delegation and deference and for starting to develop more sensible lines around those doctrines.</w:t>
      </w:r>
    </w:p>
    <w:p w14:paraId="049EC284" w14:textId="77777777" w:rsidR="0095149D" w:rsidRPr="00B50E81" w:rsidRDefault="0095149D" w:rsidP="0095149D">
      <w:pPr>
        <w:rPr>
          <w:rStyle w:val="StyleUnderline"/>
        </w:rPr>
      </w:pPr>
      <w:r w:rsidRPr="00C30512">
        <w:rPr>
          <w:sz w:val="16"/>
        </w:rPr>
        <w:t xml:space="preserve">B. </w:t>
      </w:r>
      <w:r w:rsidRPr="00B50E81">
        <w:rPr>
          <w:rStyle w:val="StyleUnderline"/>
        </w:rPr>
        <w:t xml:space="preserve">The Courts of </w:t>
      </w:r>
      <w:r w:rsidRPr="00456038">
        <w:rPr>
          <w:rStyle w:val="StyleUnderline"/>
          <w:highlight w:val="cyan"/>
        </w:rPr>
        <w:t xml:space="preserve">Appeals Are </w:t>
      </w:r>
      <w:r w:rsidRPr="00456038">
        <w:rPr>
          <w:rStyle w:val="Emphasis"/>
          <w:highlight w:val="cyan"/>
        </w:rPr>
        <w:t>Confused and Wrong</w:t>
      </w:r>
      <w:r w:rsidRPr="00B50E81">
        <w:rPr>
          <w:rStyle w:val="StyleUnderline"/>
        </w:rPr>
        <w:t xml:space="preserve"> Regarding </w:t>
      </w:r>
      <w:r w:rsidRPr="00B50E81">
        <w:rPr>
          <w:rStyle w:val="Emphasis"/>
        </w:rPr>
        <w:t>the Interaction</w:t>
      </w:r>
      <w:r w:rsidRPr="00B50E81">
        <w:rPr>
          <w:rStyle w:val="StyleUnderline"/>
        </w:rPr>
        <w:t xml:space="preserve"> Between Chevron Deference and the Rule of Lenity.</w:t>
      </w:r>
    </w:p>
    <w:p w14:paraId="5998E23F" w14:textId="77777777" w:rsidR="0095149D" w:rsidRPr="00C30512" w:rsidRDefault="0095149D" w:rsidP="0095149D">
      <w:pPr>
        <w:rPr>
          <w:sz w:val="16"/>
        </w:rPr>
      </w:pPr>
      <w:r w:rsidRPr="00C30512">
        <w:rPr>
          <w:sz w:val="16"/>
        </w:rPr>
        <w:t xml:space="preserve">In addition to being fundamentally in conflict with a broad range of this Court’s cases, not to mention first principles of constitutional governance, </w:t>
      </w:r>
      <w:r w:rsidRPr="00C30512">
        <w:rPr>
          <w:rStyle w:val="StyleUnderline"/>
        </w:rPr>
        <w:t>the decision</w:t>
      </w:r>
      <w:r w:rsidRPr="00C30512">
        <w:rPr>
          <w:sz w:val="16"/>
        </w:rPr>
        <w:t xml:space="preserve"> below </w:t>
      </w:r>
      <w:r w:rsidRPr="00C30512">
        <w:rPr>
          <w:rStyle w:val="StyleUnderline"/>
        </w:rPr>
        <w:t xml:space="preserve">reflects </w:t>
      </w:r>
      <w:r w:rsidRPr="00C30512">
        <w:rPr>
          <w:rStyle w:val="Emphasis"/>
        </w:rPr>
        <w:t>significant confusion and error</w:t>
      </w:r>
      <w:r w:rsidRPr="00C30512">
        <w:rPr>
          <w:rStyle w:val="StyleUnderline"/>
        </w:rPr>
        <w:t xml:space="preserve"> in the courts of appeals</w:t>
      </w:r>
      <w:r w:rsidRPr="00C30512">
        <w:rPr>
          <w:sz w:val="16"/>
        </w:rPr>
        <w:t>. While those courts generally have given deference to agency interpretations of statutes with both civil and criminal applications, it has not been without sharp criticism. Esquivel- Quintana, 810 F.3d at 1027-32 (Sutton, J., concurring in part and dissenting in part) (rejecting application of Chevron to criminal laws and to dual-application statutes); Carter, 736 F.3d at 729-35, 736 (Sutton, J., concurring); Larkin, 32 J.L. &amp; POLITICS at 232-38.</w:t>
      </w:r>
    </w:p>
    <w:p w14:paraId="592C6FBD" w14:textId="77777777" w:rsidR="0095149D" w:rsidRPr="00C30512" w:rsidRDefault="0095149D" w:rsidP="0095149D">
      <w:pPr>
        <w:rPr>
          <w:sz w:val="16"/>
        </w:rPr>
      </w:pPr>
      <w:r w:rsidRPr="00C30512">
        <w:rPr>
          <w:sz w:val="16"/>
        </w:rPr>
        <w:t xml:space="preserve">Many </w:t>
      </w:r>
      <w:r w:rsidRPr="00456038">
        <w:rPr>
          <w:rStyle w:val="StyleUnderline"/>
          <w:highlight w:val="cyan"/>
        </w:rPr>
        <w:t>courts</w:t>
      </w:r>
      <w:r w:rsidRPr="00C30512">
        <w:rPr>
          <w:rStyle w:val="StyleUnderline"/>
        </w:rPr>
        <w:t xml:space="preserve"> of appeals</w:t>
      </w:r>
      <w:r w:rsidRPr="00C30512">
        <w:rPr>
          <w:sz w:val="16"/>
        </w:rPr>
        <w:t xml:space="preserve">, at one time or another, have </w:t>
      </w:r>
      <w:r w:rsidRPr="00456038">
        <w:rPr>
          <w:rStyle w:val="StyleUnderline"/>
          <w:highlight w:val="cyan"/>
        </w:rPr>
        <w:t xml:space="preserve">accepted </w:t>
      </w:r>
      <w:r w:rsidRPr="00456038">
        <w:rPr>
          <w:rStyle w:val="Emphasis"/>
          <w:highlight w:val="cyan"/>
        </w:rPr>
        <w:t>the lure</w:t>
      </w:r>
      <w:r w:rsidRPr="00456038">
        <w:rPr>
          <w:rStyle w:val="StyleUnderline"/>
          <w:highlight w:val="cyan"/>
        </w:rPr>
        <w:t xml:space="preserve"> of </w:t>
      </w:r>
      <w:r w:rsidRPr="00456038">
        <w:rPr>
          <w:rStyle w:val="Emphasis"/>
          <w:highlight w:val="cyan"/>
        </w:rPr>
        <w:t>Babbitt</w:t>
      </w:r>
      <w:r w:rsidRPr="005661EF">
        <w:rPr>
          <w:rStyle w:val="Emphasis"/>
        </w:rPr>
        <w:t>’s f</w:t>
      </w:r>
      <w:r w:rsidRPr="00C30512">
        <w:rPr>
          <w:rStyle w:val="Emphasis"/>
        </w:rPr>
        <w:t>ootnote</w:t>
      </w:r>
      <w:r w:rsidRPr="00C30512">
        <w:rPr>
          <w:rStyle w:val="StyleUnderline"/>
        </w:rPr>
        <w:t xml:space="preserve"> </w:t>
      </w:r>
      <w:r w:rsidRPr="00456038">
        <w:rPr>
          <w:rStyle w:val="StyleUnderline"/>
          <w:highlight w:val="cyan"/>
        </w:rPr>
        <w:t>and given</w:t>
      </w:r>
      <w:r w:rsidRPr="00C30512">
        <w:rPr>
          <w:rStyle w:val="StyleUnderline"/>
        </w:rPr>
        <w:t xml:space="preserve"> Chevron </w:t>
      </w:r>
      <w:r w:rsidRPr="00456038">
        <w:rPr>
          <w:rStyle w:val="StyleUnderline"/>
          <w:highlight w:val="cyan"/>
        </w:rPr>
        <w:t>deference</w:t>
      </w:r>
      <w:r w:rsidRPr="00C30512">
        <w:rPr>
          <w:rStyle w:val="StyleUnderline"/>
        </w:rPr>
        <w:t xml:space="preserve"> to agency interpretation of statutes </w:t>
      </w:r>
      <w:r w:rsidRPr="00456038">
        <w:rPr>
          <w:rStyle w:val="StyleUnderline"/>
          <w:highlight w:val="cyan"/>
        </w:rPr>
        <w:t xml:space="preserve">with </w:t>
      </w:r>
      <w:r w:rsidRPr="00456038">
        <w:rPr>
          <w:rStyle w:val="Emphasis"/>
          <w:highlight w:val="cyan"/>
        </w:rPr>
        <w:t>mixed</w:t>
      </w:r>
      <w:r w:rsidRPr="00C30512">
        <w:rPr>
          <w:rStyle w:val="Emphasis"/>
        </w:rPr>
        <w:t xml:space="preserve"> criminal and civil </w:t>
      </w:r>
      <w:r w:rsidRPr="00456038">
        <w:rPr>
          <w:rStyle w:val="Emphasis"/>
          <w:highlight w:val="cyan"/>
        </w:rPr>
        <w:t>application</w:t>
      </w:r>
      <w:r w:rsidRPr="00C30512">
        <w:rPr>
          <w:sz w:val="16"/>
        </w:rPr>
        <w:t xml:space="preserve">. Whitman, 135 S. Ct. at 353 (citing multiple examples). </w:t>
      </w:r>
      <w:r w:rsidRPr="00C30512">
        <w:rPr>
          <w:rStyle w:val="StyleUnderline"/>
        </w:rPr>
        <w:t xml:space="preserve">Some have taken </w:t>
      </w:r>
      <w:r w:rsidRPr="00C30512">
        <w:rPr>
          <w:rStyle w:val="Emphasis"/>
        </w:rPr>
        <w:t>mixed positions</w:t>
      </w:r>
      <w:r w:rsidRPr="00C30512">
        <w:rPr>
          <w:rStyle w:val="StyleUnderline"/>
        </w:rPr>
        <w:t xml:space="preserve"> or sought to avoid the issue</w:t>
      </w:r>
      <w:r w:rsidRPr="00C30512">
        <w:rPr>
          <w:sz w:val="16"/>
        </w:rPr>
        <w:t>. United States v. White, 782 F.3d 1118, 1135 n.18 (10th Cir. 2015) (court finds that it “need not address the thorny issue of whether it is appropriate to defer to a prosecuting agency’s interpretation of a criminal statute”; citing cases reaching conflicting results); United States v. Atandi, 376 F.3d 1186, 1189 (10th Cir. 2004) (court does not decide whether to give Chevron deference; it gives “some deference” to agency interpretation, which it finds “both reasonable and consistent with our interpretive norms for criminal statutes”); NLRB v. Oklahoma Fixture Co., 332 F.3d 1284, 1286-87 (10th Cir. 2003) (en banc) (same).</w:t>
      </w:r>
    </w:p>
    <w:p w14:paraId="18C7923C" w14:textId="77777777" w:rsidR="0095149D" w:rsidRPr="00C30512" w:rsidRDefault="0095149D" w:rsidP="0095149D">
      <w:pPr>
        <w:rPr>
          <w:sz w:val="16"/>
        </w:rPr>
      </w:pPr>
      <w:r w:rsidRPr="00C30512">
        <w:rPr>
          <w:rStyle w:val="StyleUnderline"/>
        </w:rPr>
        <w:t xml:space="preserve">That the </w:t>
      </w:r>
      <w:r w:rsidRPr="00456038">
        <w:rPr>
          <w:rStyle w:val="StyleUnderline"/>
          <w:highlight w:val="cyan"/>
        </w:rPr>
        <w:t>courts</w:t>
      </w:r>
      <w:r w:rsidRPr="00C30512">
        <w:rPr>
          <w:rStyle w:val="StyleUnderline"/>
        </w:rPr>
        <w:t xml:space="preserve"> of appeals</w:t>
      </w:r>
      <w:r w:rsidRPr="00C30512">
        <w:rPr>
          <w:sz w:val="16"/>
        </w:rPr>
        <w:t xml:space="preserve"> have </w:t>
      </w:r>
      <w:r w:rsidRPr="00C30512">
        <w:rPr>
          <w:rStyle w:val="Emphasis"/>
        </w:rPr>
        <w:t xml:space="preserve">generally </w:t>
      </w:r>
      <w:r w:rsidRPr="005661EF">
        <w:rPr>
          <w:rStyle w:val="Emphasis"/>
        </w:rPr>
        <w:t>applied</w:t>
      </w:r>
      <w:r w:rsidRPr="00C30512">
        <w:rPr>
          <w:rStyle w:val="Emphasis"/>
        </w:rPr>
        <w:t xml:space="preserve"> or </w:t>
      </w:r>
      <w:r w:rsidRPr="00456038">
        <w:rPr>
          <w:rStyle w:val="Emphasis"/>
          <w:highlight w:val="cyan"/>
        </w:rPr>
        <w:t>avoided</w:t>
      </w:r>
      <w:r w:rsidRPr="00456038">
        <w:rPr>
          <w:rStyle w:val="StyleUnderline"/>
          <w:highlight w:val="cyan"/>
        </w:rPr>
        <w:t xml:space="preserve"> Babbitt does not negate</w:t>
      </w:r>
      <w:r w:rsidRPr="00C30512">
        <w:rPr>
          <w:rStyle w:val="StyleUnderline"/>
        </w:rPr>
        <w:t xml:space="preserve"> </w:t>
      </w:r>
      <w:r w:rsidRPr="00C30512">
        <w:rPr>
          <w:rStyle w:val="Emphasis"/>
        </w:rPr>
        <w:t xml:space="preserve">the need for </w:t>
      </w:r>
      <w:r w:rsidRPr="00456038">
        <w:rPr>
          <w:rStyle w:val="Emphasis"/>
          <w:highlight w:val="cyan"/>
        </w:rPr>
        <w:t>review</w:t>
      </w:r>
      <w:r w:rsidRPr="00456038">
        <w:rPr>
          <w:rStyle w:val="StyleUnderline"/>
          <w:highlight w:val="cyan"/>
        </w:rPr>
        <w:t>, and</w:t>
      </w:r>
      <w:r w:rsidRPr="00C30512">
        <w:rPr>
          <w:sz w:val="16"/>
        </w:rPr>
        <w:t xml:space="preserve"> in many ways, </w:t>
      </w:r>
      <w:r w:rsidRPr="00456038">
        <w:rPr>
          <w:rStyle w:val="StyleUnderline"/>
          <w:highlight w:val="cyan"/>
        </w:rPr>
        <w:t>increases</w:t>
      </w:r>
      <w:r w:rsidRPr="00C30512">
        <w:rPr>
          <w:rStyle w:val="StyleUnderline"/>
        </w:rPr>
        <w:t xml:space="preserve"> that </w:t>
      </w:r>
      <w:r w:rsidRPr="00456038">
        <w:rPr>
          <w:rStyle w:val="StyleUnderline"/>
          <w:highlight w:val="cyan"/>
        </w:rPr>
        <w:t>need</w:t>
      </w:r>
      <w:r w:rsidRPr="00C30512">
        <w:rPr>
          <w:sz w:val="16"/>
        </w:rPr>
        <w:t xml:space="preserve">. In Whitman, Justices </w:t>
      </w:r>
      <w:r w:rsidRPr="005661EF">
        <w:rPr>
          <w:rStyle w:val="StyleUnderline"/>
        </w:rPr>
        <w:t>Scalia and Thomas</w:t>
      </w:r>
      <w:r w:rsidRPr="00C30512">
        <w:rPr>
          <w:rStyle w:val="StyleUnderline"/>
        </w:rPr>
        <w:t xml:space="preserve"> recognized</w:t>
      </w:r>
      <w:r w:rsidRPr="00C30512">
        <w:rPr>
          <w:sz w:val="16"/>
        </w:rPr>
        <w:t xml:space="preserve"> that </w:t>
      </w:r>
      <w:r w:rsidRPr="00C30512">
        <w:rPr>
          <w:rStyle w:val="Emphasis"/>
        </w:rPr>
        <w:t>the consistent, and consistently wrong</w:t>
      </w:r>
      <w:r w:rsidRPr="00C30512">
        <w:rPr>
          <w:rStyle w:val="StyleUnderline"/>
        </w:rPr>
        <w:t xml:space="preserve">, approach to </w:t>
      </w:r>
      <w:r w:rsidRPr="00C30512">
        <w:rPr>
          <w:rStyle w:val="Emphasis"/>
        </w:rPr>
        <w:t>the Chevron-versus-lenity issue</w:t>
      </w:r>
      <w:r w:rsidRPr="00C30512">
        <w:rPr>
          <w:sz w:val="16"/>
        </w:rPr>
        <w:t xml:space="preserve"> adopted by the circuit courts highlighted the need to grant review, albeit not in the particular case at hand. 135 S. Ct. at 353. </w:t>
      </w:r>
      <w:r w:rsidRPr="00C30512">
        <w:rPr>
          <w:rStyle w:val="StyleUnderline"/>
        </w:rPr>
        <w:t xml:space="preserve">This Court has </w:t>
      </w:r>
      <w:r w:rsidRPr="00C30512">
        <w:rPr>
          <w:rStyle w:val="Emphasis"/>
        </w:rPr>
        <w:t>previously granted review</w:t>
      </w:r>
      <w:r w:rsidRPr="00C30512">
        <w:rPr>
          <w:sz w:val="16"/>
        </w:rPr>
        <w:t xml:space="preserve"> in cases </w:t>
      </w:r>
      <w:r w:rsidRPr="00C30512">
        <w:rPr>
          <w:rStyle w:val="StyleUnderline"/>
        </w:rPr>
        <w:t xml:space="preserve">where the lower courts have taken </w:t>
      </w:r>
      <w:r w:rsidRPr="00C30512">
        <w:rPr>
          <w:rStyle w:val="Emphasis"/>
        </w:rPr>
        <w:t>uniformly questionable positions</w:t>
      </w:r>
      <w:r w:rsidRPr="00C30512">
        <w:rPr>
          <w:sz w:val="16"/>
        </w:rPr>
        <w:t>, particularly in matters involving delegation or Chevron deference. See, e.g., Gundy, 139 S. Ct. at 2122-23 (plurality opinion) (noting uniformity of eleven courts of appeals in rejecting delegation claim prior to grant of cert.).</w:t>
      </w:r>
    </w:p>
    <w:p w14:paraId="3B41C2D7" w14:textId="77777777" w:rsidR="0095149D" w:rsidRDefault="0095149D" w:rsidP="0095149D">
      <w:pPr>
        <w:pStyle w:val="Heading4"/>
      </w:pPr>
      <w:r>
        <w:t>The aff solves.</w:t>
      </w:r>
    </w:p>
    <w:p w14:paraId="64DC910A" w14:textId="77777777" w:rsidR="0095149D" w:rsidRPr="00CF5793" w:rsidRDefault="0095149D" w:rsidP="0095149D">
      <w:r w:rsidRPr="00294130">
        <w:rPr>
          <w:rStyle w:val="Style13ptBold"/>
        </w:rPr>
        <w:t>Feder 16</w:t>
      </w:r>
      <w:r>
        <w:t xml:space="preserve"> – David Feder, JD from Harvard Law School, associate at Munger, Tolles &amp; Olson in Los Angeles, an Olin-Searle </w:t>
      </w:r>
      <w:r w:rsidRPr="00CF5793">
        <w:t>Fellow at Harvard Law School. [Esquivel-Quintana v. Lynch: The Potential Sleeper Case of the Supreme Court Term, Notice &amp; Comment, 9-13-16, Esquivel-Quintana v. Lynch: The Potential Sleeper Case of the Supreme Court Term, by David Feder]//BPS</w:t>
      </w:r>
    </w:p>
    <w:p w14:paraId="7CB50BCA" w14:textId="77777777" w:rsidR="0095149D" w:rsidRPr="00CF5793" w:rsidRDefault="0095149D" w:rsidP="0095149D">
      <w:pPr>
        <w:rPr>
          <w:rStyle w:val="StyleUnderline"/>
          <w:sz w:val="16"/>
          <w:u w:val="none"/>
        </w:rPr>
      </w:pPr>
      <w:r w:rsidRPr="00CF5793">
        <w:rPr>
          <w:sz w:val="16"/>
        </w:rPr>
        <w:t xml:space="preserve">First, the Supreme Court has made clear that an agency does not receive Chevron deference in interpreting an ambiguity in a criminal statute. As Abramski explains, “criminal laws are for courts, not for the Government, to construe.” 134 S. Ct. at 2274. And as Justice </w:t>
      </w:r>
      <w:r w:rsidRPr="00CF5793">
        <w:rPr>
          <w:rStyle w:val="StyleUnderline"/>
        </w:rPr>
        <w:t>Scalia</w:t>
      </w:r>
      <w:r w:rsidRPr="00CF5793">
        <w:rPr>
          <w:sz w:val="16"/>
        </w:rPr>
        <w:t xml:space="preserve"> has </w:t>
      </w:r>
      <w:r w:rsidRPr="00CF5793">
        <w:rPr>
          <w:rStyle w:val="StyleUnderline"/>
        </w:rPr>
        <w:t>observed, to afford Chevron deference in interpreting a criminal statute’s ambiguity “would turn the normal construction of criminal statutes upside-down, replacing</w:t>
      </w:r>
      <w:r w:rsidRPr="00CF5793">
        <w:rPr>
          <w:sz w:val="16"/>
        </w:rPr>
        <w:t xml:space="preserve"> the doctrine of </w:t>
      </w:r>
      <w:r w:rsidRPr="00CF5793">
        <w:rPr>
          <w:rStyle w:val="StyleUnderline"/>
        </w:rPr>
        <w:t>lenity with</w:t>
      </w:r>
      <w:r w:rsidRPr="00CF5793">
        <w:rPr>
          <w:sz w:val="16"/>
        </w:rPr>
        <w:t xml:space="preserve"> a doctrine of </w:t>
      </w:r>
      <w:r w:rsidRPr="00CF5793">
        <w:rPr>
          <w:rStyle w:val="StyleUnderline"/>
        </w:rPr>
        <w:t>severity.”</w:t>
      </w:r>
      <w:r w:rsidRPr="00CF5793">
        <w:rPr>
          <w:sz w:val="16"/>
        </w:rPr>
        <w:t xml:space="preserve"> Crandon v. United States, 494 U.S. 152, 178 (1990) (Scalia, J., concurring in the judgment).</w:t>
      </w:r>
    </w:p>
    <w:p w14:paraId="48923872" w14:textId="77777777" w:rsidR="0095149D" w:rsidRPr="00CF5793" w:rsidRDefault="0095149D" w:rsidP="0095149D">
      <w:pPr>
        <w:rPr>
          <w:sz w:val="16"/>
        </w:rPr>
      </w:pPr>
      <w:r w:rsidRPr="00CF5793">
        <w:rPr>
          <w:rStyle w:val="StyleUnderline"/>
        </w:rPr>
        <w:t xml:space="preserve">This rule makes </w:t>
      </w:r>
      <w:r w:rsidRPr="00CF5793">
        <w:rPr>
          <w:rStyle w:val="Emphasis"/>
        </w:rPr>
        <w:t>good sense</w:t>
      </w:r>
      <w:r w:rsidRPr="00CF5793">
        <w:rPr>
          <w:sz w:val="16"/>
        </w:rPr>
        <w:t xml:space="preserve">. The policies underlying the rule of lenity and Chevron deference both suggest as much. The rule of lenity promotes due process values because it ensures that an individual has fair notice of what the law is before they are branded a criminal and suffer all the collateral consequences both tangible (penalties) and intangible (moral condemnation). Fair notice, in turn, is promoted by a neutral and detached magistrate providing the fairest reading of the law—not just a reasonable one. </w:t>
      </w:r>
      <w:r w:rsidRPr="00CF5793">
        <w:rPr>
          <w:rStyle w:val="StyleUnderline"/>
        </w:rPr>
        <w:t>This rule</w:t>
      </w:r>
      <w:r w:rsidRPr="00CF5793">
        <w:rPr>
          <w:sz w:val="16"/>
        </w:rPr>
        <w:t xml:space="preserve"> also </w:t>
      </w:r>
      <w:r w:rsidRPr="00CF5793">
        <w:rPr>
          <w:rStyle w:val="StyleUnderline"/>
        </w:rPr>
        <w:t xml:space="preserve">promotes </w:t>
      </w:r>
      <w:r w:rsidRPr="00CF5793">
        <w:rPr>
          <w:rStyle w:val="Emphasis"/>
        </w:rPr>
        <w:t>equal protection values</w:t>
      </w:r>
      <w:r w:rsidRPr="00CF5793">
        <w:rPr>
          <w:rStyle w:val="StyleUnderline"/>
        </w:rPr>
        <w:t xml:space="preserve"> by ensuring</w:t>
      </w:r>
      <w:r w:rsidRPr="00CF5793">
        <w:rPr>
          <w:sz w:val="16"/>
        </w:rPr>
        <w:t xml:space="preserve"> that </w:t>
      </w:r>
      <w:r w:rsidRPr="00CF5793">
        <w:rPr>
          <w:rStyle w:val="Emphasis"/>
        </w:rPr>
        <w:t>our most representative branch of government</w:t>
      </w:r>
      <w:r w:rsidRPr="00CF5793">
        <w:rPr>
          <w:rStyle w:val="StyleUnderline"/>
        </w:rPr>
        <w:t xml:space="preserve"> makes crimes</w:t>
      </w:r>
      <w:r w:rsidRPr="00CF5793">
        <w:rPr>
          <w:sz w:val="16"/>
        </w:rPr>
        <w:t xml:space="preserve"> (or speaks clearly and with specificity in delegating authority to do so)—</w:t>
      </w:r>
      <w:r w:rsidRPr="00CF5793">
        <w:rPr>
          <w:rStyle w:val="Emphasis"/>
        </w:rPr>
        <w:t>not executive agencies</w:t>
      </w:r>
      <w:r w:rsidRPr="00CF5793">
        <w:rPr>
          <w:rStyle w:val="StyleUnderline"/>
        </w:rPr>
        <w:t xml:space="preserve">, who are </w:t>
      </w:r>
      <w:r w:rsidRPr="00CF5793">
        <w:rPr>
          <w:rStyle w:val="Emphasis"/>
        </w:rPr>
        <w:t>less accountable</w:t>
      </w:r>
      <w:r w:rsidRPr="00CF5793">
        <w:rPr>
          <w:rStyle w:val="StyleUnderline"/>
        </w:rPr>
        <w:t xml:space="preserve">, </w:t>
      </w:r>
      <w:r w:rsidRPr="00CF5793">
        <w:rPr>
          <w:rStyle w:val="Emphasis"/>
        </w:rPr>
        <w:t>more partisan</w:t>
      </w:r>
      <w:r w:rsidRPr="00CF5793">
        <w:rPr>
          <w:rStyle w:val="StyleUnderline"/>
        </w:rPr>
        <w:t xml:space="preserve">, and have greater motivation and ability to </w:t>
      </w:r>
      <w:r w:rsidRPr="00CF5793">
        <w:rPr>
          <w:rStyle w:val="Emphasis"/>
        </w:rPr>
        <w:t>gore someone’s ox</w:t>
      </w:r>
      <w:r w:rsidRPr="00CF5793">
        <w:rPr>
          <w:sz w:val="16"/>
        </w:rPr>
        <w:t xml:space="preserve">. Indeed, </w:t>
      </w:r>
      <w:r w:rsidRPr="00CF5793">
        <w:rPr>
          <w:rStyle w:val="StyleUnderline"/>
        </w:rPr>
        <w:t>an important reason why</w:t>
      </w:r>
      <w:r w:rsidRPr="00CF5793">
        <w:rPr>
          <w:sz w:val="16"/>
        </w:rPr>
        <w:t xml:space="preserve"> the </w:t>
      </w:r>
      <w:r w:rsidRPr="00CF5793">
        <w:rPr>
          <w:rStyle w:val="StyleUnderline"/>
        </w:rPr>
        <w:t xml:space="preserve">founders </w:t>
      </w:r>
      <w:r w:rsidRPr="00CF5793">
        <w:rPr>
          <w:rStyle w:val="Emphasis"/>
        </w:rPr>
        <w:t>limited</w:t>
      </w:r>
      <w:r w:rsidRPr="00CF5793">
        <w:rPr>
          <w:rStyle w:val="StyleUnderline"/>
        </w:rPr>
        <w:t xml:space="preserve"> the legislature’s ability to delegate its authority to the executive had to do with </w:t>
      </w:r>
      <w:r w:rsidRPr="00CF5793">
        <w:rPr>
          <w:rStyle w:val="Emphasis"/>
        </w:rPr>
        <w:t>the criminal law</w:t>
      </w:r>
      <w:r w:rsidRPr="00CF5793">
        <w:rPr>
          <w:rStyle w:val="StyleUnderline"/>
        </w:rPr>
        <w:t>—they had experienced “</w:t>
      </w:r>
      <w:r w:rsidRPr="00CF5793">
        <w:rPr>
          <w:rStyle w:val="Emphasis"/>
        </w:rPr>
        <w:t>tyranny … at the hands of a whimsical king</w:t>
      </w:r>
      <w:r w:rsidRPr="00CF5793">
        <w:rPr>
          <w:rStyle w:val="StyleUnderline"/>
        </w:rPr>
        <w:t xml:space="preserve">” as a result of this sort of </w:t>
      </w:r>
      <w:r w:rsidRPr="00CF5793">
        <w:rPr>
          <w:rStyle w:val="Emphasis"/>
        </w:rPr>
        <w:t>accumulated power</w:t>
      </w:r>
      <w:r w:rsidRPr="00CF5793">
        <w:rPr>
          <w:sz w:val="16"/>
        </w:rPr>
        <w:t>. United States v. Nichols, 784 F.3d 666, 670 (10th Cir. 2015) (Gorsuch, J., dissenting from the denial of rehearing en banc).</w:t>
      </w:r>
    </w:p>
    <w:p w14:paraId="2C8C5531" w14:textId="77777777" w:rsidR="0095149D" w:rsidRPr="00CF5793" w:rsidRDefault="0095149D" w:rsidP="0095149D">
      <w:pPr>
        <w:rPr>
          <w:sz w:val="16"/>
        </w:rPr>
      </w:pPr>
      <w:r w:rsidRPr="00CF5793">
        <w:rPr>
          <w:sz w:val="16"/>
        </w:rPr>
        <w:t>Under the theory of Chevron, moreover, courts presume that Congress intends to delegate policy-making authority to executive agencies through statutory ambiguity. But there is tension, if not outright contradiction, in presuming that Congress intended to delegate authority to create crimes through ambiguity. See, e.g., Merck &amp; Co. Inc. v. Reynolds, 130 S. Ct. 1784 (2010). For over one hundred years, the Supreme Court has explained that executive agencies lack authority to define crimes unless Congress has expressly afforded them such authority—courts do not presume Congress has afforded agencies this power. See, e.g., United States v. Grimaud, 220 U.S. 506 (1911). Separately but relatedly, for over forty years the Supreme Court has suggested that the nondelegation doctrine might require a greater degree of specificity than an intelligible principle in order for Congress to delegate authority to executive agencies to define crimes—a standard that may not be satisfied by a statutory ambiguity. See also Touby v. United States, 500 U.S. 160, 165-66 (1984); see also, e.g., Fahey v. Mallonee, 332 U.S. 245, 249-50 (1947).</w:t>
      </w:r>
    </w:p>
    <w:p w14:paraId="1EAD023C" w14:textId="77777777" w:rsidR="0095149D" w:rsidRPr="00CF5793" w:rsidRDefault="0095149D" w:rsidP="0095149D">
      <w:pPr>
        <w:rPr>
          <w:sz w:val="16"/>
        </w:rPr>
      </w:pPr>
      <w:r w:rsidRPr="00CF5793">
        <w:rPr>
          <w:sz w:val="16"/>
        </w:rPr>
        <w:t xml:space="preserve">Second, </w:t>
      </w:r>
      <w:r w:rsidRPr="00CF5793">
        <w:rPr>
          <w:rStyle w:val="StyleUnderline"/>
        </w:rPr>
        <w:t xml:space="preserve">it is </w:t>
      </w:r>
      <w:r w:rsidRPr="00CF5793">
        <w:rPr>
          <w:rStyle w:val="Emphasis"/>
        </w:rPr>
        <w:t>no answer</w:t>
      </w:r>
      <w:r w:rsidRPr="00CF5793">
        <w:rPr>
          <w:rStyle w:val="StyleUnderline"/>
        </w:rPr>
        <w:t xml:space="preserve"> to the above point to respond</w:t>
      </w:r>
      <w:r w:rsidRPr="00CF5793">
        <w:rPr>
          <w:sz w:val="16"/>
        </w:rPr>
        <w:t xml:space="preserve"> that </w:t>
      </w:r>
      <w:r w:rsidRPr="00CF5793">
        <w:rPr>
          <w:rStyle w:val="StyleUnderline"/>
        </w:rPr>
        <w:t xml:space="preserve">the statute might have </w:t>
      </w:r>
      <w:r w:rsidRPr="00CF5793">
        <w:rPr>
          <w:rStyle w:val="Emphasis"/>
        </w:rPr>
        <w:t>one meaning</w:t>
      </w:r>
      <w:r w:rsidRPr="00CF5793">
        <w:rPr>
          <w:rStyle w:val="StyleUnderline"/>
        </w:rPr>
        <w:t xml:space="preserve"> in the civil context but another narrower one in the criminal context. A statute only has </w:t>
      </w:r>
      <w:r w:rsidRPr="00CF5793">
        <w:rPr>
          <w:rStyle w:val="Emphasis"/>
        </w:rPr>
        <w:t>one interpretation</w:t>
      </w:r>
      <w:r w:rsidRPr="00CF5793">
        <w:rPr>
          <w:rStyle w:val="StyleUnderline"/>
        </w:rPr>
        <w:t xml:space="preserve">—whether in </w:t>
      </w:r>
      <w:r w:rsidRPr="00CF5793">
        <w:rPr>
          <w:rStyle w:val="Emphasis"/>
        </w:rPr>
        <w:t>a civil or criminal proceeding</w:t>
      </w:r>
      <w:r w:rsidRPr="00CF5793">
        <w:rPr>
          <w:sz w:val="16"/>
        </w:rPr>
        <w:t xml:space="preserve">. See, e.g., Leocal v. Ashcroft, 543 U.S. 1, 11-12, n.8 (2004) (explaining that, if a statute has criminal applications, “the rule of lenity applies” to the Court’s interpretation of the statute even in immigration cases “[b]ecause we must interpret the statute consistently, whether we encounter its application in a criminal or noncriminal context”); United States v. Thompson/Arms Co., 504 U.S. 505, 518, n.10 (1992) (plurality opinion) (explaining that “[t]he rule of lenity … is a rule of statutory construction whose purpose is to help give authoritative meaning to statutory language. It is not a rule of administration calling for courts to refrain in criminal cases from applying statutory language that would have been held to apply if challenged in civil litigation”). This principle goes back over 70 years. </w:t>
      </w:r>
      <w:r w:rsidRPr="00CF5793">
        <w:rPr>
          <w:rStyle w:val="StyleUnderline"/>
        </w:rPr>
        <w:t>As</w:t>
      </w:r>
      <w:r w:rsidRPr="00CF5793">
        <w:rPr>
          <w:sz w:val="16"/>
        </w:rPr>
        <w:t xml:space="preserve"> Chief Justice </w:t>
      </w:r>
      <w:r w:rsidRPr="00CF5793">
        <w:rPr>
          <w:rStyle w:val="StyleUnderline"/>
        </w:rPr>
        <w:t xml:space="preserve">Warren wrote, “[t]here cannot be </w:t>
      </w:r>
      <w:r w:rsidRPr="00CF5793">
        <w:rPr>
          <w:rStyle w:val="Emphasis"/>
        </w:rPr>
        <w:t>one construction</w:t>
      </w:r>
      <w:r w:rsidRPr="00CF5793">
        <w:rPr>
          <w:rStyle w:val="StyleUnderline"/>
        </w:rPr>
        <w:t xml:space="preserve"> for the F</w:t>
      </w:r>
      <w:r w:rsidRPr="00CF5793">
        <w:rPr>
          <w:sz w:val="16"/>
        </w:rPr>
        <w:t xml:space="preserve">ederal </w:t>
      </w:r>
      <w:r w:rsidRPr="00CF5793">
        <w:rPr>
          <w:rStyle w:val="StyleUnderline"/>
        </w:rPr>
        <w:t>C</w:t>
      </w:r>
      <w:r w:rsidRPr="00CF5793">
        <w:rPr>
          <w:sz w:val="16"/>
        </w:rPr>
        <w:t xml:space="preserve">ommunications </w:t>
      </w:r>
      <w:r w:rsidRPr="00CF5793">
        <w:rPr>
          <w:rStyle w:val="StyleUnderline"/>
        </w:rPr>
        <w:t>C</w:t>
      </w:r>
      <w:r w:rsidRPr="00CF5793">
        <w:rPr>
          <w:sz w:val="16"/>
        </w:rPr>
        <w:t xml:space="preserve">ommission </w:t>
      </w:r>
      <w:r w:rsidRPr="00CF5793">
        <w:rPr>
          <w:rStyle w:val="StyleUnderline"/>
        </w:rPr>
        <w:t>and another for</w:t>
      </w:r>
      <w:r w:rsidRPr="00CF5793">
        <w:rPr>
          <w:sz w:val="16"/>
        </w:rPr>
        <w:t xml:space="preserve"> the Department of </w:t>
      </w:r>
      <w:r w:rsidRPr="00CF5793">
        <w:rPr>
          <w:rStyle w:val="StyleUnderline"/>
        </w:rPr>
        <w:t>Justice.”</w:t>
      </w:r>
      <w:r w:rsidRPr="00CF5793">
        <w:rPr>
          <w:sz w:val="16"/>
        </w:rPr>
        <w:t xml:space="preserve"> FCC v. ABC, 347 U.S. 284, 296 (1954).</w:t>
      </w:r>
    </w:p>
    <w:p w14:paraId="6E3B6B92" w14:textId="77777777" w:rsidR="0095149D" w:rsidRPr="00CF5793" w:rsidRDefault="0095149D" w:rsidP="0095149D">
      <w:pPr>
        <w:rPr>
          <w:sz w:val="16"/>
        </w:rPr>
      </w:pPr>
      <w:r w:rsidRPr="00CF5793">
        <w:rPr>
          <w:sz w:val="16"/>
        </w:rPr>
        <w:t>It’s true that context matters a great deal in statutory interpretation. But “context” in this sense refers to the textual context—not whether the case arises in the civil or criminal context. Textual context matters because it provides clues about how an ordinary English speaker would understand the language. So while the same word in a different statute may mean different things in different contexts, the same word in the same statute should not mean different things.</w:t>
      </w:r>
    </w:p>
    <w:p w14:paraId="789AAD95" w14:textId="77777777" w:rsidR="0095149D" w:rsidRPr="004A1A5E" w:rsidRDefault="0095149D" w:rsidP="0095149D">
      <w:pPr>
        <w:rPr>
          <w:sz w:val="16"/>
        </w:rPr>
      </w:pPr>
      <w:r w:rsidRPr="00CF5793">
        <w:rPr>
          <w:sz w:val="16"/>
        </w:rPr>
        <w:t xml:space="preserve">Third, </w:t>
      </w:r>
      <w:r w:rsidRPr="00CF5793">
        <w:rPr>
          <w:rStyle w:val="Emphasis"/>
        </w:rPr>
        <w:t>privileging</w:t>
      </w:r>
      <w:r w:rsidRPr="00CF5793">
        <w:rPr>
          <w:sz w:val="16"/>
        </w:rPr>
        <w:t xml:space="preserve"> the rule of </w:t>
      </w:r>
      <w:r w:rsidRPr="00CF5793">
        <w:rPr>
          <w:rStyle w:val="StyleUnderline"/>
        </w:rPr>
        <w:t xml:space="preserve">lenity over Chevron brings </w:t>
      </w:r>
      <w:r w:rsidRPr="00CF5793">
        <w:rPr>
          <w:rStyle w:val="Emphasis"/>
        </w:rPr>
        <w:t>clarity</w:t>
      </w:r>
      <w:r w:rsidRPr="00CF5793">
        <w:rPr>
          <w:rStyle w:val="StyleUnderline"/>
        </w:rPr>
        <w:t xml:space="preserve"> to</w:t>
      </w:r>
      <w:r w:rsidRPr="00CF5793">
        <w:rPr>
          <w:sz w:val="16"/>
        </w:rPr>
        <w:t xml:space="preserve"> the </w:t>
      </w:r>
      <w:r w:rsidRPr="00CF5793">
        <w:rPr>
          <w:rStyle w:val="StyleUnderline"/>
        </w:rPr>
        <w:t xml:space="preserve">criminal law and promotes </w:t>
      </w:r>
      <w:r w:rsidRPr="00CF5793">
        <w:rPr>
          <w:rStyle w:val="Emphasis"/>
        </w:rPr>
        <w:t>reasonable reliance</w:t>
      </w:r>
      <w:r w:rsidRPr="00CF5793">
        <w:rPr>
          <w:rStyle w:val="StyleUnderline"/>
        </w:rPr>
        <w:t>. If Chevron prevails over the rule of lenity</w:t>
      </w:r>
      <w:r w:rsidRPr="00CF5793">
        <w:rPr>
          <w:sz w:val="16"/>
        </w:rPr>
        <w:t xml:space="preserve">, “federal </w:t>
      </w:r>
      <w:r w:rsidRPr="00CF5793">
        <w:rPr>
          <w:rStyle w:val="StyleUnderline"/>
        </w:rPr>
        <w:t>administrators can</w:t>
      </w:r>
      <w:r w:rsidRPr="00CF5793">
        <w:rPr>
          <w:sz w:val="16"/>
        </w:rPr>
        <w:t xml:space="preserve"> in effect </w:t>
      </w:r>
      <w:r w:rsidRPr="00CF5793">
        <w:rPr>
          <w:rStyle w:val="Emphasis"/>
        </w:rPr>
        <w:t>create (and uncreate)</w:t>
      </w:r>
      <w:r w:rsidRPr="00CF5793">
        <w:rPr>
          <w:rStyle w:val="StyleUnderline"/>
        </w:rPr>
        <w:t xml:space="preserve"> new crimes at will</w:t>
      </w:r>
      <w:r w:rsidRPr="00CF5793">
        <w:rPr>
          <w:sz w:val="16"/>
        </w:rPr>
        <w:t>, so long as they do not roam beyond ambiguities that the laws contain.” See Whitman v. United S</w:t>
      </w:r>
      <w:r w:rsidRPr="004A1A5E">
        <w:rPr>
          <w:sz w:val="16"/>
        </w:rPr>
        <w:t xml:space="preserve">tates, 135 S. Ct. 352, 353 (2014) (Scalia, J., statement respecting denial of certiorari) (analyzing this issue through the framework of whether the legislature or executive may “define crimes”). But </w:t>
      </w:r>
      <w:r w:rsidRPr="004A1A5E">
        <w:rPr>
          <w:rStyle w:val="StyleUnderline"/>
        </w:rPr>
        <w:t xml:space="preserve">if an agency interprets a statute according to the rule of lenity that rule is </w:t>
      </w:r>
      <w:r w:rsidRPr="004A1A5E">
        <w:rPr>
          <w:rStyle w:val="Emphasis"/>
        </w:rPr>
        <w:t>more stable</w:t>
      </w:r>
      <w:r w:rsidRPr="004A1A5E">
        <w:rPr>
          <w:rStyle w:val="StyleUnderline"/>
        </w:rPr>
        <w:t xml:space="preserve"> under</w:t>
      </w:r>
      <w:r w:rsidRPr="004A1A5E">
        <w:rPr>
          <w:sz w:val="16"/>
        </w:rPr>
        <w:t xml:space="preserve"> the doctrine </w:t>
      </w:r>
      <w:r w:rsidRPr="004A1A5E">
        <w:rPr>
          <w:rStyle w:val="StyleUnderline"/>
        </w:rPr>
        <w:t>of stare decisis</w:t>
      </w:r>
      <w:r w:rsidRPr="004A1A5E">
        <w:rPr>
          <w:sz w:val="16"/>
        </w:rPr>
        <w:t xml:space="preserve">. Additionally, United States v. </w:t>
      </w:r>
      <w:r w:rsidRPr="004A1A5E">
        <w:rPr>
          <w:rStyle w:val="StyleUnderline"/>
        </w:rPr>
        <w:t>Mead</w:t>
      </w:r>
      <w:r w:rsidRPr="004A1A5E">
        <w:rPr>
          <w:sz w:val="16"/>
        </w:rPr>
        <w:t xml:space="preserve"> Corp., 533 U.S. 218 (2001), </w:t>
      </w:r>
      <w:r w:rsidRPr="004A1A5E">
        <w:rPr>
          <w:rStyle w:val="StyleUnderline"/>
        </w:rPr>
        <w:t xml:space="preserve">provides </w:t>
      </w:r>
      <w:r w:rsidRPr="004A1A5E">
        <w:rPr>
          <w:rStyle w:val="Emphasis"/>
        </w:rPr>
        <w:t>a multi-factor balancing test</w:t>
      </w:r>
      <w:r w:rsidRPr="004A1A5E">
        <w:rPr>
          <w:rStyle w:val="StyleUnderline"/>
        </w:rPr>
        <w:t xml:space="preserve"> to</w:t>
      </w:r>
      <w:r w:rsidRPr="004A1A5E">
        <w:rPr>
          <w:sz w:val="16"/>
        </w:rPr>
        <w:t xml:space="preserve"> determine whether an agency’s interpretation of a statute should receive </w:t>
      </w:r>
      <w:r w:rsidRPr="004A1A5E">
        <w:rPr>
          <w:rStyle w:val="StyleUnderline"/>
        </w:rPr>
        <w:t>Chevron</w:t>
      </w:r>
      <w:r w:rsidRPr="004A1A5E">
        <w:rPr>
          <w:sz w:val="16"/>
        </w:rPr>
        <w:t xml:space="preserve"> deference. And </w:t>
      </w:r>
      <w:r w:rsidRPr="004A1A5E">
        <w:rPr>
          <w:rStyle w:val="StyleUnderline"/>
        </w:rPr>
        <w:t xml:space="preserve">there are </w:t>
      </w:r>
      <w:r w:rsidRPr="004A1A5E">
        <w:rPr>
          <w:rStyle w:val="Emphasis"/>
        </w:rPr>
        <w:t>serious notice problems</w:t>
      </w:r>
      <w:r w:rsidRPr="004A1A5E">
        <w:rPr>
          <w:rStyle w:val="StyleUnderline"/>
        </w:rPr>
        <w:t xml:space="preserve"> if a person “must first endure the ‘</w:t>
      </w:r>
      <w:r w:rsidRPr="004A1A5E">
        <w:rPr>
          <w:rStyle w:val="Emphasis"/>
        </w:rPr>
        <w:t>open-ended rough-and-tumble of factors</w:t>
      </w:r>
      <w:r w:rsidRPr="004A1A5E">
        <w:rPr>
          <w:rStyle w:val="StyleUnderline"/>
        </w:rPr>
        <w:t xml:space="preserve">’ to determine ‘whether it commits a crime by falling </w:t>
      </w:r>
      <w:r w:rsidRPr="004A1A5E">
        <w:rPr>
          <w:rStyle w:val="Emphasis"/>
        </w:rPr>
        <w:t>afoul</w:t>
      </w:r>
      <w:r w:rsidRPr="004A1A5E">
        <w:rPr>
          <w:rStyle w:val="StyleUnderline"/>
        </w:rPr>
        <w:t xml:space="preserve"> of a policy statement.”</w:t>
      </w:r>
      <w:r w:rsidRPr="004A1A5E">
        <w:rPr>
          <w:sz w:val="16"/>
        </w:rPr>
        <w:t xml:space="preserve"> Carter, 736 F.3d at 732 (Sutton, J., concurring) (quoting Medellin v. Texas, 552 U.S. 491, 514 (2008)).</w:t>
      </w:r>
    </w:p>
    <w:p w14:paraId="61021C8C" w14:textId="77777777" w:rsidR="0095149D" w:rsidRDefault="0095149D" w:rsidP="0095149D">
      <w:pPr>
        <w:rPr>
          <w:sz w:val="16"/>
        </w:rPr>
      </w:pPr>
      <w:r w:rsidRPr="004A1A5E">
        <w:rPr>
          <w:rStyle w:val="Emphasis"/>
        </w:rPr>
        <w:t>Clarity</w:t>
      </w:r>
      <w:r w:rsidRPr="004A1A5E">
        <w:rPr>
          <w:rStyle w:val="StyleUnderline"/>
        </w:rPr>
        <w:t xml:space="preserve"> and </w:t>
      </w:r>
      <w:r w:rsidRPr="004A1A5E">
        <w:rPr>
          <w:rStyle w:val="Emphasis"/>
        </w:rPr>
        <w:t>reasonable reliance</w:t>
      </w:r>
      <w:r w:rsidRPr="004A1A5E">
        <w:rPr>
          <w:rStyle w:val="StyleUnderline"/>
        </w:rPr>
        <w:t xml:space="preserve"> are </w:t>
      </w:r>
      <w:r w:rsidRPr="004A1A5E">
        <w:rPr>
          <w:rStyle w:val="Emphasis"/>
        </w:rPr>
        <w:t>especially important values</w:t>
      </w:r>
      <w:r w:rsidRPr="004A1A5E">
        <w:rPr>
          <w:sz w:val="16"/>
        </w:rPr>
        <w:t xml:space="preserve"> to promote </w:t>
      </w:r>
      <w:r w:rsidRPr="004A1A5E">
        <w:rPr>
          <w:rStyle w:val="StyleUnderline"/>
        </w:rPr>
        <w:t xml:space="preserve">in light of </w:t>
      </w:r>
      <w:r w:rsidRPr="004A1A5E">
        <w:rPr>
          <w:rStyle w:val="Emphasis"/>
        </w:rPr>
        <w:t>recent trends</w:t>
      </w:r>
      <w:r w:rsidRPr="004A1A5E">
        <w:rPr>
          <w:rStyle w:val="StyleUnderline"/>
        </w:rPr>
        <w:t xml:space="preserve"> in criminal law</w:t>
      </w:r>
      <w:r w:rsidRPr="004A1A5E">
        <w:rPr>
          <w:sz w:val="16"/>
        </w:rPr>
        <w:t xml:space="preserve">. As Professor Coffee explains, “a trend is evident toward the diminution of the mental element (or “mens rea”) in crime, particularly in many regulatory offenses.” John C. Coffee, Jr., Does “Unlawful” Mean “Criminal”?: Reflections on the Disappearing Tort/Crime Distinction in American Law, 71 B.U. L. Rev. 193, 198 (1991). </w:t>
      </w:r>
      <w:r w:rsidRPr="004A1A5E">
        <w:rPr>
          <w:rStyle w:val="StyleUnderline"/>
        </w:rPr>
        <w:t xml:space="preserve">That trend is </w:t>
      </w:r>
      <w:r w:rsidRPr="004A1A5E">
        <w:rPr>
          <w:rStyle w:val="Emphasis"/>
        </w:rPr>
        <w:t>exacerbated</w:t>
      </w:r>
      <w:r w:rsidRPr="004A1A5E">
        <w:rPr>
          <w:rStyle w:val="StyleUnderline"/>
        </w:rPr>
        <w:t xml:space="preserve"> by</w:t>
      </w:r>
      <w:r w:rsidRPr="004A1A5E">
        <w:rPr>
          <w:sz w:val="16"/>
        </w:rPr>
        <w:t xml:space="preserve"> another—</w:t>
      </w:r>
      <w:r w:rsidRPr="004A1A5E">
        <w:rPr>
          <w:rStyle w:val="Emphasis"/>
        </w:rPr>
        <w:t>the sheer number of crimes</w:t>
      </w:r>
      <w:r w:rsidRPr="004A1A5E">
        <w:rPr>
          <w:rStyle w:val="StyleUnderline"/>
        </w:rPr>
        <w:t xml:space="preserve"> on the books. There </w:t>
      </w:r>
      <w:r w:rsidRPr="00331867">
        <w:rPr>
          <w:rStyle w:val="StyleUnderline"/>
        </w:rPr>
        <w:t>are</w:t>
      </w:r>
      <w:r w:rsidRPr="004A1A5E">
        <w:rPr>
          <w:sz w:val="16"/>
        </w:rPr>
        <w:t xml:space="preserve"> now </w:t>
      </w:r>
      <w:r w:rsidRPr="004A1A5E">
        <w:rPr>
          <w:rStyle w:val="Emphasis"/>
        </w:rPr>
        <w:t>more than 4,000 criminal statutes</w:t>
      </w:r>
      <w:r w:rsidRPr="004A1A5E">
        <w:rPr>
          <w:rStyle w:val="StyleUnderline"/>
        </w:rPr>
        <w:t xml:space="preserve"> and </w:t>
      </w:r>
      <w:r w:rsidRPr="004A1A5E">
        <w:rPr>
          <w:rStyle w:val="Emphasis"/>
        </w:rPr>
        <w:t>many more crimes</w:t>
      </w:r>
      <w:r w:rsidRPr="004A1A5E">
        <w:rPr>
          <w:sz w:val="16"/>
        </w:rPr>
        <w:t xml:space="preserve"> are being </w:t>
      </w:r>
      <w:r w:rsidRPr="004A1A5E">
        <w:rPr>
          <w:rStyle w:val="StyleUnderline"/>
        </w:rPr>
        <w:t>enacted every day</w:t>
      </w:r>
      <w:r w:rsidRPr="004A1A5E">
        <w:rPr>
          <w:sz w:val="16"/>
        </w:rPr>
        <w:t>. John S. Baker, Jr., The Federalist Soc’y for Law &amp; Pub. Policy Studies, Measuring the Explosive Growth of Federal Crime Legislation 3 (2004). James Madison long ago saw the dangers of these trends. See The Federalist No. 62, at 381 (James Madison) (Clinton Rossiter ed., 1961) (“It will be of little avail to the people, that the laws are made by men of their own choice if the laws be so voluminous that they cannot be read, or so incoherent that they cannot be understood; if they be repealed or revised before they are promulgated, or undergo such incessant changes that no man, who knows what the law is today, can guess what it will be tomorrow.”). Privileging lenity over Chevron at least does a small part to mitigate these issues and promote fair notice of the law.</w:t>
      </w:r>
    </w:p>
    <w:p w14:paraId="290E0499" w14:textId="77777777" w:rsidR="0095149D" w:rsidRDefault="0095149D" w:rsidP="0095149D">
      <w:pPr>
        <w:pStyle w:val="Heading4"/>
      </w:pPr>
      <w:r w:rsidRPr="00383CFA">
        <w:rPr>
          <w:i/>
          <w:iCs w:val="0"/>
        </w:rPr>
        <w:t>Chevron</w:t>
      </w:r>
      <w:r>
        <w:t xml:space="preserve"> deference abrogates </w:t>
      </w:r>
      <w:r w:rsidRPr="00383CFA">
        <w:rPr>
          <w:u w:val="single"/>
        </w:rPr>
        <w:t>constitutional rights</w:t>
      </w:r>
      <w:r>
        <w:t xml:space="preserve"> unlocking </w:t>
      </w:r>
      <w:r>
        <w:rPr>
          <w:u w:val="single"/>
        </w:rPr>
        <w:t>tyrannical governance</w:t>
      </w:r>
      <w:r>
        <w:t>.</w:t>
      </w:r>
    </w:p>
    <w:p w14:paraId="19D31DFA" w14:textId="77777777" w:rsidR="0095149D" w:rsidRDefault="0095149D" w:rsidP="0095149D">
      <w:r w:rsidRPr="00682654">
        <w:rPr>
          <w:rStyle w:val="Style13ptBold"/>
        </w:rPr>
        <w:t>Greenfield 6.</w:t>
      </w:r>
      <w:r>
        <w:t xml:space="preserve"> </w:t>
      </w:r>
      <w:r w:rsidRPr="00682654">
        <w:rPr>
          <w:sz w:val="16"/>
          <w:szCs w:val="16"/>
        </w:rPr>
        <w:t xml:space="preserve">Dr. Elliot Greenfield; associate @ Debevoise &amp; Plimpton LLP, Ph.D. from UC Berkley, J.D. from NYU Law, and B.A. from Wesleyan University. (2006, "A Lenity Exception to Chevron Deference." Baylor Law Review, vol. 58, no. 1, 2006, p. 1-62. HeinOnline)//pacc </w:t>
      </w:r>
    </w:p>
    <w:p w14:paraId="5331C2BB" w14:textId="77777777" w:rsidR="0095149D" w:rsidRPr="00383CFA" w:rsidRDefault="0095149D" w:rsidP="0095149D">
      <w:pPr>
        <w:rPr>
          <w:sz w:val="14"/>
        </w:rPr>
      </w:pPr>
      <w:r w:rsidRPr="00383CFA">
        <w:rPr>
          <w:sz w:val="14"/>
        </w:rPr>
        <w:t xml:space="preserve">a. </w:t>
      </w:r>
      <w:r w:rsidRPr="00383CFA">
        <w:rPr>
          <w:u w:val="single"/>
        </w:rPr>
        <w:t>Rationales for Lenity</w:t>
      </w:r>
    </w:p>
    <w:p w14:paraId="370861A4" w14:textId="77777777" w:rsidR="0095149D" w:rsidRPr="00BD70E4" w:rsidRDefault="0095149D" w:rsidP="0095149D">
      <w:pPr>
        <w:rPr>
          <w:sz w:val="14"/>
        </w:rPr>
      </w:pPr>
      <w:r w:rsidRPr="00BD70E4">
        <w:rPr>
          <w:sz w:val="14"/>
        </w:rPr>
        <w:t xml:space="preserve">The main factor that distinguishes </w:t>
      </w:r>
      <w:r w:rsidRPr="00456038">
        <w:rPr>
          <w:highlight w:val="cyan"/>
          <w:u w:val="single"/>
        </w:rPr>
        <w:t>criminal</w:t>
      </w:r>
      <w:r w:rsidRPr="00BD70E4">
        <w:rPr>
          <w:sz w:val="14"/>
        </w:rPr>
        <w:t xml:space="preserve"> law from civil law is the harshness of the </w:t>
      </w:r>
      <w:r w:rsidRPr="00456038">
        <w:rPr>
          <w:highlight w:val="cyan"/>
          <w:u w:val="single"/>
        </w:rPr>
        <w:t>penalties</w:t>
      </w:r>
      <w:r w:rsidRPr="00BD70E4">
        <w:rPr>
          <w:sz w:val="14"/>
        </w:rPr>
        <w:t xml:space="preserve">, which can </w:t>
      </w:r>
      <w:r w:rsidRPr="00456038">
        <w:rPr>
          <w:highlight w:val="cyan"/>
          <w:u w:val="single"/>
        </w:rPr>
        <w:t xml:space="preserve">include </w:t>
      </w:r>
      <w:r w:rsidRPr="00456038">
        <w:rPr>
          <w:rStyle w:val="Emphasis"/>
          <w:highlight w:val="cyan"/>
        </w:rPr>
        <w:t>loss of freedom</w:t>
      </w:r>
      <w:r w:rsidRPr="00456038">
        <w:rPr>
          <w:highlight w:val="cyan"/>
          <w:u w:val="single"/>
        </w:rPr>
        <w:t xml:space="preserve"> as well as</w:t>
      </w:r>
      <w:r w:rsidRPr="00BD70E4">
        <w:rPr>
          <w:sz w:val="14"/>
        </w:rPr>
        <w:t xml:space="preserve"> a number of serious collateral consequences, such as </w:t>
      </w:r>
      <w:r w:rsidRPr="00456038">
        <w:rPr>
          <w:rStyle w:val="Emphasis"/>
          <w:highlight w:val="cyan"/>
        </w:rPr>
        <w:t>disenfranchisement</w:t>
      </w:r>
      <w:r w:rsidRPr="00BD70E4">
        <w:rPr>
          <w:sz w:val="14"/>
        </w:rPr>
        <w:t xml:space="preserve">. Although civil remedies can also be severe, the decision to make an offense criminal reflects the moral condemnation of society, </w:t>
      </w:r>
      <w:r w:rsidRPr="00456038">
        <w:rPr>
          <w:highlight w:val="cyan"/>
          <w:u w:val="single"/>
        </w:rPr>
        <w:t>which</w:t>
      </w:r>
      <w:r w:rsidRPr="00BD70E4">
        <w:rPr>
          <w:u w:val="single"/>
        </w:rPr>
        <w:t xml:space="preserve"> </w:t>
      </w:r>
      <w:r w:rsidRPr="00456038">
        <w:rPr>
          <w:highlight w:val="cyan"/>
          <w:u w:val="single"/>
        </w:rPr>
        <w:t>carries</w:t>
      </w:r>
      <w:r w:rsidRPr="00BD70E4">
        <w:rPr>
          <w:sz w:val="14"/>
        </w:rPr>
        <w:t xml:space="preserve"> with it a considerable </w:t>
      </w:r>
      <w:r w:rsidRPr="00456038">
        <w:rPr>
          <w:rStyle w:val="Emphasis"/>
          <w:highlight w:val="cyan"/>
        </w:rPr>
        <w:t>stigma</w:t>
      </w:r>
      <w:r w:rsidRPr="00BD70E4">
        <w:rPr>
          <w:sz w:val="14"/>
        </w:rPr>
        <w:t xml:space="preserve">. </w:t>
      </w:r>
      <w:r w:rsidRPr="00456038">
        <w:rPr>
          <w:highlight w:val="cyan"/>
          <w:u w:val="single"/>
        </w:rPr>
        <w:t>The</w:t>
      </w:r>
      <w:r w:rsidRPr="00BD70E4">
        <w:rPr>
          <w:u w:val="single"/>
        </w:rPr>
        <w:t xml:space="preserve"> significance of the </w:t>
      </w:r>
      <w:r w:rsidRPr="00456038">
        <w:rPr>
          <w:rStyle w:val="Emphasis"/>
          <w:highlight w:val="cyan"/>
        </w:rPr>
        <w:t>civil-criminal distinction</w:t>
      </w:r>
      <w:r w:rsidRPr="00BD70E4">
        <w:rPr>
          <w:sz w:val="14"/>
        </w:rPr>
        <w:t xml:space="preserve"> is </w:t>
      </w:r>
      <w:r w:rsidRPr="00456038">
        <w:rPr>
          <w:highlight w:val="cyan"/>
          <w:u w:val="single"/>
        </w:rPr>
        <w:t>reflected in</w:t>
      </w:r>
      <w:r w:rsidRPr="00BD70E4">
        <w:rPr>
          <w:sz w:val="14"/>
        </w:rPr>
        <w:t xml:space="preserve"> the numerous protections contained in the text of </w:t>
      </w:r>
      <w:r w:rsidRPr="00383CFA">
        <w:rPr>
          <w:rStyle w:val="StyleUnderline"/>
        </w:rPr>
        <w:t xml:space="preserve">the Fourth, Fifth, Sixth, and Eighth Amendments to </w:t>
      </w:r>
      <w:r w:rsidRPr="00456038">
        <w:rPr>
          <w:rStyle w:val="StyleUnderline"/>
          <w:highlight w:val="cyan"/>
        </w:rPr>
        <w:t xml:space="preserve">the </w:t>
      </w:r>
      <w:r w:rsidRPr="00456038">
        <w:rPr>
          <w:rStyle w:val="Emphasis"/>
          <w:highlight w:val="cyan"/>
        </w:rPr>
        <w:t>Constitution</w:t>
      </w:r>
      <w:r w:rsidRPr="00BD70E4">
        <w:rPr>
          <w:sz w:val="14"/>
        </w:rPr>
        <w:t xml:space="preserve">,343 in constitutionally-derived protections, such as the prohibition of federal common-law crimes344 and the "beyond a reasonable doubt" standard, 345 and in common-law protections, such as the presumptive requirement of mens rea346 </w:t>
      </w:r>
      <w:r w:rsidRPr="00456038">
        <w:rPr>
          <w:rStyle w:val="StyleUnderline"/>
          <w:highlight w:val="cyan"/>
        </w:rPr>
        <w:t>and</w:t>
      </w:r>
      <w:r w:rsidRPr="00456038">
        <w:rPr>
          <w:sz w:val="14"/>
          <w:highlight w:val="cyan"/>
          <w:u w:val="single"/>
        </w:rPr>
        <w:t xml:space="preserve"> </w:t>
      </w:r>
      <w:r w:rsidRPr="00456038">
        <w:rPr>
          <w:highlight w:val="cyan"/>
          <w:u w:val="single"/>
        </w:rPr>
        <w:t xml:space="preserve">the </w:t>
      </w:r>
      <w:r w:rsidRPr="00456038">
        <w:rPr>
          <w:rStyle w:val="Emphasis"/>
          <w:highlight w:val="cyan"/>
        </w:rPr>
        <w:t>rule of lenity</w:t>
      </w:r>
      <w:r w:rsidRPr="00BD70E4">
        <w:rPr>
          <w:sz w:val="14"/>
        </w:rPr>
        <w:t>.</w:t>
      </w:r>
    </w:p>
    <w:p w14:paraId="5796A505" w14:textId="77777777" w:rsidR="0095149D" w:rsidRPr="00874273" w:rsidRDefault="0095149D" w:rsidP="0095149D">
      <w:pPr>
        <w:rPr>
          <w:sz w:val="14"/>
        </w:rPr>
      </w:pPr>
      <w:r w:rsidRPr="00874273">
        <w:rPr>
          <w:sz w:val="14"/>
        </w:rPr>
        <w:t xml:space="preserve">One purpose of </w:t>
      </w:r>
      <w:r w:rsidRPr="00BD70E4">
        <w:rPr>
          <w:sz w:val="14"/>
          <w:szCs w:val="14"/>
        </w:rPr>
        <w:t xml:space="preserve">the rule of </w:t>
      </w:r>
      <w:r w:rsidRPr="00456038">
        <w:rPr>
          <w:rStyle w:val="Emphasis"/>
          <w:highlight w:val="cyan"/>
        </w:rPr>
        <w:t>lenity</w:t>
      </w:r>
      <w:r w:rsidRPr="00874273">
        <w:rPr>
          <w:sz w:val="14"/>
        </w:rPr>
        <w:t xml:space="preserve"> is to </w:t>
      </w:r>
      <w:r w:rsidRPr="00456038">
        <w:rPr>
          <w:highlight w:val="cyan"/>
          <w:u w:val="single"/>
        </w:rPr>
        <w:t xml:space="preserve">provide </w:t>
      </w:r>
      <w:r w:rsidRPr="00456038">
        <w:rPr>
          <w:rStyle w:val="Emphasis"/>
          <w:highlight w:val="cyan"/>
        </w:rPr>
        <w:t>fair warning</w:t>
      </w:r>
      <w:r w:rsidRPr="00874273">
        <w:rPr>
          <w:sz w:val="14"/>
        </w:rPr>
        <w:t xml:space="preserve"> to the public </w:t>
      </w:r>
      <w:r w:rsidRPr="00C740DA">
        <w:rPr>
          <w:sz w:val="14"/>
          <w:szCs w:val="14"/>
        </w:rPr>
        <w:t xml:space="preserve">that </w:t>
      </w:r>
      <w:r w:rsidRPr="00456038">
        <w:rPr>
          <w:rStyle w:val="Emphasis"/>
          <w:highlight w:val="cyan"/>
        </w:rPr>
        <w:t>criminal penalties</w:t>
      </w:r>
      <w:r w:rsidRPr="00456038">
        <w:rPr>
          <w:highlight w:val="cyan"/>
          <w:u w:val="single"/>
        </w:rPr>
        <w:t xml:space="preserve"> may be imposed</w:t>
      </w:r>
      <w:r w:rsidRPr="00874273">
        <w:rPr>
          <w:sz w:val="14"/>
        </w:rPr>
        <w:t xml:space="preserve"> for the specific behavior described. In the case of an agency interpretation of a statute that involves criminal penalties, </w:t>
      </w:r>
      <w:r w:rsidRPr="00874273">
        <w:rPr>
          <w:u w:val="single"/>
        </w:rPr>
        <w:t>the essential question is whether</w:t>
      </w:r>
      <w:r w:rsidRPr="00874273">
        <w:rPr>
          <w:sz w:val="14"/>
        </w:rPr>
        <w:t xml:space="preserve"> or not </w:t>
      </w:r>
      <w:r w:rsidRPr="00C740DA">
        <w:rPr>
          <w:u w:val="single"/>
        </w:rPr>
        <w:t>that interp</w:t>
      </w:r>
      <w:r w:rsidRPr="00C740DA">
        <w:rPr>
          <w:sz w:val="14"/>
        </w:rPr>
        <w:t xml:space="preserve">retation </w:t>
      </w:r>
      <w:r w:rsidRPr="00C740DA">
        <w:rPr>
          <w:u w:val="single"/>
        </w:rPr>
        <w:t xml:space="preserve">provides </w:t>
      </w:r>
      <w:r w:rsidRPr="00C740DA">
        <w:rPr>
          <w:rStyle w:val="Emphasis"/>
        </w:rPr>
        <w:t>sufficient notice</w:t>
      </w:r>
      <w:r w:rsidRPr="00874273">
        <w:rPr>
          <w:sz w:val="14"/>
        </w:rPr>
        <w:t>. Although to think that the average citizen is familiar with the content of federal regulations is absurd, in some cases published regulations could give improved notice to affected parties, compared with an ambiguous statute, particularly in the case of highly regulated industries. Additionally, it has been argued that the concept of fundamental fairness underlying the notice requirement is promoted by the agency's ability to promulgate a uniform interpretation.347</w:t>
      </w:r>
    </w:p>
    <w:p w14:paraId="4945A5DB" w14:textId="77777777" w:rsidR="0095149D" w:rsidRPr="00874273" w:rsidRDefault="0095149D" w:rsidP="0095149D">
      <w:pPr>
        <w:rPr>
          <w:sz w:val="14"/>
          <w:szCs w:val="14"/>
        </w:rPr>
      </w:pPr>
      <w:r w:rsidRPr="00874273">
        <w:rPr>
          <w:sz w:val="14"/>
          <w:szCs w:val="14"/>
        </w:rPr>
        <w:t>The Supreme Court touched on the notice issue in Sweet Home, commenting in the footnote addressing lenity:</w:t>
      </w:r>
    </w:p>
    <w:p w14:paraId="0FF891C3" w14:textId="77777777" w:rsidR="0095149D" w:rsidRPr="00874273" w:rsidRDefault="0095149D" w:rsidP="0095149D">
      <w:pPr>
        <w:ind w:left="720"/>
        <w:rPr>
          <w:sz w:val="14"/>
          <w:szCs w:val="14"/>
        </w:rPr>
      </w:pPr>
      <w:r w:rsidRPr="00874273">
        <w:rPr>
          <w:sz w:val="14"/>
          <w:szCs w:val="14"/>
        </w:rPr>
        <w:t>Even if there exist regulations whose interpretations of statutory criminal penalties provide such inadequate notice of potential liability as to offend the rule of lenity, the "harm" regulation, which has existed for two decades and gives a fair warning of its consequences, cannot be one of them.348</w:t>
      </w:r>
    </w:p>
    <w:p w14:paraId="4DFC9917" w14:textId="77777777" w:rsidR="0095149D" w:rsidRPr="00874273" w:rsidRDefault="0095149D" w:rsidP="0095149D">
      <w:pPr>
        <w:rPr>
          <w:sz w:val="14"/>
          <w:szCs w:val="14"/>
        </w:rPr>
      </w:pPr>
      <w:r w:rsidRPr="00874273">
        <w:rPr>
          <w:sz w:val="14"/>
          <w:szCs w:val="14"/>
        </w:rPr>
        <w:t>The Court thus leaves open the possibility that lenity may require that the agency interpretation be available to the public for a certain amount of time. 349 The Sweet Home opinion makes clear, however, that the rule of lenity's notice requirement is not an absolute bar to the application of Chevron deference.350</w:t>
      </w:r>
    </w:p>
    <w:p w14:paraId="6E89EA7C" w14:textId="77777777" w:rsidR="0095149D" w:rsidRPr="00874273" w:rsidRDefault="0095149D" w:rsidP="0095149D">
      <w:pPr>
        <w:rPr>
          <w:sz w:val="14"/>
        </w:rPr>
      </w:pPr>
      <w:r w:rsidRPr="00874273">
        <w:rPr>
          <w:sz w:val="14"/>
        </w:rPr>
        <w:t xml:space="preserve">The notice rationale has a broader interpretation, however, whereby </w:t>
      </w:r>
      <w:r w:rsidRPr="004F21D6">
        <w:rPr>
          <w:sz w:val="14"/>
          <w:szCs w:val="14"/>
        </w:rPr>
        <w:t xml:space="preserve">the requirement of a clear statement </w:t>
      </w:r>
      <w:r w:rsidRPr="00456038">
        <w:rPr>
          <w:rStyle w:val="Emphasis"/>
          <w:highlight w:val="cyan"/>
        </w:rPr>
        <w:t>checks</w:t>
      </w:r>
      <w:r w:rsidRPr="004F21D6">
        <w:t xml:space="preserve"> </w:t>
      </w:r>
      <w:r w:rsidRPr="00874273">
        <w:rPr>
          <w:sz w:val="14"/>
        </w:rPr>
        <w:t xml:space="preserve">the discretion of </w:t>
      </w:r>
      <w:r w:rsidRPr="00456038">
        <w:rPr>
          <w:rStyle w:val="Emphasis"/>
          <w:highlight w:val="cyan"/>
        </w:rPr>
        <w:t>aggressive prosecutors</w:t>
      </w:r>
      <w:r w:rsidRPr="00874273">
        <w:rPr>
          <w:sz w:val="14"/>
        </w:rPr>
        <w:t xml:space="preserve">. 351 In the agency context, </w:t>
      </w:r>
      <w:r w:rsidRPr="004F21D6">
        <w:rPr>
          <w:rStyle w:val="Emphasis"/>
          <w:b w:val="0"/>
          <w:bCs/>
          <w:sz w:val="14"/>
          <w:szCs w:val="14"/>
          <w:u w:val="none"/>
        </w:rPr>
        <w:t>lenity</w:t>
      </w:r>
      <w:r w:rsidRPr="004F21D6">
        <w:rPr>
          <w:rStyle w:val="Emphasis"/>
          <w:u w:val="none"/>
        </w:rPr>
        <w:t xml:space="preserve"> </w:t>
      </w:r>
      <w:r w:rsidRPr="00456038">
        <w:rPr>
          <w:rStyle w:val="Emphasis"/>
          <w:highlight w:val="cyan"/>
        </w:rPr>
        <w:t>counteracts</w:t>
      </w:r>
      <w:r w:rsidRPr="004F21D6">
        <w:rPr>
          <w:sz w:val="14"/>
          <w:szCs w:val="14"/>
        </w:rPr>
        <w:t xml:space="preserve"> the natural </w:t>
      </w:r>
      <w:r w:rsidRPr="00456038">
        <w:rPr>
          <w:highlight w:val="cyan"/>
          <w:u w:val="single"/>
        </w:rPr>
        <w:t>tendency of an agency to</w:t>
      </w:r>
      <w:r w:rsidRPr="004F21D6">
        <w:rPr>
          <w:u w:val="single"/>
        </w:rPr>
        <w:t xml:space="preserve"> </w:t>
      </w:r>
      <w:r w:rsidRPr="004F21D6">
        <w:rPr>
          <w:rStyle w:val="Emphasis"/>
        </w:rPr>
        <w:t>strengthen</w:t>
      </w:r>
      <w:r w:rsidRPr="004F21D6">
        <w:rPr>
          <w:u w:val="single"/>
        </w:rPr>
        <w:t xml:space="preserve"> itself</w:t>
      </w:r>
      <w:r w:rsidRPr="00874273">
        <w:rPr>
          <w:sz w:val="14"/>
        </w:rPr>
        <w:t xml:space="preserve"> and make its task of enforcement easier </w:t>
      </w:r>
      <w:r w:rsidRPr="00020D6C">
        <w:rPr>
          <w:u w:val="single"/>
        </w:rPr>
        <w:t xml:space="preserve">by </w:t>
      </w:r>
      <w:r w:rsidRPr="00456038">
        <w:rPr>
          <w:rStyle w:val="Emphasis"/>
          <w:highlight w:val="cyan"/>
        </w:rPr>
        <w:t>broadly constru</w:t>
      </w:r>
      <w:r w:rsidRPr="004F21D6">
        <w:rPr>
          <w:sz w:val="14"/>
          <w:szCs w:val="14"/>
        </w:rPr>
        <w:t xml:space="preserve">ing </w:t>
      </w:r>
      <w:r w:rsidRPr="00020D6C">
        <w:rPr>
          <w:u w:val="single"/>
        </w:rPr>
        <w:t>its</w:t>
      </w:r>
      <w:r w:rsidRPr="00874273">
        <w:rPr>
          <w:sz w:val="14"/>
        </w:rPr>
        <w:t xml:space="preserve"> authorizing </w:t>
      </w:r>
      <w:r w:rsidRPr="00020D6C">
        <w:rPr>
          <w:u w:val="single"/>
        </w:rPr>
        <w:t>statute</w:t>
      </w:r>
      <w:r w:rsidRPr="00874273">
        <w:rPr>
          <w:sz w:val="14"/>
        </w:rPr>
        <w:t xml:space="preserve">. Lenity moderates this tendency </w:t>
      </w:r>
      <w:r w:rsidRPr="00456038">
        <w:rPr>
          <w:highlight w:val="cyan"/>
          <w:u w:val="single"/>
        </w:rPr>
        <w:t xml:space="preserve">by </w:t>
      </w:r>
      <w:r w:rsidRPr="00456038">
        <w:rPr>
          <w:rStyle w:val="Emphasis"/>
          <w:highlight w:val="cyan"/>
        </w:rPr>
        <w:t>prohibiting</w:t>
      </w:r>
      <w:r w:rsidRPr="00020D6C">
        <w:rPr>
          <w:u w:val="single"/>
        </w:rPr>
        <w:t xml:space="preserve"> agencies from establishing </w:t>
      </w:r>
      <w:r w:rsidRPr="00456038">
        <w:rPr>
          <w:rStyle w:val="Emphasis"/>
          <w:highlight w:val="cyan"/>
        </w:rPr>
        <w:t>overly expansive interp</w:t>
      </w:r>
      <w:r w:rsidRPr="00874273">
        <w:rPr>
          <w:sz w:val="14"/>
        </w:rPr>
        <w:t>retation</w:t>
      </w:r>
      <w:r w:rsidRPr="00456038">
        <w:rPr>
          <w:rStyle w:val="Emphasis"/>
          <w:highlight w:val="cyan"/>
        </w:rPr>
        <w:t>s</w:t>
      </w:r>
      <w:r w:rsidRPr="00020D6C">
        <w:rPr>
          <w:u w:val="single"/>
        </w:rPr>
        <w:t xml:space="preserve"> of statutes involving criminal penalties</w:t>
      </w:r>
      <w:r w:rsidRPr="00874273">
        <w:rPr>
          <w:sz w:val="14"/>
        </w:rPr>
        <w:t xml:space="preserve">. Professor Sunstein has pointed out that </w:t>
      </w:r>
      <w:r w:rsidRPr="00874273">
        <w:rPr>
          <w:u w:val="single"/>
        </w:rPr>
        <w:t>lenity is</w:t>
      </w:r>
      <w:r w:rsidRPr="00874273">
        <w:rPr>
          <w:sz w:val="14"/>
        </w:rPr>
        <w:t xml:space="preserve"> one of several canons "</w:t>
      </w:r>
      <w:r w:rsidRPr="00874273">
        <w:rPr>
          <w:u w:val="single"/>
        </w:rPr>
        <w:t xml:space="preserve">intended to respond to </w:t>
      </w:r>
      <w:r w:rsidRPr="00C740DA">
        <w:rPr>
          <w:rStyle w:val="Emphasis"/>
        </w:rPr>
        <w:t>systemic biases</w:t>
      </w:r>
      <w:r w:rsidRPr="00874273">
        <w:rPr>
          <w:u w:val="single"/>
        </w:rPr>
        <w:t xml:space="preserve"> in government</w:t>
      </w:r>
      <w:r w:rsidRPr="00874273">
        <w:rPr>
          <w:sz w:val="14"/>
        </w:rPr>
        <w:t xml:space="preserve">al processes </w:t>
      </w:r>
      <w:r w:rsidRPr="00874273">
        <w:rPr>
          <w:u w:val="single"/>
        </w:rPr>
        <w:t>and</w:t>
      </w:r>
      <w:r w:rsidRPr="00874273">
        <w:rPr>
          <w:sz w:val="14"/>
        </w:rPr>
        <w:t xml:space="preserve"> thus to </w:t>
      </w:r>
      <w:r w:rsidRPr="00874273">
        <w:rPr>
          <w:u w:val="single"/>
        </w:rPr>
        <w:t>promote</w:t>
      </w:r>
      <w:r w:rsidRPr="00874273">
        <w:rPr>
          <w:sz w:val="14"/>
        </w:rPr>
        <w:t xml:space="preserve"> principles of </w:t>
      </w:r>
      <w:r w:rsidRPr="00874273">
        <w:rPr>
          <w:u w:val="single"/>
        </w:rPr>
        <w:t>fair dealing</w:t>
      </w:r>
      <w:r w:rsidRPr="00874273">
        <w:rPr>
          <w:sz w:val="14"/>
        </w:rPr>
        <w:t xml:space="preserve">., 352 Justice </w:t>
      </w:r>
      <w:r w:rsidRPr="00020D6C">
        <w:rPr>
          <w:u w:val="single"/>
        </w:rPr>
        <w:t>Scalia's concern with agency bias</w:t>
      </w:r>
      <w:r w:rsidRPr="00874273">
        <w:rPr>
          <w:sz w:val="14"/>
        </w:rPr>
        <w:t xml:space="preserve"> is apparent in his Crandon concurrence, and his argument </w:t>
      </w:r>
      <w:r w:rsidRPr="00020D6C">
        <w:rPr>
          <w:u w:val="single"/>
        </w:rPr>
        <w:t>can</w:t>
      </w:r>
      <w:r w:rsidRPr="00874273">
        <w:rPr>
          <w:sz w:val="14"/>
        </w:rPr>
        <w:t xml:space="preserve"> easily </w:t>
      </w:r>
      <w:r w:rsidRPr="00020D6C">
        <w:rPr>
          <w:u w:val="single"/>
        </w:rPr>
        <w:t xml:space="preserve">be extended </w:t>
      </w:r>
      <w:r w:rsidRPr="00020D6C">
        <w:rPr>
          <w:rStyle w:val="Emphasis"/>
        </w:rPr>
        <w:t>beyond</w:t>
      </w:r>
      <w:r w:rsidRPr="00020D6C">
        <w:rPr>
          <w:u w:val="single"/>
        </w:rPr>
        <w:t xml:space="preserve"> the DOJ</w:t>
      </w:r>
      <w:r w:rsidRPr="00874273">
        <w:rPr>
          <w:sz w:val="14"/>
        </w:rPr>
        <w:t>.353</w:t>
      </w:r>
    </w:p>
    <w:p w14:paraId="3BF57CCD" w14:textId="77777777" w:rsidR="0095149D" w:rsidRPr="004733FC" w:rsidRDefault="0095149D" w:rsidP="0095149D">
      <w:pPr>
        <w:rPr>
          <w:sz w:val="14"/>
          <w:szCs w:val="14"/>
        </w:rPr>
      </w:pPr>
      <w:r w:rsidRPr="004733FC">
        <w:rPr>
          <w:sz w:val="14"/>
          <w:szCs w:val="14"/>
        </w:rPr>
        <w:t>The other main rationale of the rule of lenity is the idea that the legislature, as a more politically accountable branch than the judiciary, should decide issues of criminality. The administrative agency is less accountable to the public than Congress, but more so than the courts, and hence whether the agency's level of accountability is sufficient to impose criminal liability is arguable. However, since at least 1911 the Court has upheld that authority of administrative agencies to define crime when Congress explicitly leaves statutory gaps for them to fill (an express delegation).354 In addition, the Court stated in Chevron that agencies are qualified to decide issues of policy: "While agencies are not directly accountable to the people, the Chief Executive is, and it is entirely appropriate for this political branch of the Government to make such policy choices .... Political scientists have advanced a variety of theories about the true extent of agency accountability, and that the accountability rationale is notably absent in the Court's post-Chevron opinions is relevant. 356</w:t>
      </w:r>
    </w:p>
    <w:p w14:paraId="53C191B9" w14:textId="77777777" w:rsidR="0095149D" w:rsidRPr="00C740DA" w:rsidRDefault="0095149D" w:rsidP="0095149D">
      <w:pPr>
        <w:rPr>
          <w:sz w:val="14"/>
        </w:rPr>
      </w:pPr>
      <w:r w:rsidRPr="00C740DA">
        <w:rPr>
          <w:sz w:val="14"/>
        </w:rPr>
        <w:t xml:space="preserve">If agencies are legitimate, politically accountable policy makers, and they have the authority to fill statutory gaps in criminal statutes, then one could argue that lenity's "legislative supremacy" rationale has no application and courts should thus defer to agencies' reasonable interpretations of ambiguous criminal statutes. This argument fails, however, because </w:t>
      </w:r>
      <w:r w:rsidRPr="00C740DA">
        <w:rPr>
          <w:u w:val="single"/>
        </w:rPr>
        <w:t>in the criminal context,</w:t>
      </w:r>
      <w:r w:rsidRPr="00C740DA">
        <w:rPr>
          <w:sz w:val="14"/>
        </w:rPr>
        <w:t xml:space="preserve"> the central concern is not political accountability but protection of individual rights, and this protection is </w:t>
      </w:r>
      <w:r w:rsidRPr="00456038">
        <w:rPr>
          <w:rStyle w:val="Emphasis"/>
          <w:highlight w:val="cyan"/>
        </w:rPr>
        <w:t>best achieved</w:t>
      </w:r>
      <w:r w:rsidRPr="00456038">
        <w:rPr>
          <w:highlight w:val="cyan"/>
          <w:u w:val="single"/>
        </w:rPr>
        <w:t xml:space="preserve"> by the </w:t>
      </w:r>
      <w:r w:rsidRPr="00456038">
        <w:rPr>
          <w:rStyle w:val="Emphasis"/>
          <w:highlight w:val="cyan"/>
        </w:rPr>
        <w:t>courts</w:t>
      </w:r>
      <w:r w:rsidRPr="00C740DA">
        <w:rPr>
          <w:sz w:val="14"/>
        </w:rPr>
        <w:t xml:space="preserve">. As one commentator has written, "[W]hen the protection of criminal rights, like the protection of other constitutional rights, </w:t>
      </w:r>
      <w:r w:rsidRPr="00456038">
        <w:rPr>
          <w:highlight w:val="cyan"/>
          <w:u w:val="single"/>
        </w:rPr>
        <w:t>is</w:t>
      </w:r>
      <w:r w:rsidRPr="00C740DA">
        <w:rPr>
          <w:sz w:val="14"/>
        </w:rPr>
        <w:t xml:space="preserve"> involved, political accountability is not the critical inquiry. The concept of protected rights includes the idea of </w:t>
      </w:r>
      <w:r w:rsidRPr="00456038">
        <w:rPr>
          <w:rStyle w:val="Emphasis"/>
          <w:highlight w:val="cyan"/>
        </w:rPr>
        <w:t>protection from</w:t>
      </w:r>
      <w:r w:rsidRPr="00C740DA">
        <w:rPr>
          <w:sz w:val="14"/>
        </w:rPr>
        <w:t xml:space="preserve"> the potential majoritarian </w:t>
      </w:r>
      <w:r w:rsidRPr="00456038">
        <w:rPr>
          <w:rStyle w:val="Emphasis"/>
          <w:highlight w:val="cyan"/>
        </w:rPr>
        <w:t>tyranny</w:t>
      </w:r>
      <w:r w:rsidRPr="00C740DA">
        <w:rPr>
          <w:u w:val="single"/>
        </w:rPr>
        <w:t xml:space="preserve"> that political accountability</w:t>
      </w:r>
      <w:r w:rsidRPr="00C740DA">
        <w:rPr>
          <w:sz w:val="14"/>
        </w:rPr>
        <w:t xml:space="preserve"> necessarily </w:t>
      </w:r>
      <w:r w:rsidRPr="00C740DA">
        <w:rPr>
          <w:u w:val="single"/>
        </w:rPr>
        <w:t>cannot control</w:t>
      </w:r>
      <w:r w:rsidRPr="00C740DA">
        <w:rPr>
          <w:sz w:val="14"/>
        </w:rPr>
        <w:t>." 357</w:t>
      </w:r>
    </w:p>
    <w:p w14:paraId="44004A76" w14:textId="77777777" w:rsidR="0095149D" w:rsidRPr="005F5AAC" w:rsidRDefault="0095149D" w:rsidP="0095149D">
      <w:pPr>
        <w:rPr>
          <w:sz w:val="14"/>
        </w:rPr>
      </w:pPr>
      <w:r w:rsidRPr="005F5AAC">
        <w:rPr>
          <w:sz w:val="14"/>
        </w:rPr>
        <w:t xml:space="preserve">The rule of </w:t>
      </w:r>
      <w:r w:rsidRPr="00456038">
        <w:rPr>
          <w:highlight w:val="cyan"/>
          <w:u w:val="single"/>
        </w:rPr>
        <w:t>lenity protects</w:t>
      </w:r>
      <w:r w:rsidRPr="005F5AAC">
        <w:rPr>
          <w:sz w:val="14"/>
        </w:rPr>
        <w:t xml:space="preserve"> the </w:t>
      </w:r>
      <w:r w:rsidRPr="00456038">
        <w:rPr>
          <w:highlight w:val="cyan"/>
          <w:u w:val="single"/>
        </w:rPr>
        <w:t>rights</w:t>
      </w:r>
      <w:r w:rsidRPr="005F5AAC">
        <w:rPr>
          <w:sz w:val="14"/>
        </w:rPr>
        <w:t xml:space="preserve"> of individuals </w:t>
      </w:r>
      <w:r w:rsidRPr="00456038">
        <w:rPr>
          <w:highlight w:val="cyan"/>
          <w:u w:val="single"/>
        </w:rPr>
        <w:t xml:space="preserve">by </w:t>
      </w:r>
      <w:r w:rsidRPr="00456038">
        <w:rPr>
          <w:rStyle w:val="Emphasis"/>
          <w:highlight w:val="cyan"/>
        </w:rPr>
        <w:t>ensuring</w:t>
      </w:r>
      <w:r w:rsidRPr="005F5AAC">
        <w:rPr>
          <w:sz w:val="14"/>
        </w:rPr>
        <w:t xml:space="preserve"> that they are not held subject to </w:t>
      </w:r>
      <w:r w:rsidRPr="00C740DA">
        <w:rPr>
          <w:u w:val="single"/>
        </w:rPr>
        <w:t xml:space="preserve">criminal </w:t>
      </w:r>
      <w:r w:rsidRPr="00456038">
        <w:rPr>
          <w:highlight w:val="cyan"/>
          <w:u w:val="single"/>
        </w:rPr>
        <w:t>penalties</w:t>
      </w:r>
      <w:r w:rsidRPr="005F5AAC">
        <w:rPr>
          <w:sz w:val="14"/>
        </w:rPr>
        <w:t xml:space="preserve"> unless it </w:t>
      </w:r>
      <w:r w:rsidRPr="00456038">
        <w:rPr>
          <w:highlight w:val="cyan"/>
          <w:u w:val="single"/>
        </w:rPr>
        <w:t xml:space="preserve">is </w:t>
      </w:r>
      <w:r w:rsidRPr="00456038">
        <w:rPr>
          <w:rStyle w:val="Emphasis"/>
          <w:highlight w:val="cyan"/>
        </w:rPr>
        <w:t>clear</w:t>
      </w:r>
      <w:r w:rsidRPr="00C740DA">
        <w:rPr>
          <w:u w:val="single"/>
        </w:rPr>
        <w:t xml:space="preserve"> that</w:t>
      </w:r>
      <w:r w:rsidRPr="005F5AAC">
        <w:rPr>
          <w:sz w:val="14"/>
        </w:rPr>
        <w:t xml:space="preserve"> such a result </w:t>
      </w:r>
      <w:r w:rsidRPr="00C740DA">
        <w:rPr>
          <w:u w:val="single"/>
        </w:rPr>
        <w:t xml:space="preserve">was </w:t>
      </w:r>
      <w:r w:rsidRPr="00C740DA">
        <w:rPr>
          <w:rStyle w:val="Emphasis"/>
        </w:rPr>
        <w:t>intended</w:t>
      </w:r>
      <w:r w:rsidRPr="00C740DA">
        <w:rPr>
          <w:u w:val="single"/>
        </w:rPr>
        <w:t xml:space="preserve"> by Congress</w:t>
      </w:r>
      <w:r w:rsidRPr="005F5AAC">
        <w:rPr>
          <w:sz w:val="14"/>
        </w:rPr>
        <w:t xml:space="preserve">. </w:t>
      </w:r>
      <w:r w:rsidRPr="00C740DA">
        <w:rPr>
          <w:u w:val="single"/>
        </w:rPr>
        <w:t xml:space="preserve">In </w:t>
      </w:r>
      <w:r w:rsidRPr="00C740DA">
        <w:rPr>
          <w:rStyle w:val="Emphasis"/>
          <w:i/>
          <w:iCs w:val="0"/>
        </w:rPr>
        <w:t>Liparota</w:t>
      </w:r>
      <w:r w:rsidRPr="005F5AAC">
        <w:rPr>
          <w:sz w:val="14"/>
        </w:rPr>
        <w:t xml:space="preserve"> v. United States, Justice </w:t>
      </w:r>
      <w:r w:rsidRPr="00456038">
        <w:rPr>
          <w:highlight w:val="cyan"/>
          <w:u w:val="single"/>
        </w:rPr>
        <w:t>Brennan wrote</w:t>
      </w:r>
      <w:r w:rsidRPr="005F5AAC">
        <w:rPr>
          <w:sz w:val="14"/>
        </w:rPr>
        <w:t xml:space="preserve">, "Application of the rule of </w:t>
      </w:r>
      <w:r w:rsidRPr="00456038">
        <w:rPr>
          <w:highlight w:val="cyan"/>
          <w:u w:val="single"/>
        </w:rPr>
        <w:t>lenity</w:t>
      </w:r>
      <w:r w:rsidRPr="005F5AAC">
        <w:rPr>
          <w:sz w:val="14"/>
        </w:rPr>
        <w:t xml:space="preserve"> ... </w:t>
      </w:r>
      <w:r w:rsidRPr="00456038">
        <w:rPr>
          <w:rStyle w:val="Emphasis"/>
          <w:highlight w:val="cyan"/>
        </w:rPr>
        <w:t>strikes</w:t>
      </w:r>
      <w:r w:rsidRPr="005F5AAC">
        <w:rPr>
          <w:sz w:val="14"/>
        </w:rPr>
        <w:t xml:space="preserve"> the appropriate </w:t>
      </w:r>
      <w:r w:rsidRPr="00456038">
        <w:rPr>
          <w:rStyle w:val="Emphasis"/>
          <w:highlight w:val="cyan"/>
        </w:rPr>
        <w:t>balance</w:t>
      </w:r>
      <w:r w:rsidRPr="00C740DA">
        <w:rPr>
          <w:u w:val="single"/>
        </w:rPr>
        <w:t xml:space="preserve"> between the legislature, the prosecutor, and the court in defining criminal liability</w:t>
      </w:r>
      <w:r w:rsidRPr="005F5AAC">
        <w:rPr>
          <w:sz w:val="14"/>
        </w:rPr>
        <w:t xml:space="preserve">. '358 </w:t>
      </w:r>
      <w:r w:rsidRPr="00C740DA">
        <w:rPr>
          <w:u w:val="single"/>
        </w:rPr>
        <w:t>Replacing the legislature</w:t>
      </w:r>
      <w:r w:rsidRPr="005F5AAC">
        <w:rPr>
          <w:sz w:val="14"/>
        </w:rPr>
        <w:t xml:space="preserve"> with an administrative agency </w:t>
      </w:r>
      <w:r w:rsidRPr="00C740DA">
        <w:rPr>
          <w:u w:val="single"/>
        </w:rPr>
        <w:t>and reducing</w:t>
      </w:r>
      <w:r w:rsidRPr="005F5AAC">
        <w:rPr>
          <w:sz w:val="14"/>
        </w:rPr>
        <w:t xml:space="preserve"> the role of </w:t>
      </w:r>
      <w:r w:rsidRPr="00C740DA">
        <w:rPr>
          <w:u w:val="single"/>
        </w:rPr>
        <w:t>the court through</w:t>
      </w:r>
      <w:r w:rsidRPr="005F5AAC">
        <w:rPr>
          <w:sz w:val="14"/>
        </w:rPr>
        <w:t xml:space="preserve"> mandatory </w:t>
      </w:r>
      <w:r w:rsidRPr="00456038">
        <w:rPr>
          <w:rStyle w:val="Emphasis"/>
          <w:highlight w:val="cyan"/>
        </w:rPr>
        <w:t>deference</w:t>
      </w:r>
      <w:r w:rsidRPr="00C740DA">
        <w:rPr>
          <w:u w:val="single"/>
        </w:rPr>
        <w:t xml:space="preserve"> to</w:t>
      </w:r>
      <w:r w:rsidRPr="005F5AAC">
        <w:rPr>
          <w:sz w:val="14"/>
        </w:rPr>
        <w:t xml:space="preserve"> that </w:t>
      </w:r>
      <w:r w:rsidRPr="00C740DA">
        <w:rPr>
          <w:u w:val="single"/>
        </w:rPr>
        <w:t>agency's</w:t>
      </w:r>
      <w:r w:rsidRPr="005F5AAC">
        <w:rPr>
          <w:sz w:val="14"/>
        </w:rPr>
        <w:t xml:space="preserve"> interpretation </w:t>
      </w:r>
      <w:r w:rsidRPr="00456038">
        <w:rPr>
          <w:rStyle w:val="Emphasis"/>
          <w:highlight w:val="cyan"/>
        </w:rPr>
        <w:t>upsets this balance</w:t>
      </w:r>
      <w:r w:rsidRPr="00C740DA">
        <w:rPr>
          <w:rStyle w:val="Emphasis"/>
        </w:rPr>
        <w:t xml:space="preserve"> of power</w:t>
      </w:r>
      <w:r w:rsidRPr="005F5AAC">
        <w:rPr>
          <w:sz w:val="14"/>
        </w:rPr>
        <w:t>.359</w:t>
      </w:r>
    </w:p>
    <w:p w14:paraId="5A356C0E" w14:textId="77777777" w:rsidR="0095149D" w:rsidRPr="00C93A57" w:rsidRDefault="0095149D" w:rsidP="0095149D">
      <w:pPr>
        <w:rPr>
          <w:sz w:val="14"/>
        </w:rPr>
      </w:pPr>
      <w:r w:rsidRPr="00C93A57">
        <w:rPr>
          <w:sz w:val="14"/>
        </w:rPr>
        <w:t xml:space="preserve">When Congress passes a statute that expressly delegates to an agency the authority to define criminal behavior, its intent is clear. When Congress passes a criminal statute that is ambiguous, on the other hand, its intent regarding the precise scope </w:t>
      </w:r>
      <w:r w:rsidRPr="00456038">
        <w:rPr>
          <w:rStyle w:val="Emphasis"/>
          <w:highlight w:val="cyan"/>
        </w:rPr>
        <w:t>and</w:t>
      </w:r>
      <w:r w:rsidRPr="00C93A57">
        <w:rPr>
          <w:sz w:val="14"/>
        </w:rPr>
        <w:t xml:space="preserve"> effect of the statute is by definition unclear. As Justice Scalia observed, Congress might have intended a particular result, it might have intended for the agency to have discretion, or it might not have even contemplated the issue in sufficient detail.360 If a reviewing court defers to an agency interpretation where the rule of lenity would lead to a different result, then it is quite possible that </w:t>
      </w:r>
      <w:r w:rsidRPr="00456038">
        <w:rPr>
          <w:highlight w:val="cyan"/>
          <w:u w:val="single"/>
        </w:rPr>
        <w:t>the defendant will be</w:t>
      </w:r>
      <w:r w:rsidRPr="00C93A57">
        <w:rPr>
          <w:u w:val="single"/>
        </w:rPr>
        <w:t xml:space="preserve"> held </w:t>
      </w:r>
      <w:r w:rsidRPr="00456038">
        <w:rPr>
          <w:rStyle w:val="Emphasis"/>
          <w:highlight w:val="cyan"/>
        </w:rPr>
        <w:t>criminally liable</w:t>
      </w:r>
      <w:r w:rsidRPr="00456038">
        <w:rPr>
          <w:highlight w:val="cyan"/>
          <w:u w:val="single"/>
        </w:rPr>
        <w:t xml:space="preserve"> when Congress </w:t>
      </w:r>
      <w:r w:rsidRPr="00456038">
        <w:rPr>
          <w:rStyle w:val="Emphasis"/>
          <w:highlight w:val="cyan"/>
        </w:rPr>
        <w:t>intended otherwise</w:t>
      </w:r>
      <w:r w:rsidRPr="00C93A57">
        <w:rPr>
          <w:sz w:val="14"/>
        </w:rPr>
        <w:t xml:space="preserve">. The countervailing risk, that the defendant will escape punishment intended by Congress, is less offensive to traditional values.361 </w:t>
      </w:r>
      <w:r w:rsidRPr="00C93A57">
        <w:rPr>
          <w:u w:val="single"/>
        </w:rPr>
        <w:t>Just as courts require that a criminal defendant be found guilty</w:t>
      </w:r>
      <w:r w:rsidRPr="00C93A57">
        <w:rPr>
          <w:sz w:val="14"/>
        </w:rPr>
        <w:t xml:space="preserve"> of an offense </w:t>
      </w:r>
      <w:r w:rsidRPr="00C93A57">
        <w:rPr>
          <w:u w:val="single"/>
        </w:rPr>
        <w:t xml:space="preserve">beyond a reasonable doubt, </w:t>
      </w:r>
      <w:r w:rsidRPr="00456038">
        <w:rPr>
          <w:highlight w:val="cyan"/>
          <w:u w:val="single"/>
        </w:rPr>
        <w:t>courts should</w:t>
      </w:r>
      <w:r w:rsidRPr="00C93A57">
        <w:rPr>
          <w:sz w:val="14"/>
        </w:rPr>
        <w:t xml:space="preserve"> also </w:t>
      </w:r>
      <w:r w:rsidRPr="00456038">
        <w:rPr>
          <w:rStyle w:val="Emphasis"/>
          <w:highlight w:val="cyan"/>
        </w:rPr>
        <w:t>require</w:t>
      </w:r>
      <w:r w:rsidRPr="00C93A57">
        <w:rPr>
          <w:sz w:val="14"/>
        </w:rPr>
        <w:t xml:space="preserve"> that </w:t>
      </w:r>
      <w:r w:rsidRPr="00456038">
        <w:rPr>
          <w:highlight w:val="cyan"/>
          <w:u w:val="single"/>
        </w:rPr>
        <w:t xml:space="preserve">there </w:t>
      </w:r>
      <w:r w:rsidRPr="00456038">
        <w:rPr>
          <w:rStyle w:val="Emphasis"/>
          <w:highlight w:val="cyan"/>
        </w:rPr>
        <w:t>not</w:t>
      </w:r>
      <w:r w:rsidRPr="00456038">
        <w:rPr>
          <w:highlight w:val="cyan"/>
          <w:u w:val="single"/>
        </w:rPr>
        <w:t xml:space="preserve"> be</w:t>
      </w:r>
      <w:r w:rsidRPr="00C93A57">
        <w:rPr>
          <w:sz w:val="14"/>
        </w:rPr>
        <w:t xml:space="preserve"> substantial </w:t>
      </w:r>
      <w:r w:rsidRPr="00456038">
        <w:rPr>
          <w:rStyle w:val="Emphasis"/>
          <w:highlight w:val="cyan"/>
        </w:rPr>
        <w:t>ambiguity</w:t>
      </w:r>
      <w:r w:rsidRPr="00C93A57">
        <w:rPr>
          <w:sz w:val="14"/>
        </w:rPr>
        <w:t xml:space="preserve"> as </w:t>
      </w:r>
      <w:r w:rsidRPr="00C93A57">
        <w:rPr>
          <w:u w:val="single"/>
        </w:rPr>
        <w:t>to whether a defendant's actions were intended</w:t>
      </w:r>
      <w:r w:rsidRPr="00C93A57">
        <w:rPr>
          <w:sz w:val="14"/>
        </w:rPr>
        <w:t xml:space="preserve"> by Congress </w:t>
      </w:r>
      <w:r w:rsidRPr="00456038">
        <w:rPr>
          <w:highlight w:val="cyan"/>
          <w:u w:val="single"/>
        </w:rPr>
        <w:t>to</w:t>
      </w:r>
      <w:r w:rsidRPr="00C93A57">
        <w:rPr>
          <w:u w:val="single"/>
        </w:rPr>
        <w:t xml:space="preserve"> come within </w:t>
      </w:r>
      <w:r w:rsidRPr="00456038">
        <w:rPr>
          <w:highlight w:val="cyan"/>
          <w:u w:val="single"/>
        </w:rPr>
        <w:t>the scope of</w:t>
      </w:r>
      <w:r w:rsidRPr="00C93A57">
        <w:rPr>
          <w:u w:val="single"/>
        </w:rPr>
        <w:t xml:space="preserve"> its </w:t>
      </w:r>
      <w:r w:rsidRPr="00456038">
        <w:rPr>
          <w:highlight w:val="cyan"/>
          <w:u w:val="single"/>
        </w:rPr>
        <w:t>statute</w:t>
      </w:r>
      <w:r w:rsidRPr="00C93A57">
        <w:rPr>
          <w:sz w:val="14"/>
        </w:rPr>
        <w:t xml:space="preserve">. The </w:t>
      </w:r>
      <w:r w:rsidRPr="00456038">
        <w:rPr>
          <w:rStyle w:val="Emphasis"/>
          <w:highlight w:val="cyan"/>
        </w:rPr>
        <w:t>Chevron</w:t>
      </w:r>
      <w:r w:rsidRPr="00C93A57">
        <w:rPr>
          <w:sz w:val="14"/>
        </w:rPr>
        <w:t xml:space="preserve"> presumption, which opts for a blanket rule of deference over a case-by-case determination of whether Congress intended a particular result, </w:t>
      </w:r>
      <w:r w:rsidRPr="00456038">
        <w:rPr>
          <w:highlight w:val="cyan"/>
          <w:u w:val="single"/>
        </w:rPr>
        <w:t xml:space="preserve">is </w:t>
      </w:r>
      <w:r w:rsidRPr="00456038">
        <w:rPr>
          <w:rStyle w:val="Emphasis"/>
          <w:highlight w:val="cyan"/>
        </w:rPr>
        <w:t>inappropriate</w:t>
      </w:r>
      <w:r w:rsidRPr="00C93A57">
        <w:rPr>
          <w:u w:val="single"/>
        </w:rPr>
        <w:t xml:space="preserve"> where </w:t>
      </w:r>
      <w:r w:rsidRPr="00C93A57">
        <w:rPr>
          <w:rStyle w:val="Emphasis"/>
        </w:rPr>
        <w:t>criminal penalties</w:t>
      </w:r>
      <w:r w:rsidRPr="00C93A57">
        <w:rPr>
          <w:u w:val="single"/>
        </w:rPr>
        <w:t xml:space="preserve"> are at issue</w:t>
      </w:r>
      <w:r w:rsidRPr="00C93A57">
        <w:rPr>
          <w:sz w:val="14"/>
        </w:rPr>
        <w:t>.</w:t>
      </w:r>
    </w:p>
    <w:p w14:paraId="4E7F3119" w14:textId="77777777" w:rsidR="0095149D" w:rsidRDefault="0095149D" w:rsidP="0095149D"/>
    <w:p w14:paraId="008B6806" w14:textId="77777777" w:rsidR="0095149D" w:rsidRPr="004A1A5E" w:rsidRDefault="0095149D" w:rsidP="0095149D">
      <w:pPr>
        <w:rPr>
          <w:sz w:val="16"/>
        </w:rPr>
      </w:pPr>
    </w:p>
    <w:p w14:paraId="7F225CC8" w14:textId="77777777" w:rsidR="0095149D" w:rsidRPr="00644FD1" w:rsidRDefault="0095149D" w:rsidP="0095149D">
      <w:pPr>
        <w:pStyle w:val="Heading4"/>
      </w:pPr>
      <w:r>
        <w:t xml:space="preserve">Treating Lenity as a </w:t>
      </w:r>
      <w:r>
        <w:rPr>
          <w:u w:val="single"/>
        </w:rPr>
        <w:t>clear statement rule</w:t>
      </w:r>
      <w:r>
        <w:t xml:space="preserve"> superseding </w:t>
      </w:r>
      <w:r>
        <w:rPr>
          <w:i/>
          <w:iCs w:val="0"/>
        </w:rPr>
        <w:t>Chevron</w:t>
      </w:r>
      <w:r>
        <w:t xml:space="preserve"> is </w:t>
      </w:r>
      <w:r>
        <w:rPr>
          <w:u w:val="single"/>
        </w:rPr>
        <w:t>vital</w:t>
      </w:r>
      <w:r>
        <w:t>.</w:t>
      </w:r>
    </w:p>
    <w:p w14:paraId="644E641C" w14:textId="77777777" w:rsidR="0095149D" w:rsidRPr="00591015" w:rsidRDefault="0095149D" w:rsidP="0095149D">
      <w:r w:rsidRPr="00675914">
        <w:rPr>
          <w:rStyle w:val="Style13ptBold"/>
        </w:rPr>
        <w:t>Sutton 13</w:t>
      </w:r>
      <w:r>
        <w:t xml:space="preserve"> – Jeff Sutton, a renowned Circuit Judge of the United States Court of Appeals for the Sixth Circuit. [Carter v. Welles-Bowen Realty, Inc., United States </w:t>
      </w:r>
      <w:r w:rsidRPr="00591015">
        <w:t>Court of Appeals for The Sixth Circuit, No. 10-3922, https://www.opn.ca6.uscourts.gov/opinions.pdf/13a0333p-06.pdf]//BPS</w:t>
      </w:r>
    </w:p>
    <w:p w14:paraId="2E636A81" w14:textId="77777777" w:rsidR="0095149D" w:rsidRPr="00591015" w:rsidRDefault="0095149D" w:rsidP="0095149D">
      <w:pPr>
        <w:rPr>
          <w:sz w:val="16"/>
        </w:rPr>
      </w:pPr>
      <w:r w:rsidRPr="00591015">
        <w:rPr>
          <w:sz w:val="16"/>
        </w:rPr>
        <w:t xml:space="preserve">The court does not go into detail in exploring how the rule of lenity interacts with Chevron because the issue does not drive the outcome of this case. But because </w:t>
      </w:r>
      <w:r w:rsidRPr="00591015">
        <w:rPr>
          <w:rStyle w:val="StyleUnderline"/>
        </w:rPr>
        <w:t xml:space="preserve">this question will </w:t>
      </w:r>
      <w:r w:rsidRPr="00591015">
        <w:rPr>
          <w:rStyle w:val="Emphasis"/>
        </w:rPr>
        <w:t>return</w:t>
      </w:r>
      <w:r w:rsidRPr="00591015">
        <w:rPr>
          <w:rStyle w:val="StyleUnderline"/>
        </w:rPr>
        <w:t xml:space="preserve"> sooner or later</w:t>
      </w:r>
      <w:r w:rsidRPr="00591015">
        <w:rPr>
          <w:sz w:val="16"/>
        </w:rPr>
        <w:t>, I write to offer some thoughts on how to address it when it does.</w:t>
      </w:r>
    </w:p>
    <w:p w14:paraId="36F992A8" w14:textId="77777777" w:rsidR="0095149D" w:rsidRPr="00591015" w:rsidRDefault="0095149D" w:rsidP="0095149D">
      <w:pPr>
        <w:rPr>
          <w:sz w:val="16"/>
        </w:rPr>
      </w:pPr>
      <w:r w:rsidRPr="00591015">
        <w:rPr>
          <w:sz w:val="16"/>
        </w:rPr>
        <w:t>The rule of lenity tells courts to interpret ambiguous criminal laws in favor of criminal defendants. United States v. Wiltberger, 5 Wheat. 76, 95 (1820). This principle rests on concerns about notice (the state ought to provide fair warning of what violates the criminal laws) and separation of powers (Congress, not agencies or courts, defines crimes). United States v. Bass, 404 U.S. 336, 348 (1971). The Chevron doctrine tells courts to defer to an administrative agency’s reasonable interpretation of an ambiguous statute. Chevron U.S.A., Inc. v. Natural Resources Defense Council, 467 U.S. 837 (1984). This principle rests on the presumption that, when Congress leaves a statutory gap, it means for the agency rather than the court to fill it. Id. at 843–44.</w:t>
      </w:r>
    </w:p>
    <w:p w14:paraId="1F7C0EED" w14:textId="77777777" w:rsidR="0095149D" w:rsidRPr="00591015" w:rsidRDefault="0095149D" w:rsidP="0095149D">
      <w:pPr>
        <w:rPr>
          <w:sz w:val="16"/>
        </w:rPr>
      </w:pPr>
      <w:r w:rsidRPr="00591015">
        <w:rPr>
          <w:rStyle w:val="StyleUnderline"/>
        </w:rPr>
        <w:t xml:space="preserve">The two rules </w:t>
      </w:r>
      <w:r w:rsidRPr="00591015">
        <w:rPr>
          <w:rStyle w:val="Emphasis"/>
        </w:rPr>
        <w:t>normally operate comfortably</w:t>
      </w:r>
      <w:r w:rsidRPr="00591015">
        <w:rPr>
          <w:rStyle w:val="StyleUnderline"/>
        </w:rPr>
        <w:t xml:space="preserve"> in </w:t>
      </w:r>
      <w:r w:rsidRPr="00591015">
        <w:rPr>
          <w:rStyle w:val="Emphasis"/>
        </w:rPr>
        <w:t>their own spheres</w:t>
      </w:r>
      <w:r w:rsidRPr="00591015">
        <w:rPr>
          <w:sz w:val="16"/>
        </w:rPr>
        <w:t xml:space="preserve">. The rule of lenity has no role to play in interpreting humdrum regulatory statutes, which contemplate civil rather than criminal enforcement. And Chevron has no role to play in interpreting ordinary criminal statutes, which are “not administered by any agency but by the courts.” Crandon v. United States, 494 U.S. 152, 177 (1990) (Scalia, J., concurring in the judgment); see Gonzales v. Oregon, 546 U.S. 243, 264 (2006). </w:t>
      </w:r>
      <w:r w:rsidRPr="00591015">
        <w:rPr>
          <w:rStyle w:val="StyleUnderline"/>
        </w:rPr>
        <w:t xml:space="preserve">What happens with a hybrid statute? Today’s Act imposes </w:t>
      </w:r>
      <w:r w:rsidRPr="00591015">
        <w:rPr>
          <w:rStyle w:val="Emphasis"/>
        </w:rPr>
        <w:t>civil and criminal penalties</w:t>
      </w:r>
      <w:r w:rsidRPr="00591015">
        <w:rPr>
          <w:rStyle w:val="StyleUnderline"/>
        </w:rPr>
        <w:t xml:space="preserve"> for violating the provision at issue</w:t>
      </w:r>
      <w:r w:rsidRPr="00591015">
        <w:rPr>
          <w:sz w:val="16"/>
        </w:rPr>
        <w:t xml:space="preserve">. See 12 U.S.C. § 2607(d). And </w:t>
      </w:r>
      <w:r w:rsidRPr="00591015">
        <w:rPr>
          <w:rStyle w:val="StyleUnderline"/>
        </w:rPr>
        <w:t xml:space="preserve">it empowers </w:t>
      </w:r>
      <w:r w:rsidRPr="00591015">
        <w:rPr>
          <w:rStyle w:val="Emphasis"/>
        </w:rPr>
        <w:t>an executive agency</w:t>
      </w:r>
      <w:r w:rsidRPr="00591015">
        <w:rPr>
          <w:rStyle w:val="StyleUnderline"/>
        </w:rPr>
        <w:t xml:space="preserve"> to administer the provision by making rules</w:t>
      </w:r>
      <w:r w:rsidRPr="00591015">
        <w:rPr>
          <w:sz w:val="16"/>
        </w:rPr>
        <w:t xml:space="preserve"> and holding hearings. See id. § 2617. As between the rule of lenity and the agency’s interpretation, which one resolves statutory doubt?</w:t>
      </w:r>
    </w:p>
    <w:p w14:paraId="7555500B" w14:textId="77777777" w:rsidR="0095149D" w:rsidRPr="00591015" w:rsidRDefault="0095149D" w:rsidP="0095149D">
      <w:pPr>
        <w:rPr>
          <w:sz w:val="16"/>
        </w:rPr>
      </w:pPr>
      <w:r w:rsidRPr="00591015">
        <w:rPr>
          <w:sz w:val="16"/>
        </w:rPr>
        <w:t>One possibility is to apply the rule of lenity in criminal prosecutions and to defer to the agency’s position in civil actions. But a statute is not a chameleon. Its meaning does not change from case to case. A single law should have one meaning, and the “lowest common denominator, as it were, must govern” all of its applications. Clark v. Martinez, 543 U.S. 371, 380 (2005).</w:t>
      </w:r>
    </w:p>
    <w:p w14:paraId="64ECADCE" w14:textId="77777777" w:rsidR="0095149D" w:rsidRPr="00591015" w:rsidRDefault="0095149D" w:rsidP="0095149D">
      <w:pPr>
        <w:rPr>
          <w:sz w:val="16"/>
        </w:rPr>
      </w:pPr>
      <w:r w:rsidRPr="00591015">
        <w:rPr>
          <w:sz w:val="16"/>
        </w:rPr>
        <w:t>United States v. Thompson/Center Arms Co. illustrates the point. The Court had to interpret a law that included a civil tax penalty and a criminal penalty. Even though Thompson/Center Arms was a tax case, the Court applied the rule of lenity. 504 U.S. 505, 518 n.10 (1992) (plurality opinion); id. at 519 (Scalia, J., concurring in the judgment). “The rule of lenity,” the lead opinion explained, “is a rule of statutory construction[,] . . . not a rule of administration calling for courts to refrain in criminal cases from applying statutory language that would have been held to apply if challenged in civil litigation.” Id. at 518 n.10 (plurality opinion). Recent cases reaffirm the point. See, e.g., Maracich v. Spears, 133 S. Ct. 2191, 2209 (2013); Kasten v. Saint-Gobain Performance Plastics Corp., 131 S. Ct. 1325, 1336 (2011); Leocal v. Ashcroft, 543 U.S. 1, 11 n.8 (2004); Scheidler v. Nat’l Org. for Women, 537 U.S. 393, 408–09 (2003).</w:t>
      </w:r>
    </w:p>
    <w:p w14:paraId="66D4A2C2" w14:textId="77777777" w:rsidR="0095149D" w:rsidRPr="00591015" w:rsidRDefault="0095149D" w:rsidP="0095149D">
      <w:pPr>
        <w:rPr>
          <w:sz w:val="16"/>
        </w:rPr>
      </w:pPr>
      <w:r w:rsidRPr="00591015">
        <w:rPr>
          <w:rStyle w:val="StyleUnderline"/>
        </w:rPr>
        <w:t>Case law</w:t>
      </w:r>
      <w:r w:rsidRPr="00591015">
        <w:rPr>
          <w:sz w:val="16"/>
        </w:rPr>
        <w:t xml:space="preserve"> thus </w:t>
      </w:r>
      <w:r w:rsidRPr="00591015">
        <w:rPr>
          <w:rStyle w:val="StyleUnderline"/>
        </w:rPr>
        <w:t>makes clear</w:t>
      </w:r>
      <w:r w:rsidRPr="00591015">
        <w:rPr>
          <w:sz w:val="16"/>
        </w:rPr>
        <w:t xml:space="preserve"> that </w:t>
      </w:r>
      <w:r w:rsidRPr="00591015">
        <w:rPr>
          <w:rStyle w:val="Emphasis"/>
        </w:rPr>
        <w:t>either</w:t>
      </w:r>
      <w:r w:rsidRPr="00591015">
        <w:rPr>
          <w:rStyle w:val="StyleUnderline"/>
        </w:rPr>
        <w:t xml:space="preserve"> the rule of lenity prevails</w:t>
      </w:r>
      <w:r w:rsidRPr="00591015">
        <w:rPr>
          <w:sz w:val="16"/>
        </w:rPr>
        <w:t xml:space="preserve"> across the board </w:t>
      </w:r>
      <w:r w:rsidRPr="00591015">
        <w:rPr>
          <w:rStyle w:val="Emphasis"/>
        </w:rPr>
        <w:t>or</w:t>
      </w:r>
      <w:r w:rsidRPr="00591015">
        <w:rPr>
          <w:rStyle w:val="StyleUnderline"/>
        </w:rPr>
        <w:t xml:space="preserve"> the agency’s interpretation does</w:t>
      </w:r>
      <w:r w:rsidRPr="00591015">
        <w:rPr>
          <w:sz w:val="16"/>
        </w:rPr>
        <w:t xml:space="preserve">. But which one? </w:t>
      </w:r>
      <w:r w:rsidRPr="00591015">
        <w:rPr>
          <w:rStyle w:val="Emphasis"/>
        </w:rPr>
        <w:t>The better approach, it seems to me</w:t>
      </w:r>
      <w:r w:rsidRPr="00591015">
        <w:rPr>
          <w:rStyle w:val="StyleUnderline"/>
        </w:rPr>
        <w:t>, is</w:t>
      </w:r>
      <w:r w:rsidRPr="00591015">
        <w:rPr>
          <w:sz w:val="16"/>
        </w:rPr>
        <w:t xml:space="preserve"> that </w:t>
      </w:r>
      <w:r w:rsidRPr="00591015">
        <w:rPr>
          <w:rStyle w:val="StyleUnderline"/>
        </w:rPr>
        <w:t xml:space="preserve">a court should </w:t>
      </w:r>
      <w:r w:rsidRPr="00591015">
        <w:rPr>
          <w:rStyle w:val="Emphasis"/>
        </w:rPr>
        <w:t>not</w:t>
      </w:r>
      <w:r w:rsidRPr="00591015">
        <w:rPr>
          <w:rStyle w:val="StyleUnderline"/>
        </w:rPr>
        <w:t xml:space="preserve"> defer to </w:t>
      </w:r>
      <w:r w:rsidRPr="00591015">
        <w:rPr>
          <w:rStyle w:val="Emphasis"/>
        </w:rPr>
        <w:t>an agency’s anti-defendant interpretation</w:t>
      </w:r>
      <w:r w:rsidRPr="00591015">
        <w:rPr>
          <w:rStyle w:val="StyleUnderline"/>
        </w:rPr>
        <w:t xml:space="preserve"> of a law backed by </w:t>
      </w:r>
      <w:r w:rsidRPr="00591015">
        <w:rPr>
          <w:rStyle w:val="Emphasis"/>
        </w:rPr>
        <w:t>criminal penalties</w:t>
      </w:r>
      <w:r w:rsidRPr="00591015">
        <w:rPr>
          <w:sz w:val="16"/>
        </w:rPr>
        <w:t xml:space="preserve">. </w:t>
      </w:r>
    </w:p>
    <w:p w14:paraId="0674CE09" w14:textId="77777777" w:rsidR="0095149D" w:rsidRPr="00591015" w:rsidRDefault="0095149D" w:rsidP="0095149D">
      <w:pPr>
        <w:rPr>
          <w:sz w:val="16"/>
        </w:rPr>
      </w:pPr>
      <w:r w:rsidRPr="00591015">
        <w:rPr>
          <w:sz w:val="16"/>
        </w:rPr>
        <w:t xml:space="preserve">First, </w:t>
      </w:r>
      <w:r w:rsidRPr="00591015">
        <w:rPr>
          <w:rStyle w:val="StyleUnderline"/>
        </w:rPr>
        <w:t xml:space="preserve">the rule of lenity forbids deference to the executive branch’s interpretation of </w:t>
      </w:r>
      <w:r w:rsidRPr="00591015">
        <w:rPr>
          <w:rStyle w:val="Emphasis"/>
        </w:rPr>
        <w:t>a crime-creating law</w:t>
      </w:r>
      <w:r w:rsidRPr="00591015">
        <w:rPr>
          <w:sz w:val="16"/>
        </w:rPr>
        <w:t xml:space="preserve">. If an ordinary criminal law contains an uncertainty, every court would agree that it must resolve the uncertainty in the defendant’s favor. No judge would think of deferring to the Department of Justice. </w:t>
      </w:r>
      <w:r w:rsidRPr="00591015">
        <w:rPr>
          <w:rStyle w:val="StyleUnderline"/>
        </w:rPr>
        <w:t xml:space="preserve">Allowing prosecutors to fill gaps in criminal laws would “turn the normal construction of criminal statutes </w:t>
      </w:r>
      <w:r w:rsidRPr="00591015">
        <w:rPr>
          <w:rStyle w:val="Emphasis"/>
        </w:rPr>
        <w:t>upside down</w:t>
      </w:r>
      <w:r w:rsidRPr="00591015">
        <w:rPr>
          <w:rStyle w:val="StyleUnderline"/>
        </w:rPr>
        <w:t>, replacing the doctrine of lenity with a doctrine of severity.”</w:t>
      </w:r>
      <w:r w:rsidRPr="00591015">
        <w:rPr>
          <w:sz w:val="16"/>
        </w:rPr>
        <w:t xml:space="preserve"> Crandon, 494 U.S. at 178 (Scalia, J., concurring in the judgment).</w:t>
      </w:r>
    </w:p>
    <w:p w14:paraId="4A10F5C7" w14:textId="77777777" w:rsidR="0095149D" w:rsidRPr="00591015" w:rsidRDefault="0095149D" w:rsidP="0095149D">
      <w:pPr>
        <w:rPr>
          <w:sz w:val="16"/>
        </w:rPr>
      </w:pPr>
      <w:r w:rsidRPr="00591015">
        <w:rPr>
          <w:sz w:val="16"/>
        </w:rPr>
        <w:t xml:space="preserve">If the rule of lenity forecloses deference to the Justice Department’s interpretation of a crime-creating law in Title 18, does it not follow that it forecloses deference to the Housing Department’s interpretation of a crime-creating law in Title 12? Or the immigration authorities’ interpretation of a crime-creating law in Title 8? Or the IRS’s interpretation of a crime-creating law in Title 26? No principled distinction separates these settings. </w:t>
      </w:r>
      <w:r w:rsidRPr="00591015">
        <w:rPr>
          <w:rStyle w:val="StyleUnderline"/>
        </w:rPr>
        <w:t xml:space="preserve">Allowing </w:t>
      </w:r>
      <w:r w:rsidRPr="00591015">
        <w:rPr>
          <w:rStyle w:val="Emphasis"/>
        </w:rPr>
        <w:t>housing inspectors</w:t>
      </w:r>
      <w:r w:rsidRPr="00591015">
        <w:rPr>
          <w:sz w:val="16"/>
        </w:rPr>
        <w:t xml:space="preserve"> </w:t>
      </w:r>
      <w:r w:rsidRPr="00591015">
        <w:rPr>
          <w:rStyle w:val="StyleUnderline"/>
        </w:rPr>
        <w:t xml:space="preserve">and </w:t>
      </w:r>
      <w:r w:rsidRPr="00591015">
        <w:rPr>
          <w:rStyle w:val="Emphasis"/>
        </w:rPr>
        <w:t>immigration officers</w:t>
      </w:r>
      <w:r w:rsidRPr="00591015">
        <w:rPr>
          <w:rStyle w:val="StyleUnderline"/>
        </w:rPr>
        <w:t xml:space="preserve"> and tax </w:t>
      </w:r>
      <w:r w:rsidRPr="00591015">
        <w:rPr>
          <w:rStyle w:val="Emphasis"/>
        </w:rPr>
        <w:t>collectors</w:t>
      </w:r>
      <w:r w:rsidRPr="00591015">
        <w:rPr>
          <w:rStyle w:val="StyleUnderline"/>
        </w:rPr>
        <w:t xml:space="preserve"> to fill gaps in </w:t>
      </w:r>
      <w:r w:rsidRPr="00591015">
        <w:rPr>
          <w:rStyle w:val="Emphasis"/>
        </w:rPr>
        <w:t>hybrid criminal laws</w:t>
      </w:r>
      <w:r w:rsidRPr="00591015">
        <w:rPr>
          <w:sz w:val="16"/>
        </w:rPr>
        <w:t xml:space="preserve">, no less than allowing prosecutors to fill them in pure criminal laws, </w:t>
      </w:r>
      <w:r w:rsidRPr="00591015">
        <w:rPr>
          <w:rStyle w:val="StyleUnderline"/>
        </w:rPr>
        <w:t>offends the rule of lenity</w:t>
      </w:r>
      <w:r w:rsidRPr="00591015">
        <w:rPr>
          <w:sz w:val="16"/>
        </w:rPr>
        <w:t>.</w:t>
      </w:r>
    </w:p>
    <w:p w14:paraId="07B1AA37" w14:textId="77777777" w:rsidR="0095149D" w:rsidRPr="00591015" w:rsidRDefault="0095149D" w:rsidP="0095149D">
      <w:pPr>
        <w:rPr>
          <w:sz w:val="16"/>
        </w:rPr>
      </w:pPr>
      <w:r w:rsidRPr="00591015">
        <w:rPr>
          <w:sz w:val="16"/>
        </w:rPr>
        <w:t xml:space="preserve">Second, looking at the question within the framework of Chevron leads to the same answer. An agency’s interpretation of a statute does not prevail whenever the face of the statute contains an ambiguity. Deference comes into play only if a statutory ambiguity lingers after deployment of all pertinent interpretive principles. If you believe that Chevron has two steps, you would say that the relevant interpretive rule—the rule of lenity—operates during step one. Once the rule resolves an uncertainty at this step, “there [remains], for Chevron purposes, no ambiguity . . . for an agency to resolve.” INS v. St. Cyr, 533 U.S. 289, 320 n.45 (2001). If you believe that Chevron has only one step, you would say that Chevron requires courts “to accept only those agency interpretations that are reasonable in light of the principles of construction courts normally employ.” EEOC v. Arabian American Oil Co., 499 U.S. 244, 260 (1991) (Scalia, J., concurring in part and concurring in the judgment). If an interpretive principle resolves a statutory doubt in one direction, an agency may not reasonably resolve it in the opposite direction. Id. But </w:t>
      </w:r>
      <w:r w:rsidRPr="00591015">
        <w:rPr>
          <w:rStyle w:val="Emphasis"/>
        </w:rPr>
        <w:t>the broader point, the critical one</w:t>
      </w:r>
      <w:r w:rsidRPr="00591015">
        <w:rPr>
          <w:rStyle w:val="StyleUnderline"/>
        </w:rPr>
        <w:t xml:space="preserve">, </w:t>
      </w:r>
      <w:r w:rsidRPr="00591015">
        <w:rPr>
          <w:rStyle w:val="Emphasis"/>
        </w:rPr>
        <w:t>transcends</w:t>
      </w:r>
      <w:r w:rsidRPr="00591015">
        <w:rPr>
          <w:rStyle w:val="StyleUnderline"/>
        </w:rPr>
        <w:t xml:space="preserve"> debates about </w:t>
      </w:r>
      <w:r w:rsidRPr="00591015">
        <w:rPr>
          <w:rStyle w:val="Emphasis"/>
        </w:rPr>
        <w:t>the mechanics of Chevron</w:t>
      </w:r>
      <w:r w:rsidRPr="00591015">
        <w:rPr>
          <w:rStyle w:val="StyleUnderline"/>
        </w:rPr>
        <w:t xml:space="preserve">: Rules of interpretation bind </w:t>
      </w:r>
      <w:r w:rsidRPr="00591015">
        <w:rPr>
          <w:rStyle w:val="Emphasis"/>
        </w:rPr>
        <w:t>all interpreters, administrative agencies included</w:t>
      </w:r>
      <w:r w:rsidRPr="00591015">
        <w:rPr>
          <w:rStyle w:val="StyleUnderline"/>
        </w:rPr>
        <w:t xml:space="preserve">. That means an agency, no less than a court, </w:t>
      </w:r>
      <w:r w:rsidRPr="00591015">
        <w:rPr>
          <w:rStyle w:val="Emphasis"/>
        </w:rPr>
        <w:t>must</w:t>
      </w:r>
      <w:r w:rsidRPr="00591015">
        <w:rPr>
          <w:rStyle w:val="StyleUnderline"/>
        </w:rPr>
        <w:t xml:space="preserve"> interpret a doubtful criminal statute in favor of the defendant</w:t>
      </w:r>
      <w:r w:rsidRPr="00591015">
        <w:rPr>
          <w:sz w:val="16"/>
        </w:rPr>
        <w:t>.</w:t>
      </w:r>
    </w:p>
    <w:p w14:paraId="45DBA811" w14:textId="77777777" w:rsidR="0095149D" w:rsidRPr="00591015" w:rsidRDefault="0095149D" w:rsidP="0095149D">
      <w:pPr>
        <w:rPr>
          <w:sz w:val="16"/>
        </w:rPr>
      </w:pPr>
      <w:r w:rsidRPr="00591015">
        <w:rPr>
          <w:sz w:val="16"/>
        </w:rPr>
        <w:t>Precedents in related areas confirm this conclusion. All manner of presumptions, substantive canons and clear-statement rules take precedence over conflicting agency views. See Wyeth v. Levine, 555 U.S. 555, 576 (2009) (presumption against preemption); St. Cyr, 533 U.S. at 320 (presumption against retroactivity); id. (interpretation of doubtful deportation statutes in favor of immigrants); Alexander v. Sandoval, 532 U.S. 275, 288–91 (2001) (presumption against implied causes of action); SWANCC v. U.S. Army Corps of Eng’rs, 531 U.S. 159, 173 (2001) (federalism canon); Edward J. DeBartolo Corp. v. Florida Gulf Coast Bldg. &amp; Constr. Trades Council, 485 U.S. 568, 575 (1988) (avoidance of constitutional doubt). Why treat the rule of lenity, the most venerable and venerated of interpretive principles, differently?</w:t>
      </w:r>
    </w:p>
    <w:p w14:paraId="16CB74D6" w14:textId="77777777" w:rsidR="0095149D" w:rsidRPr="00591015" w:rsidRDefault="0095149D" w:rsidP="0095149D">
      <w:pPr>
        <w:rPr>
          <w:sz w:val="16"/>
        </w:rPr>
      </w:pPr>
      <w:r w:rsidRPr="00591015">
        <w:rPr>
          <w:sz w:val="16"/>
        </w:rPr>
        <w:t xml:space="preserve">Third, the policies that drive lenity and Chevron show how to harmonize the two principles. Start with lenity. </w:t>
      </w:r>
      <w:r w:rsidRPr="00591015">
        <w:rPr>
          <w:rStyle w:val="StyleUnderline"/>
        </w:rPr>
        <w:t>Making</w:t>
      </w:r>
      <w:r w:rsidRPr="00591015">
        <w:rPr>
          <w:sz w:val="16"/>
        </w:rPr>
        <w:t xml:space="preserve"> something </w:t>
      </w:r>
      <w:r w:rsidRPr="00591015">
        <w:rPr>
          <w:rStyle w:val="StyleUnderline"/>
        </w:rPr>
        <w:t>a crime</w:t>
      </w:r>
      <w:r w:rsidRPr="00591015">
        <w:rPr>
          <w:sz w:val="16"/>
        </w:rPr>
        <w:t xml:space="preserve"> is serious business. It visits the moral condemnation of the community upon the citizen who engages in the forbidden conduct, and it </w:t>
      </w:r>
      <w:r w:rsidRPr="00591015">
        <w:rPr>
          <w:rStyle w:val="Emphasis"/>
        </w:rPr>
        <w:t>allows</w:t>
      </w:r>
      <w:r w:rsidRPr="00591015">
        <w:rPr>
          <w:rStyle w:val="StyleUnderline"/>
        </w:rPr>
        <w:t xml:space="preserve"> the government to take away</w:t>
      </w:r>
      <w:r w:rsidRPr="00591015">
        <w:rPr>
          <w:sz w:val="16"/>
        </w:rPr>
        <w:t xml:space="preserve"> his </w:t>
      </w:r>
      <w:r w:rsidRPr="00591015">
        <w:rPr>
          <w:rStyle w:val="Emphasis"/>
        </w:rPr>
        <w:t>liberty and property</w:t>
      </w:r>
      <w:r w:rsidRPr="00591015">
        <w:rPr>
          <w:rStyle w:val="StyleUnderline"/>
        </w:rPr>
        <w:t xml:space="preserve">. The rule of lenity carries into effect the </w:t>
      </w:r>
      <w:r w:rsidRPr="00591015">
        <w:rPr>
          <w:rStyle w:val="Emphasis"/>
        </w:rPr>
        <w:t>principle</w:t>
      </w:r>
      <w:r w:rsidRPr="00591015">
        <w:rPr>
          <w:rStyle w:val="StyleUnderline"/>
        </w:rPr>
        <w:t xml:space="preserve"> that only </w:t>
      </w:r>
      <w:r w:rsidRPr="00591015">
        <w:rPr>
          <w:rStyle w:val="Emphasis"/>
        </w:rPr>
        <w:t>the legislature</w:t>
      </w:r>
      <w:r w:rsidRPr="00591015">
        <w:rPr>
          <w:rStyle w:val="StyleUnderline"/>
        </w:rPr>
        <w:t xml:space="preserve">, </w:t>
      </w:r>
      <w:r w:rsidRPr="00591015">
        <w:rPr>
          <w:rStyle w:val="Emphasis"/>
        </w:rPr>
        <w:t>the most democratic</w:t>
      </w:r>
      <w:r w:rsidRPr="00591015">
        <w:rPr>
          <w:rStyle w:val="StyleUnderline"/>
        </w:rPr>
        <w:t xml:space="preserve"> and </w:t>
      </w:r>
      <w:r w:rsidRPr="00591015">
        <w:rPr>
          <w:rStyle w:val="Emphasis"/>
        </w:rPr>
        <w:t>accountable branch of government</w:t>
      </w:r>
      <w:r w:rsidRPr="00591015">
        <w:rPr>
          <w:rStyle w:val="StyleUnderline"/>
        </w:rPr>
        <w:t>, should decide what conduct triggers these consequences</w:t>
      </w:r>
      <w:r w:rsidRPr="00591015">
        <w:rPr>
          <w:sz w:val="16"/>
        </w:rPr>
        <w:t xml:space="preserve">. Bass, 404 U.S. at 348. </w:t>
      </w:r>
      <w:r w:rsidRPr="00591015">
        <w:rPr>
          <w:rStyle w:val="StyleUnderline"/>
        </w:rPr>
        <w:t xml:space="preserve">By giving </w:t>
      </w:r>
      <w:r w:rsidRPr="00591015">
        <w:rPr>
          <w:rStyle w:val="Emphasis"/>
        </w:rPr>
        <w:t>unelected</w:t>
      </w:r>
      <w:r w:rsidRPr="00591015">
        <w:rPr>
          <w:rStyle w:val="StyleUnderline"/>
        </w:rPr>
        <w:t xml:space="preserve"> commissioners and directors and administrators </w:t>
      </w:r>
      <w:r w:rsidRPr="00591015">
        <w:rPr>
          <w:rStyle w:val="Emphasis"/>
        </w:rPr>
        <w:t>carte blanche</w:t>
      </w:r>
      <w:r w:rsidRPr="00591015">
        <w:rPr>
          <w:rStyle w:val="StyleUnderline"/>
        </w:rPr>
        <w:t xml:space="preserve"> to decide when </w:t>
      </w:r>
      <w:r w:rsidRPr="00591015">
        <w:rPr>
          <w:rStyle w:val="Emphasis"/>
        </w:rPr>
        <w:t>an ambiguous statute</w:t>
      </w:r>
      <w:r w:rsidRPr="00591015">
        <w:rPr>
          <w:rStyle w:val="StyleUnderline"/>
        </w:rPr>
        <w:t xml:space="preserve"> justifies sending people to prison, the government’s theory diminishes </w:t>
      </w:r>
      <w:r w:rsidRPr="00591015">
        <w:rPr>
          <w:rStyle w:val="Emphasis"/>
        </w:rPr>
        <w:t>this ideal</w:t>
      </w:r>
      <w:r w:rsidRPr="00591015">
        <w:rPr>
          <w:sz w:val="16"/>
        </w:rPr>
        <w:t>.</w:t>
      </w:r>
    </w:p>
    <w:p w14:paraId="164DF55C" w14:textId="77777777" w:rsidR="0095149D" w:rsidRPr="00591015" w:rsidRDefault="0095149D" w:rsidP="0095149D">
      <w:pPr>
        <w:rPr>
          <w:sz w:val="16"/>
        </w:rPr>
      </w:pPr>
      <w:r w:rsidRPr="00591015">
        <w:rPr>
          <w:sz w:val="16"/>
        </w:rPr>
        <w:t xml:space="preserve">The rule of lenity also compels the state to give the citizen fair warning, ideally on the face of the statute, of what the criminal law forbids. McBoyle v. United States, 283 U.S. 25, 27 (1931). There are no crimes by implication just as no one is killed by implication. Yet </w:t>
      </w:r>
      <w:r w:rsidRPr="00591015">
        <w:rPr>
          <w:rStyle w:val="StyleUnderline"/>
        </w:rPr>
        <w:t xml:space="preserve">if agencies are free to </w:t>
      </w:r>
      <w:r w:rsidRPr="00591015">
        <w:rPr>
          <w:rStyle w:val="Emphasis"/>
        </w:rPr>
        <w:t>ignore</w:t>
      </w:r>
      <w:r w:rsidRPr="00591015">
        <w:rPr>
          <w:rStyle w:val="StyleUnderline"/>
        </w:rPr>
        <w:t xml:space="preserve"> the rule of lenity, the state could make</w:t>
      </w:r>
      <w:r w:rsidRPr="00591015">
        <w:rPr>
          <w:sz w:val="16"/>
        </w:rPr>
        <w:t xml:space="preserve"> an act </w:t>
      </w:r>
      <w:r w:rsidRPr="00591015">
        <w:rPr>
          <w:rStyle w:val="StyleUnderline"/>
        </w:rPr>
        <w:t xml:space="preserve">a crime in </w:t>
      </w:r>
      <w:r w:rsidRPr="00591015">
        <w:rPr>
          <w:rStyle w:val="Emphasis"/>
        </w:rPr>
        <w:t>a remote statement issued by an administrative agency</w:t>
      </w:r>
      <w:r w:rsidRPr="00591015">
        <w:rPr>
          <w:rStyle w:val="StyleUnderline"/>
        </w:rPr>
        <w:t>. The agency’s pronouncement need not even come in a notice-and-comment rule</w:t>
      </w:r>
      <w:r w:rsidRPr="00591015">
        <w:rPr>
          <w:sz w:val="16"/>
        </w:rPr>
        <w:t>. All kinds of administrative documents, ranging from manuals to opinion letters, sometimes receive Chevron deference. See, e.g., Barnhart v. Walton, 535 U.S. 212, 221–22 (2002). Nor is this a figment. In this case, the government has tried to expand a federal criminal law through a policy statement, a theory that runs headlong into “the instinctive distastes against men languishing in prison unless the lawmaker has clearly said they should.” Henry Friendly, “Mr. Justice Frankfurter and the Reading of Statutes,” in Benchmarks 196, 209 (1967).</w:t>
      </w:r>
    </w:p>
    <w:p w14:paraId="47CA8611" w14:textId="77777777" w:rsidR="0095149D" w:rsidRPr="00591015" w:rsidRDefault="0095149D" w:rsidP="0095149D">
      <w:pPr>
        <w:rPr>
          <w:sz w:val="16"/>
        </w:rPr>
      </w:pPr>
      <w:r w:rsidRPr="00591015">
        <w:rPr>
          <w:sz w:val="16"/>
        </w:rPr>
        <w:t>So much for the purpose of lenity; what of the purpose of Chevron? There may be as many accounts of Chevron as there are professors of administrative law. But what matters most, Chevron’s account of itself, shows that Chevron accommodates rather than trumps the lenity principle. Filling a statutory gap, the Supreme Court explained, requires making a policy choice. 467 U.S. at 864–65. But courts should avoid making policy choices, as they enjoy neither expertise in the relevant area nor a democratically accountable pedigree. Id. at 865–66. Forced to a choice between the two, the Court concluded that administrators are better equipped than judges to fill the gaps. Id. at 866.</w:t>
      </w:r>
    </w:p>
    <w:p w14:paraId="3F860421" w14:textId="77777777" w:rsidR="0095149D" w:rsidRPr="00591015" w:rsidRDefault="0095149D" w:rsidP="0095149D">
      <w:pPr>
        <w:rPr>
          <w:sz w:val="16"/>
        </w:rPr>
      </w:pPr>
      <w:r w:rsidRPr="00591015">
        <w:rPr>
          <w:sz w:val="16"/>
        </w:rPr>
        <w:t>This account of Chevron says nothing about the present case. When a court applies the rule of lenity, it does not snatch a policy decision from the political branches. It instead insists that the choice to make the conduct criminal be made by the first political branch rather than the second. Put another way, Chevron describes how judges and administrators divide power. But power to define crimes is not theirs to divide. The accommodation then becomes straightforward: Allowing agencies to fill gaps in criminal statutes would impair the rule of lenity’s purposes, and interpreting these statutes leniently would respect Chevron’s aims.</w:t>
      </w:r>
    </w:p>
    <w:p w14:paraId="13594A8C" w14:textId="77777777" w:rsidR="0095149D" w:rsidRPr="00591015" w:rsidRDefault="0095149D" w:rsidP="0095149D">
      <w:pPr>
        <w:rPr>
          <w:sz w:val="16"/>
        </w:rPr>
      </w:pPr>
      <w:r w:rsidRPr="00591015">
        <w:rPr>
          <w:sz w:val="16"/>
        </w:rPr>
        <w:t>Fourth, uninvited oddities arise if courts but not agencies must adhere to the rule of lenity. United States v. Mead Corp., 533 U.S. 218 (2001), and its follow-on cases hold that an agency interpretation’s eligibility for Chevron deference depends on the procedure that preceded the interpretation’s adoption as well as on factors like “the interstitial nature of the legal question, the related expertise of the Agency, the importance of the question to the administration of the statute, the complexity of that administration, and the careful consideration the Agency has given the question over a long period of time.” Walton, 535 U.S. at 222. Where the governing statute creates only civil liability, a multi-factor test may be the best one can hope for. See Mead, 533 U.S. at 236–37. But it is a bit strange to say that, if Welles-Bowen wants to know whether it commits a crime by falling afoul of a policy statement, it must first endure the “openended rough-and-tumble of factors.” Medellin v. Texas, 552 U.S. 491, 514 (2008).</w:t>
      </w:r>
    </w:p>
    <w:p w14:paraId="638D8731" w14:textId="77777777" w:rsidR="0095149D" w:rsidRPr="00591015" w:rsidRDefault="0095149D" w:rsidP="0095149D">
      <w:pPr>
        <w:rPr>
          <w:sz w:val="16"/>
        </w:rPr>
      </w:pPr>
      <w:r w:rsidRPr="00591015">
        <w:rPr>
          <w:rStyle w:val="Emphasis"/>
        </w:rPr>
        <w:t>Auer v. Robbins</w:t>
      </w:r>
      <w:r w:rsidRPr="00591015">
        <w:rPr>
          <w:sz w:val="16"/>
        </w:rPr>
        <w:t xml:space="preserve">, 519 U.S. 452 (1997), </w:t>
      </w:r>
      <w:r w:rsidRPr="00591015">
        <w:rPr>
          <w:rStyle w:val="StyleUnderline"/>
        </w:rPr>
        <w:t xml:space="preserve">adds </w:t>
      </w:r>
      <w:r w:rsidRPr="00591015">
        <w:rPr>
          <w:rStyle w:val="Emphasis"/>
        </w:rPr>
        <w:t>another complication</w:t>
      </w:r>
      <w:r w:rsidRPr="00591015">
        <w:rPr>
          <w:rStyle w:val="StyleUnderline"/>
        </w:rPr>
        <w:t xml:space="preserve">. It says that, when a regulation interpreting an ambiguous statute </w:t>
      </w:r>
      <w:r w:rsidRPr="00591015">
        <w:rPr>
          <w:rStyle w:val="Emphasis"/>
        </w:rPr>
        <w:t>itself contains an ambiguity</w:t>
      </w:r>
      <w:r w:rsidRPr="00591015">
        <w:rPr>
          <w:rStyle w:val="StyleUnderline"/>
        </w:rPr>
        <w:t xml:space="preserve">, the agency’s interpretation of the regulation receives </w:t>
      </w:r>
      <w:r w:rsidRPr="00591015">
        <w:rPr>
          <w:rStyle w:val="Emphasis"/>
        </w:rPr>
        <w:t>essentially complete deference</w:t>
      </w:r>
      <w:r w:rsidRPr="00591015">
        <w:rPr>
          <w:sz w:val="16"/>
        </w:rPr>
        <w:t xml:space="preserve">. See id. at 461; Bowles v. Seminole Rock &amp; Sand Co., 325 U.S. 410, 414 (1945). </w:t>
      </w:r>
      <w:r w:rsidRPr="00591015">
        <w:rPr>
          <w:rStyle w:val="Emphasis"/>
        </w:rPr>
        <w:t>Unless</w:t>
      </w:r>
      <w:r w:rsidRPr="00591015">
        <w:rPr>
          <w:rStyle w:val="StyleUnderline"/>
        </w:rPr>
        <w:t xml:space="preserve"> the rule of lenity applies to agencies, Auer would give </w:t>
      </w:r>
      <w:r w:rsidRPr="00591015">
        <w:rPr>
          <w:rStyle w:val="Emphasis"/>
        </w:rPr>
        <w:t>each agency</w:t>
      </w:r>
      <w:r w:rsidRPr="00591015">
        <w:rPr>
          <w:rStyle w:val="StyleUnderline"/>
        </w:rPr>
        <w:t xml:space="preserve"> two ways of construing </w:t>
      </w:r>
      <w:r w:rsidRPr="00591015">
        <w:rPr>
          <w:rStyle w:val="Emphasis"/>
        </w:rPr>
        <w:t>criminal laws</w:t>
      </w:r>
      <w:r w:rsidRPr="00591015">
        <w:rPr>
          <w:sz w:val="16"/>
        </w:rPr>
        <w:t xml:space="preserve"> </w:t>
      </w:r>
      <w:r w:rsidRPr="00591015">
        <w:rPr>
          <w:rStyle w:val="StyleUnderline"/>
        </w:rPr>
        <w:t>against the defendant</w:t>
      </w:r>
      <w:r w:rsidRPr="00591015">
        <w:rPr>
          <w:sz w:val="16"/>
        </w:rPr>
        <w:t>—by resolving ambiguities in the criminal statute and by resolving ambiguities in any regulation. What’s more, the range of documents eligible for deference under Auer is broader than under Chevron. Even an interpretation contained in a brief may receive deference. Auer, 519 U.S. at 462. One head-turning upshot of permitting Chevron to silence the rule of lenity is this: Any government lawyer with a laptop could create a new federal crime by adding a footnote to a friendof-the-court brief. That is not likely.</w:t>
      </w:r>
    </w:p>
    <w:p w14:paraId="478854B1" w14:textId="77777777" w:rsidR="0095149D" w:rsidRPr="00591015" w:rsidRDefault="0095149D" w:rsidP="0095149D">
      <w:pPr>
        <w:rPr>
          <w:sz w:val="16"/>
        </w:rPr>
      </w:pPr>
      <w:r w:rsidRPr="00591015">
        <w:rPr>
          <w:rStyle w:val="Emphasis"/>
        </w:rPr>
        <w:t>The retroactivity</w:t>
      </w:r>
      <w:r w:rsidRPr="00591015">
        <w:rPr>
          <w:rStyle w:val="StyleUnderline"/>
        </w:rPr>
        <w:t xml:space="preserve"> of Chevron deference adds </w:t>
      </w:r>
      <w:r w:rsidRPr="00591015">
        <w:rPr>
          <w:rStyle w:val="Emphasis"/>
        </w:rPr>
        <w:t>another paradox</w:t>
      </w:r>
      <w:r w:rsidRPr="00591015">
        <w:rPr>
          <w:sz w:val="16"/>
        </w:rPr>
        <w:t>. An agency’s authoritative interpretation of a statute attracts deference even in cases about transactions that occurred before the issuance of the interpretation. Smiley v. Citibank (South Dakota), N.A., 517 U.S. 735, 744 n.3 (1996). But how would this rule work in a criminal setting given the Ex Post Facto Clause? See U.S. Const. art. I, § 9, cl. 3. So long as the one-statute, one-interpretation rule stands, a court cannot dignify the one principle without slighting the other.</w:t>
      </w:r>
    </w:p>
    <w:p w14:paraId="5425E7BC" w14:textId="77777777" w:rsidR="0095149D" w:rsidRPr="00591015" w:rsidRDefault="0095149D" w:rsidP="0095149D">
      <w:pPr>
        <w:rPr>
          <w:sz w:val="16"/>
        </w:rPr>
      </w:pPr>
      <w:r w:rsidRPr="00591015">
        <w:rPr>
          <w:sz w:val="16"/>
        </w:rPr>
        <w:t>The government, both in this case and in similar cases before other courts, offers several lines of argument in response to this approach. None is convincing. The government points out that several cases show that Congress’s authority to define crimes is not exclusive. Although the Constitution as a general matter vests power to define crimes in Congress alone, the modern nondelegation doctrine, it is true, occasionally allows Congress to transfer some responsibility for defining crimes to the executive branch. Hence United States v. Grimaud, 220 U.S. 506 (1911), held that Congress could make it a crime to violate regulations issued by the Secretary of Agriculture. Touby v. United States, 500 U.S. 160 (1991), held that Congress could direct the Attorney General on an emergency basis to figure out which drugs to classify as controlled substances. And United States v. O’Hagan, 521 U.S. 642 (1997), saw nothing objectionable in a law authorizing the Securities and Exchange Commission to make rules combating securities fraud and to make violations of these rules crimes. If the Court allowed Congress to assign responsibility for defining crimes to the executive in those cases, what makes today’s case different?</w:t>
      </w:r>
    </w:p>
    <w:p w14:paraId="4D38048B" w14:textId="77777777" w:rsidR="0095149D" w:rsidRPr="00591015" w:rsidRDefault="0095149D" w:rsidP="0095149D">
      <w:pPr>
        <w:rPr>
          <w:sz w:val="16"/>
        </w:rPr>
      </w:pPr>
      <w:r w:rsidRPr="00591015">
        <w:rPr>
          <w:sz w:val="16"/>
        </w:rPr>
        <w:t xml:space="preserve">The argument overlooks the reality that, if Congress wants to assign the executive branch discretion to define criminal conduct, it must speak “distinctly.” Grimaud, 220 U.S. at 519; United States v. Eaton, 144 U.S. 677, 688 (1892). This </w:t>
      </w:r>
      <w:r w:rsidRPr="00591015">
        <w:rPr>
          <w:rStyle w:val="Emphasis"/>
        </w:rPr>
        <w:t>clear-statement rule</w:t>
      </w:r>
      <w:r w:rsidRPr="00591015">
        <w:rPr>
          <w:rStyle w:val="StyleUnderline"/>
        </w:rPr>
        <w:t xml:space="preserve"> reinforces </w:t>
      </w:r>
      <w:r w:rsidRPr="00591015">
        <w:rPr>
          <w:rStyle w:val="Emphasis"/>
        </w:rPr>
        <w:t>horizontal separation of powers</w:t>
      </w:r>
      <w:r w:rsidRPr="00591015">
        <w:rPr>
          <w:sz w:val="16"/>
        </w:rPr>
        <w:t xml:space="preserve"> in the same way that Gregory v. Ashcroft, 501 U.S. 452 (1991), reinforces vertical separation of powers. It compels Congress to legislate deliberately and explicitly before departing from the Constitution’s traditional distribution of authority. Cases like Grimaud, Touby and O’Hagan respected this express-statement requirement, but the government’s theory flouts it. Under the government’s approach, courts could presume a congressional delegation of authority to create crimes whenever a criminal statute contains a gap. A presumption does not a clear statement make.</w:t>
      </w:r>
    </w:p>
    <w:p w14:paraId="79131BE3" w14:textId="77777777" w:rsidR="0095149D" w:rsidRPr="00591015" w:rsidRDefault="0095149D" w:rsidP="0095149D">
      <w:pPr>
        <w:rPr>
          <w:sz w:val="16"/>
        </w:rPr>
      </w:pPr>
      <w:r w:rsidRPr="00591015">
        <w:rPr>
          <w:sz w:val="16"/>
        </w:rPr>
        <w:t>A related analogy to the Court’s federalism precedents fortifies the point. The Constitution sometimes allows Congress to upset federalism norms provided it legislates clearly. See Gregory, 501 U.S. at 460. But it does not follow that Chevron allows agencies to upset federalism norms when Congress legislates ambiguously. See SWANCC, 531 U.S. at 172–73. In the same way, Congress may sometimes depart from separation-of-powers principles so long as it legislates clearly. But it does not follow that agencies may depart from separation-of-powers principles when Congress legislates ambiguously.</w:t>
      </w:r>
    </w:p>
    <w:p w14:paraId="6D21DA09" w14:textId="77777777" w:rsidR="0095149D" w:rsidRPr="00591015" w:rsidRDefault="0095149D" w:rsidP="0095149D">
      <w:pPr>
        <w:rPr>
          <w:sz w:val="16"/>
        </w:rPr>
      </w:pPr>
      <w:r w:rsidRPr="00591015">
        <w:rPr>
          <w:sz w:val="16"/>
        </w:rPr>
        <w:t xml:space="preserve">Quite apart from the clear-statement rule, the Constitution may well also require Congress to state more than an “intelligible principle” when leaving the definition of crime to the executive. The Supreme Court has suggested that “greater congressional specificity [may be] required in the criminal context.” Touby, 500 U.S. at 166; see Yakus v. United States, 321 U.S. 414, 423–27 (1944). The laws at issue in Grimaud, Touby and O’Hagan honored this principle. But under the government’s approach, </w:t>
      </w:r>
      <w:r w:rsidRPr="00591015">
        <w:rPr>
          <w:rStyle w:val="StyleUnderline"/>
        </w:rPr>
        <w:t xml:space="preserve">an agency could fill a gap in a criminal statute even where Congress provides </w:t>
      </w:r>
      <w:r w:rsidRPr="00591015">
        <w:rPr>
          <w:rStyle w:val="Emphasis"/>
        </w:rPr>
        <w:t>no specific guidance</w:t>
      </w:r>
      <w:r w:rsidRPr="00591015">
        <w:rPr>
          <w:rStyle w:val="StyleUnderline"/>
        </w:rPr>
        <w:t xml:space="preserve"> about how to fill it</w:t>
      </w:r>
      <w:r w:rsidRPr="00591015">
        <w:rPr>
          <w:sz w:val="16"/>
        </w:rPr>
        <w:t>.</w:t>
      </w:r>
    </w:p>
    <w:p w14:paraId="46B66DCD" w14:textId="77777777" w:rsidR="0095149D" w:rsidRPr="00591015" w:rsidRDefault="0095149D" w:rsidP="0095149D">
      <w:pPr>
        <w:rPr>
          <w:sz w:val="16"/>
        </w:rPr>
      </w:pPr>
      <w:r w:rsidRPr="00591015">
        <w:rPr>
          <w:sz w:val="16"/>
        </w:rPr>
        <w:t>The government separately relies heavily on a footnote in Babbitt v. Sweet Home Chapter of Communities for a Great Oregon. 515 U.S. 687, 704 n.18 (1995). Sweet Home arose under the Endangered Species Act, which made it an offense (subject to civil and criminal penalties) to “take” any endangered species. 16 U.S.C. § 1538(a)(1). The Interior Department issued a regulation interpreting this provision to prohibit “significant habitat modification or degradation” that kills or injures protected wildlife. 50 C.F.R. § 17.3 (1994). Before the agency could enforce this regulation, landowners challenged it on its face, claiming that it outstripped the agency’s statutory authority.</w:t>
      </w:r>
    </w:p>
    <w:p w14:paraId="5F9F25EA" w14:textId="77777777" w:rsidR="0095149D" w:rsidRPr="00591015" w:rsidRDefault="0095149D" w:rsidP="0095149D">
      <w:pPr>
        <w:rPr>
          <w:sz w:val="16"/>
        </w:rPr>
      </w:pPr>
      <w:r w:rsidRPr="00591015">
        <w:rPr>
          <w:sz w:val="16"/>
        </w:rPr>
        <w:t>Citing Chevron, the Court gave the interpretation contained in the regulation “some degree of deference.” Sweet Home, 515 U.S. at 703. The Court then dropped this footnote:</w:t>
      </w:r>
    </w:p>
    <w:p w14:paraId="777E770B" w14:textId="77777777" w:rsidR="0095149D" w:rsidRPr="00591015" w:rsidRDefault="0095149D" w:rsidP="0095149D">
      <w:pPr>
        <w:ind w:left="720"/>
        <w:rPr>
          <w:sz w:val="16"/>
        </w:rPr>
      </w:pPr>
      <w:r w:rsidRPr="00591015">
        <w:rPr>
          <w:sz w:val="16"/>
        </w:rPr>
        <w:t>Respondents also argue that the rule of lenity should foreclose any deference to the Secretary’s interpretation . . . because the statute includes criminal penalties. . . . We have applied the rule of lenity in a case raising a narrow question concerning the application of a statute that contains criminal sanctions to a specific factual dispute . . . where no regulation was present. See United States v. Thompson/Center Arms Co., 504 U.S. 505, 517–18 &amp; n. 9 (1992). We have never suggested that the rule of lenity should provide the standard for reviewing facial challenges to administrative regulations whenever the governing statute authorizes criminal enforcement. Even if there exist regulations whose interpretations of statutory criminal penalties provide such inadequate notice of potential liability as to offend the rule of lenity, the [present] regulation, which has existed for two decades and gives a fair warning of its consequences, cannot be one of them.</w:t>
      </w:r>
    </w:p>
    <w:p w14:paraId="49A9D68F" w14:textId="77777777" w:rsidR="0095149D" w:rsidRPr="00591015" w:rsidRDefault="0095149D" w:rsidP="0095149D">
      <w:pPr>
        <w:rPr>
          <w:sz w:val="16"/>
        </w:rPr>
      </w:pPr>
      <w:r w:rsidRPr="00591015">
        <w:rPr>
          <w:sz w:val="16"/>
        </w:rPr>
        <w:t>Id. at 704 n.18. As the government reads it, this passage definitively holds that Chevron deference defeats the rule of lenity.</w:t>
      </w:r>
    </w:p>
    <w:p w14:paraId="139905A4" w14:textId="77777777" w:rsidR="0095149D" w:rsidRPr="00591015" w:rsidRDefault="0095149D" w:rsidP="0095149D">
      <w:pPr>
        <w:rPr>
          <w:sz w:val="16"/>
        </w:rPr>
      </w:pPr>
      <w:r w:rsidRPr="00591015">
        <w:rPr>
          <w:sz w:val="16"/>
        </w:rPr>
        <w:t>That is a lot to ask of a footnote, more it seems to me than these four sentences can reasonably demand. Note first of all that the government’s reading eclipses the justmentioned Grimaud/Eaton line of cases, which hold that, if Congress wants to assign responsibility for crime definition to the executive, it must speak clearly. No one thinks that Chevron-triggering ambiguity satisfies a clear-statement requirement. Did the Court mean to overrule these precedents in a footnote that does not even mention them? Not likely. And a case decided after Sweet Home expressly declines—in a footnote, no less—to decide how the rule of lenity and Chevron interact. See SWANCC, 531 U.S. at 174 n.8. Why did the Court express reluctance to decide a question if, as the government claims, it had already decided it?</w:t>
      </w:r>
    </w:p>
    <w:p w14:paraId="707A2850" w14:textId="77777777" w:rsidR="0095149D" w:rsidRPr="00591015" w:rsidRDefault="0095149D" w:rsidP="0095149D">
      <w:pPr>
        <w:rPr>
          <w:sz w:val="16"/>
        </w:rPr>
      </w:pPr>
      <w:r w:rsidRPr="00591015">
        <w:rPr>
          <w:sz w:val="16"/>
        </w:rPr>
        <w:t>The answer is that Sweet Home’s footnote 18 lends itself to a narrower reading, one that preserves the clear-statement rule applicable in this setting and one that preserves the obligation of courts and agencies to respect the rule of lenity. The footnote merely acknowledges the possibility of a pre-enforcement facial challenge to an agency’s regulation—because the agency had no interpretive authority in the first place, because the agency failed to follow the procedures for promulgating the regulation or because the statute plainly forecloses the agency’s interpretation. Yet not one of these challenges depends on, or demands consideration of, the rule of lenity. Why else would the Court distinguish cases involving “specific factual dispute[s]” from cases “reviewing facial challenges”? What purpose could this distinction serve unless the Court meant to create a rule for facial challenges? Although the footnote mentions that the Interior Department’s two-decade-old regulation comports with one of the rule of lenity’s objectives (promoting fair notice), it says nothing about other regulations or the rule of lenity’s separation-of-powers objective (reinforcing that Congress, not courts or agencies, define crimes). Before accepting the government’s broad reading of the footnote, one would have expected the Court to say more before allowing agencies to trump a doctrine Chief Justice Marshall described as “perhaps not much less old than construction itself.” 5 Wheat. at 95.</w:t>
      </w:r>
    </w:p>
    <w:p w14:paraId="196966B2" w14:textId="77777777" w:rsidR="0095149D" w:rsidRPr="00591015" w:rsidRDefault="0095149D" w:rsidP="0095149D">
      <w:pPr>
        <w:rPr>
          <w:sz w:val="16"/>
        </w:rPr>
      </w:pPr>
      <w:r w:rsidRPr="00591015">
        <w:rPr>
          <w:sz w:val="16"/>
        </w:rPr>
        <w:t>Not only does the age of the rule counsel against sweeping it aside sotto voce in a footnote, but so does its growing significance in interpretive disputes about the meaning of criminal laws. The Court has all but abandoned the practice of interpreting criminal laws against defendants on the basis of legislative history. Compare, e.g., United States v. Santos, 553 U.S. 507, 513 n.3 (2008) (plurality opinion), with, e.g., Dixson v. United States, 465 U.S. 482, 491 (1984); see United States v. R.L.C., 503 U.S. 291, 307–11 (Scalia, J., concurring in the judgment). And it has found lenity-triggering ambiguity in criminal laws more readily of late than it did in the past. Compare, e.g., Santos, 553 U.S. at 513–14, with, e.g., Moskal v. United States, 498 U.S. 103, 108 (1990). Meanwhile, deference has shrunk in reach. The Court has cabined the range of materials entitled to Chevron deference. See, e.g., Mead, 533 U.S. at 231. And it has confirmed that Chevron does not permit an agency to trump other rules of interpretation. See, e.g., St. Cyr, 533 U.S. at 320 n.45. Lenity and Chevron thus look different now than they did when Sweet Home inscrutably footnoted their interaction.</w:t>
      </w:r>
    </w:p>
    <w:p w14:paraId="7B958836" w14:textId="77777777" w:rsidR="0095149D" w:rsidRPr="00591015" w:rsidRDefault="0095149D" w:rsidP="0095149D">
      <w:pPr>
        <w:rPr>
          <w:sz w:val="16"/>
        </w:rPr>
      </w:pPr>
      <w:r w:rsidRPr="00591015">
        <w:rPr>
          <w:rStyle w:val="StyleUnderline"/>
        </w:rPr>
        <w:t>If accepted</w:t>
      </w:r>
      <w:r w:rsidRPr="00591015">
        <w:rPr>
          <w:sz w:val="16"/>
        </w:rPr>
        <w:t xml:space="preserve">, moreover, </w:t>
      </w:r>
      <w:r w:rsidRPr="00591015">
        <w:rPr>
          <w:rStyle w:val="Emphasis"/>
        </w:rPr>
        <w:t>the government’s theory</w:t>
      </w:r>
      <w:r w:rsidRPr="00591015">
        <w:rPr>
          <w:rStyle w:val="StyleUnderline"/>
        </w:rPr>
        <w:t xml:space="preserve"> would mean</w:t>
      </w:r>
      <w:r w:rsidRPr="00591015">
        <w:rPr>
          <w:sz w:val="16"/>
        </w:rPr>
        <w:t xml:space="preserve"> that, </w:t>
      </w:r>
      <w:r w:rsidRPr="00591015">
        <w:rPr>
          <w:rStyle w:val="StyleUnderline"/>
        </w:rPr>
        <w:t>in</w:t>
      </w:r>
      <w:r w:rsidRPr="00591015">
        <w:rPr>
          <w:sz w:val="16"/>
        </w:rPr>
        <w:t xml:space="preserve"> many of </w:t>
      </w:r>
      <w:r w:rsidRPr="00591015">
        <w:rPr>
          <w:rStyle w:val="StyleUnderline"/>
        </w:rPr>
        <w:t xml:space="preserve">the Court’s criminal cases, criminal defendants were </w:t>
      </w:r>
      <w:r w:rsidRPr="00591015">
        <w:rPr>
          <w:rStyle w:val="Emphasis"/>
        </w:rPr>
        <w:t>one agency interpretation</w:t>
      </w:r>
      <w:r w:rsidRPr="00591015">
        <w:rPr>
          <w:rStyle w:val="StyleUnderline"/>
        </w:rPr>
        <w:t xml:space="preserve"> away from </w:t>
      </w:r>
      <w:r w:rsidRPr="00591015">
        <w:rPr>
          <w:rStyle w:val="Emphasis"/>
        </w:rPr>
        <w:t>being incarcerated</w:t>
      </w:r>
      <w:r w:rsidRPr="00591015">
        <w:rPr>
          <w:rStyle w:val="StyleUnderline"/>
        </w:rPr>
        <w:t>. It would mean</w:t>
      </w:r>
      <w:r w:rsidRPr="00591015">
        <w:rPr>
          <w:sz w:val="16"/>
        </w:rPr>
        <w:t xml:space="preserve"> that </w:t>
      </w:r>
      <w:r w:rsidRPr="00591015">
        <w:rPr>
          <w:rStyle w:val="Emphasis"/>
        </w:rPr>
        <w:t>ambiguity</w:t>
      </w:r>
      <w:r w:rsidRPr="00591015">
        <w:rPr>
          <w:sz w:val="16"/>
        </w:rPr>
        <w:t xml:space="preserve"> in the Fair Labor Standards Act </w:t>
      </w:r>
      <w:r w:rsidRPr="00591015">
        <w:rPr>
          <w:rStyle w:val="StyleUnderline"/>
        </w:rPr>
        <w:t>would have allowed the Secretary of Labor to decide</w:t>
      </w:r>
      <w:r w:rsidRPr="00591015">
        <w:rPr>
          <w:sz w:val="16"/>
        </w:rPr>
        <w:t xml:space="preserve"> that </w:t>
      </w:r>
      <w:r w:rsidRPr="00591015">
        <w:rPr>
          <w:rStyle w:val="StyleUnderline"/>
        </w:rPr>
        <w:t xml:space="preserve">an employer commits </w:t>
      </w:r>
      <w:r w:rsidRPr="00591015">
        <w:rPr>
          <w:rStyle w:val="Emphasis"/>
        </w:rPr>
        <w:t>a new crime</w:t>
      </w:r>
      <w:r w:rsidRPr="00591015">
        <w:rPr>
          <w:sz w:val="16"/>
        </w:rPr>
        <w:t xml:space="preserve"> not just when he sets an employee’s salary too low but </w:t>
      </w:r>
      <w:r w:rsidRPr="00591015">
        <w:rPr>
          <w:rStyle w:val="StyleUnderline"/>
        </w:rPr>
        <w:t>each week he underpays the employee</w:t>
      </w:r>
      <w:r w:rsidRPr="00591015">
        <w:rPr>
          <w:sz w:val="16"/>
        </w:rPr>
        <w:t xml:space="preserve">. But see United States v. Universal C.I.T. Credit Corp., 344 U.S. 218 (1952). </w:t>
      </w:r>
      <w:r w:rsidRPr="00591015">
        <w:rPr>
          <w:rStyle w:val="StyleUnderline"/>
        </w:rPr>
        <w:t>It would mean</w:t>
      </w:r>
      <w:r w:rsidRPr="00591015">
        <w:rPr>
          <w:sz w:val="16"/>
        </w:rPr>
        <w:t xml:space="preserve"> that </w:t>
      </w:r>
      <w:r w:rsidRPr="00591015">
        <w:rPr>
          <w:rStyle w:val="StyleUnderline"/>
        </w:rPr>
        <w:t xml:space="preserve">ambiguity in the National Firearms Act would have allowed the Secretary of the Treasury to decide that </w:t>
      </w:r>
      <w:r w:rsidRPr="00591015">
        <w:rPr>
          <w:rStyle w:val="Emphasis"/>
        </w:rPr>
        <w:t>a gun manufacturer</w:t>
      </w:r>
      <w:r w:rsidRPr="00591015">
        <w:rPr>
          <w:rStyle w:val="StyleUnderline"/>
        </w:rPr>
        <w:t xml:space="preserve"> commits a crime when it </w:t>
      </w:r>
      <w:r w:rsidRPr="00591015">
        <w:rPr>
          <w:rStyle w:val="Emphasis"/>
        </w:rPr>
        <w:t>packages a pistol</w:t>
      </w:r>
      <w:r w:rsidRPr="00591015">
        <w:rPr>
          <w:rStyle w:val="StyleUnderline"/>
        </w:rPr>
        <w:t xml:space="preserve"> with a carbine-conversion kit.</w:t>
      </w:r>
      <w:r w:rsidRPr="00591015">
        <w:rPr>
          <w:sz w:val="16"/>
        </w:rPr>
        <w:t xml:space="preserve"> But see United States v. Thompson/Center Arms Co., 504 U.S. 505 (1992). </w:t>
      </w:r>
      <w:r w:rsidRPr="00591015">
        <w:rPr>
          <w:rStyle w:val="StyleUnderline"/>
        </w:rPr>
        <w:t>It would mean</w:t>
      </w:r>
      <w:r w:rsidRPr="00591015">
        <w:rPr>
          <w:sz w:val="16"/>
        </w:rPr>
        <w:t xml:space="preserve"> that </w:t>
      </w:r>
      <w:r w:rsidRPr="00591015">
        <w:rPr>
          <w:rStyle w:val="StyleUnderline"/>
        </w:rPr>
        <w:t xml:space="preserve">ambiguity in the </w:t>
      </w:r>
      <w:r w:rsidRPr="00591015">
        <w:rPr>
          <w:rStyle w:val="Emphasis"/>
        </w:rPr>
        <w:t>I</w:t>
      </w:r>
      <w:r w:rsidRPr="00591015">
        <w:rPr>
          <w:sz w:val="16"/>
        </w:rPr>
        <w:t xml:space="preserve">mmigration and </w:t>
      </w:r>
      <w:r w:rsidRPr="00591015">
        <w:rPr>
          <w:rStyle w:val="Emphasis"/>
        </w:rPr>
        <w:t>N</w:t>
      </w:r>
      <w:r w:rsidRPr="00591015">
        <w:rPr>
          <w:sz w:val="16"/>
        </w:rPr>
        <w:t xml:space="preserve">ationality </w:t>
      </w:r>
      <w:r w:rsidRPr="00591015">
        <w:rPr>
          <w:rStyle w:val="Emphasis"/>
        </w:rPr>
        <w:t>A</w:t>
      </w:r>
      <w:r w:rsidRPr="00591015">
        <w:rPr>
          <w:sz w:val="16"/>
        </w:rPr>
        <w:t xml:space="preserve">ct </w:t>
      </w:r>
      <w:r w:rsidRPr="00591015">
        <w:rPr>
          <w:rStyle w:val="StyleUnderline"/>
        </w:rPr>
        <w:t xml:space="preserve">would have allowed the Attorney General to decide that </w:t>
      </w:r>
      <w:r w:rsidRPr="00591015">
        <w:rPr>
          <w:rStyle w:val="Emphasis"/>
        </w:rPr>
        <w:t>drunk driving</w:t>
      </w:r>
      <w:r w:rsidRPr="00591015">
        <w:rPr>
          <w:rStyle w:val="StyleUnderline"/>
        </w:rPr>
        <w:t xml:space="preserve"> is </w:t>
      </w:r>
      <w:r w:rsidRPr="00591015">
        <w:rPr>
          <w:rStyle w:val="Emphasis"/>
        </w:rPr>
        <w:t>a crime of violence</w:t>
      </w:r>
      <w:r w:rsidRPr="00591015">
        <w:rPr>
          <w:sz w:val="16"/>
        </w:rPr>
        <w:t xml:space="preserve">. But see Leocal v. Ashcroft, 543 U.S. 1 (2004). And </w:t>
      </w:r>
      <w:r w:rsidRPr="00591015">
        <w:rPr>
          <w:rStyle w:val="StyleUnderline"/>
        </w:rPr>
        <w:t>it would mean</w:t>
      </w:r>
      <w:r w:rsidRPr="00591015">
        <w:rPr>
          <w:sz w:val="16"/>
        </w:rPr>
        <w:t xml:space="preserve"> that </w:t>
      </w:r>
      <w:r w:rsidRPr="00591015">
        <w:rPr>
          <w:rStyle w:val="StyleUnderline"/>
        </w:rPr>
        <w:t xml:space="preserve">ambiguity in the </w:t>
      </w:r>
      <w:r w:rsidRPr="00591015">
        <w:rPr>
          <w:rStyle w:val="Emphasis"/>
        </w:rPr>
        <w:t>I</w:t>
      </w:r>
      <w:r w:rsidRPr="00591015">
        <w:rPr>
          <w:sz w:val="16"/>
        </w:rPr>
        <w:t xml:space="preserve">mmigration and </w:t>
      </w:r>
      <w:r w:rsidRPr="00591015">
        <w:rPr>
          <w:rStyle w:val="Emphasis"/>
        </w:rPr>
        <w:t>N</w:t>
      </w:r>
      <w:r w:rsidRPr="00591015">
        <w:rPr>
          <w:sz w:val="16"/>
        </w:rPr>
        <w:t xml:space="preserve">ationality </w:t>
      </w:r>
      <w:r w:rsidRPr="00591015">
        <w:rPr>
          <w:rStyle w:val="Emphasis"/>
        </w:rPr>
        <w:t>A</w:t>
      </w:r>
      <w:r w:rsidRPr="00591015">
        <w:rPr>
          <w:sz w:val="16"/>
        </w:rPr>
        <w:t xml:space="preserve">ct </w:t>
      </w:r>
      <w:r w:rsidRPr="00591015">
        <w:rPr>
          <w:rStyle w:val="StyleUnderline"/>
        </w:rPr>
        <w:t>would have allowed the Attorney General to decide</w:t>
      </w:r>
      <w:r w:rsidRPr="00591015">
        <w:rPr>
          <w:sz w:val="16"/>
        </w:rPr>
        <w:t xml:space="preserve"> that </w:t>
      </w:r>
      <w:r w:rsidRPr="00591015">
        <w:rPr>
          <w:rStyle w:val="Emphasis"/>
        </w:rPr>
        <w:t>first-time drug possession</w:t>
      </w:r>
      <w:r w:rsidRPr="00591015">
        <w:rPr>
          <w:rStyle w:val="StyleUnderline"/>
        </w:rPr>
        <w:t xml:space="preserve"> and </w:t>
      </w:r>
      <w:r w:rsidRPr="00591015">
        <w:rPr>
          <w:rStyle w:val="Emphasis"/>
        </w:rPr>
        <w:t>social sharing of marijuana</w:t>
      </w:r>
      <w:r w:rsidRPr="00591015">
        <w:rPr>
          <w:rStyle w:val="StyleUnderline"/>
        </w:rPr>
        <w:t xml:space="preserve"> are </w:t>
      </w:r>
      <w:r w:rsidRPr="00591015">
        <w:rPr>
          <w:rStyle w:val="Emphasis"/>
        </w:rPr>
        <w:t>drug-trafficking crimes</w:t>
      </w:r>
      <w:r w:rsidRPr="00591015">
        <w:rPr>
          <w:sz w:val="16"/>
        </w:rPr>
        <w:t>. But see Carachuri-Rosendo v. Holder, 560 U.S. 563 (2010); Moncrieffe v. Holder, 133 S. Ct. 1678 (2013).</w:t>
      </w:r>
    </w:p>
    <w:p w14:paraId="32977FBF" w14:textId="77777777" w:rsidR="0095149D" w:rsidRPr="00FC0D83" w:rsidRDefault="0095149D" w:rsidP="0095149D">
      <w:pPr>
        <w:rPr>
          <w:sz w:val="16"/>
        </w:rPr>
      </w:pPr>
      <w:r w:rsidRPr="00591015">
        <w:rPr>
          <w:rStyle w:val="StyleUnderline"/>
        </w:rPr>
        <w:t xml:space="preserve">In the final analysis, the government’s theory gives </w:t>
      </w:r>
      <w:r w:rsidRPr="00591015">
        <w:rPr>
          <w:rStyle w:val="Emphasis"/>
        </w:rPr>
        <w:t>the executive branch</w:t>
      </w:r>
      <w:r w:rsidRPr="00591015">
        <w:rPr>
          <w:rStyle w:val="StyleUnderline"/>
        </w:rPr>
        <w:t xml:space="preserve"> an implied share of the legislature’s power to define crimes. That is no small matter given “</w:t>
      </w:r>
      <w:r w:rsidRPr="00591015">
        <w:rPr>
          <w:rStyle w:val="Emphasis"/>
        </w:rPr>
        <w:t>the growing power</w:t>
      </w:r>
      <w:r w:rsidRPr="00591015">
        <w:rPr>
          <w:rStyle w:val="StyleUnderline"/>
        </w:rPr>
        <w:t xml:space="preserve"> of the administrative state,” </w:t>
      </w:r>
      <w:r w:rsidRPr="00591015">
        <w:rPr>
          <w:sz w:val="16"/>
        </w:rPr>
        <w:t xml:space="preserve">City of Arlington v. FCC, 133 S. Ct. 1863, 1879 (2013) (Roberts, C.J., dissenting), and it is no small matter given the reality that Congress continues to “put[] forth an ever-increasing volume . . . of criminal laws,” Sykes v. United States, 131 S. Ct. 2267, 2288 (2011) (Scalia, J., dissenting). None of the Supreme Court’s decisions requires us to accept this theory; many stand in its way. </w:t>
      </w:r>
      <w:r w:rsidRPr="00591015">
        <w:rPr>
          <w:rStyle w:val="Emphasis"/>
        </w:rPr>
        <w:t>Agencies, no less than courts</w:t>
      </w:r>
      <w:r w:rsidRPr="00591015">
        <w:rPr>
          <w:rStyle w:val="StyleUnderline"/>
        </w:rPr>
        <w:t>, must honor the rule of lenity</w:t>
      </w:r>
      <w:r w:rsidRPr="00591015">
        <w:rPr>
          <w:sz w:val="16"/>
        </w:rPr>
        <w:t>.</w:t>
      </w:r>
    </w:p>
    <w:p w14:paraId="790C8D3D" w14:textId="77777777" w:rsidR="0095149D" w:rsidRDefault="0095149D" w:rsidP="0095149D">
      <w:pPr>
        <w:pStyle w:val="Heading4"/>
      </w:pPr>
      <w:r>
        <w:t xml:space="preserve">It's eminently desirable. </w:t>
      </w:r>
    </w:p>
    <w:p w14:paraId="7193489B" w14:textId="77777777" w:rsidR="0095149D" w:rsidRPr="00244009" w:rsidRDefault="0095149D" w:rsidP="0095149D">
      <w:r w:rsidRPr="004304D3">
        <w:rPr>
          <w:rStyle w:val="Style13ptBold"/>
        </w:rPr>
        <w:t>Taylor 18</w:t>
      </w:r>
      <w:r>
        <w:t xml:space="preserve"> – Carter Gee-Taylor, JD Candidate at the University of Colorado and Associate Editor of their law review. [</w:t>
      </w:r>
      <w:r w:rsidRPr="00244009">
        <w:t>Deference Errors</w:t>
      </w:r>
      <w:r>
        <w:t>: The United States Sentencing Guidelines, Chevron, And the Appellate Presumption of Reasonableness, University of Colorado Law Review, 89(4), http://lawreview.colorado.edu/wp-content/uploads/2018/07/89.4-Gee-Taylor.pdf]//BPS</w:t>
      </w:r>
    </w:p>
    <w:p w14:paraId="3A554E6E" w14:textId="77777777" w:rsidR="0095149D" w:rsidRPr="009C4529" w:rsidRDefault="0095149D" w:rsidP="0095149D">
      <w:pPr>
        <w:rPr>
          <w:sz w:val="16"/>
        </w:rPr>
      </w:pPr>
      <w:r w:rsidRPr="009C4529">
        <w:rPr>
          <w:sz w:val="16"/>
        </w:rPr>
        <w:t>B. Chevron Is Inapplicable to Criminal Law and Best Serves Civil Cases</w:t>
      </w:r>
    </w:p>
    <w:p w14:paraId="75AEAFFE" w14:textId="77777777" w:rsidR="0095149D" w:rsidRPr="009C4529" w:rsidRDefault="0095149D" w:rsidP="0095149D">
      <w:pPr>
        <w:rPr>
          <w:sz w:val="16"/>
        </w:rPr>
      </w:pPr>
      <w:r w:rsidRPr="009C4529">
        <w:rPr>
          <w:sz w:val="16"/>
        </w:rPr>
        <w:t xml:space="preserve">Simmering below the surface of recent scholarship and Supreme Court precedent is a fundamental concern with administrative involvement with criminal law.280 This line of caselaw seems to be motivated by one compelling observation: </w:t>
      </w:r>
      <w:r w:rsidRPr="00A51193">
        <w:rPr>
          <w:rStyle w:val="Emphasis"/>
        </w:rPr>
        <w:t>criminal law</w:t>
      </w:r>
      <w:r w:rsidRPr="00A51193">
        <w:rPr>
          <w:rStyle w:val="StyleUnderline"/>
        </w:rPr>
        <w:t xml:space="preserve"> is </w:t>
      </w:r>
      <w:r w:rsidRPr="00A51193">
        <w:rPr>
          <w:rStyle w:val="Emphasis"/>
        </w:rPr>
        <w:t>different</w:t>
      </w:r>
      <w:r w:rsidRPr="009C4529">
        <w:rPr>
          <w:sz w:val="16"/>
        </w:rPr>
        <w:t>. “Because of the seriousness of criminal penalties, and because criminal punishment usually represents the moral condemnation of the community,” special attention should be given when an institution besides the judiciary is involved in determining criminal penalties.281 In short, looking at the aspects of criminal law that are unique, Article III judges should impose sentences, not an independent Commission.</w:t>
      </w:r>
    </w:p>
    <w:p w14:paraId="49A2A1E7" w14:textId="77777777" w:rsidR="0095149D" w:rsidRPr="009C4529" w:rsidRDefault="0095149D" w:rsidP="0095149D">
      <w:pPr>
        <w:rPr>
          <w:sz w:val="16"/>
        </w:rPr>
      </w:pPr>
      <w:r w:rsidRPr="009C4529">
        <w:rPr>
          <w:sz w:val="16"/>
        </w:rPr>
        <w:t xml:space="preserve">Scholars and judges have recently questioned whether administrative agencies should be involved in defining criminal conduct.282 The majority of this critique has come through criticism of agency interpretation of so-called “hybrid statutes.”283 </w:t>
      </w:r>
      <w:r w:rsidRPr="00456038">
        <w:rPr>
          <w:rStyle w:val="Emphasis"/>
          <w:highlight w:val="cyan"/>
        </w:rPr>
        <w:t>Hybrid statutes</w:t>
      </w:r>
      <w:r w:rsidRPr="00456038">
        <w:rPr>
          <w:rStyle w:val="StyleUnderline"/>
          <w:highlight w:val="cyan"/>
        </w:rPr>
        <w:t xml:space="preserve"> regulate</w:t>
      </w:r>
      <w:r w:rsidRPr="00A51193">
        <w:rPr>
          <w:rStyle w:val="StyleUnderline"/>
        </w:rPr>
        <w:t xml:space="preserve"> conduct through </w:t>
      </w:r>
      <w:r w:rsidRPr="00A51193">
        <w:rPr>
          <w:rStyle w:val="Emphasis"/>
        </w:rPr>
        <w:t xml:space="preserve">both </w:t>
      </w:r>
      <w:r w:rsidRPr="00456038">
        <w:rPr>
          <w:rStyle w:val="Emphasis"/>
          <w:highlight w:val="cyan"/>
        </w:rPr>
        <w:t>criminal</w:t>
      </w:r>
      <w:r w:rsidRPr="00A51193">
        <w:rPr>
          <w:rStyle w:val="Emphasis"/>
        </w:rPr>
        <w:t xml:space="preserve"> and civil </w:t>
      </w:r>
      <w:r w:rsidRPr="00456038">
        <w:rPr>
          <w:rStyle w:val="Emphasis"/>
          <w:highlight w:val="cyan"/>
        </w:rPr>
        <w:t>penalties</w:t>
      </w:r>
      <w:r w:rsidRPr="009C4529">
        <w:rPr>
          <w:sz w:val="16"/>
        </w:rPr>
        <w:t>.284 One of the earliest examples of a hybrid statute is the Sherman Act.285 That Act creates criminal penalties in sections 1 and 2, but allows for private civil actions in section 15. Prominent agencies like the FTC286 and EPA287 exercise jurisdiction over these so-called hybrid statutes.</w:t>
      </w:r>
    </w:p>
    <w:p w14:paraId="7F29F3DB" w14:textId="77777777" w:rsidR="0095149D" w:rsidRPr="009C4529" w:rsidRDefault="0095149D" w:rsidP="0095149D">
      <w:pPr>
        <w:rPr>
          <w:sz w:val="16"/>
        </w:rPr>
      </w:pPr>
      <w:r w:rsidRPr="00A51193">
        <w:rPr>
          <w:rStyle w:val="StyleUnderline"/>
        </w:rPr>
        <w:t>Scholars argue</w:t>
      </w:r>
      <w:r w:rsidRPr="009C4529">
        <w:rPr>
          <w:sz w:val="16"/>
        </w:rPr>
        <w:t xml:space="preserve"> that </w:t>
      </w:r>
      <w:r w:rsidRPr="00456038">
        <w:rPr>
          <w:rStyle w:val="Emphasis"/>
          <w:highlight w:val="cyan"/>
        </w:rPr>
        <w:t>Chevron</w:t>
      </w:r>
      <w:r w:rsidRPr="00A51193">
        <w:rPr>
          <w:rStyle w:val="Emphasis"/>
        </w:rPr>
        <w:t xml:space="preserve"> deference</w:t>
      </w:r>
      <w:r w:rsidRPr="00A51193">
        <w:rPr>
          <w:rStyle w:val="StyleUnderline"/>
        </w:rPr>
        <w:t xml:space="preserve"> </w:t>
      </w:r>
      <w:r w:rsidRPr="00456038">
        <w:rPr>
          <w:rStyle w:val="StyleUnderline"/>
          <w:highlight w:val="cyan"/>
        </w:rPr>
        <w:t>should not be applied to</w:t>
      </w:r>
      <w:r w:rsidRPr="00A51193">
        <w:rPr>
          <w:rStyle w:val="StyleUnderline"/>
        </w:rPr>
        <w:t xml:space="preserve"> </w:t>
      </w:r>
      <w:r w:rsidRPr="00A51193">
        <w:rPr>
          <w:rStyle w:val="Emphasis"/>
        </w:rPr>
        <w:t>agency interpretation</w:t>
      </w:r>
      <w:r w:rsidRPr="00A51193">
        <w:rPr>
          <w:rStyle w:val="StyleUnderline"/>
        </w:rPr>
        <w:t xml:space="preserve"> of </w:t>
      </w:r>
      <w:r w:rsidRPr="00A51193">
        <w:rPr>
          <w:rStyle w:val="Emphasis"/>
        </w:rPr>
        <w:t xml:space="preserve">the </w:t>
      </w:r>
      <w:r w:rsidRPr="00456038">
        <w:rPr>
          <w:rStyle w:val="Emphasis"/>
          <w:highlight w:val="cyan"/>
        </w:rPr>
        <w:t>criminal aspects</w:t>
      </w:r>
      <w:r w:rsidRPr="00A51193">
        <w:rPr>
          <w:rStyle w:val="StyleUnderline"/>
        </w:rPr>
        <w:t xml:space="preserve"> of</w:t>
      </w:r>
      <w:r w:rsidRPr="009C4529">
        <w:rPr>
          <w:sz w:val="16"/>
        </w:rPr>
        <w:t xml:space="preserve"> these </w:t>
      </w:r>
      <w:r w:rsidRPr="00A51193">
        <w:rPr>
          <w:rStyle w:val="Emphasis"/>
        </w:rPr>
        <w:t>hybrid statutes</w:t>
      </w:r>
      <w:r w:rsidRPr="00A51193">
        <w:rPr>
          <w:rStyle w:val="StyleUnderline"/>
        </w:rPr>
        <w:t xml:space="preserve"> because </w:t>
      </w:r>
      <w:r w:rsidRPr="00456038">
        <w:rPr>
          <w:rStyle w:val="StyleUnderline"/>
          <w:highlight w:val="cyan"/>
        </w:rPr>
        <w:t>criminal law is</w:t>
      </w:r>
      <w:r w:rsidRPr="00A51193">
        <w:rPr>
          <w:rStyle w:val="StyleUnderline"/>
        </w:rPr>
        <w:t xml:space="preserve"> </w:t>
      </w:r>
      <w:r w:rsidRPr="00A51193">
        <w:rPr>
          <w:rStyle w:val="Emphasis"/>
        </w:rPr>
        <w:t xml:space="preserve">fundamentally </w:t>
      </w:r>
      <w:r w:rsidRPr="00456038">
        <w:rPr>
          <w:rStyle w:val="Emphasis"/>
          <w:highlight w:val="cyan"/>
        </w:rPr>
        <w:t>different</w:t>
      </w:r>
      <w:r w:rsidRPr="009C4529">
        <w:rPr>
          <w:sz w:val="16"/>
        </w:rPr>
        <w:t xml:space="preserve">. Sanford Greenberg, for example, argues that the doctrine of lenity288 and Chevron deference are incompatible, and that this incongruity requires that a criminal liability exception be read into Chevron.289 In his article, Mr. Greenberg argues that the rule of lenity conflicts with Chevron deference because agencies, unlike courts, are not bound to interpret criminal penalties in hybrid statutes narrowly.290 He maintains that </w:t>
      </w:r>
      <w:r w:rsidRPr="00A51193">
        <w:rPr>
          <w:rStyle w:val="StyleUnderline"/>
        </w:rPr>
        <w:t xml:space="preserve">the freedom of </w:t>
      </w:r>
      <w:r w:rsidRPr="00456038">
        <w:rPr>
          <w:rStyle w:val="StyleUnderline"/>
          <w:highlight w:val="cyan"/>
        </w:rPr>
        <w:t>agencies</w:t>
      </w:r>
      <w:r w:rsidRPr="00A51193">
        <w:rPr>
          <w:rStyle w:val="StyleUnderline"/>
        </w:rPr>
        <w:t xml:space="preserve"> to interpret </w:t>
      </w:r>
      <w:r w:rsidRPr="00A51193">
        <w:rPr>
          <w:rStyle w:val="Emphasis"/>
        </w:rPr>
        <w:t>administrative crimes broadly</w:t>
      </w:r>
      <w:r w:rsidRPr="009C4529">
        <w:rPr>
          <w:rStyle w:val="StyleUnderline"/>
        </w:rPr>
        <w:t xml:space="preserve"> </w:t>
      </w:r>
      <w:r w:rsidRPr="00456038">
        <w:rPr>
          <w:rStyle w:val="StyleUnderline"/>
          <w:highlight w:val="cyan"/>
        </w:rPr>
        <w:t>undercuts</w:t>
      </w:r>
      <w:r w:rsidRPr="00A51193">
        <w:rPr>
          <w:rStyle w:val="StyleUnderline"/>
        </w:rPr>
        <w:t xml:space="preserve"> the lenity doctrine’s</w:t>
      </w:r>
      <w:r w:rsidRPr="009C4529">
        <w:rPr>
          <w:sz w:val="16"/>
        </w:rPr>
        <w:t xml:space="preserve"> three-part </w:t>
      </w:r>
      <w:r w:rsidRPr="00A51193">
        <w:rPr>
          <w:rStyle w:val="StyleUnderline"/>
        </w:rPr>
        <w:t xml:space="preserve">justification of </w:t>
      </w:r>
      <w:r w:rsidRPr="009C4529">
        <w:rPr>
          <w:rStyle w:val="Emphasis"/>
        </w:rPr>
        <w:t>legislative supremacy</w:t>
      </w:r>
      <w:r w:rsidRPr="009C4529">
        <w:rPr>
          <w:sz w:val="16"/>
        </w:rPr>
        <w:t xml:space="preserve">, fair warning, </w:t>
      </w:r>
      <w:r w:rsidRPr="00A51193">
        <w:rPr>
          <w:rStyle w:val="StyleUnderline"/>
        </w:rPr>
        <w:t xml:space="preserve">and </w:t>
      </w:r>
      <w:r w:rsidRPr="00456038">
        <w:rPr>
          <w:rStyle w:val="Emphasis"/>
          <w:highlight w:val="cyan"/>
        </w:rPr>
        <w:t>s</w:t>
      </w:r>
      <w:r w:rsidRPr="00A51193">
        <w:rPr>
          <w:rStyle w:val="Emphasis"/>
        </w:rPr>
        <w:t xml:space="preserve">eparation </w:t>
      </w:r>
      <w:r w:rsidRPr="00456038">
        <w:rPr>
          <w:rStyle w:val="Emphasis"/>
          <w:highlight w:val="cyan"/>
        </w:rPr>
        <w:t>o</w:t>
      </w:r>
      <w:r w:rsidRPr="00A51193">
        <w:rPr>
          <w:rStyle w:val="Emphasis"/>
        </w:rPr>
        <w:t xml:space="preserve">f </w:t>
      </w:r>
      <w:r w:rsidRPr="00456038">
        <w:rPr>
          <w:rStyle w:val="Emphasis"/>
          <w:highlight w:val="cyan"/>
        </w:rPr>
        <w:t>p</w:t>
      </w:r>
      <w:r w:rsidRPr="00A51193">
        <w:rPr>
          <w:rStyle w:val="Emphasis"/>
        </w:rPr>
        <w:t>owers</w:t>
      </w:r>
      <w:r w:rsidRPr="009C4529">
        <w:rPr>
          <w:sz w:val="16"/>
        </w:rPr>
        <w:t>.291</w:t>
      </w:r>
    </w:p>
    <w:p w14:paraId="077D09B4" w14:textId="77777777" w:rsidR="0095149D" w:rsidRPr="009C4529" w:rsidRDefault="0095149D" w:rsidP="0095149D">
      <w:pPr>
        <w:rPr>
          <w:sz w:val="16"/>
        </w:rPr>
      </w:pPr>
      <w:r w:rsidRPr="009C4529">
        <w:rPr>
          <w:sz w:val="16"/>
        </w:rPr>
        <w:t>While the Supreme Court has not squarely confronted a conflict between an agency interpretation and the rule of lenity, the Court at least has expressed concern over hybrid statutes intruding on the values furthered by the lenity doctrine.292 Beginning in 1992, the Supreme Court announced a line of cases that construed civil statutes narrowly because of their potential criminal implications.293 Extrapolating from these cases, one can reasonably conclude that the Supreme Court also recognizes a distinction between criminal and civil law that undercuts the de facto Chevron deference operationalized by the presumption of reasonableness.</w:t>
      </w:r>
    </w:p>
    <w:p w14:paraId="62E9FCA7" w14:textId="77777777" w:rsidR="0095149D" w:rsidRPr="009C4529" w:rsidRDefault="0095149D" w:rsidP="0095149D">
      <w:pPr>
        <w:rPr>
          <w:sz w:val="16"/>
        </w:rPr>
      </w:pPr>
      <w:r w:rsidRPr="009C4529">
        <w:rPr>
          <w:sz w:val="16"/>
        </w:rPr>
        <w:t>This line of cases began in United States v. Thompson/ Center Arms Co.294 There, while recognizing that it was construing a tax provision in a civil context,295 the Court nevertheless applied the rule of lenity.296 It explained that the definition of firearm in this context could have potential criminal consequences for certain parties.297 Recognizing this possibility, the Court held that it was proper “to apply the rule of lenity and resolve the ambiguity in Thompson/Center’s favor.”298</w:t>
      </w:r>
    </w:p>
    <w:p w14:paraId="458E90B3" w14:textId="77777777" w:rsidR="0095149D" w:rsidRPr="009C4529" w:rsidRDefault="0095149D" w:rsidP="0095149D">
      <w:pPr>
        <w:rPr>
          <w:sz w:val="16"/>
        </w:rPr>
      </w:pPr>
      <w:r w:rsidRPr="009C4529">
        <w:rPr>
          <w:sz w:val="16"/>
        </w:rPr>
        <w:t>Twelve years later, the Court affirmed this reasoning through two cases involving civil application of a statute that could have criminal repercussions.299 In Leocal v. Ashcroft, the Court issued dicta that the rule of lenity would limit the statutory definition of a “crime of violence” in a deportation context because of the possible criminal applications.300 In Clark v. Martinez, the Court delivered further dicta that, in reference to laws with possible criminal application, “the lowest common denominator, as it were, must govern.”301</w:t>
      </w:r>
    </w:p>
    <w:p w14:paraId="0951EA70" w14:textId="77777777" w:rsidR="0095149D" w:rsidRPr="009C4529" w:rsidRDefault="0095149D" w:rsidP="0095149D">
      <w:pPr>
        <w:rPr>
          <w:sz w:val="16"/>
        </w:rPr>
      </w:pPr>
      <w:r w:rsidRPr="00A51193">
        <w:rPr>
          <w:rStyle w:val="StyleUnderline"/>
        </w:rPr>
        <w:t xml:space="preserve">The </w:t>
      </w:r>
      <w:r w:rsidRPr="009C4529">
        <w:rPr>
          <w:sz w:val="16"/>
        </w:rPr>
        <w:t xml:space="preserve">Court’s application of the rule of lenity to civil statutes with criminal implications, and the academy’s concern of Chevron’s ability to frustrate the purpose of that rule, suggests that </w:t>
      </w:r>
      <w:r w:rsidRPr="00A51193">
        <w:rPr>
          <w:rStyle w:val="StyleUnderline"/>
        </w:rPr>
        <w:t xml:space="preserve">the rule of </w:t>
      </w:r>
      <w:r w:rsidRPr="00456038">
        <w:rPr>
          <w:rStyle w:val="StyleUnderline"/>
          <w:highlight w:val="cyan"/>
        </w:rPr>
        <w:t>lenity</w:t>
      </w:r>
      <w:r w:rsidRPr="00A51193">
        <w:rPr>
          <w:rStyle w:val="StyleUnderline"/>
        </w:rPr>
        <w:t xml:space="preserve"> </w:t>
      </w:r>
      <w:r w:rsidRPr="00A51193">
        <w:rPr>
          <w:rStyle w:val="Emphasis"/>
        </w:rPr>
        <w:t xml:space="preserve">reasonably </w:t>
      </w:r>
      <w:r w:rsidRPr="00456038">
        <w:rPr>
          <w:rStyle w:val="Emphasis"/>
          <w:highlight w:val="cyan"/>
        </w:rPr>
        <w:t>denies</w:t>
      </w:r>
      <w:r w:rsidRPr="00456038">
        <w:rPr>
          <w:rStyle w:val="StyleUnderline"/>
          <w:highlight w:val="cyan"/>
        </w:rPr>
        <w:t xml:space="preserve"> agencies the ability to interpret </w:t>
      </w:r>
      <w:r w:rsidRPr="00456038">
        <w:rPr>
          <w:rStyle w:val="Emphasis"/>
          <w:highlight w:val="cyan"/>
        </w:rPr>
        <w:t>criminal statutes</w:t>
      </w:r>
      <w:r w:rsidRPr="00456038">
        <w:rPr>
          <w:rStyle w:val="StyleUnderline"/>
          <w:highlight w:val="cyan"/>
        </w:rPr>
        <w:t>. This was the position of</w:t>
      </w:r>
      <w:r w:rsidRPr="00A51193">
        <w:rPr>
          <w:rStyle w:val="StyleUnderline"/>
        </w:rPr>
        <w:t xml:space="preserve"> </w:t>
      </w:r>
      <w:r w:rsidRPr="00A51193">
        <w:rPr>
          <w:rStyle w:val="Emphasis"/>
        </w:rPr>
        <w:t xml:space="preserve">Justices </w:t>
      </w:r>
      <w:r w:rsidRPr="00456038">
        <w:rPr>
          <w:rStyle w:val="Emphasis"/>
          <w:highlight w:val="cyan"/>
        </w:rPr>
        <w:t>Scalia and Thomas</w:t>
      </w:r>
      <w:r w:rsidRPr="00456038">
        <w:rPr>
          <w:rStyle w:val="StyleUnderline"/>
          <w:highlight w:val="cyan"/>
        </w:rPr>
        <w:t xml:space="preserve"> when they </w:t>
      </w:r>
      <w:r w:rsidRPr="00456038">
        <w:rPr>
          <w:rStyle w:val="Emphasis"/>
          <w:highlight w:val="cyan"/>
        </w:rPr>
        <w:t>dissented</w:t>
      </w:r>
      <w:r w:rsidRPr="00A51193">
        <w:rPr>
          <w:rStyle w:val="StyleUnderline"/>
        </w:rPr>
        <w:t xml:space="preserve"> from </w:t>
      </w:r>
      <w:r w:rsidRPr="00A51193">
        <w:rPr>
          <w:rStyle w:val="Emphasis"/>
        </w:rPr>
        <w:t>a denial of certiorari</w:t>
      </w:r>
      <w:r w:rsidRPr="009C4529">
        <w:rPr>
          <w:sz w:val="16"/>
        </w:rPr>
        <w:t xml:space="preserve"> in 2014.302 In that case, the Second Circuit deferred to the Securities and Exchange Commission’s interpretation of a provision permitting criminal prosecution.303 Justice </w:t>
      </w:r>
      <w:r w:rsidRPr="00A51193">
        <w:rPr>
          <w:rStyle w:val="StyleUnderline"/>
        </w:rPr>
        <w:t>Scalia</w:t>
      </w:r>
      <w:r w:rsidRPr="009C4529">
        <w:rPr>
          <w:sz w:val="16"/>
        </w:rPr>
        <w:t xml:space="preserve"> strongly objected to the Second Circuit’s decision. He </w:t>
      </w:r>
      <w:r w:rsidRPr="00A51193">
        <w:rPr>
          <w:rStyle w:val="StyleUnderline"/>
        </w:rPr>
        <w:t xml:space="preserve">was </w:t>
      </w:r>
      <w:r w:rsidRPr="00456038">
        <w:rPr>
          <w:rStyle w:val="Emphasis"/>
          <w:highlight w:val="cyan"/>
        </w:rPr>
        <w:t>adamant</w:t>
      </w:r>
      <w:r w:rsidRPr="009C4529">
        <w:rPr>
          <w:sz w:val="16"/>
        </w:rPr>
        <w:t xml:space="preserve"> that </w:t>
      </w:r>
      <w:r w:rsidRPr="00456038">
        <w:rPr>
          <w:rStyle w:val="StyleUnderline"/>
          <w:highlight w:val="cyan"/>
        </w:rPr>
        <w:t xml:space="preserve">“[a] court owes </w:t>
      </w:r>
      <w:r w:rsidRPr="00456038">
        <w:rPr>
          <w:rStyle w:val="Emphasis"/>
          <w:highlight w:val="cyan"/>
        </w:rPr>
        <w:t>no deference</w:t>
      </w:r>
      <w:r w:rsidRPr="00456038">
        <w:rPr>
          <w:rStyle w:val="StyleUnderline"/>
          <w:highlight w:val="cyan"/>
        </w:rPr>
        <w:t xml:space="preserve"> to</w:t>
      </w:r>
      <w:r w:rsidRPr="00A51193">
        <w:rPr>
          <w:rStyle w:val="StyleUnderline"/>
        </w:rPr>
        <w:t xml:space="preserve"> the </w:t>
      </w:r>
      <w:r w:rsidRPr="009C4529">
        <w:rPr>
          <w:rStyle w:val="Emphasis"/>
        </w:rPr>
        <w:t>prosecution’s</w:t>
      </w:r>
      <w:r w:rsidRPr="00A51193">
        <w:rPr>
          <w:rStyle w:val="Emphasis"/>
        </w:rPr>
        <w:t xml:space="preserve"> </w:t>
      </w:r>
      <w:r w:rsidRPr="00456038">
        <w:rPr>
          <w:rStyle w:val="Emphasis"/>
          <w:highlight w:val="cyan"/>
        </w:rPr>
        <w:t>interpretation</w:t>
      </w:r>
      <w:r w:rsidRPr="00456038">
        <w:rPr>
          <w:rStyle w:val="StyleUnderline"/>
          <w:highlight w:val="cyan"/>
        </w:rPr>
        <w:t xml:space="preserve"> of a criminal law,”</w:t>
      </w:r>
      <w:r w:rsidRPr="00A51193">
        <w:rPr>
          <w:rStyle w:val="StyleUnderline"/>
        </w:rPr>
        <w:t xml:space="preserve"> and</w:t>
      </w:r>
      <w:r w:rsidRPr="009C4529">
        <w:rPr>
          <w:sz w:val="16"/>
        </w:rPr>
        <w:t xml:space="preserve"> that </w:t>
      </w:r>
      <w:r w:rsidRPr="00456038">
        <w:rPr>
          <w:rStyle w:val="StyleUnderline"/>
          <w:highlight w:val="cyan"/>
        </w:rPr>
        <w:t xml:space="preserve">“[c]riminal statutes are for </w:t>
      </w:r>
      <w:r w:rsidRPr="00456038">
        <w:rPr>
          <w:rStyle w:val="Emphasis"/>
          <w:highlight w:val="cyan"/>
        </w:rPr>
        <w:t>the courts</w:t>
      </w:r>
      <w:r w:rsidRPr="00A51193">
        <w:rPr>
          <w:rStyle w:val="Emphasis"/>
        </w:rPr>
        <w:t>, not the Government</w:t>
      </w:r>
      <w:r w:rsidRPr="00A51193">
        <w:rPr>
          <w:rStyle w:val="StyleUnderline"/>
        </w:rPr>
        <w:t xml:space="preserve">, </w:t>
      </w:r>
      <w:r w:rsidRPr="00456038">
        <w:rPr>
          <w:rStyle w:val="StyleUnderline"/>
          <w:highlight w:val="cyan"/>
        </w:rPr>
        <w:t>to construe.”</w:t>
      </w:r>
      <w:r w:rsidRPr="009C4529">
        <w:rPr>
          <w:sz w:val="16"/>
        </w:rPr>
        <w:t xml:space="preserve">304 Citing to the Thompson/Center line of cases, Justice </w:t>
      </w:r>
      <w:r w:rsidRPr="00A51193">
        <w:rPr>
          <w:rStyle w:val="StyleUnderline"/>
        </w:rPr>
        <w:t>Scalia argued</w:t>
      </w:r>
      <w:r w:rsidRPr="009C4529">
        <w:rPr>
          <w:sz w:val="16"/>
        </w:rPr>
        <w:t xml:space="preserve"> that the rule of </w:t>
      </w:r>
      <w:r w:rsidRPr="00A51193">
        <w:rPr>
          <w:rStyle w:val="StyleUnderline"/>
        </w:rPr>
        <w:t>lenity should control on hybrid statutes</w:t>
      </w:r>
      <w:r w:rsidRPr="009C4529">
        <w:rPr>
          <w:sz w:val="16"/>
        </w:rPr>
        <w:t>.305 He admonished the Second Circuit’s holding as replacing “the doctrine of lenity with a doctrine of severity.”306</w:t>
      </w:r>
    </w:p>
    <w:p w14:paraId="269B8223" w14:textId="77777777" w:rsidR="0095149D" w:rsidRPr="009C4529" w:rsidRDefault="0095149D" w:rsidP="0095149D">
      <w:pPr>
        <w:rPr>
          <w:sz w:val="16"/>
        </w:rPr>
      </w:pPr>
      <w:r w:rsidRPr="009C4529">
        <w:rPr>
          <w:sz w:val="16"/>
        </w:rPr>
        <w:t>Footnote 302 begins:</w:t>
      </w:r>
    </w:p>
    <w:p w14:paraId="36DC3C14" w14:textId="77777777" w:rsidR="0095149D" w:rsidRPr="009C4529" w:rsidRDefault="0095149D" w:rsidP="0095149D">
      <w:pPr>
        <w:rPr>
          <w:sz w:val="16"/>
        </w:rPr>
      </w:pPr>
      <w:r w:rsidRPr="009C4529">
        <w:rPr>
          <w:sz w:val="16"/>
        </w:rPr>
        <w:t xml:space="preserve">302. Whitman v. United States, 135 S. Ct. 352, 353–54 (2014) (Scalia, J., dissenting from denial of certiorari). </w:t>
      </w:r>
      <w:r w:rsidRPr="00A51193">
        <w:rPr>
          <w:rStyle w:val="StyleUnderline"/>
        </w:rPr>
        <w:t>The Court recently had the opportunity to consider</w:t>
      </w:r>
      <w:r w:rsidRPr="009C4529">
        <w:rPr>
          <w:sz w:val="16"/>
        </w:rPr>
        <w:t xml:space="preserve"> Justice </w:t>
      </w:r>
      <w:r w:rsidRPr="00A51193">
        <w:rPr>
          <w:rStyle w:val="StyleUnderline"/>
        </w:rPr>
        <w:t>Scalia’s argument</w:t>
      </w:r>
      <w:r w:rsidRPr="009C4529">
        <w:rPr>
          <w:sz w:val="16"/>
        </w:rPr>
        <w:t xml:space="preserve">. However, </w:t>
      </w:r>
      <w:r w:rsidRPr="00A51193">
        <w:rPr>
          <w:rStyle w:val="StyleUnderline"/>
        </w:rPr>
        <w:t>it did not do much</w:t>
      </w:r>
      <w:r w:rsidRPr="009C4529">
        <w:rPr>
          <w:sz w:val="16"/>
        </w:rPr>
        <w:t xml:space="preserve"> with it. </w:t>
      </w:r>
      <w:r w:rsidRPr="00A51193">
        <w:rPr>
          <w:rStyle w:val="StyleUnderline"/>
        </w:rPr>
        <w:t>The Court used only a few lines to find</w:t>
      </w:r>
      <w:r w:rsidRPr="009C4529">
        <w:rPr>
          <w:sz w:val="16"/>
        </w:rPr>
        <w:t xml:space="preserve"> that </w:t>
      </w:r>
      <w:r w:rsidRPr="00A51193">
        <w:rPr>
          <w:rStyle w:val="StyleUnderline"/>
        </w:rPr>
        <w:t>neither Chevron nor lenity applied</w:t>
      </w:r>
      <w:r w:rsidRPr="009C4529">
        <w:rPr>
          <w:sz w:val="16"/>
        </w:rPr>
        <w:t xml:space="preserve"> to the Board of Immigration Appeal’s interpretation of “aggravated felony.” Esquivel-Quintana v. Sessions, 137 S. Ct. 1562, 1572 (2017).</w:t>
      </w:r>
    </w:p>
    <w:p w14:paraId="39F98A0E" w14:textId="77777777" w:rsidR="0095149D" w:rsidRPr="009C4529" w:rsidRDefault="0095149D" w:rsidP="0095149D">
      <w:pPr>
        <w:rPr>
          <w:sz w:val="16"/>
        </w:rPr>
      </w:pPr>
      <w:r w:rsidRPr="009C4529">
        <w:rPr>
          <w:sz w:val="16"/>
        </w:rPr>
        <w:t>The article continues:</w:t>
      </w:r>
    </w:p>
    <w:p w14:paraId="35321D2B" w14:textId="77777777" w:rsidR="0095149D" w:rsidRPr="009C4529" w:rsidRDefault="0095149D" w:rsidP="0095149D">
      <w:pPr>
        <w:rPr>
          <w:sz w:val="16"/>
        </w:rPr>
      </w:pPr>
      <w:r w:rsidRPr="009C4529">
        <w:rPr>
          <w:sz w:val="16"/>
        </w:rPr>
        <w:t xml:space="preserve">While all of this concern over the (lack of) application of the doctrine of lenity arises in the context of agencies interpreting criminal statutes, the concerns voiced by scholars, </w:t>
      </w:r>
      <w:r w:rsidRPr="004B1F6C">
        <w:rPr>
          <w:rStyle w:val="StyleUnderline"/>
        </w:rPr>
        <w:t>the Court</w:t>
      </w:r>
      <w:r w:rsidRPr="009C4529">
        <w:rPr>
          <w:sz w:val="16"/>
        </w:rPr>
        <w:t xml:space="preserve">, and Justices </w:t>
      </w:r>
      <w:r w:rsidRPr="004B1F6C">
        <w:rPr>
          <w:rStyle w:val="StyleUnderline"/>
        </w:rPr>
        <w:t xml:space="preserve">Scalia and Thomas ground themselves in </w:t>
      </w:r>
      <w:r w:rsidRPr="004B1F6C">
        <w:rPr>
          <w:rStyle w:val="Emphasis"/>
        </w:rPr>
        <w:t>a deeper discomfort</w:t>
      </w:r>
      <w:r w:rsidRPr="004B1F6C">
        <w:rPr>
          <w:rStyle w:val="StyleUnderline"/>
        </w:rPr>
        <w:t xml:space="preserve"> with the government’s involvement in determining </w:t>
      </w:r>
      <w:r w:rsidRPr="004B1F6C">
        <w:rPr>
          <w:rStyle w:val="Emphasis"/>
        </w:rPr>
        <w:t>criminal liability</w:t>
      </w:r>
      <w:r w:rsidRPr="00F14CB6">
        <w:rPr>
          <w:rStyle w:val="StyleUnderline"/>
        </w:rPr>
        <w:t>, and</w:t>
      </w:r>
      <w:r w:rsidRPr="009C4529">
        <w:rPr>
          <w:sz w:val="16"/>
        </w:rPr>
        <w:t>—relevant here—</w:t>
      </w:r>
      <w:r w:rsidRPr="004B1F6C">
        <w:rPr>
          <w:rStyle w:val="Emphasis"/>
        </w:rPr>
        <w:t>criminal penalties</w:t>
      </w:r>
      <w:r w:rsidRPr="009C4529">
        <w:rPr>
          <w:sz w:val="16"/>
        </w:rPr>
        <w:t>. This discomfort seems to arise out of a belief that criminal law is fundamentally different from civil law—the usual context for administrative agencies. Examining the Sentencing Commission through the lens of lenity explains this fundamental belief of the courts and reveals the problematic nature of de facto deference.</w:t>
      </w:r>
    </w:p>
    <w:p w14:paraId="5E95CB8B" w14:textId="77777777" w:rsidR="0095149D" w:rsidRPr="009C4529" w:rsidRDefault="0095149D" w:rsidP="0095149D">
      <w:pPr>
        <w:rPr>
          <w:sz w:val="16"/>
        </w:rPr>
      </w:pPr>
      <w:r w:rsidRPr="009C4529">
        <w:rPr>
          <w:sz w:val="16"/>
        </w:rPr>
        <w:t>The rule of lenity is grounded in two main interests: legislative supremacy and fair notice.307 These concerns are equally valid in the context of the Sentencing Commission, where a government agency sets sentencing policy. These similarities show that the de facto deference accorded to the Commission is unjustified.</w:t>
      </w:r>
    </w:p>
    <w:p w14:paraId="33AE73EE" w14:textId="77777777" w:rsidR="0095149D" w:rsidRPr="009C4529" w:rsidRDefault="0095149D" w:rsidP="0095149D">
      <w:pPr>
        <w:rPr>
          <w:sz w:val="16"/>
        </w:rPr>
      </w:pPr>
      <w:r w:rsidRPr="009C4529">
        <w:rPr>
          <w:sz w:val="16"/>
        </w:rPr>
        <w:t>1. Concerns for Legislative Supremacy Counsel Against the Presumption of Reasonableness</w:t>
      </w:r>
    </w:p>
    <w:p w14:paraId="46A24289" w14:textId="77777777" w:rsidR="0095149D" w:rsidRPr="009C4529" w:rsidRDefault="0095149D" w:rsidP="0095149D">
      <w:pPr>
        <w:rPr>
          <w:sz w:val="16"/>
        </w:rPr>
      </w:pPr>
      <w:r w:rsidRPr="004B1F6C">
        <w:rPr>
          <w:rStyle w:val="StyleUnderline"/>
        </w:rPr>
        <w:t xml:space="preserve">A </w:t>
      </w:r>
      <w:r w:rsidRPr="00456038">
        <w:rPr>
          <w:rStyle w:val="StyleUnderline"/>
          <w:highlight w:val="cyan"/>
        </w:rPr>
        <w:t>criminal penalty</w:t>
      </w:r>
      <w:r w:rsidRPr="009C4529">
        <w:rPr>
          <w:sz w:val="16"/>
        </w:rPr>
        <w:t xml:space="preserve"> “</w:t>
      </w:r>
      <w:r w:rsidRPr="00456038">
        <w:rPr>
          <w:rStyle w:val="StyleUnderline"/>
          <w:highlight w:val="cyan"/>
        </w:rPr>
        <w:t xml:space="preserve">represents </w:t>
      </w:r>
      <w:r w:rsidRPr="00456038">
        <w:rPr>
          <w:rStyle w:val="Emphasis"/>
          <w:highlight w:val="cyan"/>
        </w:rPr>
        <w:t>the ultimate</w:t>
      </w:r>
      <w:r w:rsidRPr="004B1F6C">
        <w:rPr>
          <w:rStyle w:val="Emphasis"/>
        </w:rPr>
        <w:t xml:space="preserve"> governmental </w:t>
      </w:r>
      <w:r w:rsidRPr="00456038">
        <w:rPr>
          <w:rStyle w:val="Emphasis"/>
          <w:highlight w:val="cyan"/>
        </w:rPr>
        <w:t>intrusion</w:t>
      </w:r>
      <w:r w:rsidRPr="009C4529">
        <w:rPr>
          <w:sz w:val="16"/>
        </w:rPr>
        <w:t xml:space="preserve"> on individual freedom, together with a sense of community approbation not present in other government action.”308 On this basis, the rule of lenity requires strict construction.309 Beyond strict construction, however, because criminal law is the height of governmental intrusion, </w:t>
      </w:r>
      <w:r w:rsidRPr="00456038">
        <w:rPr>
          <w:rStyle w:val="StyleUnderline"/>
          <w:highlight w:val="cyan"/>
        </w:rPr>
        <w:t>lenity commands</w:t>
      </w:r>
      <w:r w:rsidRPr="009C4529">
        <w:rPr>
          <w:sz w:val="16"/>
        </w:rPr>
        <w:t xml:space="preserve"> that </w:t>
      </w:r>
      <w:r w:rsidRPr="004B1F6C">
        <w:rPr>
          <w:rStyle w:val="StyleUnderline"/>
        </w:rPr>
        <w:t>the legislature must be the body to define criminal conduct</w:t>
      </w:r>
      <w:r w:rsidRPr="009C4529">
        <w:rPr>
          <w:sz w:val="16"/>
        </w:rPr>
        <w:t>.310</w:t>
      </w:r>
    </w:p>
    <w:p w14:paraId="59DF49C6" w14:textId="77777777" w:rsidR="0095149D" w:rsidRPr="009C4529" w:rsidRDefault="0095149D" w:rsidP="0095149D">
      <w:pPr>
        <w:rPr>
          <w:sz w:val="16"/>
        </w:rPr>
      </w:pPr>
      <w:r w:rsidRPr="009C4529">
        <w:rPr>
          <w:sz w:val="16"/>
        </w:rPr>
        <w:t xml:space="preserve">By granting de facto deference to the Commission, the courts undermine the rule of lenity by recognizing and deferring to a non-Congressional body in the criminal context.311 When the state acts at its fullest capacity, the democratic systems are the most necessary. To be sure, a permissive definition of legislative supremacy views it as a grant of power to the legislature to act and delegate however it wills.312 This is the prevailing view in the civil context.313 But, </w:t>
      </w:r>
      <w:r w:rsidRPr="00456038">
        <w:rPr>
          <w:rStyle w:val="StyleUnderline"/>
          <w:highlight w:val="cyan"/>
        </w:rPr>
        <w:t>in</w:t>
      </w:r>
      <w:r w:rsidRPr="009C4529">
        <w:rPr>
          <w:sz w:val="16"/>
        </w:rPr>
        <w:t xml:space="preserve"> the context of </w:t>
      </w:r>
      <w:r w:rsidRPr="00456038">
        <w:rPr>
          <w:rStyle w:val="StyleUnderline"/>
          <w:highlight w:val="cyan"/>
        </w:rPr>
        <w:t xml:space="preserve">lenity, legislative supremacy is </w:t>
      </w:r>
      <w:r w:rsidRPr="00456038">
        <w:rPr>
          <w:rStyle w:val="Emphasis"/>
          <w:highlight w:val="cyan"/>
        </w:rPr>
        <w:t>a duty</w:t>
      </w:r>
      <w:r w:rsidRPr="009C4529">
        <w:rPr>
          <w:sz w:val="16"/>
        </w:rPr>
        <w:t>, not only to announce general policy, but to actually write the law that will take away that last great individual right to be free.314</w:t>
      </w:r>
    </w:p>
    <w:p w14:paraId="661E201F" w14:textId="77777777" w:rsidR="0095149D" w:rsidRPr="009C4529" w:rsidRDefault="0095149D" w:rsidP="0095149D">
      <w:pPr>
        <w:rPr>
          <w:sz w:val="16"/>
        </w:rPr>
      </w:pPr>
      <w:r w:rsidRPr="009C4529">
        <w:rPr>
          <w:sz w:val="16"/>
        </w:rPr>
        <w:t>The rule’s emphasis on legislative supremacy counsels against deference to the Sentencing Commission. True, because the Commission does not define criminal conduct per se, it might seem a poor candidate for the rule’s application.315 Nevertheless, defining criminal conduct necessarily includes delineating punishment.316 It makes no substantive difference if the Commission is defining the elements of the crime or the amount of punishment. Both are equal steps to the same end.317 Congress’s grant to the Commission therefore implicates the rule of lenity. To be sure, Congress has every right to delegate “at least some authority that it could exercise itself.”318 But the rule of lenity’s concern for legislative supremacy suggests that, where Congress delegates power to define criminal punishment, courts should exercise caution.</w:t>
      </w:r>
    </w:p>
    <w:p w14:paraId="2CC33462" w14:textId="77777777" w:rsidR="0095149D" w:rsidRPr="009C4529" w:rsidRDefault="0095149D" w:rsidP="0095149D">
      <w:pPr>
        <w:rPr>
          <w:sz w:val="16"/>
        </w:rPr>
      </w:pPr>
      <w:r w:rsidRPr="009C4529">
        <w:rPr>
          <w:sz w:val="16"/>
        </w:rPr>
        <w:t>An abstract grant of power to an agency, while valid in the civil context, raises concerns when the setting is criminal.319 Necessary to the act of creating an agency like the Commission is a relinquishment of legislative power. Congress could have created legislation mirroring the Sentencing Guidelines, but has instead given that power to the Commission. In the criminal context, this relinquishment of power is troubling. If a body is going to prescribe general rules delineating deprivations of liberty, it should be Congress, not the Commission.</w:t>
      </w:r>
    </w:p>
    <w:p w14:paraId="57BD5563" w14:textId="77777777" w:rsidR="0095149D" w:rsidRPr="009C4529" w:rsidRDefault="0095149D" w:rsidP="0095149D">
      <w:pPr>
        <w:rPr>
          <w:sz w:val="16"/>
        </w:rPr>
      </w:pPr>
      <w:r w:rsidRPr="009C4529">
        <w:rPr>
          <w:sz w:val="16"/>
        </w:rPr>
        <w:t xml:space="preserve">Finally, the presumption’s permissive approach to legislative supremacy is problematic regardless of any political accountability the Sentencing Commission (and its commissioners) may or may not have.320 As discussed in Part II, the Chevron Court’s deference to administrative agencies is in part justified because an agency is more politically accountable than a court.321 True enough, but </w:t>
      </w:r>
      <w:r w:rsidRPr="004B1F6C">
        <w:rPr>
          <w:rStyle w:val="StyleUnderline"/>
        </w:rPr>
        <w:t>agencies are</w:t>
      </w:r>
      <w:r w:rsidRPr="009C4529">
        <w:rPr>
          <w:sz w:val="16"/>
        </w:rPr>
        <w:t xml:space="preserve"> also certainly </w:t>
      </w:r>
      <w:r w:rsidRPr="004B1F6C">
        <w:rPr>
          <w:rStyle w:val="Emphasis"/>
        </w:rPr>
        <w:t>less politically accountable</w:t>
      </w:r>
      <w:r w:rsidRPr="004B1F6C">
        <w:rPr>
          <w:rStyle w:val="StyleUnderline"/>
        </w:rPr>
        <w:t xml:space="preserve"> than Congress</w:t>
      </w:r>
      <w:r w:rsidRPr="009C4529">
        <w:rPr>
          <w:sz w:val="16"/>
        </w:rPr>
        <w:t>.322 Because the weighty decision to deprive a person of liberty is so serious, lenity requires that if a sentencing scheme is to be adopted, Congress, not an agency, should be the one to pass it. This is true regardless of how politically accountable the agency at issue is.</w:t>
      </w:r>
    </w:p>
    <w:p w14:paraId="1581A33D" w14:textId="77777777" w:rsidR="0095149D" w:rsidRPr="009C4529" w:rsidRDefault="0095149D" w:rsidP="0095149D">
      <w:pPr>
        <w:rPr>
          <w:sz w:val="16"/>
        </w:rPr>
      </w:pPr>
      <w:r w:rsidRPr="009C4529">
        <w:rPr>
          <w:sz w:val="16"/>
        </w:rPr>
        <w:t>Footnote 322 begins:</w:t>
      </w:r>
    </w:p>
    <w:p w14:paraId="296020B2" w14:textId="77777777" w:rsidR="0095149D" w:rsidRPr="009C4529" w:rsidRDefault="0095149D" w:rsidP="0095149D">
      <w:pPr>
        <w:rPr>
          <w:sz w:val="16"/>
        </w:rPr>
      </w:pPr>
      <w:r w:rsidRPr="009C4529">
        <w:rPr>
          <w:sz w:val="16"/>
        </w:rPr>
        <w:t xml:space="preserve">322. </w:t>
      </w:r>
      <w:r w:rsidRPr="00456038">
        <w:rPr>
          <w:rStyle w:val="Emphasis"/>
          <w:highlight w:val="cyan"/>
        </w:rPr>
        <w:t>No agency</w:t>
      </w:r>
      <w:r w:rsidRPr="004B1F6C">
        <w:rPr>
          <w:rStyle w:val="Emphasis"/>
        </w:rPr>
        <w:t xml:space="preserve"> head</w:t>
      </w:r>
      <w:r w:rsidRPr="004B1F6C">
        <w:rPr>
          <w:rStyle w:val="StyleUnderline"/>
        </w:rPr>
        <w:t xml:space="preserve"> </w:t>
      </w:r>
      <w:r w:rsidRPr="00456038">
        <w:rPr>
          <w:rStyle w:val="StyleUnderline"/>
          <w:highlight w:val="cyan"/>
        </w:rPr>
        <w:t>is</w:t>
      </w:r>
      <w:r w:rsidRPr="009C4529">
        <w:rPr>
          <w:sz w:val="16"/>
        </w:rPr>
        <w:t xml:space="preserve"> directly </w:t>
      </w:r>
      <w:r w:rsidRPr="00456038">
        <w:rPr>
          <w:rStyle w:val="StyleUnderline"/>
          <w:highlight w:val="cyan"/>
        </w:rPr>
        <w:t>selected by the people</w:t>
      </w:r>
      <w:r w:rsidRPr="004B1F6C">
        <w:rPr>
          <w:rStyle w:val="StyleUnderline"/>
        </w:rPr>
        <w:t xml:space="preserve">. </w:t>
      </w:r>
      <w:r w:rsidRPr="004B1F6C">
        <w:rPr>
          <w:rStyle w:val="Emphasis"/>
        </w:rPr>
        <w:t xml:space="preserve">Members of </w:t>
      </w:r>
      <w:r w:rsidRPr="00456038">
        <w:rPr>
          <w:rStyle w:val="Emphasis"/>
          <w:highlight w:val="cyan"/>
        </w:rPr>
        <w:t>Congress</w:t>
      </w:r>
      <w:r w:rsidRPr="00456038">
        <w:rPr>
          <w:rStyle w:val="StyleUnderline"/>
          <w:highlight w:val="cyan"/>
        </w:rPr>
        <w:t xml:space="preserve"> are</w:t>
      </w:r>
      <w:r w:rsidRPr="004B1F6C">
        <w:rPr>
          <w:rStyle w:val="StyleUnderline"/>
        </w:rPr>
        <w:t>. Structurally</w:t>
      </w:r>
      <w:r w:rsidRPr="009C4529">
        <w:rPr>
          <w:sz w:val="16"/>
        </w:rPr>
        <w:t xml:space="preserve">, therefore, </w:t>
      </w:r>
      <w:r w:rsidRPr="00456038">
        <w:rPr>
          <w:rStyle w:val="StyleUnderline"/>
          <w:highlight w:val="cyan"/>
        </w:rPr>
        <w:t xml:space="preserve">they are </w:t>
      </w:r>
      <w:r w:rsidRPr="00456038">
        <w:rPr>
          <w:rStyle w:val="Emphasis"/>
          <w:highlight w:val="cyan"/>
        </w:rPr>
        <w:t>more</w:t>
      </w:r>
      <w:r w:rsidRPr="004B1F6C">
        <w:rPr>
          <w:rStyle w:val="Emphasis"/>
        </w:rPr>
        <w:t xml:space="preserve"> politically </w:t>
      </w:r>
      <w:r w:rsidRPr="00456038">
        <w:rPr>
          <w:rStyle w:val="Emphasis"/>
          <w:highlight w:val="cyan"/>
        </w:rPr>
        <w:t>accountable</w:t>
      </w:r>
      <w:r w:rsidRPr="009C4529">
        <w:rPr>
          <w:sz w:val="16"/>
        </w:rPr>
        <w:t xml:space="preserve">. A recent study further shows how </w:t>
      </w:r>
      <w:r w:rsidRPr="004B1F6C">
        <w:rPr>
          <w:rStyle w:val="StyleUnderline"/>
        </w:rPr>
        <w:t xml:space="preserve">the </w:t>
      </w:r>
      <w:r w:rsidRPr="00456038">
        <w:rPr>
          <w:rStyle w:val="StyleUnderline"/>
          <w:highlight w:val="cyan"/>
        </w:rPr>
        <w:t>premise</w:t>
      </w:r>
      <w:r w:rsidRPr="004B1F6C">
        <w:rPr>
          <w:rStyle w:val="StyleUnderline"/>
        </w:rPr>
        <w:t xml:space="preserve"> that </w:t>
      </w:r>
      <w:r w:rsidRPr="00456038">
        <w:rPr>
          <w:rStyle w:val="StyleUnderline"/>
          <w:highlight w:val="cyan"/>
        </w:rPr>
        <w:t>agencies are</w:t>
      </w:r>
      <w:r w:rsidRPr="004B1F6C">
        <w:rPr>
          <w:rStyle w:val="StyleUnderline"/>
        </w:rPr>
        <w:t xml:space="preserve"> </w:t>
      </w:r>
      <w:r w:rsidRPr="004B1F6C">
        <w:rPr>
          <w:rStyle w:val="Emphasis"/>
        </w:rPr>
        <w:t xml:space="preserve">politically </w:t>
      </w:r>
      <w:r w:rsidRPr="00456038">
        <w:rPr>
          <w:rStyle w:val="Emphasis"/>
          <w:highlight w:val="cyan"/>
        </w:rPr>
        <w:t>accountable</w:t>
      </w:r>
      <w:r w:rsidRPr="00456038">
        <w:rPr>
          <w:rStyle w:val="StyleUnderline"/>
          <w:highlight w:val="cyan"/>
        </w:rPr>
        <w:t xml:space="preserve"> is not</w:t>
      </w:r>
      <w:r w:rsidRPr="009C4529">
        <w:rPr>
          <w:sz w:val="16"/>
        </w:rPr>
        <w:t xml:space="preserve"> always </w:t>
      </w:r>
      <w:r w:rsidRPr="00456038">
        <w:rPr>
          <w:rStyle w:val="StyleUnderline"/>
          <w:highlight w:val="cyan"/>
        </w:rPr>
        <w:t>true</w:t>
      </w:r>
      <w:r w:rsidRPr="009C4529">
        <w:rPr>
          <w:sz w:val="16"/>
        </w:rPr>
        <w:t xml:space="preserve">. See generally David E. Lewis &amp; Abby K. Wood, Judicial Deference and Agency Accountability (July 2011) (unpublished manuscript), https://my.vanderbilt.edu/davidlewis/files/2011/12/lewis-and-wood-paper-v.9.pdf) [https://perma.cc/2HXZ-DKRD]. </w:t>
      </w:r>
    </w:p>
    <w:p w14:paraId="67D315B8" w14:textId="77777777" w:rsidR="0095149D" w:rsidRPr="009C4529" w:rsidRDefault="0095149D" w:rsidP="0095149D">
      <w:pPr>
        <w:rPr>
          <w:sz w:val="16"/>
        </w:rPr>
      </w:pPr>
      <w:r w:rsidRPr="009C4529">
        <w:rPr>
          <w:sz w:val="16"/>
        </w:rPr>
        <w:t>The article continues:</w:t>
      </w:r>
    </w:p>
    <w:p w14:paraId="27F51182" w14:textId="77777777" w:rsidR="0095149D" w:rsidRPr="009C4529" w:rsidRDefault="0095149D" w:rsidP="0095149D">
      <w:pPr>
        <w:rPr>
          <w:sz w:val="16"/>
        </w:rPr>
      </w:pPr>
      <w:r w:rsidRPr="009C4529">
        <w:rPr>
          <w:sz w:val="16"/>
        </w:rPr>
        <w:t>There is, however, a counterargument. Lenity’s legislative supremacy concerns unusually focus on the body defining the elements of a crime.323 Because the Sentencing Commission deals with punishment—rather than the creation—of substantive crimes, one could argue that lenity is inapplicable, that it is better to have an agency define sentences because at least the agency is more accountable than the courts.</w:t>
      </w:r>
    </w:p>
    <w:p w14:paraId="7FAD5DA6" w14:textId="77777777" w:rsidR="0095149D" w:rsidRPr="009C4529" w:rsidRDefault="0095149D" w:rsidP="0095149D">
      <w:pPr>
        <w:rPr>
          <w:sz w:val="16"/>
        </w:rPr>
      </w:pPr>
      <w:r w:rsidRPr="009C4529">
        <w:rPr>
          <w:sz w:val="16"/>
        </w:rPr>
        <w:t xml:space="preserve">However, a court determining punishment in an individual case is different from an agency determining a scheme of punishment for all cases. A court acting in an individual case is fulfilling its constitutional duty: deciding the single </w:t>
      </w:r>
      <w:r w:rsidRPr="00CB3ACD">
        <w:rPr>
          <w:sz w:val="16"/>
        </w:rPr>
        <w:t xml:space="preserve">case and controversy in front of it. </w:t>
      </w:r>
      <w:r w:rsidRPr="00CB3ACD">
        <w:rPr>
          <w:rStyle w:val="StyleUnderline"/>
        </w:rPr>
        <w:t xml:space="preserve">Determining </w:t>
      </w:r>
      <w:r w:rsidRPr="00CB3ACD">
        <w:rPr>
          <w:rStyle w:val="Emphasis"/>
        </w:rPr>
        <w:t>an individual sentence</w:t>
      </w:r>
      <w:r w:rsidRPr="00CB3ACD">
        <w:rPr>
          <w:rStyle w:val="StyleUnderline"/>
        </w:rPr>
        <w:t xml:space="preserve"> is not </w:t>
      </w:r>
      <w:r w:rsidRPr="00CB3ACD">
        <w:rPr>
          <w:rStyle w:val="Emphasis"/>
        </w:rPr>
        <w:t>a legislative task, but a judicial one</w:t>
      </w:r>
      <w:r w:rsidRPr="00CB3ACD">
        <w:rPr>
          <w:sz w:val="16"/>
        </w:rPr>
        <w:t xml:space="preserve">.324 </w:t>
      </w:r>
      <w:r w:rsidRPr="00CB3ACD">
        <w:rPr>
          <w:rStyle w:val="StyleUnderline"/>
        </w:rPr>
        <w:t>Creating a Guidelines scheme</w:t>
      </w:r>
      <w:r w:rsidRPr="00CB3ACD">
        <w:rPr>
          <w:sz w:val="16"/>
        </w:rPr>
        <w:t xml:space="preserve">, however, </w:t>
      </w:r>
      <w:r w:rsidRPr="00CB3ACD">
        <w:rPr>
          <w:rStyle w:val="StyleUnderline"/>
        </w:rPr>
        <w:t xml:space="preserve">is </w:t>
      </w:r>
      <w:r w:rsidRPr="00CB3ACD">
        <w:rPr>
          <w:rStyle w:val="Emphasis"/>
        </w:rPr>
        <w:t>legislative</w:t>
      </w:r>
      <w:r w:rsidRPr="00CB3ACD">
        <w:rPr>
          <w:sz w:val="16"/>
        </w:rPr>
        <w:t>. The deference enshrined in the presumption of reasonableness gives legal effect to a legislative-type scheme created by an agency. Lenity requires that such generally applicable schemes only receive legal effect if passed by Congress.325</w:t>
      </w:r>
    </w:p>
    <w:p w14:paraId="38EE96B3" w14:textId="77777777" w:rsidR="0095149D" w:rsidRPr="009C4529" w:rsidRDefault="0095149D" w:rsidP="0095149D">
      <w:pPr>
        <w:rPr>
          <w:sz w:val="16"/>
        </w:rPr>
      </w:pPr>
      <w:r w:rsidRPr="009C4529">
        <w:rPr>
          <w:sz w:val="16"/>
        </w:rPr>
        <w:t>2. Fair Notice Counsels Against De Facto Chevron</w:t>
      </w:r>
    </w:p>
    <w:p w14:paraId="3418325C" w14:textId="77777777" w:rsidR="0095149D" w:rsidRPr="009C4529" w:rsidRDefault="0095149D" w:rsidP="0095149D">
      <w:pPr>
        <w:rPr>
          <w:sz w:val="16"/>
        </w:rPr>
      </w:pPr>
      <w:r w:rsidRPr="009C4529">
        <w:rPr>
          <w:sz w:val="16"/>
        </w:rPr>
        <w:t>Deference</w:t>
      </w:r>
    </w:p>
    <w:p w14:paraId="1F50CB64" w14:textId="77777777" w:rsidR="0095149D" w:rsidRPr="009C4529" w:rsidRDefault="0095149D" w:rsidP="0095149D">
      <w:pPr>
        <w:rPr>
          <w:sz w:val="16"/>
        </w:rPr>
      </w:pPr>
      <w:r w:rsidRPr="009C4529">
        <w:rPr>
          <w:sz w:val="16"/>
        </w:rPr>
        <w:t>Separate from these structural concerns, de facto deference to the Commission additionally undermines the due process interest in providing fair notice of what conduct is criminal. Again, because criminal law is different, the rule of lenity reads criminal statutes narrowly so that a criminal defendant will only be convicted of conduct that the law clearly outlaws.326 The Guidelines can serve this interest by giving criminal defendants facing impending prosecution an idea of the sentence they will likely receive upon plea or conviction. However, in a broader and deeper sense, the Guidelines actually provide less fair notice to criminal defendants. The statutory grant of power to the Commission is vague and broad.327 While the Supreme Court has forbidden retroactive application of the Guidelines,328 the Commission’s broad authority to issue and revise its Guidelines still creates a notice problem.329 At this moment, any limits to the Commission’s ability to define new factors that increase punishment generally rest on its own ingenuity and discretion.330 This discretion puts criminal defendants in a position where significant deprivations of liberty turn on the Commission’s exercise of its broad mandate. Because criminal defendants cannot guess how the Commission’s policy will change from year to year, because the Commission does not follow a traditional legislative process, and because the Commission has absolute power to change the Guidelines as they wish, criminal defendants lack fair notice of what makes conduct more or less culpable.</w:t>
      </w:r>
    </w:p>
    <w:p w14:paraId="7997783E" w14:textId="77777777" w:rsidR="0095149D" w:rsidRPr="009C4529" w:rsidRDefault="0095149D" w:rsidP="0095149D">
      <w:pPr>
        <w:rPr>
          <w:sz w:val="16"/>
        </w:rPr>
      </w:pPr>
      <w:r w:rsidRPr="009C4529">
        <w:rPr>
          <w:sz w:val="16"/>
        </w:rPr>
        <w:t xml:space="preserve">Looking at the Guidelines through the lens of lenity explains the discomfort courts rightfully have in applying traditional administrative law in the criminal setting.331 </w:t>
      </w:r>
      <w:r w:rsidRPr="00F14CB6">
        <w:rPr>
          <w:rStyle w:val="Emphasis"/>
        </w:rPr>
        <w:t>Criminal law</w:t>
      </w:r>
      <w:r w:rsidRPr="00F14CB6">
        <w:rPr>
          <w:rStyle w:val="StyleUnderline"/>
        </w:rPr>
        <w:t xml:space="preserve"> is </w:t>
      </w:r>
      <w:r w:rsidRPr="00F14CB6">
        <w:rPr>
          <w:rStyle w:val="Emphasis"/>
        </w:rPr>
        <w:t>different</w:t>
      </w:r>
      <w:r w:rsidRPr="00F14CB6">
        <w:rPr>
          <w:rStyle w:val="StyleUnderline"/>
        </w:rPr>
        <w:t xml:space="preserve"> because of </w:t>
      </w:r>
      <w:r w:rsidRPr="00F14CB6">
        <w:rPr>
          <w:rStyle w:val="Emphasis"/>
        </w:rPr>
        <w:t>its potential</w:t>
      </w:r>
      <w:r w:rsidRPr="009C4529">
        <w:rPr>
          <w:sz w:val="16"/>
        </w:rPr>
        <w:t xml:space="preserve"> to deprive people of their liberty. And because of that difference, courts must be exceedingly cautious that the concerns unique to criminal sanctions are properly respected. Using the rule of lenity is a helpful lens that highlights how de facto deference accorded to </w:t>
      </w:r>
      <w:r w:rsidRPr="00F14CB6">
        <w:rPr>
          <w:rStyle w:val="StyleUnderline"/>
        </w:rPr>
        <w:t xml:space="preserve">the </w:t>
      </w:r>
      <w:r w:rsidRPr="00456038">
        <w:rPr>
          <w:rStyle w:val="StyleUnderline"/>
          <w:highlight w:val="cyan"/>
        </w:rPr>
        <w:t>Commission creates</w:t>
      </w:r>
      <w:r w:rsidRPr="00F14CB6">
        <w:rPr>
          <w:rStyle w:val="StyleUnderline"/>
        </w:rPr>
        <w:t xml:space="preserve"> </w:t>
      </w:r>
      <w:r w:rsidRPr="00F14CB6">
        <w:rPr>
          <w:rStyle w:val="Emphasis"/>
        </w:rPr>
        <w:t xml:space="preserve">deep </w:t>
      </w:r>
      <w:r w:rsidRPr="00CB3ACD">
        <w:rPr>
          <w:rStyle w:val="Emphasis"/>
        </w:rPr>
        <w:t>structural</w:t>
      </w:r>
      <w:r w:rsidRPr="00F14CB6">
        <w:rPr>
          <w:rStyle w:val="Emphasis"/>
        </w:rPr>
        <w:t xml:space="preserve"> and </w:t>
      </w:r>
      <w:r w:rsidRPr="00456038">
        <w:rPr>
          <w:rStyle w:val="Emphasis"/>
          <w:highlight w:val="cyan"/>
        </w:rPr>
        <w:t>due process concerns</w:t>
      </w:r>
      <w:r w:rsidRPr="009C4529">
        <w:rPr>
          <w:sz w:val="16"/>
        </w:rPr>
        <w:t>.</w:t>
      </w:r>
    </w:p>
    <w:p w14:paraId="42ECD636" w14:textId="77777777" w:rsidR="0095149D" w:rsidRPr="009C4529" w:rsidRDefault="0095149D" w:rsidP="0095149D">
      <w:pPr>
        <w:rPr>
          <w:sz w:val="16"/>
        </w:rPr>
      </w:pPr>
      <w:r w:rsidRPr="009C4529">
        <w:rPr>
          <w:sz w:val="16"/>
        </w:rPr>
        <w:t xml:space="preserve">The rule of lenity recognizes that the judiciary must always be aware of these structural and due process concerns, even when there is no direct violation of the Constitution.332 Earlier, this Comment recognized that </w:t>
      </w:r>
      <w:r w:rsidRPr="00456038">
        <w:rPr>
          <w:rStyle w:val="StyleUnderline"/>
          <w:highlight w:val="cyan"/>
        </w:rPr>
        <w:t>criminal</w:t>
      </w:r>
      <w:r w:rsidRPr="00F14CB6">
        <w:rPr>
          <w:rStyle w:val="StyleUnderline"/>
        </w:rPr>
        <w:t xml:space="preserve"> law </w:t>
      </w:r>
      <w:r w:rsidRPr="00456038">
        <w:rPr>
          <w:rStyle w:val="StyleUnderline"/>
          <w:highlight w:val="cyan"/>
        </w:rPr>
        <w:t>and admin</w:t>
      </w:r>
      <w:r w:rsidRPr="00F14CB6">
        <w:rPr>
          <w:rStyle w:val="StyleUnderline"/>
        </w:rPr>
        <w:t xml:space="preserve">istrative </w:t>
      </w:r>
      <w:r w:rsidRPr="00456038">
        <w:rPr>
          <w:rStyle w:val="StyleUnderline"/>
          <w:highlight w:val="cyan"/>
        </w:rPr>
        <w:t xml:space="preserve">law interact </w:t>
      </w:r>
      <w:r w:rsidRPr="00456038">
        <w:rPr>
          <w:rStyle w:val="Emphasis"/>
          <w:highlight w:val="cyan"/>
        </w:rPr>
        <w:t>awkwardly</w:t>
      </w:r>
      <w:r w:rsidRPr="009C4529">
        <w:rPr>
          <w:sz w:val="16"/>
        </w:rPr>
        <w:t xml:space="preserve">.333 Administrative law exists in part because of the pragmatic benefit, the efficiencies, and the cost-effective governance that agencies bring to democracy. But criminal law does not welcome the kinds of benefits that agencies like the Sentencing Commission bring. </w:t>
      </w:r>
      <w:r w:rsidRPr="00456038">
        <w:rPr>
          <w:rStyle w:val="StyleUnderline"/>
          <w:highlight w:val="cyan"/>
        </w:rPr>
        <w:t>Because</w:t>
      </w:r>
      <w:r w:rsidRPr="00F14CB6">
        <w:rPr>
          <w:rStyle w:val="StyleUnderline"/>
        </w:rPr>
        <w:t xml:space="preserve"> the </w:t>
      </w:r>
      <w:r w:rsidRPr="00456038">
        <w:rPr>
          <w:rStyle w:val="StyleUnderline"/>
          <w:highlight w:val="cyan"/>
        </w:rPr>
        <w:t xml:space="preserve">penalties are </w:t>
      </w:r>
      <w:r w:rsidRPr="00456038">
        <w:rPr>
          <w:rStyle w:val="Emphasis"/>
          <w:highlight w:val="cyan"/>
        </w:rPr>
        <w:t>so heavy</w:t>
      </w:r>
      <w:r w:rsidRPr="00F14CB6">
        <w:rPr>
          <w:rStyle w:val="StyleUnderline"/>
        </w:rPr>
        <w:t xml:space="preserve">, and </w:t>
      </w:r>
      <w:r w:rsidRPr="00456038">
        <w:rPr>
          <w:rStyle w:val="StyleUnderline"/>
          <w:highlight w:val="cyan"/>
        </w:rPr>
        <w:t xml:space="preserve">the government’s power </w:t>
      </w:r>
      <w:r w:rsidRPr="00456038">
        <w:rPr>
          <w:rStyle w:val="Emphasis"/>
          <w:highlight w:val="cyan"/>
        </w:rPr>
        <w:t>so heightened</w:t>
      </w:r>
      <w:r w:rsidRPr="00F14CB6">
        <w:rPr>
          <w:rStyle w:val="StyleUnderline"/>
        </w:rPr>
        <w:t xml:space="preserve">, the </w:t>
      </w:r>
      <w:r w:rsidRPr="00456038">
        <w:rPr>
          <w:rStyle w:val="StyleUnderline"/>
          <w:highlight w:val="cyan"/>
        </w:rPr>
        <w:t>criminal system erects</w:t>
      </w:r>
      <w:r w:rsidRPr="00F14CB6">
        <w:rPr>
          <w:rStyle w:val="StyleUnderline"/>
        </w:rPr>
        <w:t xml:space="preserve"> </w:t>
      </w:r>
      <w:r w:rsidRPr="00F14CB6">
        <w:rPr>
          <w:rStyle w:val="Emphasis"/>
        </w:rPr>
        <w:t xml:space="preserve">substantial </w:t>
      </w:r>
      <w:r w:rsidRPr="00456038">
        <w:rPr>
          <w:rStyle w:val="Emphasis"/>
          <w:highlight w:val="cyan"/>
        </w:rPr>
        <w:t>hurdles</w:t>
      </w:r>
      <w:r w:rsidRPr="00F14CB6">
        <w:rPr>
          <w:rStyle w:val="StyleUnderline"/>
        </w:rPr>
        <w:t xml:space="preserve"> for </w:t>
      </w:r>
      <w:r w:rsidRPr="00F14CB6">
        <w:rPr>
          <w:rStyle w:val="Emphasis"/>
        </w:rPr>
        <w:t>criminal punishment</w:t>
      </w:r>
      <w:r w:rsidRPr="009C4529">
        <w:rPr>
          <w:sz w:val="16"/>
        </w:rPr>
        <w:t>.334 Efficiencies should certainly be welcomed, but should not be used to remove these fundamental barriers. Moreover, when such harsh punishment is at issue, each individual has a right to the kind of notice protections provided by the legislative process. The presumption’s deference to a non-legislative body, and the issues of notice created by the broad discretion of the Commission require that the courts not grant the Commission de facto deference.</w:t>
      </w:r>
    </w:p>
    <w:p w14:paraId="12E2C0D8" w14:textId="77777777" w:rsidR="0095149D" w:rsidRPr="009C4529" w:rsidRDefault="0095149D" w:rsidP="0095149D">
      <w:pPr>
        <w:rPr>
          <w:sz w:val="16"/>
        </w:rPr>
      </w:pPr>
      <w:r w:rsidRPr="009C4529">
        <w:rPr>
          <w:sz w:val="16"/>
        </w:rPr>
        <w:t>The appellate presumption of reasonableness is unjustified because it represents an incorrect use of agency deference. The Commission’s expertise overlaps with, and is less than, the judiciary’s.335 Moreover, there are a host of particularities unique to criminal sentencing that makes de facto Chevron deference inoperable. These considerations require that courts no longer defer to the Guidelines. The next Section examines what could replace this de facto deference.</w:t>
      </w:r>
    </w:p>
    <w:p w14:paraId="200CCF2D" w14:textId="77777777" w:rsidR="0095149D" w:rsidRPr="009C4529" w:rsidRDefault="0095149D" w:rsidP="0095149D">
      <w:pPr>
        <w:rPr>
          <w:sz w:val="16"/>
        </w:rPr>
      </w:pPr>
      <w:r w:rsidRPr="009C4529">
        <w:rPr>
          <w:sz w:val="16"/>
        </w:rPr>
        <w:t>IV. A NEW STANDARD OF REVIEW</w:t>
      </w:r>
    </w:p>
    <w:p w14:paraId="2674A75F" w14:textId="77777777" w:rsidR="0095149D" w:rsidRPr="009C4529" w:rsidRDefault="0095149D" w:rsidP="0095149D">
      <w:pPr>
        <w:rPr>
          <w:sz w:val="16"/>
        </w:rPr>
      </w:pPr>
      <w:r w:rsidRPr="009C4529">
        <w:rPr>
          <w:sz w:val="16"/>
        </w:rPr>
        <w:t>Moving forward, appellate courts should reexamine their approach to determining whether within-Guidelines sentences are reasonable. Instead of a presumption of reasonableness, appellate courts should engage in a more searching analysis. First and foremost, courts should not treat the Guidelines as presumptively reasonable, or give any deference to the Commission. The approach should recognize the special concerns associated with criminal sentencing and put more focus on the section 3553 factors. While this step may not solve the various difficulties appellate courts have had in defining substantive reasonableness, this review will at least remove the unjustified deference to the Commission,336 focus appellate courts on providing sentencing courts with guidance, and aid in proper execution of section 3553.</w:t>
      </w:r>
    </w:p>
    <w:p w14:paraId="6445BFED" w14:textId="77777777" w:rsidR="0095149D" w:rsidRPr="009C4529" w:rsidRDefault="0095149D" w:rsidP="0095149D">
      <w:pPr>
        <w:rPr>
          <w:sz w:val="16"/>
        </w:rPr>
      </w:pPr>
      <w:r w:rsidRPr="009C4529">
        <w:rPr>
          <w:sz w:val="16"/>
        </w:rPr>
        <w:t>At the outset, one should note that several circuits are not far off from this more thorough standard of review. Often the healthiest sentencing review comes from circuits that have not explicitly adopted the presumption of reasonableness.337 Perhaps the best of that group is the Second Circuit. As discussed previously in Part II, in United States v. Dorvee, the reviewing court engaged in a wholesome review of the Guidelines.338 The court held that, because the child pornography guideline did not exemplify the Commission’s exercise of its characteristic institutional role, a sentence based on those Guidelines was unreasonable.339 The willingness to question the Commission represents a positive step toward a workable test in keeping with the law.</w:t>
      </w:r>
    </w:p>
    <w:p w14:paraId="62E0CDD3" w14:textId="77777777" w:rsidR="0095149D" w:rsidRPr="009C4529" w:rsidRDefault="0095149D" w:rsidP="0095149D">
      <w:pPr>
        <w:rPr>
          <w:sz w:val="16"/>
        </w:rPr>
      </w:pPr>
      <w:r w:rsidRPr="009C4529">
        <w:rPr>
          <w:sz w:val="16"/>
        </w:rPr>
        <w:t>Questioning the Commission, however, is not enough. Deference to the Sentencing Commission should be absent from appellate review. Appellate courts should refocus their review on the district court and review the sentences for substantive fairness. The best way to achieve this goal is for appellate courts to redefine their standard of review for federal sentences. A drastic change is not necessary to remove deference to the Commission. Appellate courts simply should redefine the two-tiered approach taken by appellate courts when engaging in federal sentencing review. They should continue to divide their sentencing review into two distinct parts, beginning with a procedural review340 and followed by a substantive review. No change to the procedural test is necessary.341 The courts simply must remove the presumption of reasonableness from the substantive review of sentences.</w:t>
      </w:r>
    </w:p>
    <w:p w14:paraId="6544F29D" w14:textId="77777777" w:rsidR="0095149D" w:rsidRPr="009C4529" w:rsidRDefault="0095149D" w:rsidP="0095149D">
      <w:pPr>
        <w:rPr>
          <w:sz w:val="16"/>
        </w:rPr>
      </w:pPr>
      <w:r w:rsidRPr="009C4529">
        <w:rPr>
          <w:sz w:val="16"/>
        </w:rPr>
        <w:t>Removing the appellate presumption of reasonableness is supported by both caselaw and the legislative history of the SRA. It better reflects Booker’s remedial opinion and the SRA.342 In Booker, the Court held that the Guidelines would still continue to play a role in sentencing.343 However, the Court only mentioned the Guidelines’ role in terms of district courts.344 The Court mentioned no such requirement when discussing the new appellate standard of reasonableness.345 In fact, by excising section 3742(e),346 the Court removed any statutory requirement for appellate courts to consider whether a sentence fell within the Guidelines.347 An appellate test that ignores the applicability of the Guidelines better accords with Booker (and the text of the post-Booker SRA) and solves the deference problems raised by an appellate presumption of reasonableness for within-Guidelines sentences.</w:t>
      </w:r>
    </w:p>
    <w:p w14:paraId="211C5E82" w14:textId="77777777" w:rsidR="0095149D" w:rsidRPr="009C4529" w:rsidRDefault="0095149D" w:rsidP="0095149D">
      <w:pPr>
        <w:rPr>
          <w:sz w:val="16"/>
        </w:rPr>
      </w:pPr>
      <w:r w:rsidRPr="009C4529">
        <w:rPr>
          <w:sz w:val="16"/>
        </w:rPr>
        <w:t>This test would also track a significant strain in the SRA’s legislative history. At the time of its creation, many congresspersons believed that the Commission would simply aid judges in making better, more rational sentencing law.348 These congressmen and women did not expect the Guidelines to carry binding force.349 Rather, many proponents of the SRA envisioned the Commission’s role as research oriented, policy driven, and above all, advisory.350 The role of the Commission that this Comment envisions reflects this view of the Guidelines’ proper place.</w:t>
      </w:r>
    </w:p>
    <w:p w14:paraId="5862632A" w14:textId="77777777" w:rsidR="0095149D" w:rsidRPr="009C4529" w:rsidRDefault="0095149D" w:rsidP="0095149D">
      <w:pPr>
        <w:rPr>
          <w:sz w:val="16"/>
        </w:rPr>
      </w:pPr>
      <w:r w:rsidRPr="009C4529">
        <w:rPr>
          <w:sz w:val="16"/>
        </w:rPr>
        <w:t>Finally, it should be noted that removing the appellate presumption of reasonableness will not harm Congress’s goal of reducing “unwarranted sentencing disparities.”351 Judges are still required to consider possible sentencing disparities in imposing punishments.352 In addition, the Commission will continue its work, and sentencing judges are required to reference those Guidelines as well.353 While increased appellate discretion may lead to some discrepancy between circuits, discrepancy is not always a bad thing. Most likely these discrepancies will reflect the area and culture in which a particular court resides, and should lead to a healthy debate in the federal judiciary about how the courts should approach crime and punishment. The net effect would be increased scrutiny of sentences and, overall, a fairer sentencing system.</w:t>
      </w:r>
    </w:p>
    <w:p w14:paraId="5183161A" w14:textId="77777777" w:rsidR="0095149D" w:rsidRPr="009C4529" w:rsidRDefault="0095149D" w:rsidP="0095149D">
      <w:pPr>
        <w:rPr>
          <w:sz w:val="16"/>
        </w:rPr>
      </w:pPr>
      <w:r w:rsidRPr="009C4529">
        <w:rPr>
          <w:sz w:val="16"/>
        </w:rPr>
        <w:t>It may be enough to simply recognize that the appellate presumption of reasonableness is unjustified, should be removed, and leave it at that. However, while removing the presumption would be a sufficient remedy, because the presumption occupies such a large place in sentencing review, the questions of what is to replace the presumption of reasonableness merits some discussion.</w:t>
      </w:r>
    </w:p>
    <w:p w14:paraId="2CF3C71A" w14:textId="77777777" w:rsidR="0095149D" w:rsidRPr="009C4529" w:rsidRDefault="0095149D" w:rsidP="0095149D">
      <w:pPr>
        <w:rPr>
          <w:sz w:val="16"/>
        </w:rPr>
      </w:pPr>
      <w:r w:rsidRPr="009C4529">
        <w:rPr>
          <w:sz w:val="16"/>
        </w:rPr>
        <w:t>While the Supreme Court has held that all sentences— whether within the Guidelines or not—should be reviewed for an “abuse of discretion,”354 the circuits are substantially split on what this means, especially in reviewing for substantive unreasonableness.355 The Fourth Circuit, for example, reviews a sentence outside of the Guidelines’ range to determine “whether the sentencing court acted reasonably both with respect to its decision to impose such a sentence and with respect to the extent of the divergence from the sentencing range.”356 The Second Circuit, on the other hand, applies its abuse of discretion standard by reviewing sentences for punishments that are manifestly unjust or shock the conscience.357</w:t>
      </w:r>
    </w:p>
    <w:p w14:paraId="1F29FA41" w14:textId="77777777" w:rsidR="0095149D" w:rsidRPr="009C4529" w:rsidRDefault="0095149D" w:rsidP="0095149D">
      <w:pPr>
        <w:rPr>
          <w:sz w:val="16"/>
        </w:rPr>
      </w:pPr>
      <w:r w:rsidRPr="009C4529">
        <w:rPr>
          <w:sz w:val="16"/>
        </w:rPr>
        <w:t>This split exists in part because of the presumption of reasonableness. As discussed in Part I, under the presumption, the substantive review of within-Guidelines sentences is exceedingly rote.358 However, for sentences falling outside of the Guidelines, courts apply a more searching analysis of the substantive reasonableness of the sentence imposed.359 The presumption thus divides sentencing review standards between within-Guidelines and outside-Guidelines sentences. The Fourth Circuit’s substantive abuse of discretion standard, for example, only applies to outside-Guidelines review.360 Abuse of discretion in that circuit necessarily examines the extent a sentence “diverg[es] from the guideline’s range” because analysis is only required where the district court diverges from the Sentencing Commission.361</w:t>
      </w:r>
    </w:p>
    <w:p w14:paraId="28723FDE" w14:textId="77777777" w:rsidR="0095149D" w:rsidRPr="009C4529" w:rsidRDefault="0095149D" w:rsidP="0095149D">
      <w:pPr>
        <w:rPr>
          <w:sz w:val="16"/>
        </w:rPr>
      </w:pPr>
      <w:r w:rsidRPr="009C4529">
        <w:rPr>
          <w:sz w:val="16"/>
        </w:rPr>
        <w:t>Instead, courts should follow an abuse of discretion standard that engages the substantive fairness of the sentence in all cases. Again, the Second Circuit’s approach is instructive. In United States v. Rigas, a unanimous bench upheld a withinGuidelines sentence imposed on Rigas for various white collar crimes.362 Its approach did not completely ignore the sentence’s within-Guidelines status.363 However, as in Dorvee,364 the court considered the substantive fairness of the sentence.365 The court likened substantive unreasonableness to the “shock to conscience” standard applied to intentional torts by state actors or the “manifest injustice” standard applied to the review of jury verdicts.366 It noted that all three standards are deferential to district courts, highly contextual, and dependent on the “informed intuition” of the appellate panel applying these standards.367 It concluded substantive unreasonableness is a “backstop” where courts should overturn a sentence if it would “damage the administration of justice because the sentence was shockingly high, shockingly low, or otherwise unsupportable as a matter of law.”368</w:t>
      </w:r>
    </w:p>
    <w:p w14:paraId="42090097" w14:textId="77777777" w:rsidR="0095149D" w:rsidRPr="009C4529" w:rsidRDefault="0095149D" w:rsidP="0095149D">
      <w:pPr>
        <w:rPr>
          <w:sz w:val="16"/>
        </w:rPr>
      </w:pPr>
      <w:r w:rsidRPr="009C4529">
        <w:rPr>
          <w:sz w:val="16"/>
        </w:rPr>
        <w:t>The Second Circuit’s approach is a strong starting point for developing a workable standard of review. However, it is perhaps too burdensome on litigants and the development of a substantive sentencing review doctrine. District courts will sometimes impose unreasonable sentences, and “[c]ircuit courts exist to correct such mistakes when they occur.”369 The correct standard of review for these errors depends on how scrutinizing the appellate court should be: should the court be invasive and active, or deferential and passive?370 The answer to this question generally depends on the distinct capacities of the different courts371 and the substantive goals to be served by appellate review.372 As sentencing is a matter of discretion,373 there should certainly be some element of deference to the district court in the correct standard of review.374 But discretionary decisions are also not a purely factual matter where district courts’ particularities make them the ideal decider and where district courts receive the most deferential review.375 There are doctrinal and legal matters at issue in a sentencing decision that an appellate court is wellsuited to decide.376 It is a mixed question of law and fact.377 In adopting an abuse of discretion standard, Gall seemed to honor this fact.378 The abuse of discretion standard announced in Gall thus grants more power to appellate courts to overturn district courts than if it were reviewing a pure fact issue.379 The critical question becomes defining the contours of that power in the context of sentencing review.380</w:t>
      </w:r>
    </w:p>
    <w:p w14:paraId="6E686BA2" w14:textId="77777777" w:rsidR="0095149D" w:rsidRPr="009C4529" w:rsidRDefault="0095149D" w:rsidP="0095149D">
      <w:pPr>
        <w:rPr>
          <w:sz w:val="16"/>
        </w:rPr>
      </w:pPr>
      <w:r w:rsidRPr="009C4529">
        <w:rPr>
          <w:sz w:val="16"/>
        </w:rPr>
        <w:t>While the Second Circuit has defined appellate review narrowly, the goals of the SRA and the remedial opinion in Booker suggest a more intrusive version of abuse of discretion review. The SRA placed some of the onus on maintaining uniform sentences on the federal judiciary.381 The Booker remedial majority stressed that, by granting appellate review, they were forwarding Congress’s goal of uniformity across the federal judiciary the best they could.382 Appellate courts are the proper bodies to enforce these cross-system checks on district courts.383 Promoting uniformity requires courts to provide guidance; and, in order to provide guidance, appellate courts must be more scrutinizing of district courts. An active version of an abuse of discretion standard is therefore warranted.</w:t>
      </w:r>
    </w:p>
    <w:p w14:paraId="36F60A55" w14:textId="77777777" w:rsidR="0095149D" w:rsidRPr="009C4529" w:rsidRDefault="0095149D" w:rsidP="0095149D">
      <w:pPr>
        <w:rPr>
          <w:sz w:val="16"/>
        </w:rPr>
      </w:pPr>
      <w:r w:rsidRPr="009C4529">
        <w:rPr>
          <w:sz w:val="16"/>
        </w:rPr>
        <w:t>Beyond stressing that appellate review would serve uniformity, Booker offers additional evidence that a more searching version of the abuse of discretion standard should be applied to sentencing appeals. Booker’s reasonableness standard is an unusual appellate standard. Review for “reasonableness” is not usually applied to review of a district court’s decision.384 While Gall has interpreted the reasonableness standard as “abuse of discretion,”385 it is noteworthy that Justice Breyer’s remedial opinion nowhere mentioned this standard of review.386 Because Breyer and the remedial majority in Booker did not expressly call for review for abuse of discretion, and because they were invested in ensuring continued uniformity in federal sentencing, the remedial opinion probably envisioned a robust and searching standard of review.387 “Reasonableness” seems to call for an appellate standard that engages with the sentence.</w:t>
      </w:r>
    </w:p>
    <w:p w14:paraId="17F728B0" w14:textId="77777777" w:rsidR="0095149D" w:rsidRPr="009C4529" w:rsidRDefault="0095149D" w:rsidP="0095149D">
      <w:pPr>
        <w:rPr>
          <w:sz w:val="16"/>
        </w:rPr>
      </w:pPr>
      <w:r w:rsidRPr="009C4529">
        <w:rPr>
          <w:sz w:val="16"/>
        </w:rPr>
        <w:t>While reasonableness is poorly defined,388 it is also probably more searching than the Second Circuit’s “shock to conscious” abuse of discretion standard.389 To be sure, it is probably still a deferential standard of review, but because the original standard announced in Booker seemed to expect more from appellate courts than the extreme deference adopted by the Second Circuit, creating a standard that is more scrutinizing of the district court is probably more in line with Booker’s original formulation.</w:t>
      </w:r>
    </w:p>
    <w:p w14:paraId="7FE09830" w14:textId="77777777" w:rsidR="0095149D" w:rsidRPr="009C4529" w:rsidRDefault="0095149D" w:rsidP="0095149D">
      <w:pPr>
        <w:rPr>
          <w:sz w:val="16"/>
        </w:rPr>
      </w:pPr>
      <w:r w:rsidRPr="009C4529">
        <w:rPr>
          <w:sz w:val="16"/>
        </w:rPr>
        <w:t>Appellate courts should remove the presumption of reasonableness from their jurisprudence and apply Booker’s “reasonableness” standard actively. Not only is this scrutinizing standard supported by the SRA and Booker, it also creates the happy result of guidance for district courts. By applying an active version of the abuse of discretion standard, appellate courts would still defer. But this deference would be directed wholly at the sentencing court, not the Commission. The standard would require courts to actually engage in the substantive fairness of the punishment. Appellate judges would have to consider the application of the sentencing factors and whether they believed the sentence was fair. Thus, as recognized in Rigas, the standard would reach the correct balance of “placing great trust in sentencing courts while still recognizing the [appellate court’s] responsibility to examine the actual sentence itself.”390</w:t>
      </w:r>
    </w:p>
    <w:p w14:paraId="663B68BD" w14:textId="77777777" w:rsidR="0095149D" w:rsidRPr="009C4529" w:rsidRDefault="0095149D" w:rsidP="0095149D">
      <w:pPr>
        <w:rPr>
          <w:rStyle w:val="StyleUnderline"/>
        </w:rPr>
      </w:pPr>
      <w:r w:rsidRPr="009C4529">
        <w:rPr>
          <w:rStyle w:val="StyleUnderline"/>
        </w:rPr>
        <w:t>CONCLUSION</w:t>
      </w:r>
    </w:p>
    <w:p w14:paraId="102E0BE1" w14:textId="77777777" w:rsidR="0095149D" w:rsidRPr="009C4529" w:rsidRDefault="0095149D" w:rsidP="0095149D">
      <w:pPr>
        <w:rPr>
          <w:sz w:val="16"/>
        </w:rPr>
      </w:pPr>
      <w:r w:rsidRPr="009C4529">
        <w:rPr>
          <w:sz w:val="16"/>
        </w:rPr>
        <w:t xml:space="preserve">Consider again the case of Mr. Franklin.391 Had the Tenth Circuit foregone the presumption of reasonableness, it could have delivered an opinion grounded in well-reasoned and justified legal doctrine. And, in doing so, it could have facilitated the development of a federal sentencing common law that would serve the goals of uniformity embodied in the SRA. Abdication of the judiciary’s function through the de facto deference embodied in the presumption of reasonableness has made the judiciary less effective. And </w:t>
      </w:r>
      <w:r w:rsidRPr="00E61075">
        <w:rPr>
          <w:rStyle w:val="StyleUnderline"/>
        </w:rPr>
        <w:t xml:space="preserve">this harm to </w:t>
      </w:r>
      <w:r w:rsidRPr="00E61075">
        <w:rPr>
          <w:rStyle w:val="Emphasis"/>
        </w:rPr>
        <w:t>the judiciary’s effectiveness</w:t>
      </w:r>
      <w:r w:rsidRPr="00E61075">
        <w:rPr>
          <w:rStyle w:val="StyleUnderline"/>
        </w:rPr>
        <w:t xml:space="preserve"> is </w:t>
      </w:r>
      <w:r w:rsidRPr="00E61075">
        <w:rPr>
          <w:rStyle w:val="Emphasis"/>
        </w:rPr>
        <w:t>unjustified</w:t>
      </w:r>
      <w:r w:rsidRPr="00E61075">
        <w:rPr>
          <w:rStyle w:val="StyleUnderline"/>
        </w:rPr>
        <w:t xml:space="preserve"> under </w:t>
      </w:r>
      <w:r w:rsidRPr="00E61075">
        <w:rPr>
          <w:rStyle w:val="Emphasis"/>
        </w:rPr>
        <w:t>traditional administrative law</w:t>
      </w:r>
      <w:r w:rsidRPr="009C4529">
        <w:rPr>
          <w:sz w:val="16"/>
        </w:rPr>
        <w:t>. Perhaps a technocratic bureaucracy is indeed the superior vehicle for defining criminal sentences, but I am not ready to give up on the judiciary just yet.</w:t>
      </w:r>
    </w:p>
    <w:p w14:paraId="518A7BD2" w14:textId="77777777" w:rsidR="0095149D" w:rsidRPr="009C4529" w:rsidRDefault="0095149D" w:rsidP="0095149D">
      <w:pPr>
        <w:rPr>
          <w:sz w:val="16"/>
        </w:rPr>
      </w:pPr>
      <w:r w:rsidRPr="009C4529">
        <w:rPr>
          <w:sz w:val="16"/>
        </w:rPr>
        <w:t xml:space="preserve">However, this Comment should not be seen as a repudiation of the premise of agencies, or even judicial agencies for that matter. Agencies are an indispensable aspect of governing in the modern world.392 However, like all things, administrative law requires thoughtful and meaningful checks. While </w:t>
      </w:r>
      <w:r w:rsidRPr="00E61075">
        <w:rPr>
          <w:rStyle w:val="StyleUnderline"/>
        </w:rPr>
        <w:t>agencies</w:t>
      </w:r>
      <w:r w:rsidRPr="009C4529">
        <w:rPr>
          <w:sz w:val="16"/>
        </w:rPr>
        <w:t xml:space="preserve"> certainly add value, they </w:t>
      </w:r>
      <w:r w:rsidRPr="00E61075">
        <w:rPr>
          <w:rStyle w:val="StyleUnderline"/>
        </w:rPr>
        <w:t xml:space="preserve">are creatures of </w:t>
      </w:r>
      <w:r w:rsidRPr="00E61075">
        <w:rPr>
          <w:rStyle w:val="Emphasis"/>
        </w:rPr>
        <w:t>our constitutional system</w:t>
      </w:r>
      <w:r w:rsidRPr="009C4529">
        <w:rPr>
          <w:sz w:val="16"/>
        </w:rPr>
        <w:t>. Agencies like the Commission are only justified when they make sense within that structure. While this Comment does not suggest that the Commission is illegal under this structure,393 structural concerns do not fall out just because a court determines an agency can exist.</w:t>
      </w:r>
    </w:p>
    <w:p w14:paraId="48BD1343" w14:textId="77777777" w:rsidR="0095149D" w:rsidRPr="009C4529" w:rsidRDefault="0095149D" w:rsidP="0095149D">
      <w:pPr>
        <w:rPr>
          <w:sz w:val="16"/>
        </w:rPr>
      </w:pPr>
      <w:r w:rsidRPr="00E61075">
        <w:rPr>
          <w:rStyle w:val="Emphasis"/>
        </w:rPr>
        <w:t>Agency deference</w:t>
      </w:r>
      <w:r w:rsidRPr="00E61075">
        <w:rPr>
          <w:rStyle w:val="StyleUnderline"/>
        </w:rPr>
        <w:t xml:space="preserve"> is one of the places where </w:t>
      </w:r>
      <w:r w:rsidRPr="00E61075">
        <w:rPr>
          <w:rStyle w:val="Emphasis"/>
        </w:rPr>
        <w:t>these structural concerns</w:t>
      </w:r>
      <w:r w:rsidRPr="00E61075">
        <w:rPr>
          <w:rStyle w:val="StyleUnderline"/>
        </w:rPr>
        <w:t xml:space="preserve"> are </w:t>
      </w:r>
      <w:r w:rsidRPr="00E61075">
        <w:rPr>
          <w:rStyle w:val="Emphasis"/>
        </w:rPr>
        <w:t>clearest</w:t>
      </w:r>
      <w:r w:rsidRPr="009C4529">
        <w:rPr>
          <w:sz w:val="16"/>
        </w:rPr>
        <w:t xml:space="preserve">. Here, for example, </w:t>
      </w:r>
      <w:r w:rsidRPr="00E61075">
        <w:rPr>
          <w:rStyle w:val="StyleUnderline"/>
        </w:rPr>
        <w:t xml:space="preserve">the </w:t>
      </w:r>
      <w:r w:rsidRPr="00456038">
        <w:rPr>
          <w:rStyle w:val="StyleUnderline"/>
          <w:highlight w:val="cyan"/>
        </w:rPr>
        <w:t>Guidelines</w:t>
      </w:r>
      <w:r w:rsidRPr="009C4529">
        <w:rPr>
          <w:sz w:val="16"/>
        </w:rPr>
        <w:t xml:space="preserve">, a valid exercise of the Commission’s delegated power, </w:t>
      </w:r>
      <w:r w:rsidRPr="00456038">
        <w:rPr>
          <w:rStyle w:val="StyleUnderline"/>
          <w:highlight w:val="cyan"/>
        </w:rPr>
        <w:t>are</w:t>
      </w:r>
      <w:r w:rsidRPr="00E61075">
        <w:rPr>
          <w:rStyle w:val="StyleUnderline"/>
        </w:rPr>
        <w:t xml:space="preserve"> nonetheless </w:t>
      </w:r>
      <w:r w:rsidRPr="00456038">
        <w:rPr>
          <w:rStyle w:val="StyleUnderline"/>
          <w:highlight w:val="cyan"/>
        </w:rPr>
        <w:t xml:space="preserve">undeserving of </w:t>
      </w:r>
      <w:r w:rsidRPr="00456038">
        <w:rPr>
          <w:rStyle w:val="Emphasis"/>
          <w:highlight w:val="cyan"/>
        </w:rPr>
        <w:t>Chevron</w:t>
      </w:r>
      <w:r w:rsidRPr="00E61075">
        <w:rPr>
          <w:rStyle w:val="Emphasis"/>
        </w:rPr>
        <w:t xml:space="preserve"> deference</w:t>
      </w:r>
      <w:r w:rsidRPr="009C4529">
        <w:rPr>
          <w:rStyle w:val="StyleUnderline"/>
        </w:rPr>
        <w:t xml:space="preserve"> </w:t>
      </w:r>
      <w:r w:rsidRPr="00456038">
        <w:rPr>
          <w:rStyle w:val="StyleUnderline"/>
          <w:highlight w:val="cyan"/>
        </w:rPr>
        <w:t>because</w:t>
      </w:r>
      <w:r w:rsidRPr="00E61075">
        <w:rPr>
          <w:rStyle w:val="StyleUnderline"/>
        </w:rPr>
        <w:t xml:space="preserve"> the Commission’s </w:t>
      </w:r>
      <w:r w:rsidRPr="00456038">
        <w:rPr>
          <w:rStyle w:val="StyleUnderline"/>
          <w:highlight w:val="cyan"/>
        </w:rPr>
        <w:t>expertise</w:t>
      </w:r>
      <w:r w:rsidRPr="009C4529">
        <w:rPr>
          <w:sz w:val="16"/>
        </w:rPr>
        <w:t xml:space="preserve"> largely overlaps, and </w:t>
      </w:r>
      <w:r w:rsidRPr="00456038">
        <w:rPr>
          <w:rStyle w:val="StyleUnderline"/>
          <w:highlight w:val="cyan"/>
        </w:rPr>
        <w:t>is less than</w:t>
      </w:r>
      <w:r w:rsidRPr="009C4529">
        <w:rPr>
          <w:rStyle w:val="StyleUnderline"/>
        </w:rPr>
        <w:t xml:space="preserve">, </w:t>
      </w:r>
      <w:r w:rsidRPr="009C4529">
        <w:rPr>
          <w:rStyle w:val="Emphasis"/>
        </w:rPr>
        <w:t xml:space="preserve">traditional </w:t>
      </w:r>
      <w:r w:rsidRPr="00456038">
        <w:rPr>
          <w:rStyle w:val="Emphasis"/>
          <w:highlight w:val="cyan"/>
        </w:rPr>
        <w:t>Article III judges</w:t>
      </w:r>
      <w:r w:rsidRPr="009C4529">
        <w:rPr>
          <w:sz w:val="16"/>
        </w:rPr>
        <w:t xml:space="preserve">. Moreover, </w:t>
      </w:r>
      <w:r w:rsidRPr="00456038">
        <w:rPr>
          <w:rStyle w:val="Emphasis"/>
          <w:highlight w:val="cyan"/>
        </w:rPr>
        <w:t>criminal law</w:t>
      </w:r>
      <w:r w:rsidRPr="00456038">
        <w:rPr>
          <w:rStyle w:val="StyleUnderline"/>
          <w:highlight w:val="cyan"/>
        </w:rPr>
        <w:t xml:space="preserve"> is </w:t>
      </w:r>
      <w:r w:rsidRPr="00456038">
        <w:rPr>
          <w:rStyle w:val="Emphasis"/>
          <w:highlight w:val="cyan"/>
        </w:rPr>
        <w:t>special</w:t>
      </w:r>
      <w:r w:rsidRPr="00CB3ACD">
        <w:rPr>
          <w:rStyle w:val="Emphasis"/>
        </w:rPr>
        <w:t xml:space="preserve"> in a</w:t>
      </w:r>
      <w:r w:rsidRPr="009C4529">
        <w:rPr>
          <w:rStyle w:val="Emphasis"/>
        </w:rPr>
        <w:t xml:space="preserve"> way</w:t>
      </w:r>
      <w:r w:rsidRPr="009C4529">
        <w:rPr>
          <w:rStyle w:val="StyleUnderline"/>
        </w:rPr>
        <w:t xml:space="preserve"> </w:t>
      </w:r>
      <w:r w:rsidRPr="00456038">
        <w:rPr>
          <w:rStyle w:val="StyleUnderline"/>
          <w:highlight w:val="cyan"/>
        </w:rPr>
        <w:t xml:space="preserve">that counsels against </w:t>
      </w:r>
      <w:r w:rsidRPr="00456038">
        <w:rPr>
          <w:rStyle w:val="Emphasis"/>
          <w:highlight w:val="cyan"/>
        </w:rPr>
        <w:t>Chevron</w:t>
      </w:r>
      <w:r w:rsidRPr="009C4529">
        <w:rPr>
          <w:rStyle w:val="Emphasis"/>
        </w:rPr>
        <w:t xml:space="preserve"> deference</w:t>
      </w:r>
      <w:r w:rsidRPr="009C4529">
        <w:rPr>
          <w:sz w:val="16"/>
        </w:rPr>
        <w:t>. Giving the Guidelines independent and deferential effect (as the presumption of reasonableness does) is simply not justified under Chevron and traditional administrative law.</w:t>
      </w:r>
    </w:p>
    <w:p w14:paraId="1898C15E" w14:textId="77777777" w:rsidR="0095149D" w:rsidRPr="009C4529" w:rsidRDefault="0095149D" w:rsidP="0095149D">
      <w:pPr>
        <w:rPr>
          <w:sz w:val="16"/>
        </w:rPr>
      </w:pPr>
      <w:r w:rsidRPr="00456038">
        <w:rPr>
          <w:rStyle w:val="StyleUnderline"/>
          <w:highlight w:val="cyan"/>
        </w:rPr>
        <w:t>The courts</w:t>
      </w:r>
      <w:r w:rsidRPr="009C4529">
        <w:rPr>
          <w:sz w:val="16"/>
        </w:rPr>
        <w:t xml:space="preserve"> can and </w:t>
      </w:r>
      <w:r w:rsidRPr="00456038">
        <w:rPr>
          <w:rStyle w:val="StyleUnderline"/>
          <w:highlight w:val="cyan"/>
        </w:rPr>
        <w:t>should reassert</w:t>
      </w:r>
      <w:r w:rsidRPr="009C4529">
        <w:rPr>
          <w:rStyle w:val="StyleUnderline"/>
        </w:rPr>
        <w:t xml:space="preserve"> </w:t>
      </w:r>
      <w:r w:rsidRPr="009C4529">
        <w:rPr>
          <w:rStyle w:val="Emphasis"/>
        </w:rPr>
        <w:t xml:space="preserve">the </w:t>
      </w:r>
      <w:r w:rsidRPr="00456038">
        <w:rPr>
          <w:rStyle w:val="Emphasis"/>
          <w:highlight w:val="cyan"/>
        </w:rPr>
        <w:t>primacy</w:t>
      </w:r>
      <w:r w:rsidRPr="009C4529">
        <w:rPr>
          <w:rStyle w:val="StyleUnderline"/>
        </w:rPr>
        <w:t xml:space="preserve"> of the three branches of government—</w:t>
      </w:r>
      <w:r w:rsidRPr="009C4529">
        <w:rPr>
          <w:rStyle w:val="Emphasis"/>
        </w:rPr>
        <w:t>especially the judiciary</w:t>
      </w:r>
      <w:r w:rsidRPr="009C4529">
        <w:rPr>
          <w:rStyle w:val="StyleUnderline"/>
        </w:rPr>
        <w:t>—</w:t>
      </w:r>
      <w:r w:rsidRPr="00456038">
        <w:rPr>
          <w:rStyle w:val="StyleUnderline"/>
          <w:highlight w:val="cyan"/>
        </w:rPr>
        <w:t xml:space="preserve">by </w:t>
      </w:r>
      <w:r w:rsidRPr="00456038">
        <w:rPr>
          <w:rStyle w:val="Emphasis"/>
          <w:highlight w:val="cyan"/>
        </w:rPr>
        <w:t>removing deference</w:t>
      </w:r>
      <w:r w:rsidRPr="009C4529">
        <w:rPr>
          <w:sz w:val="16"/>
        </w:rPr>
        <w:t xml:space="preserve"> to the Commission. </w:t>
      </w:r>
      <w:r w:rsidRPr="009C4529">
        <w:rPr>
          <w:rStyle w:val="StyleUnderline"/>
        </w:rPr>
        <w:t xml:space="preserve">This outcome is </w:t>
      </w:r>
      <w:r w:rsidRPr="009C4529">
        <w:rPr>
          <w:rStyle w:val="Emphasis"/>
        </w:rPr>
        <w:t>desirable</w:t>
      </w:r>
      <w:r w:rsidRPr="009C4529">
        <w:rPr>
          <w:rStyle w:val="StyleUnderline"/>
        </w:rPr>
        <w:t xml:space="preserve">. </w:t>
      </w:r>
      <w:r w:rsidRPr="00456038">
        <w:rPr>
          <w:rStyle w:val="StyleUnderline"/>
          <w:highlight w:val="cyan"/>
        </w:rPr>
        <w:t xml:space="preserve">It ensures </w:t>
      </w:r>
      <w:r w:rsidRPr="00456038">
        <w:rPr>
          <w:rStyle w:val="Emphasis"/>
          <w:highlight w:val="cyan"/>
        </w:rPr>
        <w:t>a constitutional system</w:t>
      </w:r>
      <w:r w:rsidRPr="00456038">
        <w:rPr>
          <w:rStyle w:val="StyleUnderline"/>
          <w:highlight w:val="cyan"/>
        </w:rPr>
        <w:t xml:space="preserve"> where</w:t>
      </w:r>
      <w:r w:rsidRPr="009C4529">
        <w:rPr>
          <w:sz w:val="16"/>
        </w:rPr>
        <w:t xml:space="preserve"> judges continue to decide cases and controversies,394 and </w:t>
      </w:r>
      <w:r w:rsidRPr="00456038">
        <w:rPr>
          <w:rStyle w:val="Emphasis"/>
          <w:highlight w:val="cyan"/>
        </w:rPr>
        <w:t>legislatures</w:t>
      </w:r>
      <w:r w:rsidRPr="00456038">
        <w:rPr>
          <w:rStyle w:val="StyleUnderline"/>
          <w:highlight w:val="cyan"/>
        </w:rPr>
        <w:t xml:space="preserve"> define</w:t>
      </w:r>
      <w:r w:rsidRPr="009C4529">
        <w:rPr>
          <w:rStyle w:val="StyleUnderline"/>
        </w:rPr>
        <w:t xml:space="preserve"> criminal </w:t>
      </w:r>
      <w:r w:rsidRPr="00456038">
        <w:rPr>
          <w:rStyle w:val="StyleUnderline"/>
          <w:highlight w:val="cyan"/>
        </w:rPr>
        <w:t>penalties</w:t>
      </w:r>
      <w:r w:rsidRPr="009C4529">
        <w:rPr>
          <w:sz w:val="16"/>
        </w:rPr>
        <w:t>.395 The Commission’s expertise is redundant to Article III courts. When an agency does not add value in the way the Chevron Court foresaw, it should not receive deferenc</w:t>
      </w:r>
      <w:r w:rsidRPr="00CB3ACD">
        <w:t xml:space="preserve">e. </w:t>
      </w:r>
      <w:r w:rsidRPr="00CB3ACD">
        <w:rPr>
          <w:rStyle w:val="StyleUnderline"/>
        </w:rPr>
        <w:t>To</w:t>
      </w:r>
      <w:r w:rsidRPr="009C4529">
        <w:rPr>
          <w:rStyle w:val="StyleUnderline"/>
        </w:rPr>
        <w:t xml:space="preserve"> hold </w:t>
      </w:r>
      <w:r w:rsidRPr="00456038">
        <w:rPr>
          <w:rStyle w:val="StyleUnderline"/>
          <w:highlight w:val="cyan"/>
        </w:rPr>
        <w:t>otherwise would</w:t>
      </w:r>
      <w:r w:rsidRPr="009C4529">
        <w:rPr>
          <w:rStyle w:val="StyleUnderline"/>
        </w:rPr>
        <w:t xml:space="preserve"> </w:t>
      </w:r>
      <w:r w:rsidRPr="00456038">
        <w:rPr>
          <w:rStyle w:val="StyleUnderline"/>
          <w:highlight w:val="cyan"/>
        </w:rPr>
        <w:t>undercut</w:t>
      </w:r>
      <w:r w:rsidRPr="009C4529">
        <w:rPr>
          <w:rStyle w:val="StyleUnderline"/>
        </w:rPr>
        <w:t xml:space="preserve"> </w:t>
      </w:r>
      <w:r w:rsidRPr="009C4529">
        <w:rPr>
          <w:rStyle w:val="Emphasis"/>
        </w:rPr>
        <w:t xml:space="preserve">the </w:t>
      </w:r>
      <w:r w:rsidRPr="00456038">
        <w:rPr>
          <w:rStyle w:val="Emphasis"/>
          <w:highlight w:val="cyan"/>
        </w:rPr>
        <w:t>Constitution</w:t>
      </w:r>
      <w:r w:rsidRPr="009C4529">
        <w:rPr>
          <w:rStyle w:val="Emphasis"/>
        </w:rPr>
        <w:t>’s preference</w:t>
      </w:r>
      <w:r w:rsidRPr="009C4529">
        <w:rPr>
          <w:sz w:val="16"/>
        </w:rPr>
        <w:t xml:space="preserve"> that </w:t>
      </w:r>
      <w:r w:rsidRPr="009C4529">
        <w:rPr>
          <w:rStyle w:val="StyleUnderline"/>
        </w:rPr>
        <w:t xml:space="preserve">the three branches of government </w:t>
      </w:r>
      <w:r w:rsidRPr="009C4529">
        <w:rPr>
          <w:rStyle w:val="Emphasis"/>
        </w:rPr>
        <w:t>rule the nation</w:t>
      </w:r>
      <w:r w:rsidRPr="009C4529">
        <w:rPr>
          <w:sz w:val="16"/>
        </w:rPr>
        <w:t>.</w:t>
      </w:r>
    </w:p>
    <w:p w14:paraId="373EE653" w14:textId="77777777" w:rsidR="0095149D" w:rsidRPr="009C4529" w:rsidRDefault="0095149D" w:rsidP="0095149D">
      <w:pPr>
        <w:rPr>
          <w:sz w:val="16"/>
        </w:rPr>
      </w:pPr>
      <w:r w:rsidRPr="009C4529">
        <w:rPr>
          <w:sz w:val="16"/>
        </w:rPr>
        <w:t xml:space="preserve">Finally, redundant does not mean useless. It does mean that, under Chevron, courts should not defer to the Commission. Under the proposed test, </w:t>
      </w:r>
      <w:r w:rsidRPr="009C4529">
        <w:rPr>
          <w:rStyle w:val="StyleUnderline"/>
        </w:rPr>
        <w:t>the Commission can continue</w:t>
      </w:r>
      <w:r w:rsidRPr="009C4529">
        <w:rPr>
          <w:sz w:val="16"/>
        </w:rPr>
        <w:t xml:space="preserve"> with its work, </w:t>
      </w:r>
      <w:r w:rsidRPr="009C4529">
        <w:rPr>
          <w:rStyle w:val="StyleUnderline"/>
        </w:rPr>
        <w:t xml:space="preserve">but as </w:t>
      </w:r>
      <w:r w:rsidRPr="009C4529">
        <w:rPr>
          <w:rStyle w:val="Emphasis"/>
        </w:rPr>
        <w:t>trusted advisors</w:t>
      </w:r>
      <w:r w:rsidRPr="009C4529">
        <w:rPr>
          <w:sz w:val="16"/>
        </w:rPr>
        <w:t xml:space="preserve"> rather than active participants. </w:t>
      </w:r>
      <w:r w:rsidRPr="00456038">
        <w:rPr>
          <w:rStyle w:val="StyleUnderline"/>
          <w:highlight w:val="cyan"/>
        </w:rPr>
        <w:t>This</w:t>
      </w:r>
      <w:r w:rsidRPr="009C4529">
        <w:rPr>
          <w:sz w:val="16"/>
        </w:rPr>
        <w:t xml:space="preserve"> role </w:t>
      </w:r>
      <w:r w:rsidRPr="00456038">
        <w:rPr>
          <w:rStyle w:val="StyleUnderline"/>
          <w:highlight w:val="cyan"/>
        </w:rPr>
        <w:t>strikes</w:t>
      </w:r>
      <w:r w:rsidRPr="009C4529">
        <w:rPr>
          <w:rStyle w:val="StyleUnderline"/>
        </w:rPr>
        <w:t xml:space="preserve"> </w:t>
      </w:r>
      <w:r w:rsidRPr="009C4529">
        <w:rPr>
          <w:rStyle w:val="Emphasis"/>
        </w:rPr>
        <w:t xml:space="preserve">the right </w:t>
      </w:r>
      <w:r w:rsidRPr="00456038">
        <w:rPr>
          <w:rStyle w:val="Emphasis"/>
          <w:highlight w:val="cyan"/>
        </w:rPr>
        <w:t>balance</w:t>
      </w:r>
      <w:r w:rsidRPr="00456038">
        <w:rPr>
          <w:rStyle w:val="StyleUnderline"/>
          <w:highlight w:val="cyan"/>
        </w:rPr>
        <w:t>. It</w:t>
      </w:r>
      <w:r w:rsidRPr="009C4529">
        <w:rPr>
          <w:sz w:val="16"/>
        </w:rPr>
        <w:t xml:space="preserve"> forwards Congress’s goals under the SRA, while properly elevates the judiciary, and </w:t>
      </w:r>
      <w:r w:rsidRPr="00456038">
        <w:rPr>
          <w:rStyle w:val="StyleUnderline"/>
          <w:highlight w:val="cyan"/>
        </w:rPr>
        <w:t xml:space="preserve">protects </w:t>
      </w:r>
      <w:r w:rsidRPr="00456038">
        <w:rPr>
          <w:rStyle w:val="Emphasis"/>
          <w:highlight w:val="cyan"/>
        </w:rPr>
        <w:t>our constitution</w:t>
      </w:r>
      <w:r w:rsidRPr="009C4529">
        <w:rPr>
          <w:rStyle w:val="Emphasis"/>
        </w:rPr>
        <w:t>al system</w:t>
      </w:r>
      <w:r w:rsidRPr="009C4529">
        <w:rPr>
          <w:sz w:val="16"/>
        </w:rPr>
        <w:t xml:space="preserve">. </w:t>
      </w:r>
    </w:p>
    <w:p w14:paraId="0316DA51" w14:textId="77777777" w:rsidR="0095149D" w:rsidRPr="004D626F" w:rsidRDefault="0095149D" w:rsidP="0095149D">
      <w:pPr>
        <w:pStyle w:val="Heading4"/>
      </w:pPr>
      <w:r>
        <w:t>It violates fair notice.</w:t>
      </w:r>
    </w:p>
    <w:p w14:paraId="1EC218F0" w14:textId="77777777" w:rsidR="0095149D" w:rsidRPr="004D626F" w:rsidRDefault="0095149D" w:rsidP="0095149D">
      <w:r>
        <w:rPr>
          <w:rStyle w:val="Style13ptBold"/>
        </w:rPr>
        <w:t>Sharpless 17</w:t>
      </w:r>
      <w:r>
        <w:t xml:space="preserve"> – Rebecca Sharpless, Clinical Professor at University of Miami School of Law ("Zone of Nondeference: Chevron and Deportation for a Crime,” 9 Drexel L. Review 323, available online at https://drexel.edu/law/lawreview/issues/Archives/v9-2/sharpless/, accessed 6-25-2020) LR</w:t>
      </w:r>
    </w:p>
    <w:p w14:paraId="17437BEB" w14:textId="77777777" w:rsidR="0095149D" w:rsidRPr="00BE3B25" w:rsidRDefault="0095149D" w:rsidP="0095149D">
      <w:pPr>
        <w:rPr>
          <w:sz w:val="16"/>
        </w:rPr>
      </w:pPr>
      <w:r w:rsidRPr="00BE3B25">
        <w:rPr>
          <w:sz w:val="16"/>
        </w:rPr>
        <w:t xml:space="preserve">The </w:t>
      </w:r>
      <w:r w:rsidRPr="00CE02BE">
        <w:rPr>
          <w:rStyle w:val="StyleUnderline"/>
        </w:rPr>
        <w:t xml:space="preserve">presumption in favor of </w:t>
      </w:r>
      <w:r w:rsidRPr="00D4494A">
        <w:rPr>
          <w:rStyle w:val="Emphasis"/>
        </w:rPr>
        <w:t>lenity</w:t>
      </w:r>
      <w:r w:rsidRPr="00CE02BE">
        <w:rPr>
          <w:rStyle w:val="StyleUnderline"/>
        </w:rPr>
        <w:t xml:space="preserve"> </w:t>
      </w:r>
      <w:r w:rsidRPr="00845F7F">
        <w:rPr>
          <w:rStyle w:val="StyleUnderline"/>
        </w:rPr>
        <w:t xml:space="preserve">to ameliorate harsh consequences and </w:t>
      </w:r>
      <w:r w:rsidRPr="00D4494A">
        <w:rPr>
          <w:rStyle w:val="Emphasis"/>
        </w:rPr>
        <w:t>fair notice</w:t>
      </w:r>
      <w:r w:rsidRPr="00845F7F">
        <w:rPr>
          <w:rStyle w:val="StyleUnderline"/>
        </w:rPr>
        <w:t xml:space="preserve"> concerns also weigh </w:t>
      </w:r>
      <w:r w:rsidRPr="00D4494A">
        <w:rPr>
          <w:rStyle w:val="Emphasis"/>
        </w:rPr>
        <w:t>in favor of nondeference</w:t>
      </w:r>
      <w:r w:rsidRPr="00845F7F">
        <w:rPr>
          <w:rStyle w:val="StyleUnderline"/>
        </w:rPr>
        <w:t>. In both criminal and immigration cases</w:t>
      </w:r>
      <w:r w:rsidRPr="00BE3B25">
        <w:rPr>
          <w:sz w:val="16"/>
        </w:rPr>
        <w:t xml:space="preserve">, the </w:t>
      </w:r>
      <w:r w:rsidRPr="00845F7F">
        <w:rPr>
          <w:rStyle w:val="StyleUnderline"/>
        </w:rPr>
        <w:t>federal government acts directly on individuals</w:t>
      </w:r>
      <w:r w:rsidRPr="00BE3B25">
        <w:rPr>
          <w:sz w:val="16"/>
        </w:rPr>
        <w:t xml:space="preserve"> to restrain their liberty. As Justice Marshall observed, </w:t>
      </w:r>
      <w:r w:rsidRPr="00845F7F">
        <w:rPr>
          <w:rStyle w:val="StyleUnderline"/>
        </w:rPr>
        <w:t>deference is inappropriate when decisions implicate individual liberty</w:t>
      </w:r>
      <w:r w:rsidRPr="00BE3B25">
        <w:rPr>
          <w:sz w:val="16"/>
        </w:rPr>
        <w:t xml:space="preserve"> “[b]ecause of the severe impact.”165 As a result, “an opportunity to challenge a delegated lawmaker’s compliance with congressional directives is a constitutional necessity when administrative standards are enforced by criminal law.”166 </w:t>
      </w:r>
    </w:p>
    <w:p w14:paraId="12F5B0DA" w14:textId="77777777" w:rsidR="0095149D" w:rsidRPr="00BE3B25" w:rsidRDefault="0095149D" w:rsidP="0095149D">
      <w:pPr>
        <w:rPr>
          <w:sz w:val="16"/>
        </w:rPr>
      </w:pPr>
      <w:r w:rsidRPr="00845F7F">
        <w:rPr>
          <w:rStyle w:val="StyleUnderline"/>
        </w:rPr>
        <w:t xml:space="preserve">The criminal and immigration rules of lenity </w:t>
      </w:r>
      <w:r w:rsidRPr="00D4494A">
        <w:rPr>
          <w:rStyle w:val="Emphasis"/>
        </w:rPr>
        <w:t>reflect the harshness</w:t>
      </w:r>
      <w:r w:rsidRPr="00845F7F">
        <w:rPr>
          <w:rStyle w:val="StyleUnderline"/>
        </w:rPr>
        <w:t xml:space="preserve"> of criminal incarceration and civil deportation. Both incarceration and deportation remove people from</w:t>
      </w:r>
      <w:r w:rsidRPr="00BE3B25">
        <w:rPr>
          <w:sz w:val="16"/>
        </w:rPr>
        <w:t xml:space="preserve"> their </w:t>
      </w:r>
      <w:r w:rsidRPr="00845F7F">
        <w:rPr>
          <w:rStyle w:val="StyleUnderline"/>
        </w:rPr>
        <w:t>families and communities. Deportation</w:t>
      </w:r>
      <w:r w:rsidRPr="00BE3B25">
        <w:rPr>
          <w:sz w:val="16"/>
        </w:rPr>
        <w:t xml:space="preserve"> often </w:t>
      </w:r>
      <w:r w:rsidRPr="00845F7F">
        <w:rPr>
          <w:rStyle w:val="StyleUnderline"/>
        </w:rPr>
        <w:t>amounts to “banishment</w:t>
      </w:r>
      <w:r w:rsidRPr="00BE3B25">
        <w:rPr>
          <w:sz w:val="16"/>
        </w:rPr>
        <w:t xml:space="preserve"> or exile” </w:t>
      </w:r>
      <w:r w:rsidRPr="00845F7F">
        <w:rPr>
          <w:rStyle w:val="StyleUnderline"/>
        </w:rPr>
        <w:t>from “all that make life worth living.”</w:t>
      </w:r>
      <w:r w:rsidRPr="00BE3B25">
        <w:rPr>
          <w:sz w:val="16"/>
        </w:rPr>
        <w:t xml:space="preserve">167 Although courts have rejected the </w:t>
      </w:r>
      <w:r w:rsidRPr="00845F7F">
        <w:rPr>
          <w:rStyle w:val="StyleUnderline"/>
        </w:rPr>
        <w:t>proposition that deportation constitutes punishment, recent cases have called this distinction into question.</w:t>
      </w:r>
      <w:r w:rsidRPr="00D4494A">
        <w:rPr>
          <w:sz w:val="16"/>
          <w:szCs w:val="16"/>
        </w:rPr>
        <w:t>1</w:t>
      </w:r>
      <w:r w:rsidRPr="00BE3B25">
        <w:rPr>
          <w:sz w:val="16"/>
        </w:rPr>
        <w:t xml:space="preserve">68 </w:t>
      </w:r>
      <w:r w:rsidRPr="00845F7F">
        <w:rPr>
          <w:rStyle w:val="StyleUnderline"/>
        </w:rPr>
        <w:t>The severity of deportation supports a broad principle of nondeference</w:t>
      </w:r>
      <w:r w:rsidRPr="00BE3B25">
        <w:rPr>
          <w:sz w:val="16"/>
        </w:rPr>
        <w:t xml:space="preserve">.169 </w:t>
      </w:r>
    </w:p>
    <w:p w14:paraId="768E63CC" w14:textId="77777777" w:rsidR="0095149D" w:rsidRPr="00BF1AA2" w:rsidRDefault="0095149D" w:rsidP="0095149D">
      <w:pPr>
        <w:rPr>
          <w:rStyle w:val="StyleUnderline"/>
        </w:rPr>
      </w:pPr>
      <w:r w:rsidRPr="00BF1AA2">
        <w:rPr>
          <w:rStyle w:val="StyleUnderline"/>
        </w:rPr>
        <w:t>Further reinforcement resides in</w:t>
      </w:r>
      <w:r w:rsidRPr="00BF1AA2">
        <w:rPr>
          <w:sz w:val="16"/>
        </w:rPr>
        <w:t xml:space="preserve"> another foundation of </w:t>
      </w:r>
      <w:r w:rsidRPr="00BF1AA2">
        <w:rPr>
          <w:rStyle w:val="StyleUnderline"/>
        </w:rPr>
        <w:t>the rule of lenity</w:t>
      </w:r>
      <w:r w:rsidRPr="00BF1AA2">
        <w:rPr>
          <w:sz w:val="16"/>
        </w:rPr>
        <w:t>—</w:t>
      </w:r>
      <w:r w:rsidRPr="00BF1AA2">
        <w:rPr>
          <w:rStyle w:val="StyleUnderline"/>
        </w:rPr>
        <w:t>the principle of fair warning.</w:t>
      </w:r>
      <w:r w:rsidRPr="00BF1AA2">
        <w:rPr>
          <w:sz w:val="16"/>
        </w:rPr>
        <w:t xml:space="preserve">170 </w:t>
      </w:r>
      <w:r w:rsidRPr="00BF1AA2">
        <w:rPr>
          <w:rStyle w:val="StyleUnderline"/>
        </w:rPr>
        <w:t xml:space="preserve">Unless people are given notice that an action </w:t>
      </w:r>
      <w:r w:rsidRPr="00BF1AA2">
        <w:rPr>
          <w:sz w:val="16"/>
        </w:rPr>
        <w:t xml:space="preserve">constitutes a crime or </w:t>
      </w:r>
      <w:r w:rsidRPr="00BF1AA2">
        <w:rPr>
          <w:rStyle w:val="StyleUnderline"/>
        </w:rPr>
        <w:t>is the basis of deportation, it is unfair to</w:t>
      </w:r>
      <w:r w:rsidRPr="00BF1AA2">
        <w:rPr>
          <w:sz w:val="16"/>
        </w:rPr>
        <w:t xml:space="preserve"> prosecute or </w:t>
      </w:r>
      <w:r w:rsidRPr="00BF1AA2">
        <w:rPr>
          <w:rStyle w:val="StyleUnderline"/>
        </w:rPr>
        <w:t xml:space="preserve">deport them. Both lenity and notice concerns thus weigh in favor of resolving ambiguity in a criminal deportation statute </w:t>
      </w:r>
      <w:r w:rsidRPr="00BF1AA2">
        <w:rPr>
          <w:rStyle w:val="Emphasis"/>
        </w:rPr>
        <w:t>in favor of the noncitizen</w:t>
      </w:r>
      <w:r w:rsidRPr="00BF1AA2">
        <w:rPr>
          <w:rStyle w:val="StyleUnderline"/>
        </w:rPr>
        <w:t xml:space="preserve">. </w:t>
      </w:r>
    </w:p>
    <w:p w14:paraId="4F9789B0" w14:textId="77777777" w:rsidR="0095149D" w:rsidRPr="00621D20" w:rsidRDefault="0095149D" w:rsidP="0095149D">
      <w:pPr>
        <w:rPr>
          <w:sz w:val="16"/>
        </w:rPr>
      </w:pPr>
      <w:r w:rsidRPr="00D4494A">
        <w:rPr>
          <w:sz w:val="16"/>
        </w:rPr>
        <w:t xml:space="preserve">In sum, </w:t>
      </w:r>
      <w:r w:rsidRPr="00D4494A">
        <w:rPr>
          <w:rStyle w:val="StyleUnderline"/>
        </w:rPr>
        <w:t>the underlying purposes of Chevron</w:t>
      </w:r>
      <w:r w:rsidRPr="00D4494A">
        <w:rPr>
          <w:sz w:val="16"/>
        </w:rPr>
        <w:t xml:space="preserve">, the ban on deference to the prosecution, </w:t>
      </w:r>
      <w:r w:rsidRPr="00D4494A">
        <w:rPr>
          <w:rStyle w:val="StyleUnderline"/>
        </w:rPr>
        <w:t xml:space="preserve">and the criminal and immigration </w:t>
      </w:r>
      <w:r w:rsidRPr="00D4494A">
        <w:rPr>
          <w:rStyle w:val="Emphasis"/>
        </w:rPr>
        <w:t>rules of lenity</w:t>
      </w:r>
      <w:r w:rsidRPr="00D4494A">
        <w:rPr>
          <w:rStyle w:val="StyleUnderline"/>
        </w:rPr>
        <w:t xml:space="preserve"> all support a jurisprudence that </w:t>
      </w:r>
      <w:r w:rsidRPr="00D4494A">
        <w:rPr>
          <w:rStyle w:val="Emphasis"/>
        </w:rPr>
        <w:t>eliminates deference</w:t>
      </w:r>
      <w:r w:rsidRPr="00D4494A">
        <w:rPr>
          <w:rStyle w:val="StyleUnderline"/>
        </w:rPr>
        <w:t xml:space="preserve"> in the area of crime-based removal.</w:t>
      </w:r>
      <w:r w:rsidRPr="00D4494A">
        <w:rPr>
          <w:sz w:val="16"/>
        </w:rPr>
        <w:t xml:space="preserve"> The above principles sweep well beyond the issue of hybrid statutes presented in Esquivel-Quintana, as they do not depend on an immigration statute having a criminal law application. Rather, the test is whether the deportation statute incorporates or relies upon criminal law in any way. My intention is not to diminish the importance of the narrower question about hybrid statutes briefed, but not decided, in Esquivel-Quintana, given that “[a]n increasing number of administrative regulations . . . contain criminal as well as civil penalties.”171 The suggestion is simply that </w:t>
      </w:r>
      <w:r w:rsidRPr="00D4494A">
        <w:rPr>
          <w:rStyle w:val="Emphasis"/>
        </w:rPr>
        <w:t>hybrid statutes</w:t>
      </w:r>
      <w:r w:rsidRPr="00D4494A">
        <w:rPr>
          <w:rStyle w:val="StyleUnderline"/>
        </w:rPr>
        <w:t xml:space="preserve"> are a</w:t>
      </w:r>
      <w:r w:rsidRPr="00D4494A">
        <w:rPr>
          <w:sz w:val="16"/>
        </w:rPr>
        <w:t xml:space="preserve"> subset of a larger </w:t>
      </w:r>
      <w:r w:rsidRPr="00D4494A">
        <w:rPr>
          <w:rStyle w:val="StyleUnderline"/>
        </w:rPr>
        <w:t>group of statutes to which courts should not defer to agency interpretation</w:t>
      </w:r>
      <w:r w:rsidRPr="00D4494A">
        <w:rPr>
          <w:sz w:val="16"/>
        </w:rPr>
        <w:t xml:space="preserve">. Not only should the Court remain concerned about deferring to agency interpretations of hybrid statutes, but it should expand its scope of concern to include, at a minimum, all crime-based removal grounds. </w:t>
      </w:r>
    </w:p>
    <w:p w14:paraId="0389F317" w14:textId="77777777" w:rsidR="0095149D" w:rsidRPr="00B51F6B" w:rsidRDefault="0095149D" w:rsidP="0095149D">
      <w:pPr>
        <w:pStyle w:val="Heading4"/>
      </w:pPr>
      <w:r>
        <w:rPr>
          <w:i/>
          <w:iCs w:val="0"/>
        </w:rPr>
        <w:t>Chevron</w:t>
      </w:r>
      <w:r>
        <w:t xml:space="preserve"> and hybrid statutes </w:t>
      </w:r>
      <w:r>
        <w:rPr>
          <w:u w:val="single"/>
        </w:rPr>
        <w:t>poison</w:t>
      </w:r>
      <w:r>
        <w:t xml:space="preserve"> SOP.</w:t>
      </w:r>
    </w:p>
    <w:p w14:paraId="5E3F7E23" w14:textId="77777777" w:rsidR="0095149D" w:rsidRPr="0000458A" w:rsidRDefault="0095149D" w:rsidP="0095149D">
      <w:r w:rsidRPr="0000458A">
        <w:rPr>
          <w:rStyle w:val="Heading4Char"/>
        </w:rPr>
        <w:t>Liu 15</w:t>
      </w:r>
      <w:r w:rsidRPr="0000458A">
        <w:t xml:space="preserve"> – (Cory R. Liu, Law Clerk, Hon. Danny J. Boggs, United States Court of Appeals for the Sixth Circuit; J.D., Harvard Law School, 2015; A.B., University of Chicago, 2012; “CHEVRON’S DOMAIN AND THE RULE OF LAW”; D.A. June 20</w:t>
      </w:r>
      <w:r w:rsidRPr="0000458A">
        <w:rPr>
          <w:vertAlign w:val="superscript"/>
        </w:rPr>
        <w:t>th</w:t>
      </w:r>
      <w:r w:rsidRPr="0000458A">
        <w:t xml:space="preserve"> 2020, [Published Spring 2016]; Texas Review of Law &amp; Politics, Vol. 20, Issue 2, pg. 405-410; ProQuest via UMich libraries) //LFS—JCM</w:t>
      </w:r>
    </w:p>
    <w:p w14:paraId="44D6FB2D" w14:textId="77777777" w:rsidR="0095149D" w:rsidRPr="0000458A" w:rsidRDefault="0095149D" w:rsidP="0095149D">
      <w:pPr>
        <w:rPr>
          <w:sz w:val="16"/>
        </w:rPr>
      </w:pPr>
      <w:r w:rsidRPr="00456038">
        <w:rPr>
          <w:rStyle w:val="StyleUnderline"/>
          <w:highlight w:val="cyan"/>
        </w:rPr>
        <w:t>One</w:t>
      </w:r>
      <w:r w:rsidRPr="0000458A">
        <w:rPr>
          <w:rStyle w:val="StyleUnderline"/>
        </w:rPr>
        <w:t xml:space="preserve"> of the</w:t>
      </w:r>
      <w:r w:rsidRPr="0000458A">
        <w:rPr>
          <w:sz w:val="16"/>
        </w:rPr>
        <w:t xml:space="preserve"> most </w:t>
      </w:r>
      <w:r w:rsidRPr="00456038">
        <w:rPr>
          <w:rStyle w:val="StyleUnderline"/>
          <w:highlight w:val="cyan"/>
        </w:rPr>
        <w:t>recent example</w:t>
      </w:r>
      <w:r w:rsidRPr="0000458A">
        <w:rPr>
          <w:rStyle w:val="StyleUnderline"/>
        </w:rPr>
        <w:t xml:space="preserve">s of an effort </w:t>
      </w:r>
      <w:r w:rsidRPr="00456038">
        <w:rPr>
          <w:rStyle w:val="StyleUnderline"/>
          <w:highlight w:val="cyan"/>
        </w:rPr>
        <w:t xml:space="preserve">to create </w:t>
      </w:r>
      <w:r w:rsidRPr="00456038">
        <w:rPr>
          <w:rStyle w:val="Emphasis"/>
          <w:highlight w:val="cyan"/>
        </w:rPr>
        <w:t>a</w:t>
      </w:r>
      <w:r w:rsidRPr="0000458A">
        <w:rPr>
          <w:rStyle w:val="Emphasis"/>
        </w:rPr>
        <w:t xml:space="preserve"> new </w:t>
      </w:r>
      <w:r w:rsidRPr="00456038">
        <w:rPr>
          <w:rStyle w:val="Emphasis"/>
          <w:highlight w:val="cyan"/>
        </w:rPr>
        <w:t>exception to Chevron</w:t>
      </w:r>
      <w:r w:rsidRPr="00456038">
        <w:rPr>
          <w:rStyle w:val="StyleUnderline"/>
          <w:highlight w:val="cyan"/>
        </w:rPr>
        <w:t xml:space="preserve"> involves</w:t>
      </w:r>
      <w:r w:rsidRPr="0000458A">
        <w:rPr>
          <w:sz w:val="16"/>
        </w:rPr>
        <w:t xml:space="preserve"> the question of </w:t>
      </w:r>
      <w:r w:rsidRPr="00456038">
        <w:rPr>
          <w:rStyle w:val="Emphasis"/>
          <w:highlight w:val="cyan"/>
        </w:rPr>
        <w:t>whether courts</w:t>
      </w:r>
      <w:r w:rsidRPr="00456038">
        <w:rPr>
          <w:rStyle w:val="StyleUnderline"/>
          <w:highlight w:val="cyan"/>
        </w:rPr>
        <w:t xml:space="preserve"> should </w:t>
      </w:r>
      <w:r w:rsidRPr="00456038">
        <w:rPr>
          <w:rStyle w:val="Emphasis"/>
          <w:highlight w:val="cyan"/>
        </w:rPr>
        <w:t>follow</w:t>
      </w:r>
      <w:r w:rsidRPr="0000458A">
        <w:rPr>
          <w:rStyle w:val="StyleUnderline"/>
        </w:rPr>
        <w:t xml:space="preserve"> the </w:t>
      </w:r>
      <w:r w:rsidRPr="00456038">
        <w:rPr>
          <w:rStyle w:val="Emphasis"/>
          <w:highlight w:val="cyan"/>
        </w:rPr>
        <w:t>Chevron</w:t>
      </w:r>
      <w:r w:rsidRPr="0000458A">
        <w:rPr>
          <w:rStyle w:val="StyleUnderline"/>
        </w:rPr>
        <w:t xml:space="preserve"> framework </w:t>
      </w:r>
      <w:r w:rsidRPr="00456038">
        <w:rPr>
          <w:rStyle w:val="Emphasis"/>
          <w:highlight w:val="cyan"/>
        </w:rPr>
        <w:t>when evaluating</w:t>
      </w:r>
      <w:r w:rsidRPr="0000458A">
        <w:rPr>
          <w:rStyle w:val="StyleUnderline"/>
        </w:rPr>
        <w:t xml:space="preserve"> an agency's interpretation of </w:t>
      </w:r>
      <w:r w:rsidRPr="00456038">
        <w:rPr>
          <w:rStyle w:val="Emphasis"/>
          <w:highlight w:val="cyan"/>
        </w:rPr>
        <w:t>a</w:t>
      </w:r>
      <w:r w:rsidRPr="0000458A">
        <w:rPr>
          <w:rStyle w:val="Emphasis"/>
        </w:rPr>
        <w:t xml:space="preserve"> "</w:t>
      </w:r>
      <w:r w:rsidRPr="00456038">
        <w:rPr>
          <w:rStyle w:val="Emphasis"/>
          <w:highlight w:val="cyan"/>
        </w:rPr>
        <w:t>hybrid statute</w:t>
      </w:r>
      <w:r w:rsidRPr="0000458A">
        <w:rPr>
          <w:rStyle w:val="Emphasis"/>
        </w:rPr>
        <w:t>"</w:t>
      </w:r>
      <w:r w:rsidRPr="0000458A">
        <w:rPr>
          <w:rStyle w:val="StyleUnderline"/>
        </w:rPr>
        <w:t xml:space="preserve"> </w:t>
      </w:r>
      <w:r w:rsidRPr="0000458A">
        <w:rPr>
          <w:sz w:val="16"/>
        </w:rPr>
        <w:t xml:space="preserve">that </w:t>
      </w:r>
      <w:r w:rsidRPr="0000458A">
        <w:rPr>
          <w:rStyle w:val="StyleUnderline"/>
        </w:rPr>
        <w:t>has</w:t>
      </w:r>
      <w:r w:rsidRPr="0000458A">
        <w:rPr>
          <w:sz w:val="16"/>
        </w:rPr>
        <w:t xml:space="preserve"> both </w:t>
      </w:r>
      <w:r w:rsidRPr="0000458A">
        <w:rPr>
          <w:rStyle w:val="Emphasis"/>
        </w:rPr>
        <w:t>civil and criminal</w:t>
      </w:r>
      <w:r w:rsidRPr="0000458A">
        <w:rPr>
          <w:rStyle w:val="StyleUnderline"/>
        </w:rPr>
        <w:t xml:space="preserve"> applications</w:t>
      </w:r>
      <w:r w:rsidRPr="0000458A">
        <w:rPr>
          <w:sz w:val="16"/>
        </w:rPr>
        <w:t>. In Esquivel-Quintana v. Lynch,102 the Sixth Circuit was confronted with this question. Juan Esquivel-Quintana was a Mexican national who pleaded guilty to statutory rape in California and then moved to Michigan.103 After the move, the government sought to deport him from the country on the ground that he had been convicted of "sexual abuse of a minor," which is an aggravated felony under the Immigration and Nationality Act.104 EsquivelQuintana argued that his conviction for a consensual sex act was not "sexual abuse of a minor," but the Board of Immigration Appeals disagreed and ordered him removed from the country. 105 At issue in the case was whether the Chevron framework applied to the Board's decision to interpret "sexual abuse of a minor" as including Esquivel-Quintana's conviction.106</w:t>
      </w:r>
    </w:p>
    <w:p w14:paraId="066ECDDC" w14:textId="77777777" w:rsidR="0095149D" w:rsidRPr="0000458A" w:rsidRDefault="0095149D" w:rsidP="0095149D">
      <w:pPr>
        <w:rPr>
          <w:sz w:val="16"/>
          <w:szCs w:val="16"/>
        </w:rPr>
      </w:pPr>
      <w:r w:rsidRPr="0000458A">
        <w:rPr>
          <w:sz w:val="16"/>
          <w:szCs w:val="16"/>
        </w:rPr>
        <w:t>Although it is well established that precedential decisions of the Board of Immigration Appeals receive Chevron deference,107 Esquivel-Quintana argued that there should be an exception for cases involving statutes with both civil and criminal applications.108 The statute in his case, 8 U.S.C. § 1101(a)(43)(A), defines "sexual abuse of a minor" as an aggravated felony. Although a conviction for an aggravated felony can serve as a ground for removal under 8 U.S.C. § 1227(a)(2)(A)(iii), it can also result in an enhanced sentence for those who are convicted of illegal reentry under 8 U.S.C. § 1227(a)(2)(A)(iii). In addition, 8 U.S.C. § 1327 makes it a crime to assist an alien convicted of an aggravated felony with illegally entering the United States. Thus, the meaning of "sexual abuse of a minor" has both civil and criminal applications.</w:t>
      </w:r>
    </w:p>
    <w:p w14:paraId="63DC2299" w14:textId="77777777" w:rsidR="0095149D" w:rsidRPr="0000458A" w:rsidRDefault="0095149D" w:rsidP="0095149D">
      <w:pPr>
        <w:rPr>
          <w:sz w:val="16"/>
        </w:rPr>
      </w:pPr>
      <w:r w:rsidRPr="0000458A">
        <w:rPr>
          <w:sz w:val="16"/>
        </w:rPr>
        <w:t xml:space="preserve">In the criminal context, </w:t>
      </w:r>
      <w:r w:rsidRPr="0000458A">
        <w:rPr>
          <w:rStyle w:val="StyleUnderline"/>
        </w:rPr>
        <w:t xml:space="preserve">the rule of </w:t>
      </w:r>
      <w:r w:rsidRPr="00456038">
        <w:rPr>
          <w:rStyle w:val="StyleUnderline"/>
          <w:highlight w:val="cyan"/>
        </w:rPr>
        <w:t>lenity requires ambiguities to be</w:t>
      </w:r>
      <w:r w:rsidRPr="0000458A">
        <w:rPr>
          <w:rStyle w:val="StyleUnderline"/>
        </w:rPr>
        <w:t xml:space="preserve"> resolved </w:t>
      </w:r>
      <w:r w:rsidRPr="00456038">
        <w:rPr>
          <w:rStyle w:val="StyleUnderline"/>
          <w:highlight w:val="cyan"/>
        </w:rPr>
        <w:t>in favor of the defendant</w:t>
      </w:r>
      <w:r w:rsidRPr="0000458A">
        <w:rPr>
          <w:sz w:val="16"/>
        </w:rPr>
        <w:t xml:space="preserve">.109 This ensures that </w:t>
      </w:r>
      <w:r w:rsidRPr="0000458A">
        <w:rPr>
          <w:rStyle w:val="StyleUnderline"/>
        </w:rPr>
        <w:t>the public has adequate notice of what conduct is criminalized</w:t>
      </w:r>
      <w:r w:rsidRPr="0000458A">
        <w:rPr>
          <w:sz w:val="16"/>
        </w:rPr>
        <w:t xml:space="preserve">, and </w:t>
      </w:r>
      <w:r w:rsidRPr="00456038">
        <w:rPr>
          <w:rStyle w:val="StyleUnderline"/>
          <w:highlight w:val="cyan"/>
        </w:rPr>
        <w:t>preserves</w:t>
      </w:r>
      <w:r w:rsidRPr="0000458A">
        <w:rPr>
          <w:rStyle w:val="StyleUnderline"/>
        </w:rPr>
        <w:t xml:space="preserve"> </w:t>
      </w:r>
      <w:r w:rsidRPr="00456038">
        <w:rPr>
          <w:rStyle w:val="StyleUnderline"/>
          <w:highlight w:val="cyan"/>
        </w:rPr>
        <w:t xml:space="preserve">the </w:t>
      </w:r>
      <w:r w:rsidRPr="00456038">
        <w:rPr>
          <w:rStyle w:val="Emphasis"/>
          <w:highlight w:val="cyan"/>
        </w:rPr>
        <w:t>separation of powers</w:t>
      </w:r>
      <w:r w:rsidRPr="0000458A">
        <w:rPr>
          <w:rStyle w:val="StyleUnderline"/>
        </w:rPr>
        <w:t xml:space="preserve"> </w:t>
      </w:r>
      <w:r w:rsidRPr="00456038">
        <w:rPr>
          <w:rStyle w:val="StyleUnderline"/>
          <w:highlight w:val="cyan"/>
        </w:rPr>
        <w:t xml:space="preserve">by ensuring that </w:t>
      </w:r>
      <w:r w:rsidRPr="00456038">
        <w:rPr>
          <w:rStyle w:val="Emphasis"/>
          <w:highlight w:val="cyan"/>
        </w:rPr>
        <w:t>criminal laws</w:t>
      </w:r>
      <w:r w:rsidRPr="00456038">
        <w:rPr>
          <w:rStyle w:val="StyleUnderline"/>
          <w:highlight w:val="cyan"/>
        </w:rPr>
        <w:t xml:space="preserve"> are </w:t>
      </w:r>
      <w:r w:rsidRPr="00456038">
        <w:rPr>
          <w:rStyle w:val="Emphasis"/>
          <w:highlight w:val="cyan"/>
        </w:rPr>
        <w:t>written by</w:t>
      </w:r>
      <w:r w:rsidRPr="00456038">
        <w:rPr>
          <w:rStyle w:val="StyleUnderline"/>
          <w:highlight w:val="cyan"/>
        </w:rPr>
        <w:t xml:space="preserve"> the </w:t>
      </w:r>
      <w:r w:rsidRPr="00456038">
        <w:rPr>
          <w:rStyle w:val="Emphasis"/>
          <w:highlight w:val="cyan"/>
        </w:rPr>
        <w:t>legislature</w:t>
      </w:r>
      <w:r w:rsidRPr="00456038">
        <w:rPr>
          <w:rStyle w:val="StyleUnderline"/>
          <w:highlight w:val="cyan"/>
        </w:rPr>
        <w:t xml:space="preserve"> and </w:t>
      </w:r>
      <w:r w:rsidRPr="00456038">
        <w:rPr>
          <w:rStyle w:val="Emphasis"/>
          <w:highlight w:val="cyan"/>
        </w:rPr>
        <w:t>not executive</w:t>
      </w:r>
      <w:r w:rsidRPr="0000458A">
        <w:rPr>
          <w:sz w:val="16"/>
        </w:rPr>
        <w:t xml:space="preserve"> agencies. 110 But </w:t>
      </w:r>
      <w:r w:rsidRPr="0000458A">
        <w:rPr>
          <w:rStyle w:val="StyleUnderline"/>
        </w:rPr>
        <w:t xml:space="preserve">in the civil context, </w:t>
      </w:r>
      <w:r w:rsidRPr="0000458A">
        <w:rPr>
          <w:rStyle w:val="Emphasis"/>
        </w:rPr>
        <w:t>Chevron requires</w:t>
      </w:r>
      <w:r w:rsidRPr="0000458A">
        <w:rPr>
          <w:rStyle w:val="StyleUnderline"/>
        </w:rPr>
        <w:t xml:space="preserve"> courts to resolve ambiguities in favor of the government by </w:t>
      </w:r>
      <w:r w:rsidRPr="0000458A">
        <w:rPr>
          <w:rStyle w:val="Emphasis"/>
        </w:rPr>
        <w:t>deferring to</w:t>
      </w:r>
      <w:r w:rsidRPr="0000458A">
        <w:rPr>
          <w:rStyle w:val="StyleUnderline"/>
        </w:rPr>
        <w:t xml:space="preserve"> agencies' </w:t>
      </w:r>
      <w:r w:rsidRPr="0000458A">
        <w:rPr>
          <w:rStyle w:val="Emphasis"/>
        </w:rPr>
        <w:t>reasonable</w:t>
      </w:r>
      <w:r w:rsidRPr="0000458A">
        <w:rPr>
          <w:rStyle w:val="StyleUnderline"/>
        </w:rPr>
        <w:t xml:space="preserve"> statutory </w:t>
      </w:r>
      <w:r w:rsidRPr="0000458A">
        <w:rPr>
          <w:rStyle w:val="Emphasis"/>
        </w:rPr>
        <w:t>interpretations</w:t>
      </w:r>
      <w:r w:rsidRPr="0000458A">
        <w:rPr>
          <w:sz w:val="16"/>
        </w:rPr>
        <w:t xml:space="preserve">. Because </w:t>
      </w:r>
      <w:r w:rsidRPr="0000458A">
        <w:rPr>
          <w:rStyle w:val="StyleUnderline"/>
        </w:rPr>
        <w:t>the same statute cannot have different meanings in different cases-"a statute is not a</w:t>
      </w:r>
      <w:r w:rsidRPr="0000458A">
        <w:rPr>
          <w:sz w:val="16"/>
        </w:rPr>
        <w:t xml:space="preserve"> Mt</w:t>
      </w:r>
      <w:r w:rsidRPr="0000458A">
        <w:rPr>
          <w:rStyle w:val="Emphasis"/>
        </w:rPr>
        <w:t>chameleon</w:t>
      </w:r>
      <w:r w:rsidRPr="0000458A">
        <w:rPr>
          <w:sz w:val="16"/>
        </w:rPr>
        <w:t>"111-Esquivel-Quintana argued that the court could not apply Chevron in his civil immigration case and was required to apply the rule of lenity instead.112</w:t>
      </w:r>
    </w:p>
    <w:p w14:paraId="0F2831D5" w14:textId="77777777" w:rsidR="0095149D" w:rsidRPr="0000458A" w:rsidRDefault="0095149D" w:rsidP="0095149D">
      <w:pPr>
        <w:rPr>
          <w:sz w:val="16"/>
        </w:rPr>
      </w:pPr>
      <w:r w:rsidRPr="0000458A">
        <w:rPr>
          <w:sz w:val="16"/>
        </w:rPr>
        <w:t xml:space="preserve">Writing for the majority, </w:t>
      </w:r>
      <w:r w:rsidRPr="0000458A">
        <w:rPr>
          <w:rStyle w:val="StyleUnderline"/>
        </w:rPr>
        <w:t>Judge</w:t>
      </w:r>
      <w:r w:rsidRPr="0000458A">
        <w:rPr>
          <w:sz w:val="16"/>
        </w:rPr>
        <w:t xml:space="preserve"> </w:t>
      </w:r>
      <w:r w:rsidRPr="0000458A">
        <w:rPr>
          <w:rStyle w:val="Emphasis"/>
        </w:rPr>
        <w:t>Boggs</w:t>
      </w:r>
      <w:r w:rsidRPr="0000458A">
        <w:rPr>
          <w:rStyle w:val="StyleUnderline"/>
        </w:rPr>
        <w:t xml:space="preserve"> acknowledged that "</w:t>
      </w:r>
      <w:r w:rsidRPr="00456038">
        <w:rPr>
          <w:rStyle w:val="Emphasis"/>
          <w:highlight w:val="cyan"/>
        </w:rPr>
        <w:t>deference</w:t>
      </w:r>
      <w:r w:rsidRPr="00456038">
        <w:rPr>
          <w:rStyle w:val="StyleUnderline"/>
          <w:highlight w:val="cyan"/>
        </w:rPr>
        <w:t xml:space="preserve"> to agency interpretations</w:t>
      </w:r>
      <w:r w:rsidRPr="0000458A">
        <w:rPr>
          <w:rStyle w:val="StyleUnderline"/>
        </w:rPr>
        <w:t xml:space="preserve"> of laws </w:t>
      </w:r>
      <w:r w:rsidRPr="00456038">
        <w:rPr>
          <w:rStyle w:val="StyleUnderline"/>
          <w:highlight w:val="cyan"/>
        </w:rPr>
        <w:t xml:space="preserve">with </w:t>
      </w:r>
      <w:r w:rsidRPr="00456038">
        <w:rPr>
          <w:rStyle w:val="Emphasis"/>
          <w:highlight w:val="cyan"/>
        </w:rPr>
        <w:t>criminal applications threatens</w:t>
      </w:r>
      <w:r w:rsidRPr="0000458A">
        <w:rPr>
          <w:rStyle w:val="StyleUnderline"/>
        </w:rPr>
        <w:t xml:space="preserve"> a complete </w:t>
      </w:r>
      <w:r w:rsidRPr="00456038">
        <w:rPr>
          <w:rStyle w:val="Emphasis"/>
          <w:highlight w:val="cyan"/>
        </w:rPr>
        <w:t>undermining of the Constitution's separation of powers</w:t>
      </w:r>
      <w:r w:rsidRPr="0000458A">
        <w:rPr>
          <w:rStyle w:val="StyleUnderline"/>
        </w:rPr>
        <w:t>.</w:t>
      </w:r>
      <w:r w:rsidRPr="0000458A">
        <w:rPr>
          <w:sz w:val="16"/>
        </w:rPr>
        <w:t xml:space="preserve">"113 Nevertheless, Judge Boggs held that, </w:t>
      </w:r>
      <w:r w:rsidRPr="00456038">
        <w:rPr>
          <w:rStyle w:val="StyleUnderline"/>
          <w:highlight w:val="cyan"/>
        </w:rPr>
        <w:t>under</w:t>
      </w:r>
      <w:r w:rsidRPr="0000458A">
        <w:rPr>
          <w:rStyle w:val="StyleUnderline"/>
        </w:rPr>
        <w:t xml:space="preserve"> the Supreme Court's </w:t>
      </w:r>
      <w:r w:rsidRPr="0000458A">
        <w:rPr>
          <w:rStyle w:val="Emphasis"/>
        </w:rPr>
        <w:t xml:space="preserve">precedent in </w:t>
      </w:r>
      <w:r w:rsidRPr="00456038">
        <w:rPr>
          <w:rStyle w:val="Emphasis"/>
          <w:highlight w:val="cyan"/>
        </w:rPr>
        <w:t>Babbitt</w:t>
      </w:r>
      <w:r w:rsidRPr="0000458A">
        <w:rPr>
          <w:rStyle w:val="StyleUnderline"/>
        </w:rPr>
        <w:t xml:space="preserve"> v. Sweet Home Chapter of Communities for a Great Oregon</w:t>
      </w:r>
      <w:r w:rsidRPr="0000458A">
        <w:rPr>
          <w:sz w:val="16"/>
        </w:rPr>
        <w:t xml:space="preserve">,114 </w:t>
      </w:r>
      <w:r w:rsidRPr="00456038">
        <w:rPr>
          <w:rStyle w:val="Emphasis"/>
          <w:highlight w:val="cyan"/>
        </w:rPr>
        <w:t>the court was bound</w:t>
      </w:r>
      <w:r w:rsidRPr="0000458A">
        <w:rPr>
          <w:rStyle w:val="Emphasis"/>
        </w:rPr>
        <w:t xml:space="preserve"> </w:t>
      </w:r>
      <w:r w:rsidRPr="00456038">
        <w:rPr>
          <w:rStyle w:val="Emphasis"/>
          <w:highlight w:val="cyan"/>
        </w:rPr>
        <w:t>to</w:t>
      </w:r>
      <w:r w:rsidRPr="0000458A">
        <w:rPr>
          <w:rStyle w:val="Emphasis"/>
        </w:rPr>
        <w:t xml:space="preserve"> </w:t>
      </w:r>
      <w:r w:rsidRPr="0000458A">
        <w:rPr>
          <w:sz w:val="16"/>
        </w:rPr>
        <w:t xml:space="preserve">follow </w:t>
      </w:r>
      <w:r w:rsidRPr="00456038">
        <w:rPr>
          <w:rStyle w:val="Emphasis"/>
          <w:highlight w:val="cyan"/>
        </w:rPr>
        <w:t>Chevron</w:t>
      </w:r>
      <w:r w:rsidRPr="0000458A">
        <w:rPr>
          <w:sz w:val="16"/>
        </w:rPr>
        <w:t xml:space="preserve">.115 Applying the Chevron framework, Judge </w:t>
      </w:r>
      <w:r w:rsidRPr="0000458A">
        <w:rPr>
          <w:rStyle w:val="StyleUnderline"/>
        </w:rPr>
        <w:t>Boggs deferred to the Board's reasonable interpretation</w:t>
      </w:r>
      <w:r w:rsidRPr="0000458A">
        <w:rPr>
          <w:sz w:val="16"/>
        </w:rPr>
        <w:t xml:space="preserve"> of "sexual abuse of a minor" as including Esquivel-Quintana's conviction.116</w:t>
      </w:r>
    </w:p>
    <w:p w14:paraId="140C8196" w14:textId="77777777" w:rsidR="0095149D" w:rsidRDefault="0095149D" w:rsidP="0095149D">
      <w:pPr>
        <w:pStyle w:val="Heading4"/>
      </w:pPr>
      <w:r>
        <w:t xml:space="preserve">It </w:t>
      </w:r>
      <w:r w:rsidRPr="00CB3F1F">
        <w:rPr>
          <w:u w:val="single"/>
        </w:rPr>
        <w:t>hammers</w:t>
      </w:r>
      <w:r>
        <w:t xml:space="preserve"> American democracy.</w:t>
      </w:r>
    </w:p>
    <w:p w14:paraId="3ED41CBA" w14:textId="77777777" w:rsidR="0095149D" w:rsidRPr="00C739F7" w:rsidRDefault="0095149D" w:rsidP="0095149D">
      <w:r w:rsidRPr="00FE5D10">
        <w:rPr>
          <w:b/>
          <w:bCs/>
          <w:sz w:val="26"/>
          <w:szCs w:val="26"/>
        </w:rPr>
        <w:t>Kerr 16</w:t>
      </w:r>
      <w:r>
        <w:t xml:space="preserve"> - </w:t>
      </w:r>
      <w:r w:rsidRPr="00FE5D10">
        <w:t>a professor of law at the UC Berkeley School of Law</w:t>
      </w:r>
      <w:r>
        <w:t>, (Orin, “</w:t>
      </w:r>
      <w:r w:rsidRPr="00FE5D10">
        <w:t>The case for patent law and criminal law exceptionalism in the administrative state</w:t>
      </w:r>
      <w:r>
        <w:t xml:space="preserve">,” </w:t>
      </w:r>
      <w:r>
        <w:rPr>
          <w:i/>
          <w:iCs/>
        </w:rPr>
        <w:t>The Washington Post</w:t>
      </w:r>
      <w:r>
        <w:t xml:space="preserve">, 2-12-16, </w:t>
      </w:r>
      <w:hyperlink r:id="rId12" w:history="1">
        <w:r w:rsidRPr="00DC67D3">
          <w:rPr>
            <w:rStyle w:val="Hyperlink"/>
          </w:rPr>
          <w:t>https://www.washingtonpost.com/news/volokh-conspiracy/wp/2016/02/12/the-case-for-patent-law-and-criminal-law-exceptionalism-in-the-administrative-state/</w:t>
        </w:r>
      </w:hyperlink>
      <w:r>
        <w:t>, Accessed 7-4-20, LASA-AH)</w:t>
      </w:r>
    </w:p>
    <w:p w14:paraId="6A5EDF1D" w14:textId="77777777" w:rsidR="0095149D" w:rsidRDefault="0095149D" w:rsidP="0095149D">
      <w:pPr>
        <w:rPr>
          <w:u w:val="single"/>
        </w:rPr>
      </w:pPr>
      <w:r w:rsidRPr="00397695">
        <w:rPr>
          <w:u w:val="single"/>
        </w:rPr>
        <w:t xml:space="preserve">Deference in criminal law would create </w:t>
      </w:r>
      <w:r w:rsidRPr="00397695">
        <w:rPr>
          <w:rStyle w:val="Emphasis"/>
        </w:rPr>
        <w:t>analogous problems,</w:t>
      </w:r>
      <w:r w:rsidRPr="00397695">
        <w:rPr>
          <w:u w:val="single"/>
        </w:rPr>
        <w:t xml:space="preserve"> I</w:t>
      </w:r>
      <w:r>
        <w:t xml:space="preserve"> think. DOJ doesn’t “regulate” criminal activity. Instead, </w:t>
      </w:r>
      <w:r w:rsidRPr="00C739F7">
        <w:rPr>
          <w:u w:val="single"/>
        </w:rPr>
        <w:t>DOJ tries to achieve Congress’s goals in enacting criminal laws</w:t>
      </w:r>
      <w:r>
        <w:t xml:space="preserve"> (such as deterrence and retribution) </w:t>
      </w:r>
      <w:r w:rsidRPr="00397695">
        <w:rPr>
          <w:u w:val="single"/>
        </w:rPr>
        <w:t>by bringing enforcement actions subject to whatever standard of criminality Congress adopted</w:t>
      </w:r>
      <w:r>
        <w:t xml:space="preserve">. The theory is that the </w:t>
      </w:r>
      <w:r w:rsidRPr="00397695">
        <w:rPr>
          <w:u w:val="single"/>
        </w:rPr>
        <w:t>legislature is supposed to debate and pass public legislation on what is prohibited before that law is to be enforced,</w:t>
      </w:r>
      <w:r>
        <w:t xml:space="preserve"> so everyone can know where the line is ahead of time and the wide range of inputs and constraints of legislation is fully considered. </w:t>
      </w:r>
      <w:r w:rsidRPr="00397695">
        <w:rPr>
          <w:u w:val="single"/>
        </w:rPr>
        <w:t xml:space="preserve">Deferring to DOJ would frustrate this design rather than assist it. Deference would just give DOJ power to swing the hammer of federal criminal law </w:t>
      </w:r>
      <w:r w:rsidRPr="00397695">
        <w:rPr>
          <w:rStyle w:val="Emphasis"/>
        </w:rPr>
        <w:t>after the act occurred,</w:t>
      </w:r>
      <w:r>
        <w:t xml:space="preserve"> </w:t>
      </w:r>
      <w:r w:rsidRPr="00397695">
        <w:rPr>
          <w:u w:val="single"/>
        </w:rPr>
        <w:t>without the restrictions of enacting legislation</w:t>
      </w:r>
      <w:r>
        <w:t xml:space="preserve">, to conduct that the elected legislature </w:t>
      </w:r>
      <w:r w:rsidRPr="00397695">
        <w:rPr>
          <w:u w:val="single"/>
        </w:rPr>
        <w:t>hasn’t actually concluded was criminal. That would be contrary to all of the rule-of-law values on which the criminal law system is premised.</w:t>
      </w:r>
    </w:p>
    <w:p w14:paraId="54A249AE" w14:textId="77777777" w:rsidR="0095149D" w:rsidRPr="00A034ED" w:rsidRDefault="0095149D" w:rsidP="0095149D">
      <w:pPr>
        <w:pStyle w:val="Heading4"/>
        <w:rPr>
          <w:u w:val="single"/>
        </w:rPr>
      </w:pPr>
      <w:r>
        <w:t xml:space="preserve">It </w:t>
      </w:r>
      <w:r w:rsidRPr="009727FB">
        <w:t>fuels</w:t>
      </w:r>
      <w:r>
        <w:t xml:space="preserve"> </w:t>
      </w:r>
      <w:r>
        <w:rPr>
          <w:u w:val="single"/>
        </w:rPr>
        <w:t xml:space="preserve">moral </w:t>
      </w:r>
      <w:r w:rsidRPr="009727FB">
        <w:rPr>
          <w:u w:val="single"/>
        </w:rPr>
        <w:t>corruption</w:t>
      </w:r>
      <w:r>
        <w:t xml:space="preserve"> and ruins </w:t>
      </w:r>
      <w:r>
        <w:rPr>
          <w:u w:val="single"/>
        </w:rPr>
        <w:t>democratic signaling</w:t>
      </w:r>
      <w:r>
        <w:t>.</w:t>
      </w:r>
    </w:p>
    <w:p w14:paraId="70F1727F" w14:textId="77777777" w:rsidR="0095149D" w:rsidRPr="00A034ED" w:rsidRDefault="0095149D" w:rsidP="0095149D">
      <w:r w:rsidRPr="00A034ED">
        <w:rPr>
          <w:b/>
          <w:bCs/>
          <w:sz w:val="26"/>
          <w:szCs w:val="26"/>
        </w:rPr>
        <w:t>Alt and Cline 19</w:t>
      </w:r>
      <w:r>
        <w:t xml:space="preserve"> - </w:t>
      </w:r>
      <w:r w:rsidRPr="009727FB">
        <w:t>a distinguished scholar with particular expertise in legal policy including criminal justice, national security, and constitutional law</w:t>
      </w:r>
      <w:r>
        <w:t xml:space="preserve"> </w:t>
      </w:r>
      <w:r w:rsidRPr="009727FB">
        <w:t>the president and chief executive officer of The Buckeye Institute</w:t>
      </w:r>
      <w:r>
        <w:t xml:space="preserve">, </w:t>
      </w:r>
      <w:r w:rsidRPr="009727FB">
        <w:t>an attorney providing legal services covering Criminal Defense: White Collar and Appellate</w:t>
      </w:r>
      <w:r>
        <w:t>, (Robert and John D., “</w:t>
      </w:r>
      <w:r w:rsidRPr="00A034ED">
        <w:t>BRIEF OF AMICI CURIAE DUE PROCESS INSTITUTE AND THE BUCKEYE INSTITUTE IN SUPPORT OF PETITION FOR A WRIT OF CERTIORARI</w:t>
      </w:r>
      <w:r w:rsidRPr="009727FB">
        <w:t xml:space="preserve"> </w:t>
      </w:r>
      <w:r>
        <w:t xml:space="preserve">Damien Guedes, et al., Petitioners v. Bureau of Alcohol, Tobacco, Firearms and Explosives, et al.,” </w:t>
      </w:r>
      <w:r>
        <w:rPr>
          <w:i/>
          <w:iCs/>
        </w:rPr>
        <w:t xml:space="preserve">The Buckeye Institute </w:t>
      </w:r>
      <w:r w:rsidRPr="00A034ED">
        <w:rPr>
          <w:i/>
          <w:iCs/>
        </w:rPr>
        <w:t>an independent research and educational institution</w:t>
      </w:r>
      <w:r>
        <w:t>, Published October 2019, Accessed 6-20-20, LASA-AH)</w:t>
      </w:r>
    </w:p>
    <w:p w14:paraId="79C26D9E" w14:textId="77777777" w:rsidR="0095149D" w:rsidRPr="00C07E8B" w:rsidRDefault="0095149D" w:rsidP="0095149D">
      <w:pPr>
        <w:rPr>
          <w:u w:val="single"/>
        </w:rPr>
      </w:pPr>
      <w:r w:rsidRPr="00C07E8B">
        <w:rPr>
          <w:u w:val="single"/>
        </w:rPr>
        <w:t>WHEN BOTH THE RULE OF LENITY ANDCHEVRON DEFERENCECAN APPLY, A COURT SHOULD APPLY THE RULE OF LENITY.</w:t>
      </w:r>
    </w:p>
    <w:p w14:paraId="32F42D6D" w14:textId="77777777" w:rsidR="0095149D" w:rsidRPr="00C07E8B" w:rsidRDefault="0095149D" w:rsidP="0095149D">
      <w:pPr>
        <w:rPr>
          <w:u w:val="single"/>
        </w:rPr>
      </w:pPr>
      <w:r w:rsidRPr="00C07E8B">
        <w:rPr>
          <w:u w:val="single"/>
        </w:rPr>
        <w:t>The statute</w:t>
      </w:r>
      <w:r>
        <w:t xml:space="preserve"> at issue--26 U.S.C. § 5845(b)--</w:t>
      </w:r>
      <w:r w:rsidRPr="00C07E8B">
        <w:rPr>
          <w:u w:val="single"/>
        </w:rPr>
        <w:t>has both criminal and civil applications</w:t>
      </w:r>
      <w:r>
        <w:t xml:space="preserve">. </w:t>
      </w:r>
      <w:r w:rsidRPr="00C07E8B">
        <w:rPr>
          <w:u w:val="single"/>
        </w:rPr>
        <w:t>This Court</w:t>
      </w:r>
      <w:r>
        <w:t xml:space="preserve"> should not give Chevron deference to the BATFE interpretation of the statutory term "machinegun." It </w:t>
      </w:r>
      <w:r w:rsidRPr="00C07E8B">
        <w:rPr>
          <w:u w:val="single"/>
        </w:rPr>
        <w:t xml:space="preserve">should </w:t>
      </w:r>
      <w:r w:rsidRPr="009727FB">
        <w:t>instead</w:t>
      </w:r>
      <w:r w:rsidRPr="00C07E8B">
        <w:rPr>
          <w:u w:val="single"/>
        </w:rPr>
        <w:t xml:space="preserve"> interpret the statute </w:t>
      </w:r>
      <w:r w:rsidRPr="009727FB">
        <w:t>narrowly</w:t>
      </w:r>
      <w:r w:rsidRPr="00C07E8B">
        <w:rPr>
          <w:u w:val="single"/>
        </w:rPr>
        <w:t>, in accordance with the rule of lenity.</w:t>
      </w:r>
    </w:p>
    <w:p w14:paraId="5C7F7F25" w14:textId="77777777" w:rsidR="0095149D" w:rsidRDefault="0095149D" w:rsidP="0095149D">
      <w:pPr>
        <w:rPr>
          <w:u w:val="single"/>
        </w:rPr>
      </w:pPr>
      <w:r>
        <w:t xml:space="preserve">The rule of lenity should control for several reasons. To begin, </w:t>
      </w:r>
      <w:r w:rsidRPr="00C07E8B">
        <w:rPr>
          <w:u w:val="single"/>
        </w:rPr>
        <w:t>applying Chevron</w:t>
      </w:r>
      <w:r w:rsidRPr="009727FB">
        <w:t>, rather than lenity</w:t>
      </w:r>
      <w:r w:rsidRPr="00C07E8B">
        <w:rPr>
          <w:u w:val="single"/>
        </w:rPr>
        <w:t xml:space="preserve">, </w:t>
      </w:r>
      <w:r w:rsidRPr="009727FB">
        <w:rPr>
          <w:rStyle w:val="Emphasis"/>
        </w:rPr>
        <w:t>undermines the principle</w:t>
      </w:r>
      <w:r w:rsidRPr="00C07E8B">
        <w:rPr>
          <w:u w:val="single"/>
        </w:rPr>
        <w:t xml:space="preserve"> that "'fair warning should be given to the world in language that the common world will understand, of what the law intends to do if a certain line is passed.'"</w:t>
      </w:r>
      <w:r>
        <w:t xml:space="preserve"> United States v. Aguilar, 515 U.S. 593, 600 (1995) (quoting McBoyle v. United States, 283 U.S. 25, 27 (1931)); see, e.g., Lanzetta v. New Jersey, 306 U.S. 451, 453 (1939) </w:t>
      </w:r>
      <w:r w:rsidRPr="009727FB">
        <w:t xml:space="preserve">("No one may be required at peril of life, liberty or property to speculate as to the meaning of penal statutes. </w:t>
      </w:r>
      <w:r w:rsidRPr="00C07E8B">
        <w:rPr>
          <w:u w:val="single"/>
        </w:rPr>
        <w:t>All are entitled to be informed as to what the State commands or forbids</w:t>
      </w:r>
      <w:r>
        <w:t xml:space="preserve">."). As Judge Sutton has observed, </w:t>
      </w:r>
      <w:r w:rsidRPr="00C07E8B">
        <w:rPr>
          <w:u w:val="single"/>
        </w:rPr>
        <w:t xml:space="preserve">"[I]f agencies </w:t>
      </w:r>
      <w:r w:rsidRPr="009727FB">
        <w:t xml:space="preserve">are free to </w:t>
      </w:r>
      <w:r w:rsidRPr="00C07E8B">
        <w:rPr>
          <w:u w:val="single"/>
        </w:rPr>
        <w:t>ignore the rule of lenity, the state could make an act a crime in a remote statement issued by an administrative agency.</w:t>
      </w:r>
      <w:r>
        <w:t xml:space="preserve"> The agency's pronouncement need not even come in a notice-and-comment rule</w:t>
      </w:r>
      <w:r w:rsidRPr="009727FB">
        <w:rPr>
          <w:rStyle w:val="Emphasis"/>
        </w:rPr>
        <w:t>. All kinds of administrative documents</w:t>
      </w:r>
      <w:r w:rsidRPr="00C07E8B">
        <w:rPr>
          <w:u w:val="single"/>
        </w:rPr>
        <w:t>, ranging from manuals to opinion letters, sometimes receive Chevron deference."</w:t>
      </w:r>
      <w:r>
        <w:t xml:space="preserve"> Carter v. Welles-Bowen Realty, Inc., 736 F.3d 722, 731-32 (6th Cir. 2013) (Sutton, J., concurring) (citing Barnhart v. Walton, 535 U.S. 212,</w:t>
      </w:r>
      <w:r w:rsidRPr="00C07E8B">
        <w:t xml:space="preserve"> </w:t>
      </w:r>
      <w:r>
        <w:t xml:space="preserve">21-22 (2002)). The presumption that </w:t>
      </w:r>
      <w:r w:rsidRPr="009727FB">
        <w:t>citizens know the law is already strained in a world chock-full of crimes</w:t>
      </w:r>
      <w:r w:rsidRPr="009727FB">
        <w:rPr>
          <w:rStyle w:val="Emphasis"/>
        </w:rPr>
        <w:t>; it will lose all contact with reality</w:t>
      </w:r>
      <w:r w:rsidRPr="00C07E8B">
        <w:rPr>
          <w:u w:val="single"/>
        </w:rPr>
        <w:t xml:space="preserve"> if extended to the emanations of federal agencies</w:t>
      </w:r>
      <w:r>
        <w:rPr>
          <w:u w:val="single"/>
        </w:rPr>
        <w:t>.</w:t>
      </w:r>
    </w:p>
    <w:p w14:paraId="223D9266" w14:textId="77777777" w:rsidR="0095149D" w:rsidRDefault="0095149D" w:rsidP="0095149D">
      <w:r>
        <w:t>But the right to fair warning</w:t>
      </w:r>
      <w:r w:rsidRPr="00C07E8B">
        <w:rPr>
          <w:u w:val="single"/>
        </w:rPr>
        <w:t xml:space="preserve"> is </w:t>
      </w:r>
      <w:r w:rsidRPr="009727FB">
        <w:t>not the only reason to apply the rule of lenity rather than Chevron deference to statutes with criminal application.</w:t>
      </w:r>
      <w:r w:rsidRPr="00C07E8B">
        <w:rPr>
          <w:u w:val="single"/>
        </w:rPr>
        <w:t xml:space="preserve"> "[E]qually important, [the rule of lenity] vindicates the principle that only the legislature may define crimes and fix punishments. Congress cannot, </w:t>
      </w:r>
      <w:r w:rsidRPr="009727FB">
        <w:t>through ambiguity, effectively</w:t>
      </w:r>
      <w:r w:rsidRPr="00C07E8B">
        <w:rPr>
          <w:u w:val="single"/>
        </w:rPr>
        <w:t xml:space="preserve"> leave that function to the courts--much less to the administrative bureaucracy</w:t>
      </w:r>
      <w:r>
        <w:t>." Whitman v. United States, 135 S. Ct. 352, 353 (2014) (statement of Scalia &amp; Thomas, JJ., respecting the denial of certiorari) (emphasis in original).</w:t>
      </w:r>
    </w:p>
    <w:p w14:paraId="2F26125F" w14:textId="77777777" w:rsidR="0095149D" w:rsidRDefault="0095149D" w:rsidP="0095149D">
      <w:r>
        <w:t xml:space="preserve">These </w:t>
      </w:r>
      <w:r w:rsidRPr="00C07E8B">
        <w:rPr>
          <w:u w:val="single"/>
        </w:rPr>
        <w:t xml:space="preserve">separation of powers concerns have </w:t>
      </w:r>
      <w:r w:rsidRPr="009727FB">
        <w:rPr>
          <w:rStyle w:val="Emphasis"/>
        </w:rPr>
        <w:t>powerful implications for individual liberty</w:t>
      </w:r>
      <w:r>
        <w:t xml:space="preserve">. Choosing </w:t>
      </w:r>
      <w:r w:rsidRPr="00C07E8B">
        <w:rPr>
          <w:u w:val="single"/>
        </w:rPr>
        <w:t>Chevron deference over the rule of lenity concentrates the power to prosecute and punish in a single branch of government</w:t>
      </w:r>
      <w:r w:rsidRPr="009727FB">
        <w:t xml:space="preserve">, contrary to the constitutional design of dispersed powers. </w:t>
      </w:r>
      <w:r>
        <w:t xml:space="preserve">"With </w:t>
      </w:r>
      <w:r w:rsidRPr="00C07E8B">
        <w:rPr>
          <w:u w:val="single"/>
        </w:rPr>
        <w:t>deference to agency interpretations</w:t>
      </w:r>
      <w:r>
        <w:t xml:space="preserve"> of statutory provisions to which criminal prohibitions are attached</w:t>
      </w:r>
      <w:r w:rsidRPr="009727FB">
        <w:t>, federal</w:t>
      </w:r>
      <w:r w:rsidRPr="00C07E8B">
        <w:rPr>
          <w:u w:val="single"/>
        </w:rPr>
        <w:t xml:space="preserve"> administrators can in effect create (and uncreate) new crimes at will</w:t>
      </w:r>
      <w:r w:rsidRPr="00C07E8B">
        <w:t>, so long as they do not roam beyond ambiguities that the laws contain</w:t>
      </w:r>
      <w:r>
        <w:t>." Id. at 354.8 In the words of then-Judge Gorsuch,</w:t>
      </w:r>
      <w:r w:rsidRPr="00C07E8B">
        <w:t xml:space="preserve"> </w:t>
      </w:r>
      <w:r w:rsidRPr="00C07E8B">
        <w:rPr>
          <w:u w:val="single"/>
        </w:rPr>
        <w:t xml:space="preserve">Chevron invests the power to decide the meaning of the law, </w:t>
      </w:r>
      <w:r w:rsidRPr="009727FB">
        <w:t>and to do so with legislative policy goals in mind,</w:t>
      </w:r>
      <w:r w:rsidRPr="00C07E8B">
        <w:rPr>
          <w:u w:val="single"/>
        </w:rPr>
        <w:t xml:space="preserve"> in the very entity charged with enforcing the law</w:t>
      </w:r>
      <w:r>
        <w:t xml:space="preserve">. Under its terms, </w:t>
      </w:r>
      <w:r w:rsidRPr="00C07E8B">
        <w:rPr>
          <w:u w:val="single"/>
        </w:rPr>
        <w:t xml:space="preserve">an administrative agency </w:t>
      </w:r>
      <w:r w:rsidRPr="009727FB">
        <w:rPr>
          <w:rStyle w:val="Emphasis"/>
        </w:rPr>
        <w:t>may set and revise policy</w:t>
      </w:r>
      <w:r w:rsidRPr="00C07E8B">
        <w:rPr>
          <w:u w:val="single"/>
        </w:rPr>
        <w:t xml:space="preserve"> (legislative), </w:t>
      </w:r>
      <w:r w:rsidRPr="009727FB">
        <w:rPr>
          <w:rStyle w:val="Emphasis"/>
        </w:rPr>
        <w:t>override adverse judicial determinations</w:t>
      </w:r>
      <w:r w:rsidRPr="00C07E8B">
        <w:rPr>
          <w:rStyle w:val="Emphasis"/>
        </w:rPr>
        <w:t xml:space="preserve"> </w:t>
      </w:r>
      <w:r w:rsidRPr="00C07E8B">
        <w:rPr>
          <w:u w:val="single"/>
        </w:rPr>
        <w:t xml:space="preserve">(judicial), </w:t>
      </w:r>
      <w:r w:rsidRPr="009727FB">
        <w:rPr>
          <w:rStyle w:val="Emphasis"/>
        </w:rPr>
        <w:t>and exercise enforcement discretion</w:t>
      </w:r>
      <w:r w:rsidRPr="00C07E8B">
        <w:rPr>
          <w:u w:val="single"/>
        </w:rPr>
        <w:t xml:space="preserve"> (executive).</w:t>
      </w:r>
      <w:r>
        <w:t xml:space="preserve"> Add to this the fact that </w:t>
      </w:r>
      <w:r w:rsidRPr="009727FB">
        <w:t xml:space="preserve">today </w:t>
      </w:r>
      <w:r w:rsidRPr="009727FB">
        <w:rPr>
          <w:u w:val="single"/>
        </w:rPr>
        <w:t>many administrative agencies</w:t>
      </w:r>
      <w:r w:rsidRPr="009727FB">
        <w:t xml:space="preserve"> wield vast power and are overseen by political appointees </w:t>
      </w:r>
      <w:r>
        <w:t xml:space="preserve">(but often </w:t>
      </w:r>
      <w:r w:rsidRPr="009727FB">
        <w:rPr>
          <w:u w:val="single"/>
        </w:rPr>
        <w:t>receive little effective oversight</w:t>
      </w:r>
      <w:r>
        <w:t xml:space="preserve"> from the chief executive to whom they nominally report), and you have a pretty potent mix.</w:t>
      </w:r>
    </w:p>
    <w:p w14:paraId="629B8CA5" w14:textId="77777777" w:rsidR="0095149D" w:rsidRPr="00092782" w:rsidRDefault="0095149D" w:rsidP="0095149D">
      <w:pPr>
        <w:rPr>
          <w:u w:val="single"/>
        </w:rPr>
      </w:pPr>
      <w:r>
        <w:t xml:space="preserve">Gutierrez-Brizuela v. Lynch, 834 F.3d 1142, 1155 (10th Cir. 2016) (Gorsuch, J., concurring) (quotation and brackets omitted). By </w:t>
      </w:r>
      <w:r w:rsidRPr="00092782">
        <w:rPr>
          <w:u w:val="single"/>
        </w:rPr>
        <w:t>maintaining the proper allocation of responsibility among the three branches, the rule of lenity protects criminal defendants against the concentration of executive power that Chevron encourages.</w:t>
      </w:r>
    </w:p>
    <w:p w14:paraId="046F7062" w14:textId="77777777" w:rsidR="0095149D" w:rsidRDefault="0095149D" w:rsidP="0095149D">
      <w:r w:rsidRPr="009727FB">
        <w:t>In addition to concentrating legislative and judicial power in the executive branch--</w:t>
      </w:r>
      <w:r w:rsidRPr="00092782">
        <w:rPr>
          <w:u w:val="single"/>
        </w:rPr>
        <w:t xml:space="preserve">and thus risking </w:t>
      </w:r>
      <w:r w:rsidRPr="009727FB">
        <w:rPr>
          <w:rStyle w:val="Emphasis"/>
        </w:rPr>
        <w:t>prosecutorial overreach</w:t>
      </w:r>
      <w:r w:rsidRPr="00092782">
        <w:rPr>
          <w:u w:val="single"/>
        </w:rPr>
        <w:t xml:space="preserve">--Chevron deference in the criminal context shifts responsibility for pronouncing moral judgments </w:t>
      </w:r>
      <w:r>
        <w:t>from the people's representatives to unelected bureaucrats:</w:t>
      </w:r>
    </w:p>
    <w:p w14:paraId="42371C4B" w14:textId="77777777" w:rsidR="0095149D" w:rsidRDefault="0095149D" w:rsidP="0095149D">
      <w:r>
        <w:t xml:space="preserve">Making something a crime is serious business. It </w:t>
      </w:r>
      <w:r w:rsidRPr="00092782">
        <w:rPr>
          <w:u w:val="single"/>
        </w:rPr>
        <w:t xml:space="preserve">visits the moral condemnation of the community upon the citizen who engages in </w:t>
      </w:r>
      <w:r w:rsidRPr="009727FB">
        <w:t>the</w:t>
      </w:r>
      <w:r w:rsidRPr="00092782">
        <w:rPr>
          <w:u w:val="single"/>
        </w:rPr>
        <w:t xml:space="preserve"> forbidden conduct, and </w:t>
      </w:r>
      <w:r w:rsidRPr="009727FB">
        <w:t>it</w:t>
      </w:r>
      <w:r w:rsidRPr="00092782">
        <w:rPr>
          <w:u w:val="single"/>
        </w:rPr>
        <w:t xml:space="preserve"> allows the government to take away his liberty and property. The rule of lenity carries </w:t>
      </w:r>
      <w:r w:rsidRPr="009727FB">
        <w:t xml:space="preserve">into effect the principle that </w:t>
      </w:r>
      <w:r w:rsidRPr="00092782">
        <w:rPr>
          <w:u w:val="single"/>
        </w:rPr>
        <w:t>only the legislature, the most democratic and accountable branch of government, should decide what conduct triggers these consequences</w:t>
      </w:r>
      <w:r>
        <w:t>. By giving unelected commissioners and directors and administrators carte blanche to decide when an ambiguous statute justifies sending people to prison, [Chevron deference] diminishes this ideal.</w:t>
      </w:r>
    </w:p>
    <w:p w14:paraId="57454807" w14:textId="77777777" w:rsidR="0095149D" w:rsidRPr="00092782" w:rsidRDefault="0095149D" w:rsidP="0095149D">
      <w:pPr>
        <w:rPr>
          <w:u w:val="single"/>
        </w:rPr>
      </w:pPr>
      <w:r>
        <w:t>Carter, 736 F.3d at 731 (Sutton, J., concurring); see, e.g., Larkin, supra note 3, 32 J.L. &amp; Politics at 235 ("</w:t>
      </w:r>
      <w:r w:rsidRPr="00092782">
        <w:rPr>
          <w:rStyle w:val="StyleUnderline"/>
        </w:rPr>
        <w:t>The criminal law reflects underlying moral judgments that it is the responsibility of the people to make in a democracy.</w:t>
      </w:r>
      <w:r>
        <w:t xml:space="preserve"> </w:t>
      </w:r>
      <w:r w:rsidRPr="009727FB">
        <w:rPr>
          <w:rStyle w:val="Emphasis"/>
        </w:rPr>
        <w:t>Agencies lack expertise</w:t>
      </w:r>
      <w:r w:rsidRPr="00092782">
        <w:rPr>
          <w:u w:val="single"/>
        </w:rPr>
        <w:t xml:space="preserve"> in making these moral judgments; their skills lie elsewhere.").</w:t>
      </w:r>
    </w:p>
    <w:p w14:paraId="17E92C22" w14:textId="77777777" w:rsidR="0095149D" w:rsidRDefault="0095149D" w:rsidP="0095149D">
      <w:r w:rsidRPr="00092782">
        <w:rPr>
          <w:u w:val="single"/>
        </w:rPr>
        <w:t xml:space="preserve">To ensure fair warning and </w:t>
      </w:r>
      <w:r w:rsidRPr="009727FB">
        <w:rPr>
          <w:rStyle w:val="Emphasis"/>
        </w:rPr>
        <w:t>preserve the separation of powers</w:t>
      </w:r>
      <w:r w:rsidRPr="00092782">
        <w:rPr>
          <w:u w:val="single"/>
        </w:rPr>
        <w:t>--which, in turn, protects individual liberty against government overreach--the Court should apply the rule of lenity, "the most venerable and venerated of interpretive principles."</w:t>
      </w:r>
      <w:r>
        <w:t xml:space="preserve"> Carter, 736 F.3d at 731 (Sutton, J., concurring).</w:t>
      </w:r>
    </w:p>
    <w:p w14:paraId="674EC3EE" w14:textId="77777777" w:rsidR="0095149D" w:rsidRDefault="0095149D" w:rsidP="0095149D">
      <w:r>
        <w:t>CONCLUSION</w:t>
      </w:r>
    </w:p>
    <w:p w14:paraId="53BF6869" w14:textId="77777777" w:rsidR="0095149D" w:rsidRPr="009727FB" w:rsidRDefault="0095149D" w:rsidP="0095149D">
      <w:pPr>
        <w:rPr>
          <w:u w:val="single"/>
        </w:rPr>
      </w:pPr>
      <w:r w:rsidRPr="009727FB">
        <w:rPr>
          <w:u w:val="single"/>
        </w:rPr>
        <w:t xml:space="preserve">This case presents an ideal opportunity to address </w:t>
      </w:r>
      <w:r>
        <w:t xml:space="preserve">whether </w:t>
      </w:r>
      <w:r w:rsidRPr="009727FB">
        <w:rPr>
          <w:u w:val="single"/>
        </w:rPr>
        <w:t xml:space="preserve">the rule of lenity </w:t>
      </w:r>
      <w:r>
        <w:t xml:space="preserve">prevails over Chevron deference </w:t>
      </w:r>
      <w:r w:rsidRPr="009727FB">
        <w:rPr>
          <w:u w:val="single"/>
        </w:rPr>
        <w:t>when interpreting a statute with criminal and administrative applications</w:t>
      </w:r>
      <w:r>
        <w:t xml:space="preserve">. Both the district court and the court of appeals squarely addressed that question and relied on Chevron deference in upholding the bump stock regulation. This Court has not spoken clearly on the issue; in particular, </w:t>
      </w:r>
      <w:r w:rsidRPr="009727FB">
        <w:rPr>
          <w:u w:val="single"/>
        </w:rPr>
        <w:t xml:space="preserve">Babbitt's opaque footnote 18 has </w:t>
      </w:r>
      <w:r w:rsidRPr="009727FB">
        <w:rPr>
          <w:rStyle w:val="Emphasis"/>
        </w:rPr>
        <w:t>engendered great confusion</w:t>
      </w:r>
      <w:r w:rsidRPr="009727FB">
        <w:rPr>
          <w:u w:val="single"/>
        </w:rPr>
        <w:t xml:space="preserve"> in the lower federal courts.</w:t>
      </w:r>
    </w:p>
    <w:p w14:paraId="71157403" w14:textId="7D354300" w:rsidR="0095149D" w:rsidRDefault="0095149D" w:rsidP="0095149D">
      <w:pPr>
        <w:rPr>
          <w:u w:val="single"/>
        </w:rPr>
      </w:pPr>
      <w:r>
        <w:t xml:space="preserve">The petition for a writ of certiorari should be granted, </w:t>
      </w:r>
      <w:r w:rsidRPr="00092782">
        <w:rPr>
          <w:u w:val="single"/>
        </w:rPr>
        <w:t xml:space="preserve">the </w:t>
      </w:r>
      <w:r w:rsidRPr="009727FB">
        <w:rPr>
          <w:rStyle w:val="Emphasis"/>
        </w:rPr>
        <w:t>Court should hold that the rule of lenity trumps</w:t>
      </w:r>
      <w:r w:rsidRPr="00092782">
        <w:rPr>
          <w:u w:val="single"/>
        </w:rPr>
        <w:t xml:space="preserve"> Chevron deference, and the judgment of the court of appeals should be reversed.</w:t>
      </w:r>
    </w:p>
    <w:p w14:paraId="779DFFAC" w14:textId="36A8973A" w:rsidR="0095149D" w:rsidRPr="0095149D" w:rsidRDefault="0095149D" w:rsidP="0095149D">
      <w:pPr>
        <w:pStyle w:val="Heading4"/>
      </w:pPr>
      <w:r>
        <w:t xml:space="preserve">Lenity is a </w:t>
      </w:r>
      <w:r>
        <w:rPr>
          <w:u w:val="single"/>
        </w:rPr>
        <w:t>goldilocks</w:t>
      </w:r>
      <w:r>
        <w:t xml:space="preserve"> approach.</w:t>
      </w:r>
    </w:p>
    <w:p w14:paraId="0366584F" w14:textId="77777777" w:rsidR="0095149D" w:rsidRPr="006804EC" w:rsidRDefault="0095149D" w:rsidP="0095149D">
      <w:r>
        <w:rPr>
          <w:rStyle w:val="Style13ptBold"/>
        </w:rPr>
        <w:t>Greenlee and Larosiere 19</w:t>
      </w:r>
      <w:r>
        <w:rPr>
          <w:rStyle w:val="Style13ptBold"/>
          <w:b w:val="0"/>
          <w:bCs w:val="0"/>
        </w:rPr>
        <w:t xml:space="preserve"> — </w:t>
      </w:r>
      <w:r>
        <w:rPr>
          <w:rStyle w:val="Style13ptBold"/>
          <w:b w:val="0"/>
          <w:bCs w:val="0"/>
          <w:sz w:val="22"/>
        </w:rPr>
        <w:t xml:space="preserve">Joseph Greenlee </w:t>
      </w:r>
      <w:r w:rsidRPr="00834187">
        <w:rPr>
          <w:rStyle w:val="Style13ptBold"/>
          <w:b w:val="0"/>
          <w:bCs w:val="0"/>
          <w:sz w:val="22"/>
        </w:rPr>
        <w:t xml:space="preserve">is an </w:t>
      </w:r>
      <w:r>
        <w:rPr>
          <w:rStyle w:val="Style13ptBold"/>
          <w:b w:val="0"/>
          <w:bCs w:val="0"/>
          <w:sz w:val="22"/>
        </w:rPr>
        <w:t>attorney and has his J.D. from University of Denver</w:t>
      </w:r>
      <w:r w:rsidRPr="00834187">
        <w:rPr>
          <w:rStyle w:val="Style13ptBold"/>
          <w:b w:val="0"/>
          <w:bCs w:val="0"/>
          <w:sz w:val="22"/>
        </w:rPr>
        <w:t>. He is a</w:t>
      </w:r>
      <w:r>
        <w:rPr>
          <w:rStyle w:val="Style13ptBold"/>
          <w:b w:val="0"/>
          <w:bCs w:val="0"/>
          <w:sz w:val="22"/>
        </w:rPr>
        <w:t xml:space="preserve"> </w:t>
      </w:r>
      <w:r w:rsidRPr="00834187">
        <w:rPr>
          <w:rStyle w:val="Style13ptBold"/>
          <w:b w:val="0"/>
          <w:bCs w:val="0"/>
          <w:sz w:val="22"/>
        </w:rPr>
        <w:t>fellow at the Millennial Policy Center.</w:t>
      </w:r>
      <w:r>
        <w:rPr>
          <w:rStyle w:val="Style13ptBold"/>
          <w:b w:val="0"/>
          <w:bCs w:val="0"/>
          <w:sz w:val="22"/>
        </w:rPr>
        <w:t xml:space="preserve"> Matthew Larosiere is the director of legal policy at FPC, was a legal associate at Cato, and graduated from Alabama School of Law. [“BRIEF OF AMICUS CURIAE FIREARMS POLICY COALITION IN SUPPORT OF PETITIONERS”, October 2, 2019 (accessed: 6/21/20). No. 19-296, pg. 3-26. </w:t>
      </w:r>
      <w:r w:rsidRPr="006B620C">
        <w:rPr>
          <w:rStyle w:val="Style13ptBold"/>
          <w:b w:val="0"/>
          <w:bCs w:val="0"/>
          <w:sz w:val="22"/>
        </w:rPr>
        <w:t>https://www.supremecourt.gov/DocketPDF/19/19-296/117810/20191002172920916_Amicus%20Brief%20FPC.pdf</w:t>
      </w:r>
      <w:r>
        <w:rPr>
          <w:rStyle w:val="Style13ptBold"/>
          <w:b w:val="0"/>
          <w:bCs w:val="0"/>
          <w:sz w:val="22"/>
        </w:rPr>
        <w:t>]//JLPark</w:t>
      </w:r>
    </w:p>
    <w:p w14:paraId="085674B1" w14:textId="77777777" w:rsidR="0095149D" w:rsidRPr="006E1824" w:rsidRDefault="0095149D" w:rsidP="0095149D">
      <w:pPr>
        <w:rPr>
          <w:sz w:val="16"/>
        </w:rPr>
      </w:pPr>
      <w:r w:rsidRPr="006E1824">
        <w:rPr>
          <w:sz w:val="16"/>
        </w:rPr>
        <w:t xml:space="preserve">II. If ambiguity exists, </w:t>
      </w:r>
      <w:r w:rsidRPr="006804EC">
        <w:rPr>
          <w:u w:val="single"/>
        </w:rPr>
        <w:t>the court</w:t>
      </w:r>
      <w:r w:rsidRPr="006E1824">
        <w:rPr>
          <w:sz w:val="16"/>
        </w:rPr>
        <w:t xml:space="preserve"> below </w:t>
      </w:r>
      <w:r w:rsidRPr="006804EC">
        <w:rPr>
          <w:u w:val="single"/>
        </w:rPr>
        <w:t>should have applied the rule of lenity to preserve constitutional safeguards</w:t>
      </w:r>
      <w:r w:rsidRPr="006E1824">
        <w:rPr>
          <w:sz w:val="16"/>
        </w:rPr>
        <w:t>.</w:t>
      </w:r>
    </w:p>
    <w:p w14:paraId="77C7614C" w14:textId="77777777" w:rsidR="0095149D" w:rsidRPr="006E1824" w:rsidRDefault="0095149D" w:rsidP="0095149D">
      <w:pPr>
        <w:rPr>
          <w:sz w:val="16"/>
        </w:rPr>
      </w:pPr>
      <w:r w:rsidRPr="006E1824">
        <w:rPr>
          <w:sz w:val="16"/>
        </w:rPr>
        <w:t xml:space="preserve">Even if ambiguity exists in the statute, the court below should have “invoke[d] the rule that ‘ambiguity concerning the ambit of criminal statutes should be resolved in favor of lenity.’” Yates v. United States, 135 S. Ct. 1074, 1088 (2015) (quoting Cleveland v. United States, 531 U.S. 12, 25 (2000)). </w:t>
      </w:r>
      <w:r w:rsidRPr="006804EC">
        <w:rPr>
          <w:u w:val="single"/>
        </w:rPr>
        <w:t>Under the rule of lenity</w:t>
      </w:r>
      <w:r w:rsidRPr="006E1824">
        <w:rPr>
          <w:sz w:val="16"/>
        </w:rPr>
        <w:t xml:space="preserve">, “when choice has to be made between two readings of what conduct Congress has made a crime, it is appropriate, before we choose the harsher alternative, to </w:t>
      </w:r>
      <w:r w:rsidRPr="0070114D">
        <w:rPr>
          <w:u w:val="single"/>
        </w:rPr>
        <w:t>require</w:t>
      </w:r>
      <w:r w:rsidRPr="006804EC">
        <w:rPr>
          <w:u w:val="single"/>
        </w:rPr>
        <w:t xml:space="preserve"> that Congress should have spoken in language that is clear and definite.</w:t>
      </w:r>
      <w:r w:rsidRPr="006E1824">
        <w:rPr>
          <w:sz w:val="16"/>
        </w:rPr>
        <w:t>” United States v. Universal C. I. T. Credit Corp., 344 U.S. 218, 221–22 (1952).</w:t>
      </w:r>
    </w:p>
    <w:p w14:paraId="36EC86E3" w14:textId="77777777" w:rsidR="0095149D" w:rsidRPr="006E1824" w:rsidRDefault="0095149D" w:rsidP="0095149D">
      <w:pPr>
        <w:rPr>
          <w:sz w:val="16"/>
        </w:rPr>
      </w:pPr>
      <w:r w:rsidRPr="006E1824">
        <w:rPr>
          <w:sz w:val="16"/>
        </w:rPr>
        <w:t xml:space="preserve">As Chief Justice Marshall noted, </w:t>
      </w:r>
      <w:r w:rsidRPr="006804EC">
        <w:rPr>
          <w:u w:val="single"/>
        </w:rPr>
        <w:t>the rule of lenity antedates</w:t>
      </w:r>
      <w:r w:rsidRPr="006E1824">
        <w:rPr>
          <w:sz w:val="16"/>
        </w:rPr>
        <w:t xml:space="preserve"> the Constitution, and has roots in the genesis of </w:t>
      </w:r>
      <w:r w:rsidRPr="006804EC">
        <w:rPr>
          <w:u w:val="single"/>
        </w:rPr>
        <w:t>America’s legal traditions</w:t>
      </w:r>
      <w:r w:rsidRPr="006E1824">
        <w:rPr>
          <w:sz w:val="16"/>
        </w:rPr>
        <w:t>:</w:t>
      </w:r>
    </w:p>
    <w:p w14:paraId="2AFF8A0F" w14:textId="77777777" w:rsidR="0095149D" w:rsidRPr="006804EC" w:rsidRDefault="0095149D" w:rsidP="0095149D">
      <w:pPr>
        <w:ind w:left="360"/>
        <w:rPr>
          <w:u w:val="single"/>
        </w:rPr>
      </w:pPr>
      <w:r w:rsidRPr="006804EC">
        <w:rPr>
          <w:u w:val="single"/>
        </w:rPr>
        <w:t xml:space="preserve">The rule that penal </w:t>
      </w:r>
      <w:r w:rsidRPr="0070114D">
        <w:rPr>
          <w:sz w:val="16"/>
        </w:rPr>
        <w:t xml:space="preserve">laws are to be construed strictly, is perhaps not much less old than construction itself. It </w:t>
      </w:r>
      <w:r w:rsidRPr="006804EC">
        <w:rPr>
          <w:u w:val="single"/>
        </w:rPr>
        <w:t>is founded on the tenderness of the law for the rights of individuals</w:t>
      </w:r>
      <w:r w:rsidRPr="0070114D">
        <w:rPr>
          <w:sz w:val="16"/>
        </w:rPr>
        <w:t xml:space="preserve">; </w:t>
      </w:r>
      <w:r w:rsidRPr="006804EC">
        <w:rPr>
          <w:u w:val="single"/>
        </w:rPr>
        <w:t>and on the</w:t>
      </w:r>
      <w:r w:rsidRPr="0070114D">
        <w:rPr>
          <w:sz w:val="16"/>
        </w:rPr>
        <w:t xml:space="preserve"> plain </w:t>
      </w:r>
      <w:r w:rsidRPr="006804EC">
        <w:rPr>
          <w:u w:val="single"/>
        </w:rPr>
        <w:t xml:space="preserve">principle </w:t>
      </w:r>
      <w:r w:rsidRPr="0096542E">
        <w:rPr>
          <w:rStyle w:val="StyleUnderline"/>
        </w:rPr>
        <w:t>that the power of punishment is vested in the legislative, not in the judicial department. It is</w:t>
      </w:r>
      <w:r w:rsidRPr="0096542E">
        <w:rPr>
          <w:u w:val="single"/>
        </w:rPr>
        <w:t xml:space="preserve"> </w:t>
      </w:r>
      <w:r w:rsidRPr="006804EC">
        <w:rPr>
          <w:u w:val="single"/>
        </w:rPr>
        <w:t>the legislature, not the Court, which is to define a crime, and ordain its punishment.</w:t>
      </w:r>
    </w:p>
    <w:p w14:paraId="286021E4" w14:textId="77777777" w:rsidR="0095149D" w:rsidRPr="006E1824" w:rsidRDefault="0095149D" w:rsidP="0095149D">
      <w:pPr>
        <w:rPr>
          <w:sz w:val="16"/>
          <w:szCs w:val="16"/>
        </w:rPr>
      </w:pPr>
      <w:r w:rsidRPr="006E1824">
        <w:rPr>
          <w:sz w:val="16"/>
          <w:szCs w:val="16"/>
        </w:rPr>
        <w:t>United States v. Wiltberger, 18 U.S. 76, 95 (1820). See also Antonin Scalia &amp; Bryan A. Garner, READING LAW: THE INTERPRETATION OF LEGAL TEXTS 343 (2012) (the rule of lenity “reflect[s] the spirit of the common law”).</w:t>
      </w:r>
    </w:p>
    <w:p w14:paraId="0B00E366" w14:textId="77777777" w:rsidR="0095149D" w:rsidRPr="006E1824" w:rsidRDefault="0095149D" w:rsidP="0095149D">
      <w:pPr>
        <w:rPr>
          <w:sz w:val="16"/>
          <w:szCs w:val="16"/>
        </w:rPr>
      </w:pPr>
      <w:r w:rsidRPr="006E1824">
        <w:rPr>
          <w:sz w:val="16"/>
          <w:szCs w:val="16"/>
        </w:rPr>
        <w:t>William Blackstone, “whose works, we have said, ‘constituted the preeminent authority on English law for the founding generation,’” District of Columbia v. Heller, 554 U.S. 570, 593–94 (2008) (quoting Alden v. Maine, 527 U.S. 706, 715 (1999)), agreed that “[p]enal statutes must be construed strictly.” 1 William Blackstone, COMMENTARIES 88 (4th ed. 1770). “Where the statute acts upon the offender, and inflicts a penalty, as the pillory or a fine, it is then to be taken strictly.” Id.</w:t>
      </w:r>
    </w:p>
    <w:p w14:paraId="3C20830B" w14:textId="77777777" w:rsidR="0095149D" w:rsidRPr="006E1824" w:rsidRDefault="0095149D" w:rsidP="0095149D">
      <w:pPr>
        <w:rPr>
          <w:sz w:val="16"/>
          <w:szCs w:val="16"/>
        </w:rPr>
      </w:pPr>
      <w:r w:rsidRPr="006E1824">
        <w:rPr>
          <w:sz w:val="16"/>
          <w:szCs w:val="16"/>
        </w:rPr>
        <w:t>John Locke believed that “[f]reedom of men under government is, to have a standing rule to live by . . . made by the legislative power erected in it . . . and not to be subject to the inconstant, uncertain, unknown, arbitrary will of another man.” John Locke, SECOND TREATISE OF CIVIL GOVERNMENT § 22, p. 13 (J. Gough ed. 1947). Yet it is difficult to conjure more precise language than “inconstant, uncertain, unknown, arbitrary” to explain that while the ATF now defines bump stocks as machineguns, “[i]n ten letter rulings between 2008 and 2017 . . . ATF ultimately concluded that these devices did not qualify as machineguns.” 83 Fed. Reg. 66,517. Indeed, “[w]ords which are vague and fluid may be as much of a trap for the innocent as the ancient laws of Caligula.” United States v. Cardiff, 344 U.S. 174, 176 (1952) (citation omitted).</w:t>
      </w:r>
    </w:p>
    <w:p w14:paraId="464FFF4F" w14:textId="77777777" w:rsidR="0095149D" w:rsidRPr="0096542E" w:rsidRDefault="0095149D" w:rsidP="0095149D">
      <w:pPr>
        <w:rPr>
          <w:sz w:val="16"/>
        </w:rPr>
      </w:pPr>
      <w:r w:rsidRPr="0096542E">
        <w:rPr>
          <w:sz w:val="16"/>
        </w:rPr>
        <w:t xml:space="preserve">The court below acknowledged that “the rule of lenity generally applies to the interpretation of the National Firearms Act and the Gun Control Act.” Guedes, 920 F.3d at 27. </w:t>
      </w:r>
      <w:r w:rsidRPr="006E1824">
        <w:rPr>
          <w:u w:val="single"/>
        </w:rPr>
        <w:t>But it declined to apply the rule here, because “in circumstances in which both Chevron and the rule of lenity are applicable</w:t>
      </w:r>
      <w:r w:rsidRPr="0096542E">
        <w:rPr>
          <w:rStyle w:val="StyleUnderline"/>
        </w:rPr>
        <w:t>, the Supreme Court has never indicated that the rule of lenity applies first</w:t>
      </w:r>
      <w:r w:rsidRPr="0096542E">
        <w:rPr>
          <w:sz w:val="16"/>
        </w:rPr>
        <w:t xml:space="preserve">.” Id. at 27 (emphasis in original). This </w:t>
      </w:r>
      <w:r w:rsidRPr="0096542E">
        <w:rPr>
          <w:rStyle w:val="Emphasis"/>
        </w:rPr>
        <w:t>“Goldilocks” approach constrains</w:t>
      </w:r>
      <w:r w:rsidRPr="0096542E">
        <w:rPr>
          <w:rStyle w:val="StyleUnderline"/>
        </w:rPr>
        <w:t xml:space="preserve"> the important and ancient rule of lenity to a miniscule class of situations in the</w:t>
      </w:r>
      <w:r w:rsidRPr="0096542E">
        <w:rPr>
          <w:sz w:val="16"/>
        </w:rPr>
        <w:t xml:space="preserve"> ever-</w:t>
      </w:r>
      <w:r w:rsidRPr="0096542E">
        <w:rPr>
          <w:rStyle w:val="StyleUnderline"/>
        </w:rPr>
        <w:t>expansive</w:t>
      </w:r>
      <w:r w:rsidRPr="0096542E">
        <w:rPr>
          <w:sz w:val="16"/>
        </w:rPr>
        <w:t xml:space="preserve"> federal </w:t>
      </w:r>
      <w:r w:rsidRPr="0096542E">
        <w:rPr>
          <w:rStyle w:val="StyleUnderline"/>
        </w:rPr>
        <w:t>criminal law. It would mean the criminal counterpart to contra proferentem exists only in the absence of an executive agency, or when the law is “just right”: vague, but not Chevron vague.</w:t>
      </w:r>
    </w:p>
    <w:p w14:paraId="06024A07" w14:textId="77777777" w:rsidR="0095149D" w:rsidRPr="006E1824" w:rsidRDefault="0095149D" w:rsidP="0095149D">
      <w:pPr>
        <w:rPr>
          <w:sz w:val="16"/>
        </w:rPr>
      </w:pPr>
      <w:r w:rsidRPr="006E1824">
        <w:rPr>
          <w:sz w:val="16"/>
        </w:rPr>
        <w:t xml:space="preserve">To the contrary, this Court has recently made clear that </w:t>
      </w:r>
      <w:r w:rsidRPr="0070114D">
        <w:rPr>
          <w:u w:val="single"/>
        </w:rPr>
        <w:t>Chevron</w:t>
      </w:r>
      <w:r w:rsidRPr="006E1824">
        <w:rPr>
          <w:u w:val="single"/>
        </w:rPr>
        <w:t xml:space="preserve"> deference is</w:t>
      </w:r>
      <w:r w:rsidRPr="006E1824">
        <w:rPr>
          <w:sz w:val="16"/>
        </w:rPr>
        <w:t xml:space="preserve"> altogether </w:t>
      </w:r>
      <w:r w:rsidRPr="006E1824">
        <w:rPr>
          <w:u w:val="single"/>
        </w:rPr>
        <w:t>inapplicable to an interpretation of a criminal statute</w:t>
      </w:r>
      <w:r w:rsidRPr="006E1824">
        <w:rPr>
          <w:sz w:val="16"/>
        </w:rPr>
        <w:t>. See United States v. Apel, 571 U.S. 359, 369 (2014) (“we have never held that the Government's reading of a criminal statute is entitled to any deference.”); Abramski v. United States, 573 U.S. 169, 191 (2014) (“The critical point is that criminal laws are for courts, not for the Government, to construe. We think ATF's old position no more relevant than its current one—which is to say, not relevant at all.”) (quotation omitted).</w:t>
      </w:r>
    </w:p>
    <w:p w14:paraId="20DE973B" w14:textId="77777777" w:rsidR="0095149D" w:rsidRPr="0096542E" w:rsidRDefault="0095149D" w:rsidP="0095149D">
      <w:pPr>
        <w:rPr>
          <w:rStyle w:val="StyleUnderline"/>
        </w:rPr>
      </w:pPr>
      <w:r w:rsidRPr="006E1824">
        <w:rPr>
          <w:sz w:val="16"/>
          <w:szCs w:val="16"/>
        </w:rPr>
        <w:t xml:space="preserve">Nevertheless, assuming arguendo that this Court’s precedents are unclear, the </w:t>
      </w:r>
      <w:r w:rsidRPr="0096542E">
        <w:rPr>
          <w:rStyle w:val="StyleUnderline"/>
        </w:rPr>
        <w:t>underlying principles of fairness necessitating the rule of lenity for centuries are no less important. Thus, the rule should apply regardless.</w:t>
      </w:r>
    </w:p>
    <w:p w14:paraId="165C7E1D" w14:textId="77777777" w:rsidR="0095149D" w:rsidRPr="006E1824" w:rsidRDefault="0095149D" w:rsidP="0095149D">
      <w:pPr>
        <w:rPr>
          <w:sz w:val="16"/>
          <w:szCs w:val="16"/>
        </w:rPr>
      </w:pPr>
      <w:r w:rsidRPr="006E1824">
        <w:rPr>
          <w:sz w:val="16"/>
          <w:szCs w:val="16"/>
        </w:rPr>
        <w:t>The rule of lenity “is founded on two policies that have long been part of our tradition.” United States v. Bass, 404 U.S. 336, 348 (1971). “[A] fair warning . . . of what the law intends to do if a certain line is passed” and assurance that “legislatures . . . define criminal activity.” Id. “</w:t>
      </w:r>
      <w:r w:rsidRPr="0096542E">
        <w:rPr>
          <w:rStyle w:val="StyleUnderline"/>
        </w:rPr>
        <w:t>This policy embodies ‘the instinctive distastes against men languishing in prison unless the lawmaker has clearly said they should</w:t>
      </w:r>
      <w:r w:rsidRPr="006E1824">
        <w:rPr>
          <w:sz w:val="16"/>
          <w:szCs w:val="16"/>
        </w:rPr>
        <w:t>.’” Id. (quoting H. Friendly, BENCHMARKS 209 (1967)).</w:t>
      </w:r>
    </w:p>
    <w:p w14:paraId="755EE38B" w14:textId="77777777" w:rsidR="0095149D" w:rsidRPr="00CB4BA9" w:rsidRDefault="0095149D" w:rsidP="0095149D">
      <w:pPr>
        <w:rPr>
          <w:sz w:val="16"/>
        </w:rPr>
      </w:pPr>
      <w:r w:rsidRPr="00CB4BA9">
        <w:rPr>
          <w:sz w:val="16"/>
        </w:rPr>
        <w:t xml:space="preserve">The right to fair notice and the requirement </w:t>
      </w:r>
      <w:r w:rsidRPr="00616278">
        <w:rPr>
          <w:rStyle w:val="StyleUnderline"/>
        </w:rPr>
        <w:t>that legislatures</w:t>
      </w:r>
      <w:r w:rsidRPr="00CB4BA9">
        <w:rPr>
          <w:rStyle w:val="StyleUnderline"/>
        </w:rPr>
        <w:t xml:space="preserve"> define criminal laws are fundamental. They cannot waiver depending on what branch of government</w:t>
      </w:r>
      <w:r w:rsidRPr="00CB4BA9">
        <w:rPr>
          <w:sz w:val="16"/>
        </w:rPr>
        <w:t xml:space="preserve"> is opining on the law—</w:t>
      </w:r>
      <w:r w:rsidRPr="00CB4BA9">
        <w:rPr>
          <w:rStyle w:val="StyleUnderline"/>
        </w:rPr>
        <w:t>the law applies all the same</w:t>
      </w:r>
      <w:r w:rsidRPr="00CB4BA9">
        <w:rPr>
          <w:sz w:val="16"/>
        </w:rPr>
        <w:t xml:space="preserve">, so constitutional protections must as well. "Very early Chief Justice Marshall told us, ‘Where the mind labours to discover the design of the legislature, it seizes every thing from which aid can be derived.’ </w:t>
      </w:r>
      <w:r w:rsidRPr="00CB4BA9">
        <w:rPr>
          <w:rStyle w:val="StyleUnderline"/>
        </w:rPr>
        <w:t>Particularly is this so when we construe statutes defining conduct which entail stigma and penalties and prison</w:t>
      </w:r>
      <w:r w:rsidRPr="00CB4BA9">
        <w:rPr>
          <w:sz w:val="16"/>
        </w:rPr>
        <w:t>.” Universal C. I. T. Credit Corp., 344 U.S. at 221 (quoting United States v. Fisher, 6 U.S. 358, 386 (1805)).</w:t>
      </w:r>
    </w:p>
    <w:p w14:paraId="544C3080" w14:textId="77777777" w:rsidR="0095149D" w:rsidRPr="006E1824" w:rsidRDefault="0095149D" w:rsidP="0095149D">
      <w:pPr>
        <w:rPr>
          <w:sz w:val="16"/>
          <w:szCs w:val="16"/>
        </w:rPr>
      </w:pPr>
      <w:r w:rsidRPr="006E1824">
        <w:rPr>
          <w:sz w:val="16"/>
          <w:szCs w:val="16"/>
        </w:rPr>
        <w:t>In fact, some state courts statutorily forbidden to apply the rule of lenity have disregarded such laws. See State v. Ovind, 186 Ariz. 475 (Ct. App. 1996); Harrott v. Cty. of Kings, 25 Cal. 4th 1138 (2001); State v. Dansereau, 157 N.H. 596 (2008). These courts likely recognized the constitutional protections that the rule affords, and that its proscription would be invalid. See Scalia &amp; Garner, READING LAW, at 245 (suggesting that a prohibition on the rule of lenity’s application might violate Due Process).</w:t>
      </w:r>
    </w:p>
    <w:p w14:paraId="7F58400C" w14:textId="7553FD1A" w:rsidR="0095149D" w:rsidRPr="0095149D" w:rsidRDefault="0095149D" w:rsidP="0095149D">
      <w:pPr>
        <w:rPr>
          <w:sz w:val="16"/>
        </w:rPr>
      </w:pPr>
      <w:r w:rsidRPr="006E1824">
        <w:rPr>
          <w:sz w:val="16"/>
        </w:rPr>
        <w:t xml:space="preserve">To replace </w:t>
      </w:r>
      <w:r w:rsidRPr="006E1824">
        <w:rPr>
          <w:u w:val="single"/>
        </w:rPr>
        <w:t xml:space="preserve">the rule of </w:t>
      </w:r>
      <w:r w:rsidRPr="002378F3">
        <w:rPr>
          <w:rStyle w:val="Emphasis"/>
        </w:rPr>
        <w:t>lenity</w:t>
      </w:r>
      <w:r w:rsidRPr="006E1824">
        <w:rPr>
          <w:sz w:val="16"/>
        </w:rPr>
        <w:t xml:space="preserve">—which </w:t>
      </w:r>
      <w:r w:rsidRPr="002378F3">
        <w:rPr>
          <w:rStyle w:val="Emphasis"/>
        </w:rPr>
        <w:t>secures</w:t>
      </w:r>
      <w:r w:rsidRPr="006E1824">
        <w:rPr>
          <w:u w:val="single"/>
        </w:rPr>
        <w:t xml:space="preserve"> several </w:t>
      </w:r>
      <w:r w:rsidRPr="002378F3">
        <w:rPr>
          <w:rStyle w:val="Emphasis"/>
        </w:rPr>
        <w:t>constitutional safeguards</w:t>
      </w:r>
      <w:r w:rsidRPr="006E1824">
        <w:rPr>
          <w:sz w:val="16"/>
        </w:rPr>
        <w:t xml:space="preserve">—with </w:t>
      </w:r>
      <w:r w:rsidRPr="006E1824">
        <w:rPr>
          <w:u w:val="single"/>
        </w:rPr>
        <w:t>Chevron</w:t>
      </w:r>
      <w:r w:rsidRPr="006E1824">
        <w:rPr>
          <w:sz w:val="16"/>
        </w:rPr>
        <w:t xml:space="preserve"> deference— </w:t>
      </w:r>
      <w:r w:rsidRPr="006E1824">
        <w:rPr>
          <w:u w:val="single"/>
        </w:rPr>
        <w:t>which is known for violating constitutional safeguards</w:t>
      </w:r>
      <w:r w:rsidRPr="006E1824">
        <w:rPr>
          <w:sz w:val="16"/>
        </w:rPr>
        <w:t>—</w:t>
      </w:r>
      <w:r w:rsidRPr="006E1824">
        <w:rPr>
          <w:u w:val="single"/>
        </w:rPr>
        <w:t>frustrates the framework</w:t>
      </w:r>
      <w:r w:rsidRPr="006E1824">
        <w:rPr>
          <w:sz w:val="16"/>
        </w:rPr>
        <w:t xml:space="preserve"> the founders established to ensure that Americans would remain a free people.</w:t>
      </w:r>
    </w:p>
    <w:p w14:paraId="5F107832" w14:textId="77777777" w:rsidR="0095149D" w:rsidRPr="007C6F40" w:rsidRDefault="0095149D" w:rsidP="0095149D">
      <w:pPr>
        <w:pStyle w:val="Heading4"/>
      </w:pPr>
      <w:r>
        <w:t>It destroys SOP.</w:t>
      </w:r>
    </w:p>
    <w:p w14:paraId="15DFFF97" w14:textId="77777777" w:rsidR="0095149D" w:rsidRPr="007C6F40" w:rsidRDefault="0095149D" w:rsidP="0095149D">
      <w:r w:rsidRPr="007C6F40">
        <w:t xml:space="preserve">Deanna M. </w:t>
      </w:r>
      <w:r w:rsidRPr="007C6F40">
        <w:rPr>
          <w:rStyle w:val="Style13ptBold"/>
        </w:rPr>
        <w:t>Rice</w:t>
      </w:r>
      <w:r w:rsidRPr="007C6F40">
        <w:t xml:space="preserve"> and Anton </w:t>
      </w:r>
      <w:r w:rsidRPr="007C6F40">
        <w:rPr>
          <w:rStyle w:val="Style13ptBold"/>
        </w:rPr>
        <w:t>Metlitsky 18</w:t>
      </w:r>
      <w:r w:rsidRPr="007C6F40">
        <w:t xml:space="preserve"> (O’Melveny &amp; Myers LLP, August 13, 2018 , "BRIEF OF ADMINISTRATIVE AND IMMIGRATION LAW PROFESSORS AS AMICI CURIAE IN SUPPORT OF RESPONDENTS", American Bar Association, https://www.supremecourt.gov/DocketPDF/16/16-1363/59323/20180813172708611_1%20-%20Amicus%20Brief.pdf, accessed: 6-27-2020)//yeed</w:t>
      </w:r>
    </w:p>
    <w:p w14:paraId="4D5D0D23" w14:textId="77777777" w:rsidR="0095149D" w:rsidRPr="007C6F40" w:rsidRDefault="0095149D" w:rsidP="0095149D">
      <w:pPr>
        <w:rPr>
          <w:rStyle w:val="StyleUnderline"/>
        </w:rPr>
      </w:pPr>
      <w:r w:rsidRPr="007C6F40">
        <w:rPr>
          <w:rStyle w:val="StyleUnderline"/>
        </w:rPr>
        <w:t>The rule that Chevron does not apply to criminal law is, at bottom, grounded in separation-of powers principles</w:t>
      </w:r>
      <w:r w:rsidRPr="007C6F40">
        <w:t xml:space="preserve">—and, more specifically, the recognition that especially </w:t>
      </w:r>
      <w:r w:rsidRPr="007C6F40">
        <w:rPr>
          <w:rStyle w:val="StyleUnderline"/>
        </w:rPr>
        <w:t xml:space="preserve">strong checks and balances are necessary where physical </w:t>
      </w:r>
      <w:r w:rsidRPr="007C6F40">
        <w:rPr>
          <w:rStyle w:val="Emphasis"/>
        </w:rPr>
        <w:t>liberty interests are at stake.</w:t>
      </w:r>
    </w:p>
    <w:p w14:paraId="05CDC3EC" w14:textId="77777777" w:rsidR="0095149D" w:rsidRPr="007C6F40" w:rsidRDefault="0095149D" w:rsidP="0095149D">
      <w:r w:rsidRPr="007C6F40">
        <w:rPr>
          <w:rStyle w:val="StyleUnderline"/>
        </w:rPr>
        <w:t>Scholars</w:t>
      </w:r>
      <w:r w:rsidRPr="007C6F40">
        <w:t xml:space="preserve"> have similarly </w:t>
      </w:r>
      <w:r w:rsidRPr="007C6F40">
        <w:rPr>
          <w:rStyle w:val="StyleUnderline"/>
        </w:rPr>
        <w:t>recognized</w:t>
      </w:r>
      <w:r w:rsidRPr="007C6F40">
        <w:t xml:space="preserve"> “</w:t>
      </w:r>
      <w:r w:rsidRPr="007C6F40">
        <w:rPr>
          <w:rStyle w:val="StyleUnderline"/>
        </w:rPr>
        <w:t>a strong separation of powers rationale for why a federal court should prefer its own view over the</w:t>
      </w:r>
      <w:r w:rsidRPr="007C6F40">
        <w:t xml:space="preserve"> [execu-</w:t>
      </w:r>
      <w:r w:rsidRPr="007C6F40">
        <w:rPr>
          <w:sz w:val="12"/>
        </w:rPr>
        <w:t xml:space="preserve"> </w:t>
      </w:r>
      <w:r w:rsidRPr="007C6F40">
        <w:t>18</w:t>
      </w:r>
      <w:r w:rsidRPr="007C6F40">
        <w:rPr>
          <w:sz w:val="12"/>
        </w:rPr>
        <w:t xml:space="preserve"> </w:t>
      </w:r>
      <w:r w:rsidRPr="007C6F40">
        <w:t>tive’s</w:t>
      </w:r>
      <w:r w:rsidRPr="007C6F40">
        <w:rPr>
          <w:rStyle w:val="StyleUnderline"/>
        </w:rPr>
        <w:t>] in interpreting detention authority.”</w:t>
      </w:r>
      <w:r w:rsidRPr="007C6F40">
        <w:t xml:space="preserve"> Das at</w:t>
      </w:r>
      <w:r w:rsidRPr="007C6F40">
        <w:rPr>
          <w:sz w:val="12"/>
        </w:rPr>
        <w:t xml:space="preserve"> </w:t>
      </w:r>
      <w:r w:rsidRPr="007C6F40">
        <w:t>186; see also Kagan at 52 (“[T]he application of</w:t>
      </w:r>
      <w:r w:rsidRPr="007C6F40">
        <w:rPr>
          <w:sz w:val="12"/>
        </w:rPr>
        <w:t xml:space="preserve"> </w:t>
      </w:r>
      <w:r w:rsidRPr="007C6F40">
        <w:t xml:space="preserve">Chevron in habeas cases undermines the role the judiciary has traditionally played in reviewing deprivations of liberty.”). </w:t>
      </w:r>
      <w:r w:rsidRPr="007C6F40">
        <w:rPr>
          <w:rStyle w:val="StyleUnderline"/>
        </w:rPr>
        <w:t>The Constitution vests detention power exclusively with Congress, not the executive</w:t>
      </w:r>
      <w:r w:rsidRPr="007C6F40">
        <w:t>. See Stephen I. Vladeck, Note, The Detention</w:t>
      </w:r>
      <w:r w:rsidRPr="007C6F40">
        <w:rPr>
          <w:sz w:val="12"/>
        </w:rPr>
        <w:t xml:space="preserve"> </w:t>
      </w:r>
      <w:r w:rsidRPr="007C6F40">
        <w:t xml:space="preserve">Power, 22 Yale L. &amp; Pol’y Rev. 153, 157 (2004). </w:t>
      </w:r>
      <w:r w:rsidRPr="007C6F40">
        <w:rPr>
          <w:rStyle w:val="StyleUnderline"/>
        </w:rPr>
        <w:t xml:space="preserve">Executive encroachment on this power </w:t>
      </w:r>
      <w:r w:rsidRPr="007C6F40">
        <w:rPr>
          <w:rStyle w:val="Emphasis"/>
        </w:rPr>
        <w:t xml:space="preserve">violates “two of our most basic constitutional precepts: </w:t>
      </w:r>
      <w:r w:rsidRPr="007C6F40">
        <w:rPr>
          <w:rStyle w:val="StyleUnderline"/>
        </w:rPr>
        <w:t>the proper separation of powers between the executive and the legislature, and the individual right not to be deprived of personal liberty without due process of law.”</w:t>
      </w:r>
      <w:r w:rsidRPr="007C6F40">
        <w:t xml:space="preserve"> Id. at 157-58. Although the executive may, of</w:t>
      </w:r>
      <w:r w:rsidRPr="007C6F40">
        <w:rPr>
          <w:sz w:val="12"/>
        </w:rPr>
        <w:t xml:space="preserve"> </w:t>
      </w:r>
      <w:r w:rsidRPr="007C6F40">
        <w:t xml:space="preserve">course, “administer detention statutes, </w:t>
      </w:r>
      <w:r w:rsidRPr="007C6F40">
        <w:rPr>
          <w:rStyle w:val="Emphasis"/>
        </w:rPr>
        <w:t xml:space="preserve">a serious separation of powers issue arises </w:t>
      </w:r>
      <w:r w:rsidRPr="007C6F40">
        <w:rPr>
          <w:rStyle w:val="StyleUnderline"/>
        </w:rPr>
        <w:t>when the executive may define the scope of detention power as well</w:t>
      </w:r>
      <w:r w:rsidRPr="007C6F40">
        <w:t>.”</w:t>
      </w:r>
      <w:r w:rsidRPr="007C6F40">
        <w:rPr>
          <w:sz w:val="12"/>
        </w:rPr>
        <w:t xml:space="preserve"> </w:t>
      </w:r>
      <w:r w:rsidRPr="007C6F40">
        <w:t>Das at 186.</w:t>
      </w:r>
    </w:p>
    <w:p w14:paraId="41E1DDCC" w14:textId="77777777" w:rsidR="0095149D" w:rsidRPr="007C6F40" w:rsidRDefault="0095149D" w:rsidP="0095149D">
      <w:r w:rsidRPr="007C6F40">
        <w:rPr>
          <w:rStyle w:val="StyleUnderline"/>
        </w:rPr>
        <w:t>Courts</w:t>
      </w:r>
      <w:r w:rsidRPr="007C6F40">
        <w:t xml:space="preserve">, moreover, </w:t>
      </w:r>
      <w:r w:rsidRPr="007C6F40">
        <w:rPr>
          <w:rStyle w:val="StyleUnderline"/>
        </w:rPr>
        <w:t>have</w:t>
      </w:r>
      <w:r w:rsidRPr="007C6F40">
        <w:t xml:space="preserve"> historically </w:t>
      </w:r>
      <w:r w:rsidRPr="007C6F40">
        <w:rPr>
          <w:rStyle w:val="StyleUnderline"/>
        </w:rPr>
        <w:t>played an important role in protecting the separation of powers</w:t>
      </w:r>
      <w:r w:rsidRPr="007C6F40">
        <w:rPr>
          <w:sz w:val="12"/>
        </w:rPr>
        <w:t xml:space="preserve"> </w:t>
      </w:r>
      <w:r w:rsidRPr="007C6F40">
        <w:rPr>
          <w:rStyle w:val="StyleUnderline"/>
        </w:rPr>
        <w:t>through the exercise of habeas review</w:t>
      </w:r>
      <w:r w:rsidRPr="007C6F40">
        <w:t>. As this Court</w:t>
      </w:r>
      <w:r w:rsidRPr="007C6F40">
        <w:rPr>
          <w:sz w:val="12"/>
        </w:rPr>
        <w:t xml:space="preserve"> </w:t>
      </w:r>
      <w:r w:rsidRPr="007C6F40">
        <w:t xml:space="preserve">has observed, </w:t>
      </w:r>
      <w:r w:rsidRPr="007C6F40">
        <w:rPr>
          <w:rStyle w:val="StyleUnderline"/>
        </w:rPr>
        <w:t>“protection for the privilege of habeas corpus was one of the few safeguards of liberty specified in a Constitution that, at the outset, had no Bill of Rights.”</w:t>
      </w:r>
      <w:r w:rsidRPr="007C6F40">
        <w:t xml:space="preserve"> Boumediene v. Bush, 553 U.S. 723, 739</w:t>
      </w:r>
      <w:r w:rsidRPr="007C6F40">
        <w:rPr>
          <w:sz w:val="12"/>
        </w:rPr>
        <w:t xml:space="preserve"> </w:t>
      </w:r>
      <w:r w:rsidRPr="007C6F40">
        <w:t xml:space="preserve">(2008); see U.S. Const. art. I, § 9, cl. 2. </w:t>
      </w:r>
      <w:r w:rsidRPr="007C6F40">
        <w:rPr>
          <w:rStyle w:val="StyleUnderline"/>
        </w:rPr>
        <w:t>Habeas review “serves the twin purposes behind the Framers’ choice to allocate power among three branches of government</w:t>
      </w:r>
      <w:r w:rsidRPr="007C6F40">
        <w:t xml:space="preserve"> in the first place: </w:t>
      </w:r>
      <w:r w:rsidRPr="007C6F40">
        <w:rPr>
          <w:rStyle w:val="StyleUnderline"/>
        </w:rPr>
        <w:t xml:space="preserve">to hold government accountable and to </w:t>
      </w:r>
      <w:r w:rsidRPr="007C6F40">
        <w:rPr>
          <w:rStyle w:val="Emphasis"/>
        </w:rPr>
        <w:t>protect individual liberty</w:t>
      </w:r>
      <w:r w:rsidRPr="007C6F40">
        <w:t>.” Das</w:t>
      </w:r>
      <w:r w:rsidRPr="007C6F40">
        <w:rPr>
          <w:sz w:val="12"/>
        </w:rPr>
        <w:t xml:space="preserve"> </w:t>
      </w:r>
      <w:r w:rsidRPr="007C6F40">
        <w:t>at 186; see Boumediene, 553 U.S. at 742 (“</w:t>
      </w:r>
      <w:r w:rsidRPr="007C6F40">
        <w:rPr>
          <w:rStyle w:val="StyleUnderline"/>
        </w:rPr>
        <w:t>The Framers’ inherent distrust of governmental power was the driving force behind the constitutional plan that</w:t>
      </w:r>
      <w:r w:rsidRPr="007C6F40">
        <w:t xml:space="preserve"> al-</w:t>
      </w:r>
      <w:r w:rsidRPr="007C6F40">
        <w:rPr>
          <w:sz w:val="12"/>
        </w:rPr>
        <w:t xml:space="preserve"> </w:t>
      </w:r>
      <w:r w:rsidRPr="007C6F40">
        <w:t>19</w:t>
      </w:r>
      <w:r w:rsidRPr="007C6F40">
        <w:rPr>
          <w:sz w:val="12"/>
        </w:rPr>
        <w:t xml:space="preserve"> </w:t>
      </w:r>
      <w:r w:rsidRPr="007C6F40">
        <w:t>located powers among three independent branches.</w:t>
      </w:r>
      <w:r w:rsidRPr="007C6F40">
        <w:rPr>
          <w:sz w:val="12"/>
        </w:rPr>
        <w:t xml:space="preserve"> </w:t>
      </w:r>
      <w:r w:rsidRPr="007C6F40">
        <w:t>This design serves not only to make Government accountable but also to secure individual liberty.”). “At</w:t>
      </w:r>
      <w:r w:rsidRPr="007C6F40">
        <w:rPr>
          <w:sz w:val="12"/>
        </w:rPr>
        <w:t xml:space="preserve"> </w:t>
      </w:r>
      <w:r w:rsidRPr="007C6F40">
        <w:t xml:space="preserve">its historical core, the writ of </w:t>
      </w:r>
      <w:r w:rsidRPr="007C6F40">
        <w:rPr>
          <w:rStyle w:val="StyleUnderline"/>
        </w:rPr>
        <w:t>habeas corpus has served as a means of reviewing the legality of Executive detention</w:t>
      </w:r>
      <w:r w:rsidRPr="007C6F40">
        <w:t xml:space="preserve">, and it is in that context that </w:t>
      </w:r>
      <w:r w:rsidRPr="007C6F40">
        <w:rPr>
          <w:rStyle w:val="StyleUnderline"/>
        </w:rPr>
        <w:t>its protections have been strongest.</w:t>
      </w:r>
      <w:r w:rsidRPr="007C6F40">
        <w:t>” St. Cyr, 533 U.S. at</w:t>
      </w:r>
      <w:r w:rsidRPr="007C6F40">
        <w:rPr>
          <w:sz w:val="12"/>
        </w:rPr>
        <w:t xml:space="preserve"> </w:t>
      </w:r>
      <w:r w:rsidRPr="007C6F40">
        <w:t>301.5</w:t>
      </w:r>
    </w:p>
    <w:p w14:paraId="1106A345" w14:textId="77777777" w:rsidR="0095149D" w:rsidRPr="007C6F40" w:rsidRDefault="0095149D" w:rsidP="0095149D">
      <w:r w:rsidRPr="007C6F40">
        <w:t>Footnote 5 begins:</w:t>
      </w:r>
    </w:p>
    <w:p w14:paraId="46B23E78" w14:textId="77777777" w:rsidR="0095149D" w:rsidRPr="007C6F40" w:rsidRDefault="0095149D" w:rsidP="0095149D">
      <w:r w:rsidRPr="007C6F40">
        <w:t xml:space="preserve">It is well established that </w:t>
      </w:r>
      <w:r w:rsidRPr="007C6F40">
        <w:rPr>
          <w:rStyle w:val="StyleUnderline"/>
        </w:rPr>
        <w:t>Article III courts serve as an important check on executive detention for both citizens and non-citizens alike</w:t>
      </w:r>
      <w:r w:rsidRPr="007C6F40">
        <w:t>. See, e.g., Boumediene, 553 U.S. at 747 (“We</w:t>
      </w:r>
      <w:r w:rsidRPr="007C6F40">
        <w:rPr>
          <w:sz w:val="12"/>
        </w:rPr>
        <w:t xml:space="preserve"> </w:t>
      </w:r>
      <w:r w:rsidRPr="007C6F40">
        <w:t>know that at common law a petitioner’s status as an alien was</w:t>
      </w:r>
      <w:r w:rsidRPr="007C6F40">
        <w:rPr>
          <w:sz w:val="12"/>
        </w:rPr>
        <w:t xml:space="preserve"> </w:t>
      </w:r>
      <w:r w:rsidRPr="007C6F40">
        <w:t>not a categorical bar to habeas corpus relief.”); Rasul v. Bush,</w:t>
      </w:r>
      <w:r w:rsidRPr="007C6F40">
        <w:rPr>
          <w:sz w:val="12"/>
        </w:rPr>
        <w:t xml:space="preserve"> </w:t>
      </w:r>
      <w:r w:rsidRPr="007C6F40">
        <w:t>542 U.S. 466, 481 (2004) (explaining that 28 U.S.C. § 2241</w:t>
      </w:r>
      <w:r w:rsidRPr="007C6F40">
        <w:rPr>
          <w:sz w:val="12"/>
        </w:rPr>
        <w:t xml:space="preserve"> </w:t>
      </w:r>
      <w:r w:rsidRPr="007C6F40">
        <w:t>“draws no distinction between Americans and aliens held in</w:t>
      </w:r>
      <w:r w:rsidRPr="007C6F40">
        <w:rPr>
          <w:sz w:val="12"/>
        </w:rPr>
        <w:t xml:space="preserve"> </w:t>
      </w:r>
      <w:r w:rsidRPr="007C6F40">
        <w:t>federal custody”).</w:t>
      </w:r>
    </w:p>
    <w:p w14:paraId="3F136878" w14:textId="77777777" w:rsidR="0095149D" w:rsidRPr="007C6F40" w:rsidRDefault="0095149D" w:rsidP="0095149D">
      <w:r w:rsidRPr="007C6F40">
        <w:t>Footnote 5 ends.</w:t>
      </w:r>
    </w:p>
    <w:p w14:paraId="66069530" w14:textId="066015DB" w:rsidR="0047362D" w:rsidRDefault="0095149D" w:rsidP="0095149D">
      <w:r w:rsidRPr="007C6F40">
        <w:t xml:space="preserve">These two </w:t>
      </w:r>
      <w:r w:rsidRPr="007C6F40">
        <w:rPr>
          <w:rStyle w:val="StyleUnderline"/>
        </w:rPr>
        <w:t>factors</w:t>
      </w:r>
      <w:r w:rsidRPr="007C6F40">
        <w:t>— “the allocation of detention</w:t>
      </w:r>
      <w:r w:rsidRPr="007C6F40">
        <w:rPr>
          <w:sz w:val="12"/>
        </w:rPr>
        <w:t xml:space="preserve"> </w:t>
      </w:r>
      <w:r w:rsidRPr="007C6F40">
        <w:t>power to Congress and the historical role of habeas</w:t>
      </w:r>
      <w:r w:rsidRPr="007C6F40">
        <w:rPr>
          <w:sz w:val="12"/>
        </w:rPr>
        <w:t xml:space="preserve"> </w:t>
      </w:r>
      <w:r w:rsidRPr="007C6F40">
        <w:t>courts in protecting against unlawful executive detention”—</w:t>
      </w:r>
      <w:r w:rsidRPr="007C6F40">
        <w:rPr>
          <w:rStyle w:val="StyleUnderline"/>
        </w:rPr>
        <w:t>weigh heavily against judicial deference to the executive’s interpretation of its own detention authority</w:t>
      </w:r>
      <w:r w:rsidRPr="007C6F40">
        <w:t>. Das at 187. “</w:t>
      </w:r>
      <w:r w:rsidRPr="007C6F40">
        <w:rPr>
          <w:rStyle w:val="StyleUnderline"/>
        </w:rPr>
        <w:t>If one branch of government infringes a person’s physical liberty … she should have the right to go before a separate branch of government for an assessment of whether this action was justified under law</w:t>
      </w:r>
      <w:r w:rsidRPr="007C6F40">
        <w:t>.” Kagan at 49.</w:t>
      </w:r>
    </w:p>
    <w:p w14:paraId="7A4C0EE2" w14:textId="119C4CE0" w:rsidR="0047362D" w:rsidRDefault="0047362D" w:rsidP="0047362D">
      <w:pPr>
        <w:pStyle w:val="Heading4"/>
        <w:rPr>
          <w:rStyle w:val="StyleUnderline"/>
          <w:sz w:val="26"/>
          <w:u w:val="none"/>
        </w:rPr>
      </w:pPr>
      <w:r w:rsidRPr="0047362D">
        <w:rPr>
          <w:rStyle w:val="StyleUnderline"/>
          <w:i/>
          <w:iCs w:val="0"/>
          <w:sz w:val="26"/>
          <w:u w:val="none"/>
        </w:rPr>
        <w:t>Chevron</w:t>
      </w:r>
      <w:r>
        <w:rPr>
          <w:rStyle w:val="StyleUnderline"/>
          <w:sz w:val="26"/>
          <w:u w:val="none"/>
        </w:rPr>
        <w:t xml:space="preserve"> without lenity enables effective “executive lawmaking” with no congressional oversight.</w:t>
      </w:r>
    </w:p>
    <w:p w14:paraId="52E3EE62" w14:textId="77777777" w:rsidR="0047362D" w:rsidRDefault="0047362D" w:rsidP="0047362D">
      <w:pPr>
        <w:rPr>
          <w:rStyle w:val="StyleUnderline"/>
          <w:u w:val="none"/>
        </w:rPr>
      </w:pPr>
      <w:r>
        <w:rPr>
          <w:rStyle w:val="Style13ptBold"/>
        </w:rPr>
        <w:t xml:space="preserve">Eastman 19 </w:t>
      </w:r>
      <w:r>
        <w:rPr>
          <w:rStyle w:val="StyleUnderline"/>
          <w:u w:val="none"/>
        </w:rPr>
        <w:t>(John Eastman, American law professor and constitutional law scholar, “Brief of Amicus Curiae Center for Constitutional Jurisprudence, Guedes vs. ATF,” 9/4/19)</w:t>
      </w:r>
    </w:p>
    <w:p w14:paraId="0D3D103A" w14:textId="77777777" w:rsidR="0047362D" w:rsidRPr="00994D45" w:rsidRDefault="0047362D" w:rsidP="0047362D">
      <w:pPr>
        <w:rPr>
          <w:b/>
          <w:bCs/>
          <w:sz w:val="26"/>
        </w:rPr>
      </w:pPr>
      <w:r w:rsidRPr="00577BF5">
        <w:rPr>
          <w:rStyle w:val="StyleUnderline"/>
        </w:rPr>
        <w:t>The Constitution vests specific types of government power in each branch of government; power vested in one branch cannot be exercised by another</w:t>
      </w:r>
      <w:r w:rsidRPr="00611CC2">
        <w:rPr>
          <w:sz w:val="16"/>
        </w:rPr>
        <w:t xml:space="preserve">. James Madison, Federalist 48, THE FEDERALIST PAPERS 305 (Charles R. Kesler &amp; Clint Rossiter, eds., 2003). </w:t>
      </w:r>
      <w:r w:rsidRPr="00577BF5">
        <w:rPr>
          <w:rStyle w:val="StyleUnderline"/>
        </w:rPr>
        <w:t>This system makes the exercise of government more difficult — but it does so by design.</w:t>
      </w:r>
      <w:r w:rsidRPr="00611CC2">
        <w:rPr>
          <w:sz w:val="16"/>
        </w:rPr>
        <w:t xml:space="preserve"> Dept. of Trans. v. Ass’n of Am. Railroads, 135 S.Ct. 1225 (2015) (Alito, J., concurring). </w:t>
      </w:r>
      <w:r w:rsidRPr="00577BF5">
        <w:rPr>
          <w:rStyle w:val="StyleUnderline"/>
        </w:rPr>
        <w:t>But just as one branch may not usurp the power of the others, neither can any of the branches delegate away their vested powers.</w:t>
      </w:r>
      <w:r w:rsidRPr="00611CC2">
        <w:rPr>
          <w:sz w:val="16"/>
        </w:rPr>
        <w:t xml:space="preserve"> Id. See also Philip Hamburger, Chevron Bias, 84 GEO. WASH. L.R. 1187, 1193 (2016) (quoting commentaries by Justices Breyer and Scalia).</w:t>
      </w:r>
    </w:p>
    <w:p w14:paraId="7AA446C0" w14:textId="77777777" w:rsidR="0047362D" w:rsidRPr="00611CC2" w:rsidRDefault="0047362D" w:rsidP="0047362D">
      <w:pPr>
        <w:rPr>
          <w:sz w:val="16"/>
        </w:rPr>
      </w:pPr>
      <w:r w:rsidRPr="00577BF5">
        <w:rPr>
          <w:rStyle w:val="StyleUnderline"/>
        </w:rPr>
        <w:t>It is for Congress to make the laws</w:t>
      </w:r>
      <w:r w:rsidRPr="00611CC2">
        <w:rPr>
          <w:sz w:val="16"/>
        </w:rPr>
        <w:t>. And</w:t>
      </w:r>
      <w:r w:rsidRPr="00577BF5">
        <w:rPr>
          <w:rStyle w:val="StyleUnderline"/>
        </w:rPr>
        <w:t>, especially in criminal law</w:t>
      </w:r>
      <w:r w:rsidRPr="00611CC2">
        <w:rPr>
          <w:sz w:val="16"/>
        </w:rPr>
        <w:t>, “</w:t>
      </w:r>
      <w:r w:rsidRPr="00577BF5">
        <w:rPr>
          <w:rStyle w:val="StyleUnderline"/>
        </w:rPr>
        <w:t>it is appropriate . . . to require that Congress should have spoken in language that is clear and definite</w:t>
      </w:r>
      <w:r w:rsidRPr="00611CC2">
        <w:rPr>
          <w:sz w:val="16"/>
        </w:rPr>
        <w:t xml:space="preserve">.” Bass, 404 U.S. at 347 (emphasis added). Again, “a vague law is no law at all”; it is not an excuse for judicial deference to the executive. Davis, 139 S.Ct. at 2323. Prosecutorial </w:t>
      </w:r>
      <w:r w:rsidRPr="00577BF5">
        <w:rPr>
          <w:rStyle w:val="StyleUnderline"/>
        </w:rPr>
        <w:t>deference under Chevron permits the executive to exercise lawmaking power.</w:t>
      </w:r>
      <w:r w:rsidRPr="00611CC2">
        <w:rPr>
          <w:sz w:val="16"/>
        </w:rPr>
        <w:t xml:space="preserve"> This should not be. “</w:t>
      </w:r>
      <w:r w:rsidRPr="00577BF5">
        <w:rPr>
          <w:rStyle w:val="StyleUnderline"/>
        </w:rPr>
        <w:t>Only</w:t>
      </w:r>
      <w:r w:rsidRPr="00611CC2">
        <w:rPr>
          <w:sz w:val="16"/>
        </w:rPr>
        <w:t xml:space="preserve"> the people’s </w:t>
      </w:r>
      <w:r w:rsidRPr="00577BF5">
        <w:rPr>
          <w:rStyle w:val="StyleUnderline"/>
        </w:rPr>
        <w:t>elected representatives in Congress have the power to write</w:t>
      </w:r>
      <w:r w:rsidRPr="00611CC2">
        <w:rPr>
          <w:sz w:val="16"/>
        </w:rPr>
        <w:t xml:space="preserve"> . . . </w:t>
      </w:r>
      <w:r w:rsidRPr="00577BF5">
        <w:rPr>
          <w:rStyle w:val="StyleUnderline"/>
        </w:rPr>
        <w:t xml:space="preserve">statutes </w:t>
      </w:r>
      <w:r w:rsidRPr="00611CC2">
        <w:rPr>
          <w:sz w:val="16"/>
        </w:rPr>
        <w:t xml:space="preserve">that give ordinary people fair warning about what the law demands of them.” Davis, 139 S.Ct. at 2323. </w:t>
      </w:r>
      <w:r w:rsidRPr="00BC4B9D">
        <w:rPr>
          <w:rStyle w:val="StyleUnderline"/>
        </w:rPr>
        <w:t>In law, there is “no excuse for ambiguous language or vague descriptions</w:t>
      </w:r>
      <w:r w:rsidRPr="00611CC2">
        <w:rPr>
          <w:sz w:val="16"/>
        </w:rPr>
        <w:t xml:space="preserve">,” and a finding of </w:t>
      </w:r>
      <w:r w:rsidRPr="00BC4B9D">
        <w:rPr>
          <w:rStyle w:val="StyleUnderline"/>
        </w:rPr>
        <w:t>vagueness or ambiguity is no excuse for the executive to assume the lawmaking power of the legislative</w:t>
      </w:r>
      <w:r w:rsidRPr="00611CC2">
        <w:rPr>
          <w:sz w:val="16"/>
        </w:rPr>
        <w:t>, no matter how slight the usurpation. Merrill v. Yeomans, 94 U.S. 568, 573 (1876)</w:t>
      </w:r>
    </w:p>
    <w:p w14:paraId="0B3B311C" w14:textId="77777777" w:rsidR="0047362D" w:rsidRPr="00611CC2" w:rsidRDefault="0047362D" w:rsidP="0047362D">
      <w:pPr>
        <w:rPr>
          <w:sz w:val="16"/>
        </w:rPr>
      </w:pPr>
      <w:r w:rsidRPr="00611CC2">
        <w:rPr>
          <w:sz w:val="16"/>
        </w:rPr>
        <w:t xml:space="preserve">As Justices Scalia and Thomas noted in their separate opinion respecting denial of certiorari in Whitman, “a court owes no deference to the prosecution’s interpretation of a criminal law.” Whitman, 135 S.Ct. at 352. This Court specified five years ago that it has “never held that the Government’s reading of a criminal statute is entitled to any deference.” United States v. Apel, 571 U.S. 359, 369 (2014). That same term, this Court noted that </w:t>
      </w:r>
      <w:r w:rsidRPr="00BC4B9D">
        <w:rPr>
          <w:rStyle w:val="StyleUnderline"/>
        </w:rPr>
        <w:t>“criminal laws are for courts, not for the Government, to construe</w:t>
      </w:r>
      <w:r w:rsidRPr="00611CC2">
        <w:rPr>
          <w:sz w:val="16"/>
        </w:rPr>
        <w:t xml:space="preserve">.” Abramski v. United States, 573 U.S. 169, 191 (2014). A few years later, then-Judge </w:t>
      </w:r>
      <w:r w:rsidRPr="00BC4B9D">
        <w:rPr>
          <w:rStyle w:val="StyleUnderline"/>
        </w:rPr>
        <w:t>Gorsuch,</w:t>
      </w:r>
      <w:r w:rsidRPr="00611CC2">
        <w:rPr>
          <w:sz w:val="16"/>
        </w:rPr>
        <w:t xml:space="preserve"> in his concurrence in GutierrezBrizuela v. Lynch, </w:t>
      </w:r>
      <w:r w:rsidRPr="00BC4B9D">
        <w:rPr>
          <w:rStyle w:val="StyleUnderline"/>
        </w:rPr>
        <w:t>stated “The Supreme Court has expressly instructed us not to apply Chevron deference when an agency seeks to interpret a criminal statute.”</w:t>
      </w:r>
      <w:r w:rsidRPr="00611CC2">
        <w:rPr>
          <w:sz w:val="16"/>
        </w:rPr>
        <w:t xml:space="preserve"> Gutierrez-Brizuela v. Lynch, 834 F.3d 1142, 1155 (10th Cir. 2016) (emphasis in original). Although the Justice Department has the “specific responsibility” to determine what a statute means, that determination is merely an exercise in understanding when the executive believes prosecution is warranted. Crandon v. United States, 494 U.S. 152, 177 (1990) (Scalia, J., concurring). As Justice Scalia noted, </w:t>
      </w:r>
      <w:r w:rsidRPr="00BC4B9D">
        <w:rPr>
          <w:rStyle w:val="StyleUnderline"/>
        </w:rPr>
        <w:t>this Court has “never thought that the interpretation of those charged with prosecuting criminal statutes is entitled to deference.</w:t>
      </w:r>
      <w:r w:rsidRPr="00611CC2">
        <w:rPr>
          <w:sz w:val="16"/>
        </w:rPr>
        <w:t xml:space="preserve">” Id. That is, </w:t>
      </w:r>
      <w:r w:rsidRPr="00BC4B9D">
        <w:rPr>
          <w:rStyle w:val="StyleUnderline"/>
        </w:rPr>
        <w:t>federal administrators should not be allowed to “create (and uncreate) new crimes at will</w:t>
      </w:r>
      <w:r w:rsidRPr="00611CC2">
        <w:rPr>
          <w:sz w:val="16"/>
        </w:rPr>
        <w:t>” in contravention of prop</w:t>
      </w:r>
    </w:p>
    <w:p w14:paraId="78D7AE4C" w14:textId="77777777" w:rsidR="0047362D" w:rsidRPr="00611CC2" w:rsidRDefault="0047362D" w:rsidP="0047362D">
      <w:pPr>
        <w:rPr>
          <w:sz w:val="16"/>
        </w:rPr>
      </w:pPr>
      <w:r w:rsidRPr="00611CC2">
        <w:rPr>
          <w:sz w:val="16"/>
        </w:rPr>
        <w:t xml:space="preserve">After determining that the </w:t>
      </w:r>
      <w:r w:rsidRPr="005111BF">
        <w:rPr>
          <w:sz w:val="16"/>
          <w:szCs w:val="16"/>
        </w:rPr>
        <w:t>statutory phrase, “machine gun,” was ambiguous as to whether it included guns equipped with a “bump stock,” the court below deferred to the recent regulation of the Bureau of Alcohol, Tobacco, Firearms, and Explosives extending the statutory ban on fully automatic machine guns to semi-automatic weapons equipped with bump stocks. It did so based on Babbitt v. Sweet Home Chapter, Communities for Great Ore., 515 U.S. 687, 704 n.18 (1995), in which this Court deferred to an agency’s interpretation on a statute with criminal implications and rejected a Rule of Lenity argument in a footnote. And it did so over the Government’s own contention that if the court deemed the statutory language to be ambiguous, its bump stock rule should “be set aside rather than upheld under Chevron</w:t>
      </w:r>
      <w:r w:rsidRPr="00611CC2">
        <w:rPr>
          <w:sz w:val="16"/>
        </w:rPr>
        <w:t xml:space="preserve">” Step Two deference, because </w:t>
      </w:r>
      <w:r w:rsidRPr="00611CC2">
        <w:rPr>
          <w:rStyle w:val="StyleUnderline"/>
        </w:rPr>
        <w:t>Chevron deference is not appropriate in the criminal context</w:t>
      </w:r>
      <w:r w:rsidRPr="00611CC2">
        <w:rPr>
          <w:sz w:val="16"/>
        </w:rPr>
        <w:t>. Pet.App. A36, A41.</w:t>
      </w:r>
    </w:p>
    <w:p w14:paraId="0546A37B" w14:textId="77777777" w:rsidR="0047362D" w:rsidRPr="00611CC2" w:rsidRDefault="0047362D" w:rsidP="0047362D">
      <w:pPr>
        <w:rPr>
          <w:sz w:val="16"/>
        </w:rPr>
      </w:pPr>
      <w:r w:rsidRPr="00611CC2">
        <w:rPr>
          <w:sz w:val="16"/>
        </w:rPr>
        <w:t xml:space="preserve">In their separate statement respecting denial of certiorari in Whitman, </w:t>
      </w:r>
      <w:r w:rsidRPr="00611CC2">
        <w:rPr>
          <w:rStyle w:val="StyleUnderline"/>
        </w:rPr>
        <w:t>Justices Thomas and Scalia correctly noted that the Babbitt footnote “contradicts the many cases before and since holding that, if a law has both criminal and civil applications, the rule of lenity governs its interpretation in both settings</w:t>
      </w:r>
      <w:r w:rsidRPr="00611CC2">
        <w:rPr>
          <w:sz w:val="16"/>
        </w:rPr>
        <w:t xml:space="preserve">.” Whitman, 135 S.Ct. at 353. They further commented that although Whitman did not seek review on Babbitt-based deference, they would be receptive to granting a petition when the matter was properly brought before the Court. Id. at 354. This is that case, and </w:t>
      </w:r>
      <w:r w:rsidRPr="00611CC2">
        <w:rPr>
          <w:rStyle w:val="StyleUnderline"/>
        </w:rPr>
        <w:t>this Court should grant the petition to address the important question of whether Chevron deference is appropriate in a criminal matter</w:t>
      </w:r>
      <w:r>
        <w:rPr>
          <w:rStyle w:val="StyleUnderline"/>
        </w:rPr>
        <w:t>.</w:t>
      </w:r>
    </w:p>
    <w:p w14:paraId="01FA618E" w14:textId="77777777" w:rsidR="0047362D" w:rsidRDefault="0047362D" w:rsidP="0047362D">
      <w:pPr>
        <w:rPr>
          <w:sz w:val="16"/>
        </w:rPr>
      </w:pPr>
      <w:r w:rsidRPr="00611CC2">
        <w:rPr>
          <w:rStyle w:val="StyleUnderline"/>
        </w:rPr>
        <w:t>Criminal law and its power to constrain the liberties and freedoms of individuals is too important to approach in a casual manner</w:t>
      </w:r>
      <w:r w:rsidRPr="00611CC2">
        <w:rPr>
          <w:sz w:val="16"/>
        </w:rPr>
        <w:t xml:space="preserve">. </w:t>
      </w:r>
      <w:r w:rsidRPr="00611CC2">
        <w:rPr>
          <w:rStyle w:val="StyleUnderline"/>
        </w:rPr>
        <w:t>It is founded on the well-established pillars of due process and separation of powers</w:t>
      </w:r>
      <w:r w:rsidRPr="00611CC2">
        <w:rPr>
          <w:sz w:val="16"/>
        </w:rPr>
        <w:t xml:space="preserve"> and </w:t>
      </w:r>
      <w:r w:rsidRPr="00611CC2">
        <w:rPr>
          <w:rStyle w:val="StyleUnderline"/>
        </w:rPr>
        <w:t>serious attention is warranted whenever a threat to undermine these pillars arises</w:t>
      </w:r>
      <w:r w:rsidRPr="00611CC2">
        <w:rPr>
          <w:sz w:val="16"/>
        </w:rPr>
        <w:t xml:space="preserve">. The application of </w:t>
      </w:r>
      <w:r w:rsidRPr="00611CC2">
        <w:rPr>
          <w:rStyle w:val="StyleUnderline"/>
        </w:rPr>
        <w:t>Chevron deference to ambiguity in criminal statutes is one such threat.</w:t>
      </w:r>
      <w:r w:rsidRPr="00611CC2">
        <w:rPr>
          <w:sz w:val="16"/>
        </w:rPr>
        <w:t xml:space="preserve"> The Court should grant review in this case to clarify, reiterate, and emphasize that no deference is owed to the executive’s interpretations of criminal statutes.</w:t>
      </w:r>
    </w:p>
    <w:p w14:paraId="55612A37" w14:textId="4652D85D" w:rsidR="0047362D" w:rsidRDefault="0047362D" w:rsidP="0047362D">
      <w:pPr>
        <w:pStyle w:val="Heading4"/>
      </w:pPr>
      <w:r>
        <w:t>Strict construction keeps people out of prison.</w:t>
      </w:r>
    </w:p>
    <w:p w14:paraId="0B9D765F" w14:textId="77777777" w:rsidR="0047362D" w:rsidRPr="00EE7084" w:rsidRDefault="0047362D" w:rsidP="0047362D">
      <w:r w:rsidRPr="005111BF">
        <w:rPr>
          <w:rStyle w:val="Style13ptBold"/>
        </w:rPr>
        <w:t>Price 04</w:t>
      </w:r>
      <w:r>
        <w:t xml:space="preserve"> (Zachary Price, Associate Professor at UC Hastings, Fordham Law Review Vol 72 No 4, “The Rule of Lenity as a Rule of Structure,” March 2004)</w:t>
      </w:r>
    </w:p>
    <w:p w14:paraId="32D2CDB0" w14:textId="77777777" w:rsidR="0047362D" w:rsidRPr="00EE7084" w:rsidRDefault="0047362D" w:rsidP="0047362D">
      <w:pPr>
        <w:rPr>
          <w:rStyle w:val="Emphasis"/>
        </w:rPr>
      </w:pPr>
      <w:r w:rsidRPr="00EE7084">
        <w:rPr>
          <w:sz w:val="16"/>
        </w:rPr>
        <w:t xml:space="preserve">Interpretive questions arise in a wide variety of contexts. As I noted at the outset, my selections here are meant only to illustrate a few of those contexts and highlight the arguments they may foster. The strength of my theory that lenity enhances democratic accountability varies across the categories. </w:t>
      </w:r>
      <w:r w:rsidRPr="00E01942">
        <w:rPr>
          <w:rStyle w:val="StyleUnderline"/>
        </w:rPr>
        <w:t>The best cases for my view are the open-ended statutes</w:t>
      </w:r>
      <w:r w:rsidRPr="00EE7084">
        <w:rPr>
          <w:sz w:val="16"/>
        </w:rPr>
        <w:t xml:space="preserve"> discussed in (A), the </w:t>
      </w:r>
      <w:r w:rsidRPr="00E01942">
        <w:rPr>
          <w:rStyle w:val="StyleUnderline"/>
        </w:rPr>
        <w:t>unforeseen violations</w:t>
      </w:r>
      <w:r w:rsidRPr="00EE7084">
        <w:rPr>
          <w:sz w:val="16"/>
        </w:rPr>
        <w:t xml:space="preserve"> in (B), the </w:t>
      </w:r>
      <w:r w:rsidRPr="00E01942">
        <w:rPr>
          <w:rStyle w:val="StyleUnderline"/>
        </w:rPr>
        <w:t>vague lists</w:t>
      </w:r>
      <w:r w:rsidRPr="00EE7084">
        <w:rPr>
          <w:sz w:val="16"/>
        </w:rPr>
        <w:t xml:space="preserve"> in (D), and the units of prosecution in (E). </w:t>
      </w:r>
      <w:r w:rsidRPr="00E01942">
        <w:rPr>
          <w:rStyle w:val="StyleUnderline"/>
        </w:rPr>
        <w:t>In many disputes over grammatical ambiguity, there may be no better justification for lenity than the need to impose discipline on the drafting process</w:t>
      </w:r>
      <w:r w:rsidRPr="00EE7084">
        <w:rPr>
          <w:sz w:val="16"/>
        </w:rPr>
        <w:t xml:space="preserve">-and in many cases the concrete remedy of releasing a guilty defendant may seem mismatched with the abstract goal of improving the drafting quality of statutes in the long run. Likewise, in cases of double jeopardy or heinous wrongdoing, lenity may serve only to hold the legislature to the scheme of penalties it appeared to choose in advance. That concern relates importantly to the democratic legitimacy of criminal law, but the need for accountability may not be as imperative as when, say, </w:t>
      </w:r>
      <w:r w:rsidRPr="00EE7084">
        <w:rPr>
          <w:rStyle w:val="StyleUnderline"/>
        </w:rPr>
        <w:t xml:space="preserve">proxy offenses or open-ended statutes threaten to permit </w:t>
      </w:r>
      <w:r w:rsidRPr="00EE7084">
        <w:rPr>
          <w:rStyle w:val="Emphasis"/>
        </w:rPr>
        <w:t>unaccountable prosecutions of innocent defendants.</w:t>
      </w:r>
    </w:p>
    <w:p w14:paraId="5C29B519" w14:textId="77777777" w:rsidR="0047362D" w:rsidRPr="00EE7084" w:rsidRDefault="0047362D" w:rsidP="0047362D">
      <w:pPr>
        <w:rPr>
          <w:sz w:val="16"/>
        </w:rPr>
      </w:pPr>
      <w:r w:rsidRPr="00EE7084">
        <w:rPr>
          <w:sz w:val="16"/>
        </w:rPr>
        <w:t xml:space="preserve">This variety in the arguments for lenity might suggest that the rule's strength should vary from one context to the next. Perhaps a weak rule should be imposed in interpreting core crimes; a strong rule when crimes are petty, or when statutes define crimes in open-ended terms.357 My preference, however, is for consistent application of a single standard. </w:t>
      </w:r>
      <w:r w:rsidRPr="00EE7084">
        <w:rPr>
          <w:rStyle w:val="StyleUnderline"/>
        </w:rPr>
        <w:t>There is enough work to be done in terms of identifying the sorts of textual ambiguities that qualify for lenity; adding distinctions between crimes would only compound the confusion.</w:t>
      </w:r>
      <w:r w:rsidRPr="00EE7084">
        <w:rPr>
          <w:sz w:val="16"/>
        </w:rPr>
        <w:t xml:space="preserve"> Moreover, as many commentators have observed, </w:t>
      </w:r>
      <w:r w:rsidRPr="00EE7084">
        <w:rPr>
          <w:rStyle w:val="StyleUnderline"/>
        </w:rPr>
        <w:t>statutory construction today is plagued by inconsistent standards and ad hoc resolutions</w:t>
      </w:r>
      <w:r w:rsidRPr="00EE7084">
        <w:rPr>
          <w:sz w:val="16"/>
        </w:rPr>
        <w:t>.</w:t>
      </w:r>
      <w:r w:rsidRPr="00EE7084">
        <w:rPr>
          <w:rStyle w:val="StyleUnderline"/>
        </w:rPr>
        <w:t>35 Imposing a uniform, clearly-articulated rule of lenity could go a long way towards regularizing statutory construction.</w:t>
      </w:r>
      <w:r w:rsidRPr="00EE7084">
        <w:rPr>
          <w:sz w:val="16"/>
        </w:rPr>
        <w:t xml:space="preserve"> That, after all, was Chief Justice Marshall's goal when he introduced the rule of lenity into American jurisprudence nearly 200 years ago</w:t>
      </w:r>
    </w:p>
    <w:p w14:paraId="471569F5" w14:textId="77777777" w:rsidR="0047362D" w:rsidRPr="00EE7084" w:rsidRDefault="0047362D" w:rsidP="0047362D">
      <w:pPr>
        <w:rPr>
          <w:sz w:val="16"/>
        </w:rPr>
      </w:pPr>
      <w:r w:rsidRPr="00EE7084">
        <w:rPr>
          <w:sz w:val="16"/>
        </w:rPr>
        <w:t>It also bears emphasis that, in many of the disputes discussed in this part, the only theory of lenity that would work serious changes in criminal justice is the third possibility that I outlined in Part I, that is, the theory that mandates selection of the narrowest plausible reading established by reference to a variety of interpretive techniques. An orientation toward the plain text-my second version of lenity-may be more disciplined than the current ad hoc approach, but it will not guarantee a narrow reading when statutes include broad language, as in the open-ended "common law" provisions in (A); when a literal reading of the text could support expansive liability, as in some cases in (B); or when a sweeping catchall phrase follows a definitional list, as in (D). In such disputes, a more aggressive preference for lenity must be deployed to cut off the expansive possibilities of the text</w:t>
      </w:r>
    </w:p>
    <w:p w14:paraId="1B8EA8BC" w14:textId="77777777" w:rsidR="0047362D" w:rsidRPr="00EE7084" w:rsidRDefault="0047362D" w:rsidP="0047362D">
      <w:pPr>
        <w:rPr>
          <w:rStyle w:val="StyleUnderline"/>
        </w:rPr>
      </w:pPr>
      <w:r w:rsidRPr="00EE7084">
        <w:rPr>
          <w:sz w:val="16"/>
        </w:rPr>
        <w:t xml:space="preserve">As I noted earlier, there is some reason to believe that Justice Scalia's brand of textualism, if not </w:t>
      </w:r>
      <w:r w:rsidRPr="00EE7084">
        <w:rPr>
          <w:rStyle w:val="StyleUnderline"/>
        </w:rPr>
        <w:t>textualism</w:t>
      </w:r>
      <w:r w:rsidRPr="00EE7084">
        <w:rPr>
          <w:sz w:val="16"/>
        </w:rPr>
        <w:t xml:space="preserve"> in general, carries such a preference.3 " Scalia's </w:t>
      </w:r>
      <w:r w:rsidRPr="00EE7084">
        <w:rPr>
          <w:rStyle w:val="StyleUnderline"/>
        </w:rPr>
        <w:t>focus on the text's "ordinary" meaning often precludes expansive literal readings</w:t>
      </w:r>
      <w:r w:rsidRPr="00EE7084">
        <w:rPr>
          <w:sz w:val="16"/>
        </w:rPr>
        <w:t xml:space="preserve"> like those adopted in Moskal and Smith.36 1 In many cases, </w:t>
      </w:r>
      <w:r w:rsidRPr="00EE7084">
        <w:rPr>
          <w:rStyle w:val="StyleUnderline"/>
        </w:rPr>
        <w:t>his approach may appear indistinguishable from lenity</w:t>
      </w:r>
      <w:r w:rsidRPr="00EE7084">
        <w:rPr>
          <w:sz w:val="16"/>
        </w:rPr>
        <w:t xml:space="preserve">. Nevertheless, </w:t>
      </w:r>
      <w:r w:rsidRPr="00EE7084">
        <w:rPr>
          <w:rStyle w:val="StyleUnderline"/>
        </w:rPr>
        <w:t>if the goal is to promote narrow construction, it may be better to deemphasize the text and bring lenity to the fore.</w:t>
      </w:r>
      <w:r w:rsidRPr="00EE7084">
        <w:rPr>
          <w:sz w:val="16"/>
        </w:rPr>
        <w:t xml:space="preserve"> The "ordinary meaning" of the text-Scalia's core concept-is often debatable, and there may be cases where the textual view is more expansive than certain plausible alternatives.362 </w:t>
      </w:r>
      <w:r w:rsidRPr="00EE7084">
        <w:rPr>
          <w:rStyle w:val="StyleUnderline"/>
        </w:rPr>
        <w:t>Making lenity a primary value in statutory construction would ensure that there is always a bias toward narrow readings, not just when the plain text supports them.</w:t>
      </w:r>
    </w:p>
    <w:p w14:paraId="4AEBE7C6" w14:textId="77777777" w:rsidR="0047362D" w:rsidRPr="00EE7084" w:rsidRDefault="0047362D" w:rsidP="0047362D">
      <w:pPr>
        <w:rPr>
          <w:rStyle w:val="StyleUnderline"/>
        </w:rPr>
      </w:pPr>
      <w:r w:rsidRPr="00EE7084">
        <w:rPr>
          <w:rStyle w:val="StyleUnderline"/>
        </w:rPr>
        <w:t>The overbreadth of American criminal law is one of its most widely recognized problems</w:t>
      </w:r>
      <w:r w:rsidRPr="00EE7084">
        <w:rPr>
          <w:sz w:val="16"/>
        </w:rPr>
        <w:t xml:space="preserve">. In this Article, I have tried to show that </w:t>
      </w:r>
      <w:r w:rsidRPr="00EE7084">
        <w:rPr>
          <w:rStyle w:val="StyleUnderline"/>
        </w:rPr>
        <w:t>a toughened rule of lenity could be one of the problem's most congenial solutions</w:t>
      </w:r>
      <w:r w:rsidRPr="00EE7084">
        <w:rPr>
          <w:sz w:val="16"/>
        </w:rPr>
        <w:t xml:space="preserve">. Whereas the substantive due process review of crimes, the favored approach of many commentators, would raise the specter of counter-majoritarian judicial activism, </w:t>
      </w:r>
      <w:r w:rsidRPr="00EE7084">
        <w:rPr>
          <w:rStyle w:val="StyleUnderline"/>
        </w:rPr>
        <w:t>the rule of lenity could be understood as a device for strengthening criminal law's responsiveness to democratic preferences</w:t>
      </w:r>
      <w:r w:rsidRPr="00EE7084">
        <w:rPr>
          <w:sz w:val="16"/>
        </w:rPr>
        <w:t xml:space="preserve">. To be sure, limiting constructions may thwart legislative preferences in particular cases in the short run. Yet </w:t>
      </w:r>
      <w:r w:rsidRPr="00EE7084">
        <w:rPr>
          <w:rStyle w:val="StyleUnderline"/>
        </w:rPr>
        <w:t>correcting objectionable judicial rulings does not appear to involve much effort or distraction on the part of legislatures, and in the long run the elaboration of a more detailed criminal code could enhance the accountability of both legislators and prosecutors.</w:t>
      </w:r>
      <w:r w:rsidRPr="00EE7084">
        <w:rPr>
          <w:sz w:val="16"/>
        </w:rPr>
        <w:t xml:space="preserve"> </w:t>
      </w:r>
      <w:r w:rsidRPr="00EE7084">
        <w:rPr>
          <w:rStyle w:val="StyleUnderline"/>
        </w:rPr>
        <w:t>Legislatures would need to disclose the precise nature of the conduct they intended to criminalize, and prosecutors' charging decisions could be reviewed more easily based on the specific crime definitions that lenity would stimulate.</w:t>
      </w:r>
    </w:p>
    <w:p w14:paraId="2F333685" w14:textId="6A0D7277" w:rsidR="0047362D" w:rsidRPr="0047362D" w:rsidRDefault="0047362D" w:rsidP="0095149D">
      <w:pPr>
        <w:rPr>
          <w:sz w:val="16"/>
        </w:rPr>
      </w:pPr>
      <w:r w:rsidRPr="00EE7084">
        <w:rPr>
          <w:rStyle w:val="StyleUnderline"/>
        </w:rPr>
        <w:t>Rules of construction are inevitably about more than the meaning of words in a text.</w:t>
      </w:r>
      <w:r w:rsidRPr="00EE7084">
        <w:rPr>
          <w:sz w:val="16"/>
        </w:rPr>
        <w:t xml:space="preserve">3 63 </w:t>
      </w:r>
      <w:r w:rsidRPr="00EE7084">
        <w:rPr>
          <w:rStyle w:val="StyleUnderline"/>
        </w:rPr>
        <w:t>They set the parameters of inter-branch relations, effectuating background expectations about governmental structure and determining how much power legislatures may delegate</w:t>
      </w:r>
      <w:r w:rsidRPr="00EE7084">
        <w:rPr>
          <w:sz w:val="16"/>
        </w:rPr>
        <w:t xml:space="preserve">. </w:t>
      </w:r>
      <w:r w:rsidRPr="00EE7084">
        <w:rPr>
          <w:rStyle w:val="StyleUnderline"/>
        </w:rPr>
        <w:t>By requiring specificity</w:t>
      </w:r>
      <w:r w:rsidRPr="00EE7084">
        <w:rPr>
          <w:sz w:val="16"/>
        </w:rPr>
        <w:t xml:space="preserve"> in criminal statutes, </w:t>
      </w:r>
      <w:r w:rsidRPr="00EE7084">
        <w:rPr>
          <w:rStyle w:val="StyleUnderline"/>
        </w:rPr>
        <w:t>the rule of lenity enhances the accountability of both lawmaking and enforcement</w:t>
      </w:r>
      <w:r w:rsidRPr="00EE7084">
        <w:rPr>
          <w:sz w:val="16"/>
        </w:rPr>
        <w:t xml:space="preserve"> in criminal law-an area where the value of majoritarian moral legitimacy is paramount</w:t>
      </w:r>
      <w:r w:rsidRPr="00EE7084">
        <w:rPr>
          <w:rStyle w:val="StyleUnderline"/>
        </w:rPr>
        <w:t>. Courts should</w:t>
      </w:r>
      <w:r w:rsidRPr="00EE7084">
        <w:rPr>
          <w:sz w:val="16"/>
        </w:rPr>
        <w:t xml:space="preserve"> therefore </w:t>
      </w:r>
      <w:r w:rsidRPr="00EE7084">
        <w:rPr>
          <w:rStyle w:val="StyleUnderline"/>
        </w:rPr>
        <w:t>embrace and strengthen the strict construction of criminal statutes</w:t>
      </w:r>
      <w:r>
        <w:rPr>
          <w:sz w:val="16"/>
        </w:rPr>
        <w:t>.</w:t>
      </w:r>
    </w:p>
    <w:p w14:paraId="18BC718B" w14:textId="55158AE1" w:rsidR="009B74AC" w:rsidRDefault="009B74AC" w:rsidP="000D25BD">
      <w:pPr>
        <w:pStyle w:val="Heading3"/>
      </w:pPr>
      <w:r>
        <w:t>2AC – AT: Displacement Bad</w:t>
      </w:r>
    </w:p>
    <w:p w14:paraId="14B6E42F" w14:textId="66076FFA" w:rsidR="009B74AC" w:rsidRPr="009B74AC" w:rsidRDefault="009B74AC" w:rsidP="009B74AC">
      <w:pPr>
        <w:pStyle w:val="Heading4"/>
      </w:pPr>
      <w:r>
        <w:t xml:space="preserve">Displacement is </w:t>
      </w:r>
      <w:r>
        <w:rPr>
          <w:u w:val="single"/>
        </w:rPr>
        <w:t>simple</w:t>
      </w:r>
      <w:r>
        <w:t xml:space="preserve"> and </w:t>
      </w:r>
      <w:r>
        <w:rPr>
          <w:u w:val="single"/>
        </w:rPr>
        <w:t>revitalizes</w:t>
      </w:r>
      <w:r>
        <w:t xml:space="preserve"> non-delegation.</w:t>
      </w:r>
    </w:p>
    <w:p w14:paraId="475CA0C9" w14:textId="77777777" w:rsidR="009B74AC" w:rsidRPr="004F5BC8" w:rsidRDefault="009B74AC" w:rsidP="009B74AC">
      <w:r w:rsidRPr="004F5BC8">
        <w:rPr>
          <w:rStyle w:val="Style13ptBold"/>
        </w:rPr>
        <w:t>Greenfield 6.</w:t>
      </w:r>
      <w:r w:rsidRPr="004F5BC8">
        <w:t xml:space="preserve"> </w:t>
      </w:r>
      <w:r w:rsidRPr="004F5BC8">
        <w:rPr>
          <w:sz w:val="16"/>
          <w:szCs w:val="16"/>
        </w:rPr>
        <w:t xml:space="preserve">Dr. Elliot Greenfield; associate @ Debevoise &amp; Plimpton LLP, Ph.D. from UC Berkley, J.D. from NYU Law, and B.A. from Wesleyan University. (2006, "A Lenity Exception to Chevron Deference." Baylor Law Review, vol. 58, no. 1, 2006, p. 1-62. HeinOnline)//pacc </w:t>
      </w:r>
    </w:p>
    <w:p w14:paraId="47912453" w14:textId="77777777" w:rsidR="009B74AC" w:rsidRPr="004F5BC8" w:rsidRDefault="009B74AC" w:rsidP="009B74AC">
      <w:pPr>
        <w:rPr>
          <w:sz w:val="14"/>
        </w:rPr>
      </w:pPr>
      <w:r w:rsidRPr="004F5BC8">
        <w:rPr>
          <w:sz w:val="14"/>
        </w:rPr>
        <w:t xml:space="preserve">c. </w:t>
      </w:r>
      <w:r w:rsidRPr="004F5BC8">
        <w:rPr>
          <w:rStyle w:val="Emphasis"/>
        </w:rPr>
        <w:t>Displacement</w:t>
      </w:r>
    </w:p>
    <w:p w14:paraId="262B4DCF" w14:textId="77777777" w:rsidR="009B74AC" w:rsidRPr="004F5BC8" w:rsidRDefault="009B74AC" w:rsidP="009B74AC">
      <w:pPr>
        <w:rPr>
          <w:sz w:val="14"/>
        </w:rPr>
      </w:pPr>
      <w:r w:rsidRPr="004F5BC8">
        <w:rPr>
          <w:u w:val="single"/>
        </w:rPr>
        <w:t>Where courts have found substantive canons to trump Chevron, they have</w:t>
      </w:r>
      <w:r w:rsidRPr="004F5BC8">
        <w:rPr>
          <w:sz w:val="14"/>
        </w:rPr>
        <w:t xml:space="preserve"> generally </w:t>
      </w:r>
      <w:r w:rsidRPr="004F5BC8">
        <w:rPr>
          <w:u w:val="single"/>
        </w:rPr>
        <w:t>done so</w:t>
      </w:r>
      <w:r w:rsidRPr="004F5BC8">
        <w:rPr>
          <w:sz w:val="14"/>
        </w:rPr>
        <w:t xml:space="preserve"> not by incorporation of the canon into the Chevron framework, but rather </w:t>
      </w:r>
      <w:r w:rsidRPr="004F5BC8">
        <w:rPr>
          <w:u w:val="single"/>
        </w:rPr>
        <w:t xml:space="preserve">by holding that the canon </w:t>
      </w:r>
      <w:r w:rsidRPr="004F5BC8">
        <w:rPr>
          <w:b/>
          <w:bCs/>
          <w:u w:val="single"/>
        </w:rPr>
        <w:t>displaces Chevron</w:t>
      </w:r>
      <w:r w:rsidRPr="004F5BC8">
        <w:rPr>
          <w:sz w:val="14"/>
        </w:rPr>
        <w:t xml:space="preserve">.a29 </w:t>
      </w:r>
      <w:r w:rsidRPr="004F5BC8">
        <w:rPr>
          <w:u w:val="single"/>
        </w:rPr>
        <w:t>This was the</w:t>
      </w:r>
      <w:r w:rsidRPr="004F5BC8">
        <w:rPr>
          <w:sz w:val="14"/>
        </w:rPr>
        <w:t xml:space="preserve"> Supreme </w:t>
      </w:r>
      <w:r w:rsidRPr="004F5BC8">
        <w:rPr>
          <w:u w:val="single"/>
        </w:rPr>
        <w:t xml:space="preserve">Court's approach in </w:t>
      </w:r>
      <w:r w:rsidRPr="004F5BC8">
        <w:rPr>
          <w:rStyle w:val="Emphasis"/>
        </w:rPr>
        <w:t>DeBartolo</w:t>
      </w:r>
      <w:r w:rsidRPr="004F5BC8">
        <w:rPr>
          <w:sz w:val="14"/>
        </w:rPr>
        <w:t xml:space="preserve">.330 Displacing Chevron is functionally equivalent to applying a canon dispositively in Step One, but in </w:t>
      </w:r>
      <w:r w:rsidRPr="004F5BC8">
        <w:rPr>
          <w:u w:val="single"/>
        </w:rPr>
        <w:t>using</w:t>
      </w:r>
      <w:r w:rsidRPr="004F5BC8">
        <w:rPr>
          <w:sz w:val="14"/>
        </w:rPr>
        <w:t xml:space="preserve"> the language of </w:t>
      </w:r>
      <w:r w:rsidRPr="004F5BC8">
        <w:rPr>
          <w:u w:val="single"/>
        </w:rPr>
        <w:t>displacement it more clearly</w:t>
      </w:r>
      <w:r w:rsidRPr="004F5BC8">
        <w:rPr>
          <w:sz w:val="14"/>
        </w:rPr>
        <w:t xml:space="preserve"> implies a </w:t>
      </w:r>
      <w:r w:rsidRPr="004F5BC8">
        <w:rPr>
          <w:u w:val="single"/>
        </w:rPr>
        <w:t>limit</w:t>
      </w:r>
      <w:r w:rsidRPr="004F5BC8">
        <w:rPr>
          <w:sz w:val="14"/>
        </w:rPr>
        <w:t xml:space="preserve">ation on </w:t>
      </w:r>
      <w:r w:rsidRPr="004F5BC8">
        <w:rPr>
          <w:u w:val="single"/>
        </w:rPr>
        <w:t>the scope of Congress's ability to delegate authority to an agency</w:t>
      </w:r>
      <w:r w:rsidRPr="004F5BC8">
        <w:rPr>
          <w:sz w:val="14"/>
        </w:rPr>
        <w:t xml:space="preserve">.33' It also assigns to the canon a somewhat different role: instead of interpreting a clear statement rule primarily as a presumption regarding congressional intent, </w:t>
      </w:r>
      <w:r w:rsidRPr="004F5BC8">
        <w:rPr>
          <w:u w:val="single"/>
        </w:rPr>
        <w:t>the rule</w:t>
      </w:r>
      <w:r w:rsidRPr="004F5BC8">
        <w:rPr>
          <w:sz w:val="14"/>
        </w:rPr>
        <w:t xml:space="preserve"> is seen more as a mechanism that </w:t>
      </w:r>
      <w:r w:rsidRPr="004F5BC8">
        <w:rPr>
          <w:u w:val="single"/>
        </w:rPr>
        <w:t>forces Congress</w:t>
      </w:r>
      <w:r w:rsidRPr="004F5BC8">
        <w:rPr>
          <w:sz w:val="14"/>
        </w:rPr>
        <w:t xml:space="preserve"> itself </w:t>
      </w:r>
      <w:r w:rsidRPr="004F5BC8">
        <w:rPr>
          <w:u w:val="single"/>
        </w:rPr>
        <w:t>to deliberate on the particular question at issue</w:t>
      </w:r>
      <w:r w:rsidRPr="004F5BC8">
        <w:rPr>
          <w:sz w:val="14"/>
        </w:rPr>
        <w:t xml:space="preserve">.332 Whereas Mead limits Chevron to cases where it is most likely that Congress did in fact intend delegation, canonical limitations would prohibit Congress from delegating regardless of its intention.333 As the Court has written, "[T]he requirement of clear statement assures that the legislature has in fact faced, and intended to bring into issue, the critical matters involved in the judicial decision." 334 Clear statement requirements thus cannot be avoided through delegation. </w:t>
      </w:r>
      <w:r w:rsidRPr="004F5BC8">
        <w:rPr>
          <w:u w:val="single"/>
        </w:rPr>
        <w:t>Professor Sunstein</w:t>
      </w:r>
      <w:r w:rsidRPr="004F5BC8">
        <w:rPr>
          <w:sz w:val="14"/>
        </w:rPr>
        <w:t xml:space="preserve"> has gone so far as to </w:t>
      </w:r>
      <w:r w:rsidRPr="004F5BC8">
        <w:rPr>
          <w:u w:val="single"/>
        </w:rPr>
        <w:t>declare</w:t>
      </w:r>
      <w:r w:rsidRPr="004F5BC8">
        <w:rPr>
          <w:sz w:val="14"/>
        </w:rPr>
        <w:t xml:space="preserve"> that </w:t>
      </w:r>
      <w:r w:rsidRPr="004F5BC8">
        <w:rPr>
          <w:u w:val="single"/>
        </w:rPr>
        <w:t>the use of clear statement canons in limiting Chevron amounts to</w:t>
      </w:r>
      <w:r w:rsidRPr="004F5BC8">
        <w:rPr>
          <w:sz w:val="14"/>
        </w:rPr>
        <w:t xml:space="preserve"> a modem </w:t>
      </w:r>
      <w:r w:rsidRPr="004F5BC8">
        <w:rPr>
          <w:rStyle w:val="Emphasis"/>
        </w:rPr>
        <w:t>nondelegation</w:t>
      </w:r>
      <w:r w:rsidRPr="004F5BC8">
        <w:rPr>
          <w:sz w:val="14"/>
        </w:rPr>
        <w:t xml:space="preserve"> doctrine.335</w:t>
      </w:r>
    </w:p>
    <w:p w14:paraId="6654C6E1" w14:textId="77777777" w:rsidR="009B74AC" w:rsidRPr="004F5BC8" w:rsidRDefault="009B74AC" w:rsidP="009B74AC">
      <w:pPr>
        <w:rPr>
          <w:sz w:val="14"/>
        </w:rPr>
      </w:pPr>
      <w:r w:rsidRPr="004F5BC8">
        <w:rPr>
          <w:u w:val="single"/>
        </w:rPr>
        <w:t>Professors</w:t>
      </w:r>
      <w:r w:rsidRPr="004F5BC8">
        <w:rPr>
          <w:sz w:val="14"/>
        </w:rPr>
        <w:t xml:space="preserve"> Merrill and Hickman have </w:t>
      </w:r>
      <w:r w:rsidRPr="004F5BC8">
        <w:rPr>
          <w:u w:val="single"/>
        </w:rPr>
        <w:t>argued that</w:t>
      </w:r>
      <w:r w:rsidRPr="004F5BC8">
        <w:rPr>
          <w:sz w:val="14"/>
        </w:rPr>
        <w:t xml:space="preserve">, since the </w:t>
      </w:r>
      <w:r w:rsidRPr="004F5BC8">
        <w:rPr>
          <w:u w:val="single"/>
        </w:rPr>
        <w:t>Chevron</w:t>
      </w:r>
      <w:r w:rsidRPr="004F5BC8">
        <w:rPr>
          <w:sz w:val="14"/>
        </w:rPr>
        <w:t xml:space="preserve"> doctrine is grounded in congressional intent, it </w:t>
      </w:r>
      <w:r w:rsidRPr="004F5BC8">
        <w:rPr>
          <w:u w:val="single"/>
        </w:rPr>
        <w:t>cannot be displaced by a judicially-created canon</w:t>
      </w:r>
      <w:r w:rsidRPr="004F5BC8">
        <w:rPr>
          <w:sz w:val="14"/>
        </w:rPr>
        <w:t xml:space="preserve">: "[I]f Chevron rests upon a presumption about congressional intent, then the Chevron doctrine has the full force and effect of a federal statute. All norms and canons grounded in common law must give way to the Chevron doctrine., 336 </w:t>
      </w:r>
      <w:r w:rsidRPr="004F5BC8">
        <w:rPr>
          <w:u w:val="single"/>
        </w:rPr>
        <w:t>This assertion overstates the legal status of</w:t>
      </w:r>
      <w:r w:rsidRPr="004F5BC8">
        <w:rPr>
          <w:sz w:val="14"/>
        </w:rPr>
        <w:t xml:space="preserve"> the </w:t>
      </w:r>
      <w:r w:rsidRPr="004F5BC8">
        <w:rPr>
          <w:u w:val="single"/>
        </w:rPr>
        <w:t>Chevron</w:t>
      </w:r>
      <w:r w:rsidRPr="004F5BC8">
        <w:rPr>
          <w:sz w:val="14"/>
        </w:rPr>
        <w:t xml:space="preserve"> doctrine </w:t>
      </w:r>
      <w:r w:rsidRPr="004F5BC8">
        <w:rPr>
          <w:u w:val="single"/>
        </w:rPr>
        <w:t>and is contradicted by the Court's jurisprudence</w:t>
      </w:r>
      <w:r w:rsidRPr="004F5BC8">
        <w:rPr>
          <w:sz w:val="14"/>
        </w:rPr>
        <w:t xml:space="preserve">. But, </w:t>
      </w:r>
      <w:r w:rsidRPr="004F5BC8">
        <w:rPr>
          <w:u w:val="single"/>
        </w:rPr>
        <w:t xml:space="preserve">even if it were true, the nondelegation </w:t>
      </w:r>
      <w:r w:rsidRPr="004F5BC8">
        <w:rPr>
          <w:sz w:val="14"/>
        </w:rPr>
        <w:t xml:space="preserve">approach, a manifestation of the constitutional principle of </w:t>
      </w:r>
      <w:r w:rsidRPr="004F5BC8">
        <w:rPr>
          <w:u w:val="single"/>
        </w:rPr>
        <w:t>separation of powers, would eliminate this problem</w:t>
      </w:r>
      <w:r w:rsidRPr="004F5BC8">
        <w:rPr>
          <w:sz w:val="14"/>
        </w:rPr>
        <w:t>. 337</w:t>
      </w:r>
    </w:p>
    <w:p w14:paraId="5D5E86EB" w14:textId="77777777" w:rsidR="009B74AC" w:rsidRPr="004F5BC8" w:rsidRDefault="009B74AC" w:rsidP="009B74AC">
      <w:pPr>
        <w:rPr>
          <w:sz w:val="14"/>
        </w:rPr>
      </w:pPr>
      <w:r w:rsidRPr="004F5BC8">
        <w:rPr>
          <w:u w:val="single"/>
        </w:rPr>
        <w:t>The rule of lenity is a prime example of a nondelegation canon</w:t>
      </w:r>
      <w:r w:rsidRPr="004F5BC8">
        <w:rPr>
          <w:sz w:val="14"/>
        </w:rPr>
        <w:t>. Although adequate notice to the public might be achieved through the publication of agency regulations, the legislative supremacy rationale demands that Congress itself, as the most politically-accountable branch, deliberate on and decide questions of criminality. As Professor Sunstein has explained:</w:t>
      </w:r>
    </w:p>
    <w:p w14:paraId="0E6AD5C4" w14:textId="77777777" w:rsidR="009B74AC" w:rsidRPr="004F5BC8" w:rsidRDefault="009B74AC" w:rsidP="009B74AC">
      <w:pPr>
        <w:ind w:left="720"/>
        <w:rPr>
          <w:sz w:val="14"/>
        </w:rPr>
      </w:pPr>
      <w:r w:rsidRPr="004F5BC8">
        <w:rPr>
          <w:sz w:val="14"/>
        </w:rPr>
        <w:t xml:space="preserve">One function of the lenity principle is to ensure against delegations. </w:t>
      </w:r>
      <w:r w:rsidRPr="004F5BC8">
        <w:rPr>
          <w:u w:val="single"/>
        </w:rPr>
        <w:t xml:space="preserve">Criminal law must be a product of a </w:t>
      </w:r>
      <w:r w:rsidRPr="004F5BC8">
        <w:rPr>
          <w:rStyle w:val="Emphasis"/>
        </w:rPr>
        <w:t>clear judgment</w:t>
      </w:r>
      <w:r w:rsidRPr="004F5BC8">
        <w:rPr>
          <w:sz w:val="14"/>
        </w:rPr>
        <w:t xml:space="preserve"> on Congress's part. Where no clear judgment has been made, the statute will not apply merely because it is plausibly interpreted, by courts or enforcement authorities, to fit the case at hand. </w:t>
      </w:r>
      <w:r w:rsidRPr="004F5BC8">
        <w:rPr>
          <w:u w:val="single"/>
        </w:rPr>
        <w:t>The rule of lenity is inspired by</w:t>
      </w:r>
      <w:r w:rsidRPr="004F5BC8">
        <w:rPr>
          <w:sz w:val="14"/>
        </w:rPr>
        <w:t xml:space="preserve"> the </w:t>
      </w:r>
      <w:r w:rsidRPr="004F5BC8">
        <w:rPr>
          <w:rStyle w:val="Emphasis"/>
        </w:rPr>
        <w:t>due process</w:t>
      </w:r>
      <w:r w:rsidRPr="004F5BC8">
        <w:rPr>
          <w:u w:val="single"/>
        </w:rPr>
        <w:t xml:space="preserve"> constraint on conviction pursuant to openended </w:t>
      </w:r>
      <w:r w:rsidRPr="004F5BC8">
        <w:rPr>
          <w:sz w:val="14"/>
        </w:rPr>
        <w:t xml:space="preserve">or vague </w:t>
      </w:r>
      <w:r w:rsidRPr="004F5BC8">
        <w:rPr>
          <w:u w:val="single"/>
        </w:rPr>
        <w:t>statutes</w:t>
      </w:r>
      <w:r w:rsidRPr="004F5BC8">
        <w:rPr>
          <w:sz w:val="14"/>
        </w:rPr>
        <w:t xml:space="preserve">. While it is not itself a constitutional mandate, </w:t>
      </w:r>
      <w:r w:rsidRPr="004F5BC8">
        <w:rPr>
          <w:u w:val="single"/>
        </w:rPr>
        <w:t xml:space="preserve">it is </w:t>
      </w:r>
      <w:r w:rsidRPr="004F5BC8">
        <w:rPr>
          <w:rStyle w:val="Emphasis"/>
        </w:rPr>
        <w:t>rooted</w:t>
      </w:r>
      <w:r w:rsidRPr="004F5BC8">
        <w:rPr>
          <w:u w:val="single"/>
        </w:rPr>
        <w:t xml:space="preserve"> in a </w:t>
      </w:r>
      <w:r w:rsidRPr="004F5BC8">
        <w:rPr>
          <w:rStyle w:val="Emphasis"/>
        </w:rPr>
        <w:t>constitutional principle</w:t>
      </w:r>
      <w:r w:rsidRPr="004F5BC8">
        <w:rPr>
          <w:sz w:val="14"/>
        </w:rPr>
        <w:t>, and serves as a time-honored nondelegation canon.338</w:t>
      </w:r>
    </w:p>
    <w:p w14:paraId="3397855D" w14:textId="77777777" w:rsidR="009B74AC" w:rsidRPr="004F5BC8" w:rsidRDefault="009B74AC" w:rsidP="009B74AC">
      <w:pPr>
        <w:rPr>
          <w:sz w:val="14"/>
        </w:rPr>
      </w:pPr>
      <w:r w:rsidRPr="004F5BC8">
        <w:rPr>
          <w:sz w:val="14"/>
        </w:rPr>
        <w:t xml:space="preserve">As discussed earlier, </w:t>
      </w:r>
      <w:r w:rsidRPr="004F5BC8">
        <w:rPr>
          <w:u w:val="single"/>
        </w:rPr>
        <w:t>the</w:t>
      </w:r>
      <w:r w:rsidRPr="004F5BC8">
        <w:rPr>
          <w:sz w:val="14"/>
        </w:rPr>
        <w:t xml:space="preserve"> main nondelegation </w:t>
      </w:r>
      <w:r w:rsidRPr="004F5BC8">
        <w:rPr>
          <w:u w:val="single"/>
        </w:rPr>
        <w:t>purpose</w:t>
      </w:r>
      <w:r w:rsidRPr="004F5BC8">
        <w:rPr>
          <w:sz w:val="14"/>
        </w:rPr>
        <w:t xml:space="preserve"> originally </w:t>
      </w:r>
      <w:r w:rsidRPr="004F5BC8">
        <w:rPr>
          <w:u w:val="single"/>
        </w:rPr>
        <w:t>served by</w:t>
      </w:r>
      <w:r w:rsidRPr="004F5BC8">
        <w:rPr>
          <w:sz w:val="14"/>
        </w:rPr>
        <w:t xml:space="preserve"> the rule of </w:t>
      </w:r>
      <w:r w:rsidRPr="004F5BC8">
        <w:rPr>
          <w:u w:val="single"/>
        </w:rPr>
        <w:t xml:space="preserve">lenity was to </w:t>
      </w:r>
      <w:r w:rsidRPr="004F5BC8">
        <w:rPr>
          <w:rStyle w:val="Emphasis"/>
        </w:rPr>
        <w:t>bar</w:t>
      </w:r>
      <w:r w:rsidRPr="004F5BC8">
        <w:rPr>
          <w:u w:val="single"/>
        </w:rPr>
        <w:t xml:space="preserve"> the </w:t>
      </w:r>
      <w:r w:rsidRPr="004F5BC8">
        <w:rPr>
          <w:rStyle w:val="Emphasis"/>
        </w:rPr>
        <w:t>broad reading</w:t>
      </w:r>
      <w:r w:rsidRPr="004F5BC8">
        <w:rPr>
          <w:u w:val="single"/>
        </w:rPr>
        <w:t xml:space="preserve"> of ambiguous criminal statutes</w:t>
      </w:r>
      <w:r w:rsidRPr="004F5BC8">
        <w:rPr>
          <w:sz w:val="14"/>
        </w:rPr>
        <w:t xml:space="preserve"> </w:t>
      </w:r>
      <w:r w:rsidRPr="004F5BC8">
        <w:rPr>
          <w:u w:val="single"/>
        </w:rPr>
        <w:t>by</w:t>
      </w:r>
      <w:r w:rsidRPr="004F5BC8">
        <w:rPr>
          <w:sz w:val="14"/>
        </w:rPr>
        <w:t xml:space="preserve"> courts, but the same argument applies to administrative </w:t>
      </w:r>
      <w:r w:rsidRPr="004F5BC8">
        <w:rPr>
          <w:u w:val="single"/>
        </w:rPr>
        <w:t>agencies</w:t>
      </w:r>
      <w:r w:rsidRPr="004F5BC8">
        <w:rPr>
          <w:sz w:val="14"/>
        </w:rPr>
        <w:t>, despite their indirect political accountability.339</w:t>
      </w:r>
    </w:p>
    <w:p w14:paraId="56E40D5C" w14:textId="77777777" w:rsidR="009B74AC" w:rsidRPr="004F5BC8" w:rsidRDefault="009B74AC" w:rsidP="009B74AC">
      <w:pPr>
        <w:rPr>
          <w:sz w:val="14"/>
          <w:szCs w:val="14"/>
        </w:rPr>
      </w:pPr>
      <w:r w:rsidRPr="004F5BC8">
        <w:rPr>
          <w:u w:val="single"/>
        </w:rPr>
        <w:t>In McGoff</w:t>
      </w:r>
      <w:r w:rsidRPr="004F5BC8">
        <w:rPr>
          <w:sz w:val="14"/>
          <w:szCs w:val="14"/>
        </w:rPr>
        <w:t>, the D.C. Circuit emphasized nondelegation in its holding that Chevron should not apply to criminal statutes:</w:t>
      </w:r>
    </w:p>
    <w:p w14:paraId="05E174B1" w14:textId="77777777" w:rsidR="009B74AC" w:rsidRPr="004F5BC8" w:rsidRDefault="009B74AC" w:rsidP="009B74AC">
      <w:pPr>
        <w:ind w:left="720"/>
        <w:rPr>
          <w:sz w:val="14"/>
          <w:szCs w:val="14"/>
        </w:rPr>
      </w:pPr>
      <w:r w:rsidRPr="004F5BC8">
        <w:rPr>
          <w:sz w:val="14"/>
          <w:szCs w:val="14"/>
        </w:rPr>
        <w:t>[W]hile courts recognize the inevitability and, in certain contexts, the desirability of legislation that leaves some details to be resolved as the statute is applied, there are limits. Those limits are most graphic in cases involving criminal sanctions. This is elementary to our law.340</w:t>
      </w:r>
    </w:p>
    <w:p w14:paraId="181C6762" w14:textId="678B4CD5" w:rsidR="009B74AC" w:rsidRPr="009B74AC" w:rsidRDefault="009B74AC" w:rsidP="009B74AC">
      <w:pPr>
        <w:rPr>
          <w:sz w:val="14"/>
        </w:rPr>
      </w:pPr>
      <w:r w:rsidRPr="004F5BC8">
        <w:rPr>
          <w:u w:val="single"/>
        </w:rPr>
        <w:t>The court reasoned</w:t>
      </w:r>
      <w:r w:rsidRPr="004F5BC8">
        <w:rPr>
          <w:sz w:val="14"/>
        </w:rPr>
        <w:t xml:space="preserve"> that the rationales underlying </w:t>
      </w:r>
      <w:r w:rsidRPr="004F5BC8">
        <w:rPr>
          <w:u w:val="single"/>
        </w:rPr>
        <w:t>the rule of lenity</w:t>
      </w:r>
      <w:r w:rsidRPr="004F5BC8">
        <w:rPr>
          <w:sz w:val="14"/>
        </w:rPr>
        <w:t xml:space="preserve"> create a </w:t>
      </w:r>
      <w:r w:rsidRPr="004F5BC8">
        <w:rPr>
          <w:rStyle w:val="Emphasis"/>
        </w:rPr>
        <w:t>limit</w:t>
      </w:r>
      <w:r w:rsidRPr="004F5BC8">
        <w:rPr>
          <w:sz w:val="14"/>
        </w:rPr>
        <w:t xml:space="preserve">ation on </w:t>
      </w:r>
      <w:r w:rsidRPr="004F5BC8">
        <w:rPr>
          <w:u w:val="single"/>
        </w:rPr>
        <w:t>Congress's ability to delegate interpretive authority to an agency when criminal sanctions are at issue</w:t>
      </w:r>
      <w:r w:rsidRPr="004F5BC8">
        <w:rPr>
          <w:sz w:val="14"/>
        </w:rPr>
        <w:t>.341</w:t>
      </w:r>
    </w:p>
    <w:p w14:paraId="24EDA0C9" w14:textId="140DC360" w:rsidR="009B74AC" w:rsidRDefault="009B74AC" w:rsidP="000D25BD">
      <w:pPr>
        <w:pStyle w:val="Heading3"/>
      </w:pPr>
      <w:r>
        <w:t>2AC – AT: Clear Statement Rule Bad</w:t>
      </w:r>
    </w:p>
    <w:p w14:paraId="5C709915" w14:textId="0CCB7E31" w:rsidR="009B74AC" w:rsidRPr="009B74AC" w:rsidRDefault="009B74AC" w:rsidP="009B74AC">
      <w:pPr>
        <w:pStyle w:val="Heading4"/>
      </w:pPr>
      <w:r>
        <w:t xml:space="preserve">A </w:t>
      </w:r>
      <w:r>
        <w:rPr>
          <w:u w:val="single"/>
        </w:rPr>
        <w:t>clear statement rule</w:t>
      </w:r>
      <w:r>
        <w:t xml:space="preserve"> restores SOP. </w:t>
      </w:r>
    </w:p>
    <w:p w14:paraId="66ADAF97" w14:textId="77777777" w:rsidR="009B74AC" w:rsidRPr="00374364" w:rsidRDefault="009B74AC" w:rsidP="009B74AC">
      <w:r w:rsidRPr="00374364">
        <w:rPr>
          <w:rStyle w:val="Style13ptBold"/>
        </w:rPr>
        <w:t>Greenfield 6.</w:t>
      </w:r>
      <w:r w:rsidRPr="00374364">
        <w:t xml:space="preserve"> </w:t>
      </w:r>
      <w:r w:rsidRPr="00374364">
        <w:rPr>
          <w:sz w:val="16"/>
          <w:szCs w:val="16"/>
        </w:rPr>
        <w:t xml:space="preserve">Dr. Elliot Greenfield; associate @ Debevoise &amp; Plimpton LLP, Ph.D. from UC Berkley, J.D. from NYU Law, and B.A. from Wesleyan University. (2006, "A Lenity Exception to Chevron Deference." Baylor Law Review, vol. 58, no. 1, 2006, p. 1-62. HeinOnline)//pacc </w:t>
      </w:r>
    </w:p>
    <w:p w14:paraId="30362273" w14:textId="77777777" w:rsidR="009B74AC" w:rsidRPr="00374364" w:rsidRDefault="009B74AC" w:rsidP="009B74AC">
      <w:pPr>
        <w:rPr>
          <w:sz w:val="14"/>
          <w:szCs w:val="14"/>
        </w:rPr>
      </w:pPr>
      <w:r w:rsidRPr="00374364">
        <w:rPr>
          <w:sz w:val="14"/>
          <w:szCs w:val="14"/>
        </w:rPr>
        <w:t>a. Lenity in Step One</w:t>
      </w:r>
    </w:p>
    <w:p w14:paraId="27D47384" w14:textId="77777777" w:rsidR="009B74AC" w:rsidRPr="00374364" w:rsidRDefault="009B74AC" w:rsidP="009B74AC">
      <w:pPr>
        <w:rPr>
          <w:sz w:val="14"/>
        </w:rPr>
      </w:pPr>
      <w:r w:rsidRPr="00374364">
        <w:rPr>
          <w:sz w:val="14"/>
        </w:rPr>
        <w:t xml:space="preserve">One possible resolution of the conflict between Chevron and lenity would be to </w:t>
      </w:r>
      <w:r w:rsidRPr="00456038">
        <w:rPr>
          <w:highlight w:val="cyan"/>
          <w:u w:val="single"/>
        </w:rPr>
        <w:t>apply lenity</w:t>
      </w:r>
      <w:r w:rsidRPr="00374364">
        <w:rPr>
          <w:sz w:val="14"/>
        </w:rPr>
        <w:t xml:space="preserve">, when relevant, </w:t>
      </w:r>
      <w:r w:rsidRPr="00456038">
        <w:rPr>
          <w:highlight w:val="cyan"/>
          <w:u w:val="single"/>
        </w:rPr>
        <w:t xml:space="preserve">in </w:t>
      </w:r>
      <w:r w:rsidRPr="00456038">
        <w:rPr>
          <w:b/>
          <w:bCs/>
          <w:highlight w:val="cyan"/>
          <w:u w:val="single"/>
        </w:rPr>
        <w:t>Step One</w:t>
      </w:r>
      <w:r w:rsidRPr="00456038">
        <w:rPr>
          <w:highlight w:val="cyan"/>
          <w:u w:val="single"/>
        </w:rPr>
        <w:t xml:space="preserve"> of Chevron</w:t>
      </w:r>
      <w:r w:rsidRPr="00374364">
        <w:rPr>
          <w:sz w:val="14"/>
        </w:rPr>
        <w:t xml:space="preserve">. In virtually all cases, the use of lenity in Step One </w:t>
      </w:r>
      <w:r w:rsidRPr="00374364">
        <w:rPr>
          <w:u w:val="single"/>
        </w:rPr>
        <w:t xml:space="preserve">would </w:t>
      </w:r>
      <w:r w:rsidRPr="00456038">
        <w:rPr>
          <w:highlight w:val="cyan"/>
          <w:u w:val="single"/>
        </w:rPr>
        <w:t>mean</w:t>
      </w:r>
      <w:r w:rsidRPr="00374364">
        <w:rPr>
          <w:u w:val="single"/>
        </w:rPr>
        <w:t xml:space="preserve"> that </w:t>
      </w:r>
      <w:r w:rsidRPr="00456038">
        <w:rPr>
          <w:b/>
          <w:bCs/>
          <w:highlight w:val="cyan"/>
          <w:u w:val="single"/>
        </w:rPr>
        <w:t>lenity trumps Chevron</w:t>
      </w:r>
      <w:r w:rsidRPr="00374364">
        <w:rPr>
          <w:sz w:val="14"/>
          <w:szCs w:val="14"/>
        </w:rPr>
        <w:t xml:space="preserve"> be</w:t>
      </w:r>
      <w:r w:rsidRPr="00456038">
        <w:rPr>
          <w:highlight w:val="cyan"/>
          <w:u w:val="single"/>
        </w:rPr>
        <w:t>cause it</w:t>
      </w:r>
      <w:r w:rsidRPr="00374364">
        <w:rPr>
          <w:u w:val="single"/>
        </w:rPr>
        <w:t xml:space="preserve"> would </w:t>
      </w:r>
      <w:r w:rsidRPr="00456038">
        <w:rPr>
          <w:highlight w:val="cyan"/>
          <w:u w:val="single"/>
        </w:rPr>
        <w:t>eliminate</w:t>
      </w:r>
      <w:r w:rsidRPr="00374364">
        <w:rPr>
          <w:u w:val="single"/>
        </w:rPr>
        <w:t xml:space="preserve"> the </w:t>
      </w:r>
      <w:r w:rsidRPr="00456038">
        <w:rPr>
          <w:highlight w:val="cyan"/>
          <w:u w:val="single"/>
        </w:rPr>
        <w:t>ambiguity</w:t>
      </w:r>
      <w:r w:rsidRPr="00374364">
        <w:rPr>
          <w:sz w:val="14"/>
        </w:rPr>
        <w:t>.</w:t>
      </w:r>
    </w:p>
    <w:p w14:paraId="1C604B59" w14:textId="77777777" w:rsidR="009B74AC" w:rsidRPr="00374364" w:rsidRDefault="009B74AC" w:rsidP="009B74AC">
      <w:pPr>
        <w:rPr>
          <w:sz w:val="14"/>
          <w:szCs w:val="14"/>
        </w:rPr>
      </w:pPr>
      <w:r w:rsidRPr="00374364">
        <w:rPr>
          <w:sz w:val="14"/>
          <w:szCs w:val="14"/>
        </w:rPr>
        <w:t>In a footnote in Chevron, the Court explained that in determining whether Congress's intent is clear regarding the question at issue, courts may employ "traditional tools of statutory construction., 298 Unfortunately, the Court did not state explicitly which tools are included in this category, but it appears that at a minimum these tools include the textual canons and at least some extrinsic source canons, such as dictionaries and legislative history. The extent to which substantive canons are to be used at this stage remains unclear. Justice Scalia has stated that he believes the traditional tools "include not merely text and legislative history but also, quite specifically, the consideration of policy consequences., 299 Similarly, the Court stated in Dole v. United Steelworkers of America, "Our starting point is the language of the statute, but in expounding a statute, we are not guided by a single sentence or member of a sentence, but look to the provisions of the whole law, and to its object and policy. 300</w:t>
      </w:r>
    </w:p>
    <w:p w14:paraId="3537583E" w14:textId="77777777" w:rsidR="009B74AC" w:rsidRPr="00374364" w:rsidRDefault="009B74AC" w:rsidP="009B74AC">
      <w:pPr>
        <w:rPr>
          <w:sz w:val="14"/>
        </w:rPr>
      </w:pPr>
      <w:r w:rsidRPr="00374364">
        <w:rPr>
          <w:sz w:val="14"/>
        </w:rPr>
        <w:t xml:space="preserve">A reasoned approach to this question would be to use those tools of construction that help to determine the intent of Congress. </w:t>
      </w:r>
      <w:r w:rsidRPr="00456038">
        <w:rPr>
          <w:highlight w:val="cyan"/>
          <w:u w:val="single"/>
        </w:rPr>
        <w:t>Canons</w:t>
      </w:r>
      <w:r w:rsidRPr="00374364">
        <w:rPr>
          <w:u w:val="single"/>
        </w:rPr>
        <w:t xml:space="preserve"> of construction</w:t>
      </w:r>
      <w:r w:rsidRPr="00374364">
        <w:rPr>
          <w:sz w:val="14"/>
        </w:rPr>
        <w:t xml:space="preserve"> that </w:t>
      </w:r>
      <w:r w:rsidRPr="00456038">
        <w:rPr>
          <w:highlight w:val="cyan"/>
          <w:u w:val="single"/>
        </w:rPr>
        <w:t>allow inferences about congressional intent</w:t>
      </w:r>
      <w:r w:rsidRPr="00374364">
        <w:rPr>
          <w:sz w:val="14"/>
        </w:rPr>
        <w:t xml:space="preserve"> serve the court's purpose in Step One, </w:t>
      </w:r>
      <w:r w:rsidRPr="00374364">
        <w:rPr>
          <w:u w:val="single"/>
        </w:rPr>
        <w:t>and</w:t>
      </w:r>
      <w:r w:rsidRPr="00374364">
        <w:rPr>
          <w:sz w:val="14"/>
        </w:rPr>
        <w:t xml:space="preserve"> hence their use </w:t>
      </w:r>
      <w:r w:rsidRPr="00374364">
        <w:rPr>
          <w:u w:val="single"/>
        </w:rPr>
        <w:t xml:space="preserve">is </w:t>
      </w:r>
      <w:r w:rsidRPr="00374364">
        <w:rPr>
          <w:rStyle w:val="Emphasis"/>
        </w:rPr>
        <w:t>consistent</w:t>
      </w:r>
      <w:r w:rsidRPr="00374364">
        <w:rPr>
          <w:u w:val="single"/>
        </w:rPr>
        <w:t xml:space="preserve"> with the Chevron framework</w:t>
      </w:r>
      <w:r w:rsidRPr="00374364">
        <w:rPr>
          <w:sz w:val="14"/>
        </w:rPr>
        <w:t xml:space="preserve">. </w:t>
      </w:r>
      <w:r w:rsidRPr="00456038">
        <w:rPr>
          <w:highlight w:val="cyan"/>
          <w:u w:val="single"/>
        </w:rPr>
        <w:t>The</w:t>
      </w:r>
      <w:r w:rsidRPr="00374364">
        <w:rPr>
          <w:sz w:val="14"/>
        </w:rPr>
        <w:t xml:space="preserve"> Supreme </w:t>
      </w:r>
      <w:r w:rsidRPr="00456038">
        <w:rPr>
          <w:highlight w:val="cyan"/>
          <w:u w:val="single"/>
        </w:rPr>
        <w:t>Court</w:t>
      </w:r>
      <w:r w:rsidRPr="00374364">
        <w:rPr>
          <w:u w:val="single"/>
        </w:rPr>
        <w:t xml:space="preserve"> </w:t>
      </w:r>
      <w:r w:rsidRPr="00456038">
        <w:rPr>
          <w:highlight w:val="cyan"/>
          <w:u w:val="single"/>
        </w:rPr>
        <w:t>suggests this</w:t>
      </w:r>
      <w:r w:rsidRPr="00374364">
        <w:rPr>
          <w:sz w:val="14"/>
        </w:rPr>
        <w:t xml:space="preserve"> approach </w:t>
      </w:r>
      <w:r w:rsidRPr="00456038">
        <w:rPr>
          <w:highlight w:val="cyan"/>
          <w:u w:val="single"/>
        </w:rPr>
        <w:t>in</w:t>
      </w:r>
      <w:r w:rsidRPr="00374364">
        <w:rPr>
          <w:u w:val="single"/>
        </w:rPr>
        <w:t xml:space="preserve"> the </w:t>
      </w:r>
      <w:r w:rsidRPr="00456038">
        <w:rPr>
          <w:rStyle w:val="Emphasis"/>
          <w:highlight w:val="cyan"/>
        </w:rPr>
        <w:t>Chevron decision</w:t>
      </w:r>
      <w:r w:rsidRPr="00374364">
        <w:rPr>
          <w:sz w:val="14"/>
        </w:rPr>
        <w:t xml:space="preserve"> itself: "If a court, employing traditional tools of statutory construction, ascertains that Congress had an intention on the precise question at issue, that intention is the law and must be given effect.",30' This statement can reasonably be read to imply </w:t>
      </w:r>
      <w:r w:rsidRPr="00374364">
        <w:rPr>
          <w:u w:val="single"/>
        </w:rPr>
        <w:t>that</w:t>
      </w:r>
      <w:r w:rsidRPr="00374364">
        <w:rPr>
          <w:sz w:val="14"/>
        </w:rPr>
        <w:t xml:space="preserve"> the "</w:t>
      </w:r>
      <w:r w:rsidRPr="00374364">
        <w:rPr>
          <w:u w:val="single"/>
        </w:rPr>
        <w:t>traditional tools</w:t>
      </w:r>
      <w:r w:rsidRPr="00374364">
        <w:rPr>
          <w:sz w:val="14"/>
        </w:rPr>
        <w:t xml:space="preserve">" to be </w:t>
      </w:r>
      <w:r w:rsidRPr="00374364">
        <w:rPr>
          <w:u w:val="single"/>
        </w:rPr>
        <w:t>applied in Step One are</w:t>
      </w:r>
      <w:r w:rsidRPr="00374364">
        <w:rPr>
          <w:sz w:val="14"/>
        </w:rPr>
        <w:t xml:space="preserve"> those </w:t>
      </w:r>
      <w:r w:rsidRPr="00374364">
        <w:rPr>
          <w:u w:val="single"/>
        </w:rPr>
        <w:t>relevant to ascertaining congressional intent</w:t>
      </w:r>
      <w:r w:rsidRPr="00374364">
        <w:rPr>
          <w:sz w:val="14"/>
        </w:rPr>
        <w:t xml:space="preserve">. The Court's statement in </w:t>
      </w:r>
      <w:r w:rsidRPr="00456038">
        <w:rPr>
          <w:rStyle w:val="Emphasis"/>
          <w:highlight w:val="cyan"/>
        </w:rPr>
        <w:t>NLRB</w:t>
      </w:r>
      <w:r w:rsidRPr="00374364">
        <w:rPr>
          <w:sz w:val="14"/>
        </w:rPr>
        <w:t xml:space="preserve"> v. United Food &amp; Commercial Workers Union, Local 23 </w:t>
      </w:r>
      <w:r w:rsidRPr="00374364">
        <w:rPr>
          <w:u w:val="single"/>
        </w:rPr>
        <w:t>supports this interpretation</w:t>
      </w:r>
      <w:r w:rsidRPr="00374364">
        <w:rPr>
          <w:sz w:val="14"/>
        </w:rPr>
        <w:t xml:space="preserve">: "[O]ur first job is to try to determine congressional intent, using 'traditional tools of statutory construction.' 30 2 The argument that </w:t>
      </w:r>
      <w:r w:rsidRPr="00374364">
        <w:rPr>
          <w:u w:val="single"/>
        </w:rPr>
        <w:t>Step One should be</w:t>
      </w:r>
      <w:r w:rsidRPr="00374364">
        <w:rPr>
          <w:sz w:val="14"/>
        </w:rPr>
        <w:t xml:space="preserve"> limited to textual analysis reflects a misperception of the court's role in Step One as simply searching for ambiguity in the language of the statute, rather than </w:t>
      </w:r>
      <w:r w:rsidRPr="00374364">
        <w:rPr>
          <w:u w:val="single"/>
        </w:rPr>
        <w:t>a determination of whether "the intent of Congress is clear</w:t>
      </w:r>
      <w:r w:rsidRPr="00374364">
        <w:rPr>
          <w:sz w:val="14"/>
        </w:rPr>
        <w:t>.”303</w:t>
      </w:r>
    </w:p>
    <w:p w14:paraId="2741243B" w14:textId="77777777" w:rsidR="009B74AC" w:rsidRPr="00374364" w:rsidRDefault="009B74AC" w:rsidP="009B74AC">
      <w:pPr>
        <w:rPr>
          <w:sz w:val="14"/>
        </w:rPr>
      </w:pPr>
      <w:r w:rsidRPr="00374364">
        <w:rPr>
          <w:sz w:val="14"/>
        </w:rPr>
        <w:t xml:space="preserve">At least one </w:t>
      </w:r>
      <w:r w:rsidRPr="00374364">
        <w:rPr>
          <w:u w:val="single"/>
        </w:rPr>
        <w:t>circuit expressly advocates this approach</w:t>
      </w:r>
      <w:r w:rsidRPr="00374364">
        <w:rPr>
          <w:sz w:val="14"/>
        </w:rPr>
        <w:t xml:space="preserve">. In Michigan Citizens for an Independent Press v. Thornburgh, </w:t>
      </w:r>
      <w:r w:rsidRPr="00456038">
        <w:rPr>
          <w:rStyle w:val="StyleUnderline"/>
          <w:highlight w:val="cyan"/>
        </w:rPr>
        <w:t>the D.C. Circuit</w:t>
      </w:r>
      <w:r w:rsidRPr="00374364">
        <w:rPr>
          <w:sz w:val="14"/>
        </w:rPr>
        <w:t xml:space="preserve"> declined to apply the canon that exemptions to antitrust law should be narrowly construed because this canon did not serve to elucidate congressional intent.304 The court explained:</w:t>
      </w:r>
    </w:p>
    <w:p w14:paraId="0917BFE2" w14:textId="77777777" w:rsidR="009B74AC" w:rsidRPr="00374364" w:rsidRDefault="009B74AC" w:rsidP="009B74AC">
      <w:pPr>
        <w:ind w:left="720"/>
        <w:rPr>
          <w:sz w:val="14"/>
        </w:rPr>
      </w:pPr>
      <w:r w:rsidRPr="00374364">
        <w:rPr>
          <w:sz w:val="14"/>
        </w:rPr>
        <w:t xml:space="preserve">If employment of an accepted canon of construction illustrates that Congress had a specific intent on the issue in question, then the </w:t>
      </w:r>
      <w:r w:rsidRPr="00374364">
        <w:rPr>
          <w:u w:val="single"/>
        </w:rPr>
        <w:t>case can be disposed of under the first prong of Chevron</w:t>
      </w:r>
      <w:r w:rsidRPr="00374364">
        <w:rPr>
          <w:sz w:val="14"/>
        </w:rPr>
        <w:t xml:space="preserve">. </w:t>
      </w:r>
      <w:r w:rsidRPr="00374364">
        <w:rPr>
          <w:u w:val="single"/>
        </w:rPr>
        <w:t>For example</w:t>
      </w:r>
      <w:r w:rsidRPr="00374364">
        <w:rPr>
          <w:sz w:val="14"/>
        </w:rPr>
        <w:t xml:space="preserve">, if Congress banned the importation of apples, oranges, and bananas from a particular country, the canon of expresio unius est exclusio alterius might well indicate that Congress did not intend to ban the importation of grapefruits. In that event, </w:t>
      </w:r>
      <w:r w:rsidRPr="00374364">
        <w:rPr>
          <w:u w:val="single"/>
        </w:rPr>
        <w:t xml:space="preserve">an agency decision to ban </w:t>
      </w:r>
      <w:r w:rsidRPr="00374364">
        <w:rPr>
          <w:b/>
          <w:bCs/>
          <w:i/>
          <w:iCs/>
          <w:color w:val="7030A0"/>
          <w:sz w:val="24"/>
          <w:szCs w:val="24"/>
          <w:u w:val="single"/>
        </w:rPr>
        <w:t>grapefruits</w:t>
      </w:r>
      <w:r w:rsidRPr="00374364">
        <w:rPr>
          <w:color w:val="7030A0"/>
          <w:sz w:val="24"/>
          <w:szCs w:val="24"/>
          <w:u w:val="single"/>
        </w:rPr>
        <w:t xml:space="preserve"> </w:t>
      </w:r>
      <w:r w:rsidRPr="00374364">
        <w:rPr>
          <w:u w:val="single"/>
        </w:rPr>
        <w:t>would be contrary to Congress' specific intent</w:t>
      </w:r>
      <w:r w:rsidRPr="00374364">
        <w:rPr>
          <w:sz w:val="14"/>
        </w:rPr>
        <w:t>.305</w:t>
      </w:r>
    </w:p>
    <w:p w14:paraId="6F28E969" w14:textId="77777777" w:rsidR="009B74AC" w:rsidRPr="00374364" w:rsidRDefault="009B74AC" w:rsidP="009B74AC">
      <w:pPr>
        <w:rPr>
          <w:sz w:val="14"/>
          <w:szCs w:val="14"/>
        </w:rPr>
      </w:pPr>
      <w:r w:rsidRPr="00374364">
        <w:rPr>
          <w:sz w:val="14"/>
          <w:szCs w:val="14"/>
        </w:rPr>
        <w:t>In subsequent opinions, the D.C. Circuit has stated this rule of analysis more explicitly.30 6 In AFL-CIO v. FEC, the court wrote:</w:t>
      </w:r>
    </w:p>
    <w:p w14:paraId="0F8F56B6" w14:textId="77777777" w:rsidR="009B74AC" w:rsidRPr="00374364" w:rsidRDefault="009B74AC" w:rsidP="009B74AC">
      <w:pPr>
        <w:ind w:left="720"/>
        <w:rPr>
          <w:sz w:val="14"/>
          <w:szCs w:val="14"/>
        </w:rPr>
      </w:pPr>
      <w:r w:rsidRPr="00374364">
        <w:rPr>
          <w:sz w:val="14"/>
          <w:szCs w:val="14"/>
        </w:rPr>
        <w:t>Among the "traditional tools of statutory construction" "the court must first exhaust" under Chevron and its progeny are the linguistic and substantive canons of interpretation .... In other words, the canon assists us in determining the Congress's intent and, accordingly, it operates at Chevron step one.307</w:t>
      </w:r>
    </w:p>
    <w:p w14:paraId="08FE3772" w14:textId="77777777" w:rsidR="009B74AC" w:rsidRPr="00374364" w:rsidRDefault="009B74AC" w:rsidP="009B74AC">
      <w:pPr>
        <w:rPr>
          <w:sz w:val="14"/>
        </w:rPr>
      </w:pPr>
      <w:r w:rsidRPr="00374364">
        <w:rPr>
          <w:u w:val="single"/>
        </w:rPr>
        <w:t xml:space="preserve">The court stated </w:t>
      </w:r>
      <w:r w:rsidRPr="00374364">
        <w:rPr>
          <w:sz w:val="14"/>
        </w:rPr>
        <w:t>that be</w:t>
      </w:r>
      <w:r w:rsidRPr="00374364">
        <w:rPr>
          <w:u w:val="single"/>
        </w:rPr>
        <w:t>cause the canon of constitutional avoidance is a presumption about Congress's intent, it should be applied in Step One</w:t>
      </w:r>
      <w:r w:rsidRPr="00374364">
        <w:rPr>
          <w:sz w:val="14"/>
        </w:rPr>
        <w:t>, rather than displacing Chevron altogether or being applied in Step Two.3 °8 Furthermore, it goes so far as to suggest that this is what the Supreme Court did in DeBartolo.309</w:t>
      </w:r>
    </w:p>
    <w:p w14:paraId="1BA1D427" w14:textId="77777777" w:rsidR="009B74AC" w:rsidRPr="00374364" w:rsidRDefault="009B74AC" w:rsidP="009B74AC">
      <w:pPr>
        <w:rPr>
          <w:sz w:val="14"/>
          <w:szCs w:val="14"/>
        </w:rPr>
      </w:pPr>
      <w:r w:rsidRPr="00374364">
        <w:rPr>
          <w:sz w:val="14"/>
          <w:szCs w:val="14"/>
        </w:rPr>
        <w:t>The Federal Circuit appears to support this approach as well, reasoning that the court should use any tool of construction that aids it in ascertaining congressional intent.310 In Timex V.L v. United States, that court wrote:</w:t>
      </w:r>
    </w:p>
    <w:p w14:paraId="2A549770" w14:textId="77777777" w:rsidR="009B74AC" w:rsidRPr="00374364" w:rsidRDefault="009B74AC" w:rsidP="009B74AC">
      <w:pPr>
        <w:ind w:left="720"/>
        <w:rPr>
          <w:sz w:val="14"/>
          <w:szCs w:val="14"/>
        </w:rPr>
      </w:pPr>
      <w:r w:rsidRPr="00374364">
        <w:rPr>
          <w:sz w:val="14"/>
          <w:szCs w:val="14"/>
        </w:rPr>
        <w:t>To ascertain whether Congress had an intention on the precise question at issue, we employ the "traditional tools of statutory construction."...</w:t>
      </w:r>
    </w:p>
    <w:p w14:paraId="0A42712B" w14:textId="77777777" w:rsidR="009B74AC" w:rsidRPr="00374364" w:rsidRDefault="009B74AC" w:rsidP="009B74AC">
      <w:pPr>
        <w:ind w:left="720"/>
        <w:rPr>
          <w:sz w:val="14"/>
        </w:rPr>
      </w:pPr>
      <w:r w:rsidRPr="00374364">
        <w:rPr>
          <w:sz w:val="14"/>
        </w:rPr>
        <w:t xml:space="preserve">If... the statute's text does not explicitly address the precise question, we do not at that point simply defer to the agency. Our search for Congress's intent must be more thorough than that.... Beyond the statute's text, those "tools" include the statute's structure, canons of statutory construction, </w:t>
      </w:r>
      <w:r w:rsidRPr="00456038">
        <w:rPr>
          <w:highlight w:val="cyan"/>
          <w:u w:val="single"/>
        </w:rPr>
        <w:t>and</w:t>
      </w:r>
      <w:r w:rsidRPr="00374364">
        <w:rPr>
          <w:sz w:val="14"/>
        </w:rPr>
        <w:t xml:space="preserve"> legislative history.311</w:t>
      </w:r>
    </w:p>
    <w:p w14:paraId="31FC2B0E" w14:textId="77777777" w:rsidR="009B74AC" w:rsidRPr="00374364" w:rsidRDefault="009B74AC" w:rsidP="009B74AC">
      <w:pPr>
        <w:rPr>
          <w:sz w:val="14"/>
        </w:rPr>
      </w:pPr>
      <w:r w:rsidRPr="00374364">
        <w:rPr>
          <w:u w:val="single"/>
        </w:rPr>
        <w:t xml:space="preserve">Citing </w:t>
      </w:r>
      <w:r w:rsidRPr="00456038">
        <w:rPr>
          <w:b/>
          <w:bCs/>
          <w:i/>
          <w:iCs/>
          <w:highlight w:val="cyan"/>
          <w:u w:val="single"/>
        </w:rPr>
        <w:t>Marbury v. Madison</w:t>
      </w:r>
      <w:r w:rsidRPr="00456038">
        <w:rPr>
          <w:highlight w:val="cyan"/>
          <w:u w:val="single"/>
        </w:rPr>
        <w:t xml:space="preserve">, </w:t>
      </w:r>
      <w:r w:rsidRPr="00374364">
        <w:rPr>
          <w:u w:val="single"/>
        </w:rPr>
        <w:t>the court stated</w:t>
      </w:r>
      <w:r w:rsidRPr="00374364">
        <w:rPr>
          <w:sz w:val="14"/>
        </w:rPr>
        <w:t xml:space="preserve"> that </w:t>
      </w:r>
      <w:r w:rsidRPr="00456038">
        <w:rPr>
          <w:highlight w:val="cyan"/>
          <w:u w:val="single"/>
        </w:rPr>
        <w:t xml:space="preserve">it is </w:t>
      </w:r>
      <w:r w:rsidRPr="00374364">
        <w:rPr>
          <w:u w:val="single"/>
        </w:rPr>
        <w:t xml:space="preserve">the </w:t>
      </w:r>
      <w:r w:rsidRPr="00456038">
        <w:rPr>
          <w:b/>
          <w:bCs/>
          <w:highlight w:val="cyan"/>
          <w:u w:val="single"/>
        </w:rPr>
        <w:t>duty</w:t>
      </w:r>
      <w:r w:rsidRPr="00456038">
        <w:rPr>
          <w:highlight w:val="cyan"/>
          <w:u w:val="single"/>
        </w:rPr>
        <w:t xml:space="preserve"> </w:t>
      </w:r>
      <w:r w:rsidRPr="00374364">
        <w:rPr>
          <w:u w:val="single"/>
        </w:rPr>
        <w:t xml:space="preserve">of a reviewing court </w:t>
      </w:r>
      <w:r w:rsidRPr="00456038">
        <w:rPr>
          <w:b/>
          <w:bCs/>
          <w:highlight w:val="cyan"/>
          <w:u w:val="single"/>
        </w:rPr>
        <w:t>not</w:t>
      </w:r>
      <w:r w:rsidRPr="00456038">
        <w:rPr>
          <w:highlight w:val="cyan"/>
          <w:u w:val="single"/>
        </w:rPr>
        <w:t xml:space="preserve"> to</w:t>
      </w:r>
      <w:r w:rsidRPr="00374364">
        <w:rPr>
          <w:u w:val="single"/>
        </w:rPr>
        <w:t xml:space="preserve"> hastily </w:t>
      </w:r>
      <w:r w:rsidRPr="00456038">
        <w:rPr>
          <w:b/>
          <w:bCs/>
          <w:highlight w:val="cyan"/>
          <w:u w:val="single"/>
        </w:rPr>
        <w:t>defer</w:t>
      </w:r>
      <w:r w:rsidRPr="00456038">
        <w:rPr>
          <w:highlight w:val="cyan"/>
          <w:u w:val="single"/>
        </w:rPr>
        <w:t xml:space="preserve"> to</w:t>
      </w:r>
      <w:r w:rsidRPr="00374364">
        <w:rPr>
          <w:u w:val="single"/>
        </w:rPr>
        <w:t xml:space="preserve"> a reasonable </w:t>
      </w:r>
      <w:r w:rsidRPr="00456038">
        <w:rPr>
          <w:b/>
          <w:bCs/>
          <w:highlight w:val="cyan"/>
          <w:u w:val="single"/>
        </w:rPr>
        <w:t>agency interp</w:t>
      </w:r>
      <w:r w:rsidRPr="00374364">
        <w:rPr>
          <w:u w:val="single"/>
        </w:rPr>
        <w:t>retation</w:t>
      </w:r>
      <w:r w:rsidRPr="00374364">
        <w:rPr>
          <w:sz w:val="14"/>
        </w:rPr>
        <w:t xml:space="preserve">: "[B]efore we can allow an agency to say what the law is, </w:t>
      </w:r>
      <w:r w:rsidRPr="00456038">
        <w:rPr>
          <w:highlight w:val="cyan"/>
          <w:u w:val="single"/>
        </w:rPr>
        <w:t xml:space="preserve">we </w:t>
      </w:r>
      <w:r w:rsidRPr="00456038">
        <w:rPr>
          <w:b/>
          <w:bCs/>
          <w:highlight w:val="cyan"/>
          <w:u w:val="single"/>
        </w:rPr>
        <w:t>must</w:t>
      </w:r>
      <w:r w:rsidRPr="00374364">
        <w:rPr>
          <w:u w:val="single"/>
        </w:rPr>
        <w:t xml:space="preserve"> thoroughly </w:t>
      </w:r>
      <w:r w:rsidRPr="00456038">
        <w:rPr>
          <w:b/>
          <w:bCs/>
          <w:highlight w:val="cyan"/>
          <w:u w:val="single"/>
        </w:rPr>
        <w:t>investigate</w:t>
      </w:r>
      <w:r w:rsidRPr="00374364">
        <w:rPr>
          <w:u w:val="single"/>
        </w:rPr>
        <w:t xml:space="preserve"> whether </w:t>
      </w:r>
      <w:r w:rsidRPr="00456038">
        <w:rPr>
          <w:b/>
          <w:bCs/>
          <w:highlight w:val="cyan"/>
          <w:u w:val="single"/>
        </w:rPr>
        <w:t>Congress</w:t>
      </w:r>
      <w:r w:rsidRPr="00374364">
        <w:rPr>
          <w:u w:val="single"/>
        </w:rPr>
        <w:t xml:space="preserve"> had an </w:t>
      </w:r>
      <w:r w:rsidRPr="00456038">
        <w:rPr>
          <w:b/>
          <w:bCs/>
          <w:highlight w:val="cyan"/>
          <w:u w:val="single"/>
        </w:rPr>
        <w:t>intent</w:t>
      </w:r>
      <w:r w:rsidRPr="00374364">
        <w:rPr>
          <w:u w:val="single"/>
        </w:rPr>
        <w:t xml:space="preserve"> on the matter</w:t>
      </w:r>
      <w:r w:rsidRPr="00374364">
        <w:rPr>
          <w:sz w:val="14"/>
        </w:rPr>
        <w:t>. 312</w:t>
      </w:r>
    </w:p>
    <w:p w14:paraId="320C86E9" w14:textId="77777777" w:rsidR="009B74AC" w:rsidRPr="00374364" w:rsidRDefault="009B74AC" w:rsidP="009B74AC">
      <w:pPr>
        <w:rPr>
          <w:sz w:val="14"/>
          <w:szCs w:val="14"/>
        </w:rPr>
      </w:pPr>
      <w:r w:rsidRPr="00374364">
        <w:rPr>
          <w:sz w:val="14"/>
          <w:szCs w:val="14"/>
        </w:rPr>
        <w:t>In St. Cyr (discussed in subpart II.C above), the Supreme Court itself applied a substantive canon in Step One of the Chevron analysis.313 The presumption that Congress does not intend statutes to have retroactive effect, absent a clear statement to the contrary, eliminated the statutory ambiguity: "Because a statute that is ambiguous with respect to retroactive application is construed under our precedent to be unambiguously prospective, there is, for Chevron purposes, no ambiguity in such a statute for an agency to resolve. 314 The Court's reference to the "normal 'tools of statutory construction"' in this case provides solid support for the assertion that this phrase refers to those canons that shed light on Congress's intent." 315</w:t>
      </w:r>
    </w:p>
    <w:p w14:paraId="6F0CE315" w14:textId="17D34B08" w:rsidR="009B74AC" w:rsidRPr="009B74AC" w:rsidRDefault="009B74AC" w:rsidP="009B74AC">
      <w:pPr>
        <w:rPr>
          <w:sz w:val="14"/>
        </w:rPr>
      </w:pPr>
      <w:r w:rsidRPr="00374364">
        <w:rPr>
          <w:u w:val="single"/>
        </w:rPr>
        <w:t>Under this approach</w:t>
      </w:r>
      <w:r w:rsidRPr="00374364">
        <w:rPr>
          <w:sz w:val="14"/>
        </w:rPr>
        <w:t xml:space="preserve"> those substantive </w:t>
      </w:r>
      <w:r w:rsidRPr="00374364">
        <w:rPr>
          <w:u w:val="single"/>
        </w:rPr>
        <w:t>canons</w:t>
      </w:r>
      <w:r w:rsidRPr="00374364">
        <w:rPr>
          <w:sz w:val="14"/>
        </w:rPr>
        <w:t xml:space="preserve"> of construction properly categorized as clear statement rules </w:t>
      </w:r>
      <w:r w:rsidRPr="00456038">
        <w:rPr>
          <w:highlight w:val="cyan"/>
          <w:u w:val="single"/>
        </w:rPr>
        <w:t xml:space="preserve">would </w:t>
      </w:r>
      <w:r w:rsidRPr="00456038">
        <w:rPr>
          <w:rStyle w:val="Emphasis"/>
          <w:highlight w:val="cyan"/>
        </w:rPr>
        <w:t>always eliminate</w:t>
      </w:r>
      <w:r w:rsidRPr="00374364">
        <w:rPr>
          <w:sz w:val="14"/>
        </w:rPr>
        <w:t xml:space="preserve"> the statutory </w:t>
      </w:r>
      <w:r w:rsidRPr="00456038">
        <w:rPr>
          <w:highlight w:val="cyan"/>
          <w:u w:val="single"/>
        </w:rPr>
        <w:t xml:space="preserve">ambiguity in Step One, rendering Step Two </w:t>
      </w:r>
      <w:r w:rsidRPr="00456038">
        <w:rPr>
          <w:rStyle w:val="Emphasis"/>
          <w:highlight w:val="cyan"/>
        </w:rPr>
        <w:t>unnecessary</w:t>
      </w:r>
      <w:r w:rsidRPr="00374364">
        <w:rPr>
          <w:u w:val="single"/>
        </w:rPr>
        <w:t>, since rebuttal of such a presumption requires that Congress speak clearly</w:t>
      </w:r>
      <w:r w:rsidRPr="00374364">
        <w:rPr>
          <w:sz w:val="14"/>
        </w:rPr>
        <w:t xml:space="preserve">. </w:t>
      </w:r>
      <w:r w:rsidRPr="00456038">
        <w:rPr>
          <w:highlight w:val="cyan"/>
          <w:u w:val="single"/>
        </w:rPr>
        <w:t>Insofar as lenity is</w:t>
      </w:r>
      <w:r w:rsidRPr="00374364">
        <w:rPr>
          <w:u w:val="single"/>
        </w:rPr>
        <w:t xml:space="preserve"> judged to be a </w:t>
      </w:r>
      <w:r w:rsidRPr="00456038">
        <w:rPr>
          <w:rStyle w:val="Emphasis"/>
          <w:highlight w:val="cyan"/>
        </w:rPr>
        <w:t>clear statement rule</w:t>
      </w:r>
      <w:r w:rsidRPr="00374364">
        <w:rPr>
          <w:u w:val="single"/>
        </w:rPr>
        <w:t xml:space="preserve">, it would have a </w:t>
      </w:r>
      <w:r w:rsidRPr="00374364">
        <w:rPr>
          <w:rStyle w:val="Emphasis"/>
        </w:rPr>
        <w:t>dispositive effect</w:t>
      </w:r>
      <w:r w:rsidRPr="00374364">
        <w:rPr>
          <w:u w:val="single"/>
        </w:rPr>
        <w:t xml:space="preserve"> in Step One</w:t>
      </w:r>
      <w:r w:rsidRPr="00374364">
        <w:rPr>
          <w:sz w:val="14"/>
        </w:rPr>
        <w:t>.</w:t>
      </w:r>
    </w:p>
    <w:p w14:paraId="727998D3" w14:textId="77777777" w:rsidR="00AB6353" w:rsidRDefault="00AB6353" w:rsidP="00AB6353">
      <w:pPr>
        <w:pStyle w:val="Heading3"/>
      </w:pPr>
      <w:r>
        <w:t>2AC – AT: Name Hybrid Statutes</w:t>
      </w:r>
    </w:p>
    <w:p w14:paraId="3DE8D608" w14:textId="77777777" w:rsidR="00AB6353" w:rsidRDefault="00AB6353" w:rsidP="00AB6353">
      <w:pPr>
        <w:pStyle w:val="Heading4"/>
      </w:pPr>
      <w:r>
        <w:t>Sherman Act.</w:t>
      </w:r>
    </w:p>
    <w:p w14:paraId="2867C2A8" w14:textId="77777777" w:rsidR="00AB6353" w:rsidRPr="002B410A" w:rsidRDefault="00AB6353" w:rsidP="00AB6353">
      <w:pPr>
        <w:rPr>
          <w:lang w:eastAsia="zh-CN"/>
        </w:rPr>
      </w:pPr>
      <w:r>
        <w:rPr>
          <w:rStyle w:val="Style13ptBold"/>
        </w:rPr>
        <w:t>Rakoff 15</w:t>
      </w:r>
      <w:r>
        <w:t xml:space="preserve"> – </w:t>
      </w:r>
      <w:r>
        <w:rPr>
          <w:lang w:eastAsia="zh-CN"/>
        </w:rPr>
        <w:t>Jed S. Rakoff, Senior Judge of the United States District Court for the Southern District of New York, April 17</w:t>
      </w:r>
      <w:r w:rsidRPr="007E37AA">
        <w:rPr>
          <w:vertAlign w:val="superscript"/>
          <w:lang w:eastAsia="zh-CN"/>
        </w:rPr>
        <w:t>th</w:t>
      </w:r>
      <w:r>
        <w:rPr>
          <w:lang w:eastAsia="zh-CN"/>
        </w:rPr>
        <w:t xml:space="preserve"> ("Hybrid Statutes: A Study in Uncertainty,” New York University School of Law, available online at https://www.law.nyu.edu/sites/default/files/upload_documents/Judge%20Rakoff%27s%20Address%20NYU%202015-04-17.pdf, accessed 6-28-2020) LR</w:t>
      </w:r>
    </w:p>
    <w:p w14:paraId="2FA36107" w14:textId="77777777" w:rsidR="00AB6353" w:rsidRDefault="00AB6353" w:rsidP="00AB6353">
      <w:pPr>
        <w:rPr>
          <w:sz w:val="16"/>
          <w:lang w:eastAsia="zh-CN"/>
        </w:rPr>
      </w:pPr>
      <w:r w:rsidRPr="00C02F5F">
        <w:rPr>
          <w:sz w:val="16"/>
          <w:lang w:eastAsia="zh-CN"/>
        </w:rPr>
        <w:t xml:space="preserve">But </w:t>
      </w:r>
      <w:r w:rsidRPr="00C02F5F">
        <w:rPr>
          <w:rStyle w:val="StyleUnderline"/>
        </w:rPr>
        <w:t>the Supreme Court has not done</w:t>
      </w:r>
      <w:r w:rsidRPr="00C02F5F">
        <w:rPr>
          <w:sz w:val="16"/>
          <w:lang w:eastAsia="zh-CN"/>
        </w:rPr>
        <w:t xml:space="preserve"> much </w:t>
      </w:r>
      <w:r w:rsidRPr="00C02F5F">
        <w:rPr>
          <w:rStyle w:val="StyleUnderline"/>
        </w:rPr>
        <w:t>better</w:t>
      </w:r>
      <w:r w:rsidRPr="00C02F5F">
        <w:rPr>
          <w:sz w:val="16"/>
          <w:lang w:eastAsia="zh-CN"/>
        </w:rPr>
        <w:t xml:space="preserve">. Consider, first, </w:t>
      </w:r>
      <w:r w:rsidRPr="00C02F5F">
        <w:rPr>
          <w:rStyle w:val="StyleUnderline"/>
        </w:rPr>
        <w:t xml:space="preserve">the </w:t>
      </w:r>
      <w:r w:rsidRPr="00FA2866">
        <w:rPr>
          <w:rStyle w:val="Emphasis"/>
        </w:rPr>
        <w:t>Sherman Act</w:t>
      </w:r>
      <w:r w:rsidRPr="00C02F5F">
        <w:rPr>
          <w:sz w:val="16"/>
          <w:lang w:eastAsia="zh-CN"/>
        </w:rPr>
        <w:t xml:space="preserve">, which may well be </w:t>
      </w:r>
      <w:r w:rsidRPr="00C02F5F">
        <w:rPr>
          <w:rStyle w:val="StyleUnderline"/>
        </w:rPr>
        <w:t>the first major hybrid statute</w:t>
      </w:r>
      <w:r w:rsidRPr="00C02F5F">
        <w:rPr>
          <w:sz w:val="16"/>
          <w:lang w:eastAsia="zh-CN"/>
        </w:rPr>
        <w:t xml:space="preserve"> passed by Congress. Certainly, it was the first U.S. statute to provide that the same underlying conduct could give rise to criminal prosecution, government civil actions seeking injunctive and other equitable relief, and private civil actions seeking enhanced damages. But what is the underlying conduct that gives rise to this triple threat?  It is a conspiracy </w:t>
      </w:r>
      <w:r w:rsidRPr="00C02F5F">
        <w:rPr>
          <w:rStyle w:val="StyleUnderline"/>
        </w:rPr>
        <w:t>“</w:t>
      </w:r>
      <w:r w:rsidRPr="00D0676D">
        <w:rPr>
          <w:rStyle w:val="Emphasis"/>
        </w:rPr>
        <w:t>in restraint of trade</w:t>
      </w:r>
      <w:r w:rsidRPr="00C02F5F">
        <w:rPr>
          <w:rStyle w:val="StyleUnderline"/>
        </w:rPr>
        <w:t>.”</w:t>
      </w:r>
      <w:r w:rsidRPr="00C02F5F">
        <w:rPr>
          <w:sz w:val="16"/>
          <w:lang w:eastAsia="zh-CN"/>
        </w:rPr>
        <w:t xml:space="preserve">  That, one might argue, </w:t>
      </w:r>
      <w:r w:rsidRPr="00C02F5F">
        <w:rPr>
          <w:rStyle w:val="StyleUnderline"/>
        </w:rPr>
        <w:t xml:space="preserve">is about </w:t>
      </w:r>
      <w:r w:rsidRPr="00C02F5F">
        <w:rPr>
          <w:rStyle w:val="Emphasis"/>
        </w:rPr>
        <w:t>as vague</w:t>
      </w:r>
      <w:r w:rsidRPr="00C02F5F">
        <w:rPr>
          <w:rStyle w:val="StyleUnderline"/>
        </w:rPr>
        <w:t xml:space="preserve"> a phrase </w:t>
      </w:r>
      <w:r w:rsidRPr="00C02F5F">
        <w:rPr>
          <w:rStyle w:val="Emphasis"/>
        </w:rPr>
        <w:t>as one can imagine</w:t>
      </w:r>
      <w:r w:rsidRPr="00C02F5F">
        <w:rPr>
          <w:sz w:val="16"/>
          <w:lang w:eastAsia="zh-CN"/>
        </w:rPr>
        <w:t xml:space="preserve"> – and a </w:t>
      </w:r>
      <w:r w:rsidRPr="00C02F5F">
        <w:rPr>
          <w:rStyle w:val="StyleUnderline"/>
        </w:rPr>
        <w:t>criminal defendant named Nash did so argue</w:t>
      </w:r>
      <w:r w:rsidRPr="00C02F5F">
        <w:rPr>
          <w:sz w:val="16"/>
          <w:lang w:eastAsia="zh-CN"/>
        </w:rPr>
        <w:t xml:space="preserve"> in the case of Nash v. United States, 229 U.S. 373 (1913), in which he attacked the statute as unconstitutionally vague.  </w:t>
      </w:r>
      <w:r w:rsidRPr="00C02F5F">
        <w:rPr>
          <w:rStyle w:val="StyleUnderline"/>
        </w:rPr>
        <w:t xml:space="preserve">Ruling against him, Justice </w:t>
      </w:r>
      <w:r w:rsidRPr="00C02F5F">
        <w:rPr>
          <w:sz w:val="16"/>
          <w:lang w:eastAsia="zh-CN"/>
        </w:rPr>
        <w:t xml:space="preserve">Oliver Wendell </w:t>
      </w:r>
      <w:r w:rsidRPr="00C02F5F">
        <w:rPr>
          <w:rStyle w:val="StyleUnderline"/>
        </w:rPr>
        <w:t>Holmes</w:t>
      </w:r>
      <w:r w:rsidRPr="00C02F5F">
        <w:rPr>
          <w:sz w:val="16"/>
          <w:lang w:eastAsia="zh-CN"/>
        </w:rPr>
        <w:t xml:space="preserve">, in an opinion joined by all but one other Justice, </w:t>
      </w:r>
      <w:r w:rsidRPr="00C02F5F">
        <w:rPr>
          <w:rStyle w:val="StyleUnderline"/>
        </w:rPr>
        <w:t>rejected this claim in just two sentences</w:t>
      </w:r>
      <w:r w:rsidRPr="00C02F5F">
        <w:rPr>
          <w:sz w:val="16"/>
          <w:lang w:eastAsia="zh-CN"/>
        </w:rPr>
        <w:t xml:space="preserve">, stating, “But, apart from the common law as to the restraint of trade thus taken up by the statute, the law is full of instances where a man's fate depends on his estimating rightly, that is, as the jury subsequently estimates it, some matter of degree. If his judgment is wrong, not only may he incur a fine or a short imprisonment, as here; he may incur the penalty of death.” </w:t>
      </w:r>
    </w:p>
    <w:p w14:paraId="29CE13A6" w14:textId="77777777" w:rsidR="00AB6353" w:rsidRPr="00C02F5F" w:rsidRDefault="00AB6353" w:rsidP="00AB6353">
      <w:pPr>
        <w:rPr>
          <w:sz w:val="16"/>
        </w:rPr>
      </w:pPr>
      <w:r w:rsidRPr="00C02F5F">
        <w:rPr>
          <w:sz w:val="16"/>
        </w:rPr>
        <w:t xml:space="preserve">Holmes or not, </w:t>
      </w:r>
      <w:r w:rsidRPr="00C02F5F">
        <w:rPr>
          <w:rStyle w:val="StyleUnderline"/>
        </w:rPr>
        <w:t>the</w:t>
      </w:r>
      <w:r w:rsidRPr="00C02F5F">
        <w:rPr>
          <w:sz w:val="16"/>
        </w:rPr>
        <w:t xml:space="preserve"> primary </w:t>
      </w:r>
      <w:r w:rsidRPr="00C02F5F">
        <w:rPr>
          <w:rStyle w:val="StyleUnderline"/>
        </w:rPr>
        <w:t>point</w:t>
      </w:r>
      <w:r w:rsidRPr="00C02F5F">
        <w:rPr>
          <w:sz w:val="16"/>
        </w:rPr>
        <w:t xml:space="preserve"> he is making here – </w:t>
      </w:r>
      <w:r w:rsidRPr="00C02F5F">
        <w:rPr>
          <w:rStyle w:val="StyleUnderline"/>
        </w:rPr>
        <w:t xml:space="preserve">that a jury’s discretion should include the power to interpret vague statutes on an </w:t>
      </w:r>
      <w:r w:rsidRPr="00C02F5F">
        <w:rPr>
          <w:rStyle w:val="Emphasis"/>
        </w:rPr>
        <w:t>ad hoc</w:t>
      </w:r>
      <w:r w:rsidRPr="00C02F5F">
        <w:rPr>
          <w:rStyle w:val="StyleUnderline"/>
        </w:rPr>
        <w:t xml:space="preserve"> basis</w:t>
      </w:r>
      <w:r w:rsidRPr="00C02F5F">
        <w:rPr>
          <w:sz w:val="16"/>
        </w:rPr>
        <w:t xml:space="preserve"> – </w:t>
      </w:r>
      <w:r w:rsidRPr="00C02F5F">
        <w:rPr>
          <w:rStyle w:val="StyleUnderline"/>
        </w:rPr>
        <w:t xml:space="preserve">is clearly </w:t>
      </w:r>
      <w:r w:rsidRPr="00C02F5F">
        <w:rPr>
          <w:rStyle w:val="Emphasis"/>
        </w:rPr>
        <w:t>wrong</w:t>
      </w:r>
      <w:r w:rsidRPr="00C02F5F">
        <w:rPr>
          <w:rStyle w:val="StyleUnderline"/>
        </w:rPr>
        <w:t>.</w:t>
      </w:r>
      <w:r w:rsidRPr="00C02F5F">
        <w:rPr>
          <w:sz w:val="16"/>
        </w:rPr>
        <w:t xml:space="preserve">  For </w:t>
      </w:r>
      <w:r w:rsidRPr="00C02F5F">
        <w:rPr>
          <w:rStyle w:val="StyleUnderline"/>
        </w:rPr>
        <w:t xml:space="preserve">the Supreme Court </w:t>
      </w:r>
      <w:r w:rsidRPr="00C02F5F">
        <w:rPr>
          <w:sz w:val="16"/>
        </w:rPr>
        <w:t xml:space="preserve">has </w:t>
      </w:r>
      <w:r w:rsidRPr="00C02F5F">
        <w:rPr>
          <w:rStyle w:val="StyleUnderline"/>
        </w:rPr>
        <w:t>elsewhere consistently held that a statute</w:t>
      </w:r>
      <w:r w:rsidRPr="00C02F5F">
        <w:rPr>
          <w:sz w:val="16"/>
        </w:rPr>
        <w:t xml:space="preserve"> that is </w:t>
      </w:r>
      <w:r w:rsidRPr="00C02F5F">
        <w:rPr>
          <w:rStyle w:val="StyleUnderline"/>
        </w:rPr>
        <w:t>so vague</w:t>
      </w:r>
      <w:r w:rsidRPr="00C02F5F">
        <w:rPr>
          <w:sz w:val="16"/>
        </w:rPr>
        <w:t xml:space="preserve"> that </w:t>
      </w:r>
      <w:r w:rsidRPr="00C02F5F">
        <w:rPr>
          <w:rStyle w:val="StyleUnderline"/>
        </w:rPr>
        <w:t>two reasonable juries</w:t>
      </w:r>
      <w:r w:rsidRPr="00C02F5F">
        <w:rPr>
          <w:sz w:val="16"/>
        </w:rPr>
        <w:t xml:space="preserve">, confronted with the same evidence and drawing the same inferences as to credibility, could </w:t>
      </w:r>
      <w:r w:rsidRPr="00C02F5F">
        <w:rPr>
          <w:rStyle w:val="StyleUnderline"/>
        </w:rPr>
        <w:t xml:space="preserve">nonetheless reach </w:t>
      </w:r>
      <w:r w:rsidRPr="00C02F5F">
        <w:rPr>
          <w:rStyle w:val="Emphasis"/>
        </w:rPr>
        <w:t>opposite conclusions</w:t>
      </w:r>
      <w:r w:rsidRPr="00C02F5F">
        <w:rPr>
          <w:sz w:val="16"/>
        </w:rPr>
        <w:t xml:space="preserve"> as to guilt or innocence is a classic example of a statute that is void for vagueness.</w:t>
      </w:r>
    </w:p>
    <w:p w14:paraId="61D4936E" w14:textId="77777777" w:rsidR="00AB6353" w:rsidRPr="00E50138" w:rsidRDefault="00AB6353" w:rsidP="00AB6353">
      <w:pPr>
        <w:rPr>
          <w:sz w:val="16"/>
        </w:rPr>
      </w:pPr>
      <w:r w:rsidRPr="00F23715">
        <w:rPr>
          <w:rStyle w:val="StyleUnderline"/>
        </w:rPr>
        <w:t>Of more immediate relevance</w:t>
      </w:r>
      <w:r w:rsidRPr="00E50138">
        <w:rPr>
          <w:sz w:val="16"/>
        </w:rPr>
        <w:t xml:space="preserve"> here is Holmes’ alternative point, though literally just an “aside” – </w:t>
      </w:r>
      <w:r w:rsidRPr="00F23715">
        <w:rPr>
          <w:rStyle w:val="StyleUnderline"/>
        </w:rPr>
        <w:t>that the statute incorporates</w:t>
      </w:r>
      <w:r w:rsidRPr="00E50138">
        <w:rPr>
          <w:sz w:val="16"/>
        </w:rPr>
        <w:t xml:space="preserve"> the </w:t>
      </w:r>
      <w:r w:rsidRPr="00F23715">
        <w:rPr>
          <w:rStyle w:val="StyleUnderline"/>
        </w:rPr>
        <w:t>common law definition of “restraint of trade.”  In effect, Holmes says</w:t>
      </w:r>
      <w:r w:rsidRPr="00E50138">
        <w:rPr>
          <w:sz w:val="16"/>
        </w:rPr>
        <w:t xml:space="preserve"> that </w:t>
      </w:r>
      <w:r w:rsidRPr="00F23715">
        <w:rPr>
          <w:rStyle w:val="StyleUnderline"/>
        </w:rPr>
        <w:t>“restraint of trade” is a term of art</w:t>
      </w:r>
      <w:r w:rsidRPr="00E50138">
        <w:rPr>
          <w:sz w:val="16"/>
        </w:rPr>
        <w:t xml:space="preserve">, but one </w:t>
      </w:r>
      <w:r w:rsidRPr="00F23715">
        <w:rPr>
          <w:rStyle w:val="StyleUnderline"/>
        </w:rPr>
        <w:t>defined, not by statute, but by</w:t>
      </w:r>
      <w:r w:rsidRPr="00E50138">
        <w:rPr>
          <w:sz w:val="16"/>
        </w:rPr>
        <w:t xml:space="preserve"> the </w:t>
      </w:r>
      <w:r w:rsidRPr="00E50138">
        <w:rPr>
          <w:rStyle w:val="Emphasis"/>
        </w:rPr>
        <w:t>less precise case law</w:t>
      </w:r>
      <w:r w:rsidRPr="00E50138">
        <w:rPr>
          <w:sz w:val="16"/>
        </w:rPr>
        <w:t xml:space="preserve"> development </w:t>
      </w:r>
      <w:r w:rsidRPr="00F23715">
        <w:rPr>
          <w:rStyle w:val="StyleUnderline"/>
        </w:rPr>
        <w:t>typical of the common law.</w:t>
      </w:r>
      <w:r w:rsidRPr="00E50138">
        <w:rPr>
          <w:sz w:val="16"/>
        </w:rPr>
        <w:t xml:space="preserve">  At a minimum, </w:t>
      </w:r>
      <w:r w:rsidRPr="00F23715">
        <w:rPr>
          <w:rStyle w:val="StyleUnderline"/>
        </w:rPr>
        <w:t xml:space="preserve">this leaves </w:t>
      </w:r>
      <w:r w:rsidRPr="00E50138">
        <w:rPr>
          <w:sz w:val="16"/>
        </w:rPr>
        <w:t xml:space="preserve">open </w:t>
      </w:r>
      <w:r w:rsidRPr="00F23715">
        <w:rPr>
          <w:rStyle w:val="StyleUnderline"/>
        </w:rPr>
        <w:t>the question: did Congress</w:t>
      </w:r>
      <w:r w:rsidRPr="00E50138">
        <w:rPr>
          <w:sz w:val="16"/>
        </w:rPr>
        <w:t xml:space="preserve">, in using the common law term “restraint of trade,” </w:t>
      </w:r>
      <w:r w:rsidRPr="00F23715">
        <w:rPr>
          <w:rStyle w:val="StyleUnderline"/>
        </w:rPr>
        <w:t>mean to prohibit only</w:t>
      </w:r>
      <w:r w:rsidRPr="00E50138">
        <w:rPr>
          <w:sz w:val="16"/>
        </w:rPr>
        <w:t xml:space="preserve"> such </w:t>
      </w:r>
      <w:r w:rsidRPr="00F23715">
        <w:rPr>
          <w:rStyle w:val="StyleUnderline"/>
        </w:rPr>
        <w:t>conduct</w:t>
      </w:r>
      <w:r w:rsidRPr="00E50138">
        <w:rPr>
          <w:sz w:val="16"/>
        </w:rPr>
        <w:t xml:space="preserve"> as </w:t>
      </w:r>
      <w:r w:rsidRPr="00F23715">
        <w:rPr>
          <w:rStyle w:val="StyleUnderline"/>
        </w:rPr>
        <w:t>violated the common law definition</w:t>
      </w:r>
      <w:r w:rsidRPr="00E50138">
        <w:rPr>
          <w:sz w:val="16"/>
        </w:rPr>
        <w:t xml:space="preserve"> of “restraint of trade” </w:t>
      </w:r>
      <w:r w:rsidRPr="00F23715">
        <w:rPr>
          <w:rStyle w:val="StyleUnderline"/>
        </w:rPr>
        <w:t>of the date of</w:t>
      </w:r>
      <w:r w:rsidRPr="00E50138">
        <w:rPr>
          <w:sz w:val="16"/>
        </w:rPr>
        <w:t xml:space="preserve"> the </w:t>
      </w:r>
      <w:r w:rsidRPr="00F23715">
        <w:rPr>
          <w:rStyle w:val="StyleUnderline"/>
        </w:rPr>
        <w:t xml:space="preserve">Sherman Act’s enactment in </w:t>
      </w:r>
      <w:r w:rsidRPr="00E50138">
        <w:rPr>
          <w:rStyle w:val="StyleUnderline"/>
        </w:rPr>
        <w:t>1890, or did it prohibit restraints</w:t>
      </w:r>
      <w:r w:rsidRPr="00E50138">
        <w:rPr>
          <w:sz w:val="16"/>
        </w:rPr>
        <w:t xml:space="preserve"> of </w:t>
      </w:r>
      <w:r w:rsidRPr="00E50138">
        <w:rPr>
          <w:rStyle w:val="StyleUnderline"/>
        </w:rPr>
        <w:t>trade that subsequent courts might conclude were a reasonable common law extension</w:t>
      </w:r>
      <w:r w:rsidRPr="00E50138">
        <w:rPr>
          <w:sz w:val="16"/>
        </w:rPr>
        <w:t xml:space="preserve"> of the common law of restraint of trade?  </w:t>
      </w:r>
      <w:r w:rsidRPr="00E50138">
        <w:rPr>
          <w:rStyle w:val="StyleUnderline"/>
        </w:rPr>
        <w:t>Classic principles</w:t>
      </w:r>
      <w:r w:rsidRPr="00E50138">
        <w:rPr>
          <w:sz w:val="16"/>
        </w:rPr>
        <w:t xml:space="preserve"> of statutory construction </w:t>
      </w:r>
      <w:r w:rsidRPr="00E50138">
        <w:rPr>
          <w:rStyle w:val="StyleUnderline"/>
        </w:rPr>
        <w:t xml:space="preserve">of </w:t>
      </w:r>
      <w:r w:rsidRPr="00E50138">
        <w:rPr>
          <w:rStyle w:val="Emphasis"/>
        </w:rPr>
        <w:t>criminal statutes</w:t>
      </w:r>
      <w:r w:rsidRPr="00E50138">
        <w:rPr>
          <w:sz w:val="16"/>
        </w:rPr>
        <w:t xml:space="preserve"> would </w:t>
      </w:r>
      <w:r w:rsidRPr="00E50138">
        <w:rPr>
          <w:rStyle w:val="Emphasis"/>
        </w:rPr>
        <w:t>favor the former</w:t>
      </w:r>
      <w:r w:rsidRPr="00E50138">
        <w:rPr>
          <w:rStyle w:val="StyleUnderline"/>
        </w:rPr>
        <w:t xml:space="preserve"> v</w:t>
      </w:r>
      <w:r w:rsidRPr="00E50138">
        <w:rPr>
          <w:sz w:val="16"/>
        </w:rPr>
        <w:t xml:space="preserve">iew, not only </w:t>
      </w:r>
      <w:r w:rsidRPr="00E50138">
        <w:rPr>
          <w:rStyle w:val="StyleUnderline"/>
        </w:rPr>
        <w:t>because criminal statutes should be interpreted narrowly</w:t>
      </w:r>
      <w:r w:rsidRPr="00E50138">
        <w:rPr>
          <w:sz w:val="16"/>
        </w:rPr>
        <w:t xml:space="preserve"> but </w:t>
      </w:r>
      <w:r w:rsidRPr="00E50138">
        <w:rPr>
          <w:rStyle w:val="StyleUnderline"/>
        </w:rPr>
        <w:t>also</w:t>
      </w:r>
      <w:r w:rsidRPr="00E50138">
        <w:rPr>
          <w:sz w:val="16"/>
        </w:rPr>
        <w:t xml:space="preserve"> because, </w:t>
      </w:r>
      <w:r w:rsidRPr="00E50138">
        <w:rPr>
          <w:rStyle w:val="StyleUnderline"/>
        </w:rPr>
        <w:t xml:space="preserve">under </w:t>
      </w:r>
      <w:r w:rsidRPr="00E50138">
        <w:rPr>
          <w:rStyle w:val="Emphasis"/>
        </w:rPr>
        <w:t>separation of powers</w:t>
      </w:r>
      <w:r w:rsidRPr="00E50138">
        <w:rPr>
          <w:rStyle w:val="StyleUnderline"/>
        </w:rPr>
        <w:t>, only the legislature can define a crime. But classic principles</w:t>
      </w:r>
      <w:r w:rsidRPr="00E50138">
        <w:rPr>
          <w:sz w:val="16"/>
        </w:rPr>
        <w:t xml:space="preserve"> of statutory construction </w:t>
      </w:r>
      <w:r w:rsidRPr="00E50138">
        <w:rPr>
          <w:rStyle w:val="StyleUnderline"/>
        </w:rPr>
        <w:t xml:space="preserve">of </w:t>
      </w:r>
      <w:r w:rsidRPr="00E50138">
        <w:rPr>
          <w:rStyle w:val="Emphasis"/>
        </w:rPr>
        <w:t>civil statutes</w:t>
      </w:r>
      <w:r w:rsidRPr="00E50138">
        <w:rPr>
          <w:sz w:val="16"/>
        </w:rPr>
        <w:t xml:space="preserve"> would </w:t>
      </w:r>
      <w:r w:rsidRPr="00E50138">
        <w:rPr>
          <w:rStyle w:val="Emphasis"/>
        </w:rPr>
        <w:t>favor the latter</w:t>
      </w:r>
      <w:r w:rsidRPr="00E50138">
        <w:rPr>
          <w:sz w:val="16"/>
        </w:rPr>
        <w:t xml:space="preserve"> view, </w:t>
      </w:r>
      <w:r w:rsidRPr="00E50138">
        <w:rPr>
          <w:rStyle w:val="StyleUnderline"/>
        </w:rPr>
        <w:t>since such statutes should be broadly interpreted</w:t>
      </w:r>
      <w:r w:rsidRPr="00E50138">
        <w:rPr>
          <w:sz w:val="16"/>
        </w:rPr>
        <w:t xml:space="preserve"> to effectuate their underlying purposes and since, in any event, a common law definition is never set-in-stone but is constantly developing case-by-case. </w:t>
      </w:r>
    </w:p>
    <w:p w14:paraId="3328D1C8" w14:textId="77777777" w:rsidR="00AB6353" w:rsidRPr="002B410A" w:rsidRDefault="00AB6353" w:rsidP="00AB6353">
      <w:pPr>
        <w:rPr>
          <w:sz w:val="16"/>
        </w:rPr>
      </w:pPr>
      <w:r w:rsidRPr="002B410A">
        <w:rPr>
          <w:rStyle w:val="StyleUnderline"/>
        </w:rPr>
        <w:t>This inherent conflict</w:t>
      </w:r>
      <w:r w:rsidRPr="002B410A">
        <w:rPr>
          <w:sz w:val="16"/>
        </w:rPr>
        <w:t xml:space="preserve"> in the interpretation of the Sherman Act </w:t>
      </w:r>
      <w:r w:rsidRPr="002B410A">
        <w:rPr>
          <w:rStyle w:val="Emphasis"/>
        </w:rPr>
        <w:t>has never been</w:t>
      </w:r>
      <w:r w:rsidRPr="002B410A">
        <w:rPr>
          <w:sz w:val="16"/>
        </w:rPr>
        <w:t xml:space="preserve"> definitively </w:t>
      </w:r>
      <w:r w:rsidRPr="002B410A">
        <w:rPr>
          <w:rStyle w:val="Emphasis"/>
        </w:rPr>
        <w:t>resolved</w:t>
      </w:r>
      <w:r w:rsidRPr="002B410A">
        <w:rPr>
          <w:sz w:val="16"/>
        </w:rPr>
        <w:t xml:space="preserve">, even now, over a century later. For many years, the Department of Justice avoided the issue by only bringing cases of clear-cut antitrust violations that would qualify as restraints of trade under virtually any definition.  And ultimately the Supreme Court purported to resolve the issue – but in my view really avoided it – by holding U.S. v. United States Gypsum Co., 438 U.S. 422 (1978), that, whatever the meaning of “restraint of trade,” the Government, in order to convict a defendant of a criminal violation of the Sherman Act, had to show that the defendant acted with a higher degree of wrongful intent – specifically knowing involvement – than had to be shown to hold a defendant liable for civil violation of the same act. </w:t>
      </w:r>
    </w:p>
    <w:p w14:paraId="4004B1EF" w14:textId="77777777" w:rsidR="00AB6353" w:rsidRPr="00E86824" w:rsidRDefault="00AB6353" w:rsidP="00AB6353">
      <w:pPr>
        <w:rPr>
          <w:sz w:val="16"/>
        </w:rPr>
      </w:pPr>
      <w:r w:rsidRPr="00E86824">
        <w:rPr>
          <w:rStyle w:val="StyleUnderline"/>
        </w:rPr>
        <w:t>This approach</w:t>
      </w:r>
      <w:r w:rsidRPr="00E86824">
        <w:rPr>
          <w:sz w:val="16"/>
        </w:rPr>
        <w:t xml:space="preserve"> – which </w:t>
      </w:r>
      <w:r w:rsidRPr="00E86824">
        <w:rPr>
          <w:rStyle w:val="StyleUnderline"/>
        </w:rPr>
        <w:t>the Supreme Court has</w:t>
      </w:r>
      <w:r w:rsidRPr="00E86824">
        <w:rPr>
          <w:sz w:val="16"/>
        </w:rPr>
        <w:t xml:space="preserve"> similarly </w:t>
      </w:r>
      <w:r w:rsidRPr="00E86824">
        <w:rPr>
          <w:rStyle w:val="StyleUnderline"/>
        </w:rPr>
        <w:t>taken in trying to resolve</w:t>
      </w:r>
      <w:r w:rsidRPr="00E86824">
        <w:rPr>
          <w:sz w:val="16"/>
        </w:rPr>
        <w:t xml:space="preserve"> the civil/criminal tension in </w:t>
      </w:r>
      <w:r w:rsidRPr="00E86824">
        <w:rPr>
          <w:rStyle w:val="Emphasis"/>
        </w:rPr>
        <w:t>other hybrid statutes</w:t>
      </w:r>
      <w:r w:rsidRPr="00E86824">
        <w:rPr>
          <w:sz w:val="16"/>
        </w:rPr>
        <w:t xml:space="preserve"> – is, I submit, a partial solution at best.  For if a person, with all the wrongful intent in the world, enters into a conspiracy to affect commerce in a manner that does not in fact constitute a restraint of trade - however defined – how can he be found to violate the Sherman Act?  Thus, </w:t>
      </w:r>
      <w:r w:rsidRPr="00E86824">
        <w:rPr>
          <w:rStyle w:val="StyleUnderline"/>
        </w:rPr>
        <w:t>whether “restraint of trade” is to be defined in terms of criminal law</w:t>
      </w:r>
      <w:r w:rsidRPr="00E86824">
        <w:rPr>
          <w:sz w:val="16"/>
        </w:rPr>
        <w:t xml:space="preserve"> principles, that is, narrowly, </w:t>
      </w:r>
      <w:r w:rsidRPr="00E86824">
        <w:rPr>
          <w:rStyle w:val="StyleUnderline"/>
        </w:rPr>
        <w:t>or</w:t>
      </w:r>
      <w:r w:rsidRPr="00E86824">
        <w:rPr>
          <w:sz w:val="16"/>
        </w:rPr>
        <w:t xml:space="preserve"> in terms </w:t>
      </w:r>
      <w:r w:rsidRPr="00E86824">
        <w:rPr>
          <w:rStyle w:val="StyleUnderline"/>
        </w:rPr>
        <w:t>of civil law</w:t>
      </w:r>
      <w:r w:rsidRPr="00E86824">
        <w:rPr>
          <w:sz w:val="16"/>
        </w:rPr>
        <w:t xml:space="preserve"> principles, that is, broadly, </w:t>
      </w:r>
      <w:r w:rsidRPr="00E86824">
        <w:rPr>
          <w:rStyle w:val="StyleUnderline"/>
        </w:rPr>
        <w:t>is still an issue that must be reached</w:t>
      </w:r>
      <w:r w:rsidRPr="00E86824">
        <w:rPr>
          <w:sz w:val="16"/>
        </w:rPr>
        <w:t>, even if silently.</w:t>
      </w:r>
    </w:p>
    <w:p w14:paraId="0F2AF438" w14:textId="77777777" w:rsidR="00AB6353" w:rsidRDefault="00AB6353" w:rsidP="00AB6353"/>
    <w:p w14:paraId="7DE7CC60" w14:textId="77777777" w:rsidR="00AB6353" w:rsidRDefault="00AB6353" w:rsidP="00AB6353">
      <w:pPr>
        <w:pStyle w:val="Heading4"/>
      </w:pPr>
      <w:r>
        <w:t>Insider trading.</w:t>
      </w:r>
    </w:p>
    <w:p w14:paraId="40987C61" w14:textId="77777777" w:rsidR="00AB6353" w:rsidRDefault="00AB6353" w:rsidP="00AB6353">
      <w:pPr>
        <w:rPr>
          <w:lang w:eastAsia="zh-CN"/>
        </w:rPr>
      </w:pPr>
      <w:r>
        <w:rPr>
          <w:rStyle w:val="Style13ptBold"/>
        </w:rPr>
        <w:t>Rakoff 15</w:t>
      </w:r>
      <w:r>
        <w:t xml:space="preserve"> – </w:t>
      </w:r>
      <w:r>
        <w:rPr>
          <w:lang w:eastAsia="zh-CN"/>
        </w:rPr>
        <w:t>Jed S. Rakoff, Senior Judge of the United States District Court for the Southern District of New York, April 17</w:t>
      </w:r>
      <w:r w:rsidRPr="007E37AA">
        <w:rPr>
          <w:vertAlign w:val="superscript"/>
          <w:lang w:eastAsia="zh-CN"/>
        </w:rPr>
        <w:t>th</w:t>
      </w:r>
      <w:r>
        <w:rPr>
          <w:lang w:eastAsia="zh-CN"/>
        </w:rPr>
        <w:t xml:space="preserve"> ("Hybrid Statutes: A Study in Uncertainty,” New York University School of Law, available online at https://www.law.nyu.edu/sites/default/files/upload_documents/Judge%20Rakoff%27s%20Address%20NYU%202015-04-17.pdf, accessed 6-28-2020) LR</w:t>
      </w:r>
    </w:p>
    <w:p w14:paraId="34E878AB" w14:textId="77777777" w:rsidR="00AB6353" w:rsidRPr="00DD1AE8" w:rsidRDefault="00AB6353" w:rsidP="00AB6353">
      <w:pPr>
        <w:rPr>
          <w:rStyle w:val="StyleUnderline"/>
        </w:rPr>
      </w:pPr>
      <w:r w:rsidRPr="00DD1AE8">
        <w:rPr>
          <w:sz w:val="16"/>
        </w:rPr>
        <w:t xml:space="preserve">Consider next, the </w:t>
      </w:r>
      <w:r w:rsidRPr="00DD1AE8">
        <w:rPr>
          <w:rStyle w:val="StyleUnderline"/>
        </w:rPr>
        <w:t>federal securities laws</w:t>
      </w:r>
      <w:r w:rsidRPr="00DD1AE8">
        <w:rPr>
          <w:sz w:val="16"/>
        </w:rPr>
        <w:t xml:space="preserve">, and, </w:t>
      </w:r>
      <w:r w:rsidRPr="00DD1AE8">
        <w:rPr>
          <w:rStyle w:val="StyleUnderline"/>
        </w:rPr>
        <w:t>to be au cou</w:t>
      </w:r>
      <w:r w:rsidRPr="0026453D">
        <w:rPr>
          <w:rStyle w:val="StyleUnderline"/>
        </w:rPr>
        <w:t>rant</w:t>
      </w:r>
      <w:r w:rsidRPr="00DD1AE8">
        <w:rPr>
          <w:sz w:val="16"/>
        </w:rPr>
        <w:t xml:space="preserve">, the </w:t>
      </w:r>
      <w:r w:rsidRPr="00DD1AE8">
        <w:rPr>
          <w:rStyle w:val="StyleUnderline"/>
        </w:rPr>
        <w:t xml:space="preserve">definition of </w:t>
      </w:r>
      <w:r w:rsidRPr="0026453D">
        <w:rPr>
          <w:rStyle w:val="Emphasis"/>
        </w:rPr>
        <w:t>insider trading</w:t>
      </w:r>
      <w:r w:rsidRPr="00DD1AE8">
        <w:rPr>
          <w:rStyle w:val="StyleUnderline"/>
        </w:rPr>
        <w:t>.  Federal law does not prohibit “insider trading” in those words, but treats it as a form of fraud prohibited by SEC Rule 10b-5</w:t>
      </w:r>
      <w:r w:rsidRPr="00DD1AE8">
        <w:rPr>
          <w:sz w:val="16"/>
        </w:rPr>
        <w:t xml:space="preserve">, promulgated by the SEC in 1942 pursuant to Section 10(b) of the Securities Exchange Act.  </w:t>
      </w:r>
      <w:r w:rsidRPr="00DD1AE8">
        <w:rPr>
          <w:rStyle w:val="StyleUnderline"/>
        </w:rPr>
        <w:t>The rule</w:t>
      </w:r>
      <w:r w:rsidRPr="00DD1AE8">
        <w:rPr>
          <w:sz w:val="16"/>
        </w:rPr>
        <w:t xml:space="preserve"> itself, 10b-5, </w:t>
      </w:r>
      <w:r w:rsidRPr="00DD1AE8">
        <w:rPr>
          <w:rStyle w:val="StyleUnderline"/>
        </w:rPr>
        <w:t>broadly prohibits</w:t>
      </w:r>
      <w:r w:rsidRPr="00DD1AE8">
        <w:rPr>
          <w:sz w:val="16"/>
        </w:rPr>
        <w:t xml:space="preserve"> any scheme or artifice to defraud in connection with the purchase or sale of securities.  </w:t>
      </w:r>
      <w:r w:rsidRPr="00DD1AE8">
        <w:rPr>
          <w:rStyle w:val="StyleUnderline"/>
        </w:rPr>
        <w:t>But in a series of cases beginning with an SEC administrative decision</w:t>
      </w:r>
      <w:r w:rsidRPr="00DD1AE8">
        <w:rPr>
          <w:sz w:val="16"/>
        </w:rPr>
        <w:t xml:space="preserve">, In re Cady Roberts, 40 SEC 907 (1961), continuing with a civil case in the Second Circuit, SEC v. Texas Gulf Sulphur Co., 401 F.2d 833 (2d Cir. 1968), and </w:t>
      </w:r>
      <w:r w:rsidRPr="00DD1AE8">
        <w:rPr>
          <w:rStyle w:val="StyleUnderline"/>
        </w:rPr>
        <w:t>concluding with two cases in the Supreme Court</w:t>
      </w:r>
      <w:r w:rsidRPr="00DD1AE8">
        <w:rPr>
          <w:sz w:val="16"/>
        </w:rPr>
        <w:t xml:space="preserve">, specifically, </w:t>
      </w:r>
      <w:r w:rsidRPr="00DD1AE8">
        <w:rPr>
          <w:rStyle w:val="StyleUnderline"/>
        </w:rPr>
        <w:t>a civil case, Dirks</w:t>
      </w:r>
      <w:r w:rsidRPr="00DD1AE8">
        <w:rPr>
          <w:sz w:val="16"/>
        </w:rPr>
        <w:t xml:space="preserve"> v. SEC, 483 U.S. 646 (1983) </w:t>
      </w:r>
      <w:r w:rsidRPr="00DD1AE8">
        <w:rPr>
          <w:rStyle w:val="StyleUnderline"/>
        </w:rPr>
        <w:t>and</w:t>
      </w:r>
      <w:r w:rsidRPr="00DD1AE8">
        <w:rPr>
          <w:sz w:val="16"/>
        </w:rPr>
        <w:t xml:space="preserve"> </w:t>
      </w:r>
      <w:r w:rsidRPr="00DD1AE8">
        <w:rPr>
          <w:rStyle w:val="StyleUnderline"/>
        </w:rPr>
        <w:t>a criminal case</w:t>
      </w:r>
      <w:r w:rsidRPr="00DD1AE8">
        <w:rPr>
          <w:sz w:val="16"/>
        </w:rPr>
        <w:t>, U.S. v.</w:t>
      </w:r>
      <w:r w:rsidRPr="00DD1AE8">
        <w:rPr>
          <w:rStyle w:val="StyleUnderline"/>
        </w:rPr>
        <w:t xml:space="preserve"> O’Hagan</w:t>
      </w:r>
      <w:r w:rsidRPr="00DD1AE8">
        <w:rPr>
          <w:sz w:val="16"/>
        </w:rPr>
        <w:t xml:space="preserve">, 521 U.S. 642 (1997), the </w:t>
      </w:r>
      <w:r w:rsidRPr="00DD1AE8">
        <w:rPr>
          <w:rStyle w:val="StyleUnderline"/>
        </w:rPr>
        <w:t>courts have determined</w:t>
      </w:r>
      <w:r w:rsidRPr="00DD1AE8">
        <w:rPr>
          <w:sz w:val="16"/>
        </w:rPr>
        <w:t xml:space="preserve"> that </w:t>
      </w:r>
      <w:r w:rsidRPr="00DD1AE8">
        <w:rPr>
          <w:rStyle w:val="StyleUnderline"/>
        </w:rPr>
        <w:t>trading on inside info</w:t>
      </w:r>
      <w:r w:rsidRPr="0026453D">
        <w:rPr>
          <w:sz w:val="16"/>
          <w:szCs w:val="16"/>
        </w:rPr>
        <w:t>r</w:t>
      </w:r>
      <w:r w:rsidRPr="00DD1AE8">
        <w:rPr>
          <w:sz w:val="16"/>
        </w:rPr>
        <w:t xml:space="preserve">mation </w:t>
      </w:r>
      <w:r w:rsidRPr="00DD1AE8">
        <w:rPr>
          <w:rStyle w:val="StyleUnderline"/>
        </w:rPr>
        <w:t>can in certain circumstances constitute either an insider’s breach</w:t>
      </w:r>
      <w:r w:rsidRPr="00DD1AE8">
        <w:rPr>
          <w:sz w:val="16"/>
        </w:rPr>
        <w:t xml:space="preserve"> of fiduciary duty to his shareholders </w:t>
      </w:r>
      <w:r w:rsidRPr="00DD1AE8">
        <w:rPr>
          <w:rStyle w:val="StyleUnderline"/>
        </w:rPr>
        <w:t>or an outsider’s</w:t>
      </w:r>
      <w:r w:rsidRPr="00DD1AE8">
        <w:rPr>
          <w:sz w:val="16"/>
        </w:rPr>
        <w:t xml:space="preserve"> misappropriation of information in </w:t>
      </w:r>
      <w:r w:rsidRPr="00DD1AE8">
        <w:rPr>
          <w:rStyle w:val="StyleUnderline"/>
        </w:rPr>
        <w:t>breach</w:t>
      </w:r>
      <w:r w:rsidRPr="00DD1AE8">
        <w:rPr>
          <w:sz w:val="16"/>
        </w:rPr>
        <w:t xml:space="preserve"> of his fiduciary duty to the source of the information.  </w:t>
      </w:r>
      <w:r w:rsidRPr="00DD1AE8">
        <w:rPr>
          <w:rStyle w:val="StyleUnderline"/>
        </w:rPr>
        <w:t>This common law development</w:t>
      </w:r>
      <w:r w:rsidRPr="00DD1AE8">
        <w:rPr>
          <w:sz w:val="16"/>
        </w:rPr>
        <w:t xml:space="preserve"> of the prohibition against insider trading </w:t>
      </w:r>
      <w:r w:rsidRPr="00DD1AE8">
        <w:rPr>
          <w:rStyle w:val="StyleUnderline"/>
        </w:rPr>
        <w:t xml:space="preserve">raises all sorts of </w:t>
      </w:r>
      <w:r w:rsidRPr="0026453D">
        <w:rPr>
          <w:rStyle w:val="Emphasis"/>
        </w:rPr>
        <w:t>difficult questions</w:t>
      </w:r>
      <w:r w:rsidRPr="00DD1AE8">
        <w:rPr>
          <w:rStyle w:val="StyleUnderline"/>
        </w:rPr>
        <w:t>: Should the SEC, which has only civil enforcement authority, play any role</w:t>
      </w:r>
      <w:r w:rsidRPr="00DD1AE8">
        <w:rPr>
          <w:sz w:val="16"/>
        </w:rPr>
        <w:t xml:space="preserve"> whatsoever </w:t>
      </w:r>
      <w:r w:rsidRPr="00DD1AE8">
        <w:rPr>
          <w:rStyle w:val="StyleUnderline"/>
        </w:rPr>
        <w:t>in defining a criminal prohibition?  Should the federal courts, which have both civil and criminal jurisdiction, be defining on a common law, case-by-case basis</w:t>
      </w:r>
      <w:r w:rsidRPr="00DD1AE8">
        <w:rPr>
          <w:sz w:val="16"/>
        </w:rPr>
        <w:t xml:space="preserve">, the </w:t>
      </w:r>
      <w:r w:rsidRPr="00DD1AE8">
        <w:rPr>
          <w:rStyle w:val="StyleUnderline"/>
        </w:rPr>
        <w:t>requirements of</w:t>
      </w:r>
      <w:r w:rsidRPr="00DD1AE8">
        <w:rPr>
          <w:sz w:val="16"/>
        </w:rPr>
        <w:t xml:space="preserve"> a </w:t>
      </w:r>
      <w:r w:rsidRPr="00DD1AE8">
        <w:rPr>
          <w:rStyle w:val="StyleUnderline"/>
        </w:rPr>
        <w:t>criminal violation not specifically defined by the legislature?</w:t>
      </w:r>
      <w:r w:rsidRPr="00DD1AE8">
        <w:rPr>
          <w:sz w:val="16"/>
        </w:rPr>
        <w:t xml:space="preserve"> And, in any event, in undertaking this development, </w:t>
      </w:r>
      <w:r w:rsidRPr="00DD1AE8">
        <w:rPr>
          <w:rStyle w:val="StyleUnderline"/>
        </w:rPr>
        <w:t>should the SEC, the courts, or both be guided b</w:t>
      </w:r>
      <w:r w:rsidRPr="00DD1AE8">
        <w:rPr>
          <w:sz w:val="16"/>
        </w:rPr>
        <w:t xml:space="preserve">y the broad interpretative </w:t>
      </w:r>
      <w:r w:rsidRPr="00DD1AE8">
        <w:rPr>
          <w:rStyle w:val="StyleUnderline"/>
        </w:rPr>
        <w:t>principles of</w:t>
      </w:r>
      <w:r w:rsidRPr="00DD1AE8">
        <w:rPr>
          <w:sz w:val="16"/>
        </w:rPr>
        <w:t xml:space="preserve"> the </w:t>
      </w:r>
      <w:r w:rsidRPr="00DD1AE8">
        <w:rPr>
          <w:rStyle w:val="StyleUnderline"/>
        </w:rPr>
        <w:t>civil</w:t>
      </w:r>
      <w:r w:rsidRPr="00DD1AE8">
        <w:rPr>
          <w:sz w:val="16"/>
        </w:rPr>
        <w:t xml:space="preserve"> law </w:t>
      </w:r>
      <w:r w:rsidRPr="00DD1AE8">
        <w:rPr>
          <w:rStyle w:val="StyleUnderline"/>
        </w:rPr>
        <w:t>or</w:t>
      </w:r>
      <w:r w:rsidRPr="00DD1AE8">
        <w:rPr>
          <w:sz w:val="16"/>
        </w:rPr>
        <w:t xml:space="preserve"> the narrow interpretive principles of the </w:t>
      </w:r>
      <w:r w:rsidRPr="00DD1AE8">
        <w:rPr>
          <w:rStyle w:val="StyleUnderline"/>
        </w:rPr>
        <w:t xml:space="preserve">criminal law? </w:t>
      </w:r>
    </w:p>
    <w:p w14:paraId="556A1362" w14:textId="77777777" w:rsidR="00AB6353" w:rsidRPr="0026453D" w:rsidRDefault="00AB6353" w:rsidP="00AB6353">
      <w:pPr>
        <w:rPr>
          <w:rStyle w:val="StyleUnderline"/>
        </w:rPr>
      </w:pPr>
      <w:r w:rsidRPr="0026453D">
        <w:rPr>
          <w:rStyle w:val="StyleUnderline"/>
        </w:rPr>
        <w:t>The courts have</w:t>
      </w:r>
      <w:r w:rsidRPr="0026453D">
        <w:rPr>
          <w:sz w:val="16"/>
        </w:rPr>
        <w:t xml:space="preserve"> largely </w:t>
      </w:r>
      <w:r w:rsidRPr="0026453D">
        <w:rPr>
          <w:rStyle w:val="Emphasis"/>
        </w:rPr>
        <w:t>avoided these questions</w:t>
      </w:r>
      <w:r w:rsidRPr="0026453D">
        <w:rPr>
          <w:rStyle w:val="StyleUnderline"/>
        </w:rPr>
        <w:t>.</w:t>
      </w:r>
      <w:r w:rsidRPr="0026453D">
        <w:rPr>
          <w:sz w:val="16"/>
        </w:rPr>
        <w:t xml:space="preserve">  For example, the sine qua non of any insider trading violation is a breach of either a fiduciary duty or, as the decisions say, some similar duty of trust and confidence.  But </w:t>
      </w:r>
      <w:r w:rsidRPr="0026453D">
        <w:rPr>
          <w:rStyle w:val="StyleUnderline"/>
        </w:rPr>
        <w:t>it is the federal case law that defines what</w:t>
      </w:r>
      <w:r w:rsidRPr="0026453D">
        <w:rPr>
          <w:sz w:val="16"/>
        </w:rPr>
        <w:t xml:space="preserve"> fiduciary duties and duties of trust and confidence </w:t>
      </w:r>
      <w:r w:rsidRPr="0026453D">
        <w:rPr>
          <w:rStyle w:val="StyleUnderline"/>
        </w:rPr>
        <w:t xml:space="preserve">are applicable to insider trading, and this raises all the same problems as the common law aspects of the Sherman Act. </w:t>
      </w:r>
    </w:p>
    <w:p w14:paraId="61767995" w14:textId="77777777" w:rsidR="00AB6353" w:rsidRDefault="00AB6353" w:rsidP="00AB6353"/>
    <w:p w14:paraId="192320F3" w14:textId="77777777" w:rsidR="00AB6353" w:rsidRDefault="00AB6353" w:rsidP="00AB6353">
      <w:pPr>
        <w:pStyle w:val="Heading4"/>
      </w:pPr>
      <w:r>
        <w:t>RICO.</w:t>
      </w:r>
    </w:p>
    <w:p w14:paraId="73B3B941" w14:textId="77777777" w:rsidR="00AB6353" w:rsidRDefault="00AB6353" w:rsidP="00AB6353">
      <w:pPr>
        <w:rPr>
          <w:lang w:eastAsia="zh-CN"/>
        </w:rPr>
      </w:pPr>
      <w:r>
        <w:rPr>
          <w:rStyle w:val="Style13ptBold"/>
        </w:rPr>
        <w:t>Rakoff 15</w:t>
      </w:r>
      <w:r>
        <w:t xml:space="preserve"> – </w:t>
      </w:r>
      <w:r>
        <w:rPr>
          <w:lang w:eastAsia="zh-CN"/>
        </w:rPr>
        <w:t>Jed S. Rakoff, Senior Judge of the United States District Court for the Southern District of New York, April 17</w:t>
      </w:r>
      <w:r w:rsidRPr="007E37AA">
        <w:rPr>
          <w:vertAlign w:val="superscript"/>
          <w:lang w:eastAsia="zh-CN"/>
        </w:rPr>
        <w:t>th</w:t>
      </w:r>
      <w:r>
        <w:rPr>
          <w:lang w:eastAsia="zh-CN"/>
        </w:rPr>
        <w:t xml:space="preserve"> ("Hybrid Statutes: A Study in Uncertainty,” New York University School of Law, available online at https://www.law.nyu.edu/sites/default/files/upload_documents/Judge%20Rakoff%27s%20Address%20NYU%202015-04-17.pdf, accessed 6-28-2020) LR</w:t>
      </w:r>
    </w:p>
    <w:p w14:paraId="50D6EE8B" w14:textId="77777777" w:rsidR="00AB6353" w:rsidRPr="00F03C85" w:rsidRDefault="00AB6353" w:rsidP="00AB6353">
      <w:pPr>
        <w:rPr>
          <w:rStyle w:val="StyleUnderline"/>
        </w:rPr>
      </w:pPr>
      <w:r w:rsidRPr="00F03C85">
        <w:rPr>
          <w:sz w:val="16"/>
        </w:rPr>
        <w:t xml:space="preserve">For my last example, let me turn to </w:t>
      </w:r>
      <w:r w:rsidRPr="00F03C85">
        <w:rPr>
          <w:rStyle w:val="StyleUnderline"/>
        </w:rPr>
        <w:t xml:space="preserve">the most curious of all hybrid statutes, </w:t>
      </w:r>
      <w:r w:rsidRPr="00247EE8">
        <w:rPr>
          <w:rStyle w:val="Emphasis"/>
        </w:rPr>
        <w:t>RICO</w:t>
      </w:r>
      <w:r w:rsidRPr="00F03C85">
        <w:rPr>
          <w:rStyle w:val="StyleUnderline"/>
        </w:rPr>
        <w:t>.  RICO</w:t>
      </w:r>
      <w:r w:rsidRPr="00F03C85">
        <w:rPr>
          <w:sz w:val="16"/>
        </w:rPr>
        <w:t xml:space="preserve"> should have special interest for this audience, for it was </w:t>
      </w:r>
      <w:r w:rsidRPr="00F03C85">
        <w:rPr>
          <w:rStyle w:val="StyleUnderline"/>
        </w:rPr>
        <w:t xml:space="preserve">the first </w:t>
      </w:r>
      <w:r w:rsidRPr="00247EE8">
        <w:rPr>
          <w:rStyle w:val="Emphasis"/>
        </w:rPr>
        <w:t>hybrid statute</w:t>
      </w:r>
      <w:r w:rsidRPr="00F03C85">
        <w:rPr>
          <w:sz w:val="16"/>
        </w:rPr>
        <w:t xml:space="preserve"> that </w:t>
      </w:r>
      <w:r w:rsidRPr="00F03C85">
        <w:rPr>
          <w:rStyle w:val="StyleUnderline"/>
        </w:rPr>
        <w:t>provided for dissolution of a corporation</w:t>
      </w:r>
      <w:r w:rsidRPr="00F03C85">
        <w:rPr>
          <w:sz w:val="16"/>
        </w:rPr>
        <w:t xml:space="preserve">, as in the Princeton-Newport case or for a governmental takeover of an entire enterprise, as in the Teamsters case.  While these days, corporate criminal liability and governmental monitoring of companies are usually imposed without reference to RICO, it was originally </w:t>
      </w:r>
      <w:r w:rsidRPr="00F03C85">
        <w:rPr>
          <w:rStyle w:val="StyleUnderline"/>
        </w:rPr>
        <w:t>RICO</w:t>
      </w:r>
      <w:r w:rsidRPr="00F03C85">
        <w:rPr>
          <w:sz w:val="16"/>
        </w:rPr>
        <w:t xml:space="preserve"> </w:t>
      </w:r>
      <w:r w:rsidRPr="00F03C85">
        <w:rPr>
          <w:rStyle w:val="StyleUnderline"/>
        </w:rPr>
        <w:t xml:space="preserve">that set the government on this path. </w:t>
      </w:r>
    </w:p>
    <w:p w14:paraId="608A351E" w14:textId="77777777" w:rsidR="00AB6353" w:rsidRPr="00247EE8" w:rsidRDefault="00AB6353" w:rsidP="00AB6353">
      <w:pPr>
        <w:rPr>
          <w:sz w:val="16"/>
        </w:rPr>
      </w:pPr>
      <w:r w:rsidRPr="00247EE8">
        <w:rPr>
          <w:rStyle w:val="StyleUnderline"/>
        </w:rPr>
        <w:t>RICO</w:t>
      </w:r>
      <w:r w:rsidRPr="00247EE8">
        <w:rPr>
          <w:sz w:val="16"/>
        </w:rPr>
        <w:t xml:space="preserve">, moreover, </w:t>
      </w:r>
      <w:r w:rsidRPr="00247EE8">
        <w:rPr>
          <w:rStyle w:val="StyleUnderline"/>
        </w:rPr>
        <w:t>created</w:t>
      </w:r>
      <w:r w:rsidRPr="00247EE8">
        <w:rPr>
          <w:sz w:val="16"/>
        </w:rPr>
        <w:t xml:space="preserve"> a </w:t>
      </w:r>
      <w:r w:rsidRPr="00247EE8">
        <w:rPr>
          <w:rStyle w:val="StyleUnderline"/>
        </w:rPr>
        <w:t>special problem for the courts</w:t>
      </w:r>
      <w:r w:rsidRPr="00247EE8">
        <w:rPr>
          <w:sz w:val="16"/>
        </w:rPr>
        <w:t xml:space="preserve">, for </w:t>
      </w:r>
      <w:r w:rsidRPr="00247EE8">
        <w:rPr>
          <w:rStyle w:val="StyleUnderline"/>
        </w:rPr>
        <w:t>its very broad development on the private civil side was</w:t>
      </w:r>
      <w:r w:rsidRPr="00247EE8">
        <w:rPr>
          <w:sz w:val="16"/>
        </w:rPr>
        <w:t xml:space="preserve">, as the Supreme Court has had more than one occasion to note, </w:t>
      </w:r>
      <w:r w:rsidRPr="00247EE8">
        <w:rPr>
          <w:rStyle w:val="StyleUnderline"/>
        </w:rPr>
        <w:t xml:space="preserve">totally a </w:t>
      </w:r>
      <w:r w:rsidRPr="00247EE8">
        <w:rPr>
          <w:rStyle w:val="Emphasis"/>
        </w:rPr>
        <w:t>surprise</w:t>
      </w:r>
      <w:r w:rsidRPr="00247EE8">
        <w:rPr>
          <w:sz w:val="16"/>
        </w:rPr>
        <w:t xml:space="preserve">. But </w:t>
      </w:r>
      <w:r w:rsidRPr="00247EE8">
        <w:rPr>
          <w:rStyle w:val="StyleUnderline"/>
        </w:rPr>
        <w:t>RICO is so broadly and vaguely worded that a statute</w:t>
      </w:r>
      <w:r w:rsidRPr="00247EE8">
        <w:rPr>
          <w:sz w:val="16"/>
        </w:rPr>
        <w:t xml:space="preserve"> originally </w:t>
      </w:r>
      <w:r w:rsidRPr="00247EE8">
        <w:rPr>
          <w:rStyle w:val="StyleUnderline"/>
        </w:rPr>
        <w:t>designed to be used against organized crime</w:t>
      </w:r>
      <w:r w:rsidRPr="00247EE8">
        <w:rPr>
          <w:sz w:val="16"/>
        </w:rPr>
        <w:t xml:space="preserve"> may, by its terms, </w:t>
      </w:r>
      <w:r w:rsidRPr="00247EE8">
        <w:rPr>
          <w:rStyle w:val="StyleUnderline"/>
        </w:rPr>
        <w:t>be used to seek treble damages</w:t>
      </w:r>
      <w:r w:rsidRPr="00247EE8">
        <w:rPr>
          <w:sz w:val="16"/>
        </w:rPr>
        <w:t xml:space="preserve"> and attorneys’ fees </w:t>
      </w:r>
      <w:r w:rsidRPr="00247EE8">
        <w:rPr>
          <w:rStyle w:val="StyleUnderline"/>
        </w:rPr>
        <w:t>in ordinary commercial disputes</w:t>
      </w:r>
      <w:r w:rsidRPr="00247EE8">
        <w:rPr>
          <w:sz w:val="16"/>
        </w:rPr>
        <w:t xml:space="preserve"> – and the private civil bar eventually came to realize this.  </w:t>
      </w:r>
      <w:r w:rsidRPr="00247EE8">
        <w:rPr>
          <w:rStyle w:val="StyleUnderline"/>
        </w:rPr>
        <w:t>The</w:t>
      </w:r>
      <w:r w:rsidRPr="00247EE8">
        <w:rPr>
          <w:sz w:val="16"/>
        </w:rPr>
        <w:t xml:space="preserve"> ironic result has been that the courts, from the Supreme </w:t>
      </w:r>
      <w:r w:rsidRPr="00247EE8">
        <w:rPr>
          <w:rStyle w:val="StyleUnderline"/>
        </w:rPr>
        <w:t>Court</w:t>
      </w:r>
      <w:r w:rsidRPr="00247EE8">
        <w:rPr>
          <w:sz w:val="16"/>
        </w:rPr>
        <w:t xml:space="preserve"> on down, </w:t>
      </w:r>
      <w:r w:rsidRPr="00247EE8">
        <w:rPr>
          <w:rStyle w:val="StyleUnderline"/>
        </w:rPr>
        <w:t xml:space="preserve">have consciously sought to interpret RICO </w:t>
      </w:r>
      <w:r w:rsidRPr="00247EE8">
        <w:rPr>
          <w:rStyle w:val="Emphasis"/>
        </w:rPr>
        <w:t>broadly on the criminal</w:t>
      </w:r>
      <w:r w:rsidRPr="00247EE8">
        <w:rPr>
          <w:sz w:val="16"/>
        </w:rPr>
        <w:t xml:space="preserve"> side (where it is used chiefly against mobsters) </w:t>
      </w:r>
      <w:r w:rsidRPr="00247EE8">
        <w:rPr>
          <w:rStyle w:val="StyleUnderline"/>
        </w:rPr>
        <w:t xml:space="preserve">and </w:t>
      </w:r>
      <w:r w:rsidRPr="00247EE8">
        <w:rPr>
          <w:rStyle w:val="Emphasis"/>
        </w:rPr>
        <w:t>narrowly on the</w:t>
      </w:r>
      <w:r w:rsidRPr="00247EE8">
        <w:rPr>
          <w:rStyle w:val="StyleUnderline"/>
        </w:rPr>
        <w:t xml:space="preserve"> private </w:t>
      </w:r>
      <w:r w:rsidRPr="00247EE8">
        <w:rPr>
          <w:rStyle w:val="Emphasis"/>
        </w:rPr>
        <w:t>civil</w:t>
      </w:r>
      <w:r w:rsidRPr="00247EE8">
        <w:rPr>
          <w:rStyle w:val="StyleUnderline"/>
        </w:rPr>
        <w:t xml:space="preserve"> side</w:t>
      </w:r>
      <w:r w:rsidRPr="00247EE8">
        <w:rPr>
          <w:sz w:val="16"/>
        </w:rPr>
        <w:t xml:space="preserve"> (where it is used in commercial litigation) - </w:t>
      </w:r>
      <w:r w:rsidRPr="00247EE8">
        <w:rPr>
          <w:rStyle w:val="StyleUnderline"/>
        </w:rPr>
        <w:t>a</w:t>
      </w:r>
      <w:r w:rsidRPr="00247EE8">
        <w:rPr>
          <w:sz w:val="16"/>
        </w:rPr>
        <w:t xml:space="preserve"> seeming </w:t>
      </w:r>
      <w:r w:rsidRPr="00247EE8">
        <w:rPr>
          <w:rStyle w:val="StyleUnderline"/>
        </w:rPr>
        <w:t>reversal of ordinary principles of construction.</w:t>
      </w:r>
      <w:r w:rsidRPr="00247EE8">
        <w:rPr>
          <w:sz w:val="16"/>
        </w:rPr>
        <w:t xml:space="preserve">  Even there, however, the </w:t>
      </w:r>
      <w:r w:rsidRPr="00247EE8">
        <w:rPr>
          <w:rStyle w:val="StyleUnderline"/>
        </w:rPr>
        <w:t>courts</w:t>
      </w:r>
      <w:r w:rsidRPr="00247EE8">
        <w:rPr>
          <w:sz w:val="16"/>
        </w:rPr>
        <w:t xml:space="preserve"> have still been </w:t>
      </w:r>
      <w:r w:rsidRPr="00247EE8">
        <w:rPr>
          <w:rStyle w:val="StyleUnderline"/>
        </w:rPr>
        <w:t>confronted with</w:t>
      </w:r>
      <w:r w:rsidRPr="00247EE8">
        <w:rPr>
          <w:sz w:val="16"/>
        </w:rPr>
        <w:t xml:space="preserve"> the </w:t>
      </w:r>
      <w:r w:rsidRPr="00247EE8">
        <w:rPr>
          <w:rStyle w:val="Emphasis"/>
        </w:rPr>
        <w:t>classic hybrid dilemma</w:t>
      </w:r>
      <w:r w:rsidRPr="00247EE8">
        <w:rPr>
          <w:sz w:val="16"/>
        </w:rPr>
        <w:t xml:space="preserve">: If the words of a statute are to mean anything, </w:t>
      </w:r>
      <w:r w:rsidRPr="00247EE8">
        <w:rPr>
          <w:rStyle w:val="StyleUnderline"/>
        </w:rPr>
        <w:t>they must have</w:t>
      </w:r>
      <w:r w:rsidRPr="00247EE8">
        <w:rPr>
          <w:sz w:val="16"/>
        </w:rPr>
        <w:t xml:space="preserve"> the </w:t>
      </w:r>
      <w:r w:rsidRPr="00247EE8">
        <w:rPr>
          <w:rStyle w:val="StyleUnderline"/>
        </w:rPr>
        <w:t xml:space="preserve">same meaning whether </w:t>
      </w:r>
      <w:r w:rsidRPr="00247EE8">
        <w:rPr>
          <w:sz w:val="16"/>
        </w:rPr>
        <w:t xml:space="preserve">the </w:t>
      </w:r>
      <w:r w:rsidRPr="00247EE8">
        <w:rPr>
          <w:rStyle w:val="StyleUnderline"/>
        </w:rPr>
        <w:t>statute</w:t>
      </w:r>
      <w:r w:rsidRPr="00247EE8">
        <w:rPr>
          <w:sz w:val="16"/>
        </w:rPr>
        <w:t xml:space="preserve"> is used </w:t>
      </w:r>
      <w:r w:rsidRPr="00247EE8">
        <w:rPr>
          <w:rStyle w:val="StyleUnderline"/>
        </w:rPr>
        <w:t>civilly or criminally</w:t>
      </w:r>
      <w:r w:rsidRPr="00247EE8">
        <w:rPr>
          <w:sz w:val="16"/>
        </w:rPr>
        <w:t xml:space="preserve">; so whenever you interpret a term broadly or narrowly in one kind of case, you broaden it or narrow it for all cases. </w:t>
      </w:r>
    </w:p>
    <w:p w14:paraId="3124ABF2" w14:textId="77777777" w:rsidR="00AB6353" w:rsidRPr="00247EE8" w:rsidRDefault="00AB6353" w:rsidP="00AB6353">
      <w:pPr>
        <w:rPr>
          <w:sz w:val="16"/>
        </w:rPr>
      </w:pPr>
      <w:r w:rsidRPr="00247EE8">
        <w:rPr>
          <w:sz w:val="16"/>
        </w:rPr>
        <w:t xml:space="preserve">One of the elements of any </w:t>
      </w:r>
      <w:r w:rsidRPr="00247EE8">
        <w:rPr>
          <w:rStyle w:val="StyleUnderline"/>
        </w:rPr>
        <w:t>RICO violation</w:t>
      </w:r>
      <w:r w:rsidRPr="00247EE8">
        <w:rPr>
          <w:sz w:val="16"/>
        </w:rPr>
        <w:t xml:space="preserve"> is a </w:t>
      </w:r>
      <w:r w:rsidRPr="00247EE8">
        <w:rPr>
          <w:rStyle w:val="StyleUnderline"/>
        </w:rPr>
        <w:t>“pattern of racketeering activity,”</w:t>
      </w:r>
      <w:r w:rsidRPr="00247EE8">
        <w:rPr>
          <w:sz w:val="16"/>
        </w:rPr>
        <w:t xml:space="preserve"> which, as the statute states, requires two predicate acts (i.e., two violations of the various state and federal criminal statutes defined as predicate activity).  </w:t>
      </w:r>
      <w:r w:rsidRPr="00247EE8">
        <w:rPr>
          <w:rStyle w:val="StyleUnderline"/>
        </w:rPr>
        <w:t xml:space="preserve">But in </w:t>
      </w:r>
      <w:r w:rsidRPr="00247EE8">
        <w:rPr>
          <w:sz w:val="16"/>
        </w:rPr>
        <w:t xml:space="preserve">the </w:t>
      </w:r>
      <w:r w:rsidRPr="00247EE8">
        <w:rPr>
          <w:rStyle w:val="StyleUnderline"/>
        </w:rPr>
        <w:t>private civil RICO case</w:t>
      </w:r>
      <w:r w:rsidRPr="00247EE8">
        <w:rPr>
          <w:sz w:val="16"/>
        </w:rPr>
        <w:t xml:space="preserve"> of H.J., Inc. v. Northwestern Bell Telephone Co., 492 U.S. 229 (1989), the </w:t>
      </w:r>
      <w:r w:rsidRPr="00247EE8">
        <w:rPr>
          <w:rStyle w:val="StyleUnderline"/>
        </w:rPr>
        <w:t>Supreme Court</w:t>
      </w:r>
      <w:r w:rsidRPr="00247EE8">
        <w:rPr>
          <w:sz w:val="16"/>
        </w:rPr>
        <w:t xml:space="preserve"> in an </w:t>
      </w:r>
      <w:r w:rsidRPr="00247EE8">
        <w:rPr>
          <w:rStyle w:val="StyleUnderline"/>
        </w:rPr>
        <w:t>effort to narrow private civil RICO</w:t>
      </w:r>
      <w:r w:rsidRPr="00247EE8">
        <w:rPr>
          <w:sz w:val="16"/>
        </w:rPr>
        <w:t xml:space="preserve">, said that for these two acts to form a “pattern,” </w:t>
      </w:r>
      <w:r w:rsidRPr="00247EE8">
        <w:rPr>
          <w:rStyle w:val="StyleUnderline"/>
        </w:rPr>
        <w:t>they must have “continuity and relationship.”</w:t>
      </w:r>
      <w:r w:rsidRPr="00247EE8">
        <w:rPr>
          <w:sz w:val="16"/>
        </w:rPr>
        <w:t xml:space="preserve"> </w:t>
      </w:r>
    </w:p>
    <w:p w14:paraId="66E539E7" w14:textId="77777777" w:rsidR="00AB6353" w:rsidRPr="00247EE8" w:rsidRDefault="00AB6353" w:rsidP="00AB6353">
      <w:pPr>
        <w:rPr>
          <w:sz w:val="16"/>
        </w:rPr>
      </w:pPr>
      <w:r w:rsidRPr="00247EE8">
        <w:rPr>
          <w:rStyle w:val="StyleUnderline"/>
        </w:rPr>
        <w:t>These court-imposed terms are vague on their face</w:t>
      </w:r>
      <w:r w:rsidRPr="00247EE8">
        <w:rPr>
          <w:sz w:val="16"/>
        </w:rPr>
        <w:t xml:space="preserve">; indeed, </w:t>
      </w:r>
      <w:r w:rsidRPr="00247EE8">
        <w:rPr>
          <w:rStyle w:val="StyleUnderline"/>
        </w:rPr>
        <w:t>four concurring Justices</w:t>
      </w:r>
      <w:r w:rsidRPr="00247EE8">
        <w:rPr>
          <w:sz w:val="16"/>
        </w:rPr>
        <w:t xml:space="preserve"> in H.J., Inc. </w:t>
      </w:r>
      <w:r w:rsidRPr="00247EE8">
        <w:rPr>
          <w:rStyle w:val="StyleUnderline"/>
        </w:rPr>
        <w:t xml:space="preserve">suggested they were </w:t>
      </w:r>
      <w:r w:rsidRPr="00247EE8">
        <w:rPr>
          <w:rStyle w:val="Emphasis"/>
        </w:rPr>
        <w:t>unconstitutionally vague</w:t>
      </w:r>
      <w:r w:rsidRPr="00247EE8">
        <w:rPr>
          <w:rStyle w:val="StyleUnderline"/>
        </w:rPr>
        <w:t>.</w:t>
      </w:r>
      <w:r w:rsidRPr="00247EE8">
        <w:rPr>
          <w:sz w:val="16"/>
        </w:rPr>
        <w:t xml:space="preserve"> It is therefore not surprising that in the years since H.J. Inc. was decided, </w:t>
      </w:r>
      <w:r w:rsidRPr="00247EE8">
        <w:rPr>
          <w:rStyle w:val="StyleUnderline"/>
        </w:rPr>
        <w:t>the terms have been defined</w:t>
      </w:r>
      <w:r w:rsidRPr="00247EE8">
        <w:rPr>
          <w:sz w:val="16"/>
        </w:rPr>
        <w:t xml:space="preserve"> in </w:t>
      </w:r>
      <w:r w:rsidRPr="00247EE8">
        <w:rPr>
          <w:rStyle w:val="StyleUnderline"/>
        </w:rPr>
        <w:t xml:space="preserve">materially </w:t>
      </w:r>
      <w:r w:rsidRPr="00247EE8">
        <w:rPr>
          <w:rStyle w:val="Emphasis"/>
        </w:rPr>
        <w:t>inconsistent</w:t>
      </w:r>
      <w:r w:rsidRPr="00247EE8">
        <w:rPr>
          <w:rStyle w:val="StyleUnderline"/>
        </w:rPr>
        <w:t xml:space="preserve"> ways by</w:t>
      </w:r>
      <w:r w:rsidRPr="00247EE8">
        <w:rPr>
          <w:sz w:val="16"/>
        </w:rPr>
        <w:t xml:space="preserve"> the </w:t>
      </w:r>
      <w:r w:rsidRPr="00247EE8">
        <w:rPr>
          <w:rStyle w:val="StyleUnderline"/>
        </w:rPr>
        <w:t>lowers courts</w:t>
      </w:r>
      <w:r w:rsidRPr="00247EE8">
        <w:rPr>
          <w:sz w:val="16"/>
        </w:rPr>
        <w:t xml:space="preserve">, the only “consistency” being that they are </w:t>
      </w:r>
      <w:r w:rsidRPr="00247EE8">
        <w:rPr>
          <w:rStyle w:val="StyleUnderline"/>
        </w:rPr>
        <w:t>typically defined</w:t>
      </w:r>
      <w:r w:rsidRPr="00247EE8">
        <w:rPr>
          <w:sz w:val="16"/>
        </w:rPr>
        <w:t xml:space="preserve"> in private </w:t>
      </w:r>
      <w:r w:rsidRPr="00247EE8">
        <w:rPr>
          <w:rStyle w:val="StyleUnderline"/>
        </w:rPr>
        <w:t>civil</w:t>
      </w:r>
      <w:r w:rsidRPr="00247EE8">
        <w:rPr>
          <w:sz w:val="16"/>
        </w:rPr>
        <w:t xml:space="preserve"> actions so as </w:t>
      </w:r>
      <w:r w:rsidRPr="00247EE8">
        <w:rPr>
          <w:rStyle w:val="StyleUnderline"/>
        </w:rPr>
        <w:t>to dismiss</w:t>
      </w:r>
      <w:r w:rsidRPr="00247EE8">
        <w:rPr>
          <w:sz w:val="16"/>
        </w:rPr>
        <w:t xml:space="preserve"> the actions, whereas they are typically defined in </w:t>
      </w:r>
      <w:r w:rsidRPr="00247EE8">
        <w:rPr>
          <w:rStyle w:val="StyleUnderline"/>
        </w:rPr>
        <w:t>criminal</w:t>
      </w:r>
      <w:r w:rsidRPr="00247EE8">
        <w:rPr>
          <w:sz w:val="16"/>
        </w:rPr>
        <w:t xml:space="preserve"> RICO cases in such a way as </w:t>
      </w:r>
      <w:r w:rsidRPr="00247EE8">
        <w:rPr>
          <w:rStyle w:val="StyleUnderline"/>
        </w:rPr>
        <w:t>to uphold the actions.</w:t>
      </w:r>
      <w:r w:rsidRPr="00247EE8">
        <w:rPr>
          <w:sz w:val="16"/>
        </w:rPr>
        <w:t xml:space="preserve"> </w:t>
      </w:r>
    </w:p>
    <w:p w14:paraId="02EB4EB4" w14:textId="77777777" w:rsidR="00AB6353" w:rsidRPr="00621D20" w:rsidRDefault="00AB6353" w:rsidP="00AB6353">
      <w:pPr>
        <w:rPr>
          <w:sz w:val="16"/>
        </w:rPr>
      </w:pPr>
      <w:r w:rsidRPr="00247EE8">
        <w:rPr>
          <w:sz w:val="16"/>
        </w:rPr>
        <w:t xml:space="preserve">For example, whereas most courts have held that the </w:t>
      </w:r>
      <w:r w:rsidRPr="00247EE8">
        <w:rPr>
          <w:rStyle w:val="StyleUnderline"/>
        </w:rPr>
        <w:t>“continuity” requirement</w:t>
      </w:r>
      <w:r w:rsidRPr="00247EE8">
        <w:rPr>
          <w:sz w:val="16"/>
        </w:rPr>
        <w:t xml:space="preserve"> of a RICO pattern is not satisfied </w:t>
      </w:r>
      <w:r w:rsidRPr="00247EE8">
        <w:rPr>
          <w:rStyle w:val="StyleUnderline"/>
        </w:rPr>
        <w:t>in private civil</w:t>
      </w:r>
      <w:r w:rsidRPr="00247EE8">
        <w:rPr>
          <w:sz w:val="16"/>
        </w:rPr>
        <w:t xml:space="preserve"> RICO actions by anything less than a pattern of acts </w:t>
      </w:r>
      <w:r w:rsidRPr="00247EE8">
        <w:rPr>
          <w:rStyle w:val="StyleUnderline"/>
        </w:rPr>
        <w:t>extending for at least a year</w:t>
      </w:r>
      <w:r w:rsidRPr="00247EE8">
        <w:rPr>
          <w:sz w:val="16"/>
        </w:rPr>
        <w:t xml:space="preserve"> – </w:t>
      </w:r>
      <w:r w:rsidRPr="00247EE8">
        <w:rPr>
          <w:rStyle w:val="StyleUnderline"/>
        </w:rPr>
        <w:t>some</w:t>
      </w:r>
      <w:r w:rsidRPr="00247EE8">
        <w:rPr>
          <w:sz w:val="16"/>
        </w:rPr>
        <w:t xml:space="preserve"> courts </w:t>
      </w:r>
      <w:r w:rsidRPr="00247EE8">
        <w:rPr>
          <w:rStyle w:val="StyleUnderline"/>
        </w:rPr>
        <w:t>say two years</w:t>
      </w:r>
      <w:r w:rsidRPr="00247EE8">
        <w:rPr>
          <w:sz w:val="16"/>
        </w:rPr>
        <w:t xml:space="preserve"> – </w:t>
      </w:r>
      <w:r w:rsidRPr="00247EE8">
        <w:rPr>
          <w:rStyle w:val="StyleUnderline"/>
        </w:rPr>
        <w:t>in</w:t>
      </w:r>
      <w:r w:rsidRPr="00247EE8">
        <w:rPr>
          <w:sz w:val="16"/>
        </w:rPr>
        <w:t xml:space="preserve"> the </w:t>
      </w:r>
      <w:r w:rsidRPr="00247EE8">
        <w:rPr>
          <w:rStyle w:val="StyleUnderline"/>
        </w:rPr>
        <w:t>criminal case</w:t>
      </w:r>
      <w:r w:rsidRPr="00247EE8">
        <w:rPr>
          <w:sz w:val="16"/>
        </w:rPr>
        <w:t xml:space="preserve"> of U.S. v. Indelicato, 865 F.2d 1370 (2d Cir. 1989), the Second Circuit Court of Appeals, en banc, held that a gangland triple murder </w:t>
      </w:r>
      <w:r w:rsidRPr="00247EE8">
        <w:rPr>
          <w:rStyle w:val="StyleUnderline"/>
        </w:rPr>
        <w:t>lasting at most ten seconds</w:t>
      </w:r>
      <w:r w:rsidRPr="00247EE8">
        <w:rPr>
          <w:sz w:val="16"/>
        </w:rPr>
        <w:t xml:space="preserve">, which was the sole “pattern” alleged in the indictment, was </w:t>
      </w:r>
      <w:r w:rsidRPr="00247EE8">
        <w:rPr>
          <w:rStyle w:val="StyleUnderline"/>
        </w:rPr>
        <w:t>nonetheless sufficient to satisfy</w:t>
      </w:r>
      <w:r w:rsidRPr="00247EE8">
        <w:rPr>
          <w:sz w:val="16"/>
        </w:rPr>
        <w:t xml:space="preserve"> the </w:t>
      </w:r>
      <w:r w:rsidRPr="00247EE8">
        <w:rPr>
          <w:rStyle w:val="StyleUnderline"/>
        </w:rPr>
        <w:t>“continuity”</w:t>
      </w:r>
      <w:r w:rsidRPr="00247EE8">
        <w:rPr>
          <w:sz w:val="16"/>
        </w:rPr>
        <w:t xml:space="preserve"> requirement. </w:t>
      </w:r>
    </w:p>
    <w:p w14:paraId="54D21557" w14:textId="77777777" w:rsidR="001A77F6" w:rsidRDefault="001A77F6" w:rsidP="001A77F6">
      <w:pPr>
        <w:pStyle w:val="Heading3"/>
      </w:pPr>
      <w:r>
        <w:t>2AC – AT: Lenity Strong Now</w:t>
      </w:r>
    </w:p>
    <w:p w14:paraId="1A899455" w14:textId="77777777" w:rsidR="001A77F6" w:rsidRPr="002919E9" w:rsidRDefault="001A77F6" w:rsidP="001A77F6">
      <w:pPr>
        <w:pStyle w:val="Heading4"/>
      </w:pPr>
      <w:r>
        <w:t>It isn’t strong now BUT should be.</w:t>
      </w:r>
      <w:r w:rsidRPr="002919E9">
        <w:t xml:space="preserve"> </w:t>
      </w:r>
    </w:p>
    <w:p w14:paraId="2B0C3FAC" w14:textId="77777777" w:rsidR="001A77F6" w:rsidRPr="002919E9" w:rsidRDefault="001A77F6" w:rsidP="001A77F6">
      <w:r w:rsidRPr="002919E9">
        <w:rPr>
          <w:rStyle w:val="Style13ptBold"/>
        </w:rPr>
        <w:t>Greenfield 6.</w:t>
      </w:r>
      <w:r w:rsidRPr="002919E9">
        <w:t xml:space="preserve"> </w:t>
      </w:r>
      <w:r w:rsidRPr="002919E9">
        <w:rPr>
          <w:sz w:val="16"/>
          <w:szCs w:val="16"/>
        </w:rPr>
        <w:t xml:space="preserve">Dr. Elliot Greenfield; associate @ Debevoise &amp; Plimpton LLP, Ph.D. from UC Berkley, J.D. from NYU Law, and B.A. from Wesleyan University. (2006, "A Lenity Exception to Chevron Deference." Baylor Law Review, vol. 58, no. 1, 2006, p. 1-62. HeinOnline)//pacc </w:t>
      </w:r>
    </w:p>
    <w:p w14:paraId="0FF36535" w14:textId="77777777" w:rsidR="001A77F6" w:rsidRPr="002919E9" w:rsidRDefault="001A77F6" w:rsidP="001A77F6">
      <w:pPr>
        <w:rPr>
          <w:sz w:val="14"/>
          <w:szCs w:val="14"/>
        </w:rPr>
      </w:pPr>
      <w:r w:rsidRPr="002919E9">
        <w:rPr>
          <w:sz w:val="14"/>
          <w:szCs w:val="14"/>
        </w:rPr>
        <w:t>III. CHEVRON VS. LENITY-RESOLUTIONS</w:t>
      </w:r>
    </w:p>
    <w:p w14:paraId="077E4CD1" w14:textId="77777777" w:rsidR="001A77F6" w:rsidRPr="002919E9" w:rsidRDefault="001A77F6" w:rsidP="001A77F6">
      <w:pPr>
        <w:rPr>
          <w:sz w:val="14"/>
          <w:szCs w:val="14"/>
        </w:rPr>
      </w:pPr>
      <w:r w:rsidRPr="002919E9">
        <w:rPr>
          <w:sz w:val="14"/>
          <w:szCs w:val="14"/>
        </w:rPr>
        <w:t>A. Case Law</w:t>
      </w:r>
    </w:p>
    <w:p w14:paraId="1355A800" w14:textId="77777777" w:rsidR="001A77F6" w:rsidRPr="002919E9" w:rsidRDefault="001A77F6" w:rsidP="001A77F6">
      <w:pPr>
        <w:rPr>
          <w:sz w:val="14"/>
        </w:rPr>
      </w:pPr>
      <w:r w:rsidRPr="002919E9">
        <w:rPr>
          <w:u w:val="single"/>
        </w:rPr>
        <w:t xml:space="preserve">Chevron deference and the rule of lenity are both used </w:t>
      </w:r>
      <w:r w:rsidRPr="00456038">
        <w:rPr>
          <w:highlight w:val="cyan"/>
          <w:u w:val="single"/>
        </w:rPr>
        <w:t>in</w:t>
      </w:r>
      <w:r w:rsidRPr="002919E9">
        <w:rPr>
          <w:sz w:val="14"/>
        </w:rPr>
        <w:t xml:space="preserve"> choosing among acceptable meanings of an </w:t>
      </w:r>
      <w:r w:rsidRPr="00456038">
        <w:rPr>
          <w:highlight w:val="cyan"/>
          <w:u w:val="single"/>
        </w:rPr>
        <w:t>ambiguous</w:t>
      </w:r>
      <w:r w:rsidRPr="002919E9">
        <w:rPr>
          <w:u w:val="single"/>
        </w:rPr>
        <w:t xml:space="preserve"> statutory </w:t>
      </w:r>
      <w:r w:rsidRPr="00456038">
        <w:rPr>
          <w:highlight w:val="cyan"/>
          <w:u w:val="single"/>
        </w:rPr>
        <w:t>provision</w:t>
      </w:r>
      <w:r w:rsidRPr="002919E9">
        <w:rPr>
          <w:sz w:val="14"/>
        </w:rPr>
        <w:t xml:space="preserve">. </w:t>
      </w:r>
      <w:r w:rsidRPr="002919E9">
        <w:rPr>
          <w:u w:val="single"/>
        </w:rPr>
        <w:t>Thus,</w:t>
      </w:r>
      <w:r w:rsidRPr="002919E9">
        <w:rPr>
          <w:sz w:val="14"/>
        </w:rPr>
        <w:t xml:space="preserve"> the potential for a direct </w:t>
      </w:r>
      <w:r w:rsidRPr="002919E9">
        <w:rPr>
          <w:u w:val="single"/>
        </w:rPr>
        <w:t xml:space="preserve">conflict arises when </w:t>
      </w:r>
      <w:r w:rsidRPr="002919E9">
        <w:rPr>
          <w:sz w:val="14"/>
        </w:rPr>
        <w:t xml:space="preserve">a statutory ambiguity arises in a case where </w:t>
      </w:r>
      <w:r w:rsidRPr="00456038">
        <w:rPr>
          <w:highlight w:val="cyan"/>
          <w:u w:val="single"/>
        </w:rPr>
        <w:t xml:space="preserve">both </w:t>
      </w:r>
      <w:r w:rsidRPr="00456038">
        <w:rPr>
          <w:rStyle w:val="Emphasis"/>
          <w:highlight w:val="cyan"/>
        </w:rPr>
        <w:t>Chevron and lenity are applicable</w:t>
      </w:r>
      <w:r w:rsidRPr="002919E9">
        <w:rPr>
          <w:u w:val="single"/>
        </w:rPr>
        <w:t xml:space="preserve"> and</w:t>
      </w:r>
      <w:r w:rsidRPr="002919E9">
        <w:rPr>
          <w:sz w:val="14"/>
        </w:rPr>
        <w:t xml:space="preserve"> the two rules </w:t>
      </w:r>
      <w:r w:rsidRPr="002919E9">
        <w:rPr>
          <w:u w:val="single"/>
        </w:rPr>
        <w:t>command different results</w:t>
      </w:r>
      <w:r w:rsidRPr="002919E9">
        <w:rPr>
          <w:sz w:val="14"/>
        </w:rPr>
        <w:t xml:space="preserve">. </w:t>
      </w:r>
      <w:r w:rsidRPr="002919E9">
        <w:rPr>
          <w:u w:val="single"/>
        </w:rPr>
        <w:t>The</w:t>
      </w:r>
      <w:r w:rsidRPr="002919E9">
        <w:rPr>
          <w:sz w:val="14"/>
        </w:rPr>
        <w:t xml:space="preserve"> Supreme </w:t>
      </w:r>
      <w:r w:rsidRPr="002919E9">
        <w:rPr>
          <w:u w:val="single"/>
        </w:rPr>
        <w:t>Court has not addressed this potential conflict decisively, and</w:t>
      </w:r>
      <w:r w:rsidRPr="002919E9">
        <w:rPr>
          <w:sz w:val="14"/>
        </w:rPr>
        <w:t xml:space="preserve"> the </w:t>
      </w:r>
      <w:r w:rsidRPr="002919E9">
        <w:rPr>
          <w:u w:val="single"/>
        </w:rPr>
        <w:t xml:space="preserve">courts of appeals have produced </w:t>
      </w:r>
      <w:r w:rsidRPr="00645042">
        <w:rPr>
          <w:rStyle w:val="Emphasis"/>
        </w:rPr>
        <w:t>conflicting opinions</w:t>
      </w:r>
      <w:r w:rsidRPr="002919E9">
        <w:rPr>
          <w:sz w:val="14"/>
        </w:rPr>
        <w:t>.</w:t>
      </w:r>
    </w:p>
    <w:p w14:paraId="581AB2B5" w14:textId="77777777" w:rsidR="001A77F6" w:rsidRPr="002919E9" w:rsidRDefault="001A77F6" w:rsidP="001A77F6">
      <w:pPr>
        <w:rPr>
          <w:sz w:val="14"/>
          <w:szCs w:val="14"/>
        </w:rPr>
      </w:pPr>
      <w:r w:rsidRPr="002919E9">
        <w:rPr>
          <w:sz w:val="14"/>
          <w:szCs w:val="14"/>
        </w:rPr>
        <w:t>1. Supreme Court Cases</w:t>
      </w:r>
    </w:p>
    <w:p w14:paraId="1346B820" w14:textId="77777777" w:rsidR="001A77F6" w:rsidRPr="002919E9" w:rsidRDefault="001A77F6" w:rsidP="001A77F6">
      <w:pPr>
        <w:rPr>
          <w:sz w:val="14"/>
        </w:rPr>
      </w:pPr>
      <w:r w:rsidRPr="002919E9">
        <w:rPr>
          <w:sz w:val="14"/>
        </w:rPr>
        <w:t xml:space="preserve">Although </w:t>
      </w:r>
      <w:r w:rsidRPr="002919E9">
        <w:rPr>
          <w:u w:val="single"/>
        </w:rPr>
        <w:t>the</w:t>
      </w:r>
      <w:r w:rsidRPr="002919E9">
        <w:rPr>
          <w:sz w:val="14"/>
        </w:rPr>
        <w:t xml:space="preserve"> Supreme </w:t>
      </w:r>
      <w:r w:rsidRPr="002919E9">
        <w:rPr>
          <w:u w:val="single"/>
        </w:rPr>
        <w:t>Court</w:t>
      </w:r>
      <w:r w:rsidRPr="002919E9">
        <w:rPr>
          <w:sz w:val="14"/>
        </w:rPr>
        <w:t xml:space="preserve"> has not yet decided how a conflict between Chevron deference and the rule of lenity should be resolved, it has </w:t>
      </w:r>
      <w:r w:rsidRPr="002919E9">
        <w:rPr>
          <w:u w:val="single"/>
        </w:rPr>
        <w:t>briefly discussed the issue in two cases</w:t>
      </w:r>
      <w:r w:rsidRPr="002919E9">
        <w:rPr>
          <w:sz w:val="14"/>
        </w:rPr>
        <w:t>.</w:t>
      </w:r>
    </w:p>
    <w:p w14:paraId="1B126C75" w14:textId="77777777" w:rsidR="001A77F6" w:rsidRPr="00645042" w:rsidRDefault="001A77F6" w:rsidP="001A77F6">
      <w:pPr>
        <w:rPr>
          <w:sz w:val="14"/>
        </w:rPr>
      </w:pPr>
      <w:r w:rsidRPr="002919E9">
        <w:rPr>
          <w:b/>
          <w:bCs/>
          <w:i/>
          <w:iCs/>
          <w:u w:val="single"/>
        </w:rPr>
        <w:t>Crandon</w:t>
      </w:r>
      <w:r w:rsidRPr="002919E9">
        <w:rPr>
          <w:sz w:val="14"/>
        </w:rPr>
        <w:t xml:space="preserve"> v. United States, decided in 1990, </w:t>
      </w:r>
      <w:r w:rsidRPr="002919E9">
        <w:rPr>
          <w:u w:val="single"/>
        </w:rPr>
        <w:t xml:space="preserve">involved a </w:t>
      </w:r>
      <w:r w:rsidRPr="00645042">
        <w:rPr>
          <w:rStyle w:val="Emphasis"/>
        </w:rPr>
        <w:t>civil suit based on a criminal statute</w:t>
      </w:r>
      <w:r w:rsidRPr="002919E9">
        <w:rPr>
          <w:sz w:val="14"/>
        </w:rPr>
        <w:t xml:space="preserve"> that makes it illegal for government employees to receive a supplemental salary from an outside source.232 Several Boeing employees had received lump sum payments from Boeing upon leaving the company but before officially starting their government jobs.233 At issue was whether the timing of these payments fell within the scope of the 234 statute. In an opinion by Justice Stevens, the Court held that such future employees are not covered by the statute.235 In determining the meaning of the statute, the Court looked to its text, the predecessor statute, the legislative history, a Department of Justice (DOJ) memorandum, and the rule of lenity.236</w:t>
      </w:r>
    </w:p>
    <w:p w14:paraId="2CD78D43" w14:textId="77777777" w:rsidR="001A77F6" w:rsidRPr="00645042" w:rsidRDefault="001A77F6" w:rsidP="001A77F6">
      <w:pPr>
        <w:rPr>
          <w:sz w:val="14"/>
        </w:rPr>
      </w:pPr>
      <w:r w:rsidRPr="00645042">
        <w:rPr>
          <w:b/>
          <w:bCs/>
          <w:u w:val="single"/>
        </w:rPr>
        <w:t>FOOTNOTE 236:</w:t>
      </w:r>
      <w:r w:rsidRPr="00645042">
        <w:rPr>
          <w:sz w:val="14"/>
        </w:rPr>
        <w:t xml:space="preserve"> 1d. at 157-68. </w:t>
      </w:r>
      <w:r w:rsidRPr="00645042">
        <w:rPr>
          <w:u w:val="single"/>
        </w:rPr>
        <w:t xml:space="preserve">The Court found the rule of </w:t>
      </w:r>
      <w:r w:rsidRPr="00645042">
        <w:rPr>
          <w:rStyle w:val="Emphasis"/>
        </w:rPr>
        <w:t>lenity applicable to a civil suit</w:t>
      </w:r>
      <w:r w:rsidRPr="00645042">
        <w:rPr>
          <w:sz w:val="14"/>
        </w:rPr>
        <w:t xml:space="preserve">: "Moreover, because the governing standard is set forth </w:t>
      </w:r>
      <w:r w:rsidRPr="00645042">
        <w:rPr>
          <w:u w:val="single"/>
        </w:rPr>
        <w:t>in a criminal statute, it is appropriate to apply</w:t>
      </w:r>
      <w:r w:rsidRPr="00645042">
        <w:rPr>
          <w:sz w:val="14"/>
        </w:rPr>
        <w:t xml:space="preserve"> the rule of </w:t>
      </w:r>
      <w:r w:rsidRPr="00645042">
        <w:rPr>
          <w:u w:val="single"/>
        </w:rPr>
        <w:t>lenity in resolving</w:t>
      </w:r>
      <w:r w:rsidRPr="00645042">
        <w:rPr>
          <w:sz w:val="14"/>
        </w:rPr>
        <w:t xml:space="preserve"> any </w:t>
      </w:r>
      <w:r w:rsidRPr="00645042">
        <w:rPr>
          <w:u w:val="single"/>
        </w:rPr>
        <w:t>ambiguity</w:t>
      </w:r>
      <w:r w:rsidRPr="00645042">
        <w:rPr>
          <w:sz w:val="14"/>
        </w:rPr>
        <w:t xml:space="preserve"> in the ambit of the statute's coverage." Id. at 158. At the completion of its analysis, </w:t>
      </w:r>
      <w:r w:rsidRPr="00645042">
        <w:rPr>
          <w:u w:val="single"/>
        </w:rPr>
        <w:t>the Court states</w:t>
      </w:r>
      <w:r w:rsidRPr="00645042">
        <w:rPr>
          <w:sz w:val="14"/>
        </w:rPr>
        <w:t xml:space="preserve">: "To the extent that any </w:t>
      </w:r>
      <w:r w:rsidRPr="00645042">
        <w:rPr>
          <w:u w:val="single"/>
        </w:rPr>
        <w:t>ambiguity</w:t>
      </w:r>
      <w:r w:rsidRPr="00645042">
        <w:rPr>
          <w:sz w:val="14"/>
        </w:rPr>
        <w:t xml:space="preserve"> over the temporal scope of § 209(a) remains, it </w:t>
      </w:r>
      <w:r w:rsidRPr="00645042">
        <w:rPr>
          <w:u w:val="single"/>
        </w:rPr>
        <w:t>should be resolved in the petitioners' favor</w:t>
      </w:r>
      <w:r w:rsidRPr="00645042">
        <w:rPr>
          <w:sz w:val="14"/>
        </w:rPr>
        <w:t xml:space="preserve"> unless and until Congress plainly states that we have misconstrued its intent." Id. at 168. </w:t>
      </w:r>
    </w:p>
    <w:p w14:paraId="64530520" w14:textId="77777777" w:rsidR="001A77F6" w:rsidRPr="002919E9" w:rsidRDefault="001A77F6" w:rsidP="001A77F6">
      <w:pPr>
        <w:rPr>
          <w:u w:val="single"/>
        </w:rPr>
      </w:pPr>
      <w:r w:rsidRPr="002919E9">
        <w:rPr>
          <w:sz w:val="14"/>
        </w:rPr>
        <w:t xml:space="preserve">Although the majority opinion did not grant Chevron deference to the DOJ memorandum, Justice </w:t>
      </w:r>
      <w:r w:rsidRPr="00456038">
        <w:rPr>
          <w:highlight w:val="cyan"/>
          <w:u w:val="single"/>
        </w:rPr>
        <w:t>Scalia</w:t>
      </w:r>
      <w:r w:rsidRPr="002919E9">
        <w:rPr>
          <w:u w:val="single"/>
        </w:rPr>
        <w:t xml:space="preserve"> addressed the role of Chevron</w:t>
      </w:r>
      <w:r w:rsidRPr="002919E9">
        <w:rPr>
          <w:sz w:val="14"/>
        </w:rPr>
        <w:t xml:space="preserve"> in the criminal context </w:t>
      </w:r>
      <w:r w:rsidRPr="002919E9">
        <w:rPr>
          <w:u w:val="single"/>
        </w:rPr>
        <w:t xml:space="preserve">in his </w:t>
      </w:r>
      <w:r w:rsidRPr="00456038">
        <w:rPr>
          <w:b/>
          <w:bCs/>
          <w:highlight w:val="cyan"/>
          <w:u w:val="single"/>
        </w:rPr>
        <w:t>concur</w:t>
      </w:r>
      <w:r w:rsidRPr="002919E9">
        <w:rPr>
          <w:u w:val="single"/>
        </w:rPr>
        <w:t>rence:</w:t>
      </w:r>
    </w:p>
    <w:p w14:paraId="5FF888E5" w14:textId="77777777" w:rsidR="001A77F6" w:rsidRPr="002919E9" w:rsidRDefault="001A77F6" w:rsidP="001A77F6">
      <w:pPr>
        <w:ind w:left="720"/>
        <w:rPr>
          <w:sz w:val="14"/>
        </w:rPr>
      </w:pPr>
      <w:r w:rsidRPr="002919E9">
        <w:rPr>
          <w:sz w:val="14"/>
        </w:rPr>
        <w:t xml:space="preserve">The law in question, </w:t>
      </w:r>
      <w:r w:rsidRPr="00456038">
        <w:rPr>
          <w:highlight w:val="cyan"/>
          <w:u w:val="single"/>
        </w:rPr>
        <w:t xml:space="preserve">a criminal statute, is </w:t>
      </w:r>
      <w:r w:rsidRPr="00456038">
        <w:rPr>
          <w:b/>
          <w:bCs/>
          <w:highlight w:val="cyan"/>
          <w:u w:val="single"/>
        </w:rPr>
        <w:t xml:space="preserve">not </w:t>
      </w:r>
      <w:r w:rsidRPr="00456038">
        <w:rPr>
          <w:highlight w:val="cyan"/>
          <w:u w:val="single"/>
        </w:rPr>
        <w:t>administered by an</w:t>
      </w:r>
      <w:r w:rsidRPr="002919E9">
        <w:rPr>
          <w:sz w:val="14"/>
          <w:szCs w:val="14"/>
        </w:rPr>
        <w:t xml:space="preserve">y </w:t>
      </w:r>
      <w:r w:rsidRPr="00456038">
        <w:rPr>
          <w:b/>
          <w:bCs/>
          <w:highlight w:val="cyan"/>
          <w:u w:val="single"/>
        </w:rPr>
        <w:t>agency</w:t>
      </w:r>
      <w:r w:rsidRPr="00456038">
        <w:rPr>
          <w:highlight w:val="cyan"/>
          <w:u w:val="single"/>
        </w:rPr>
        <w:t xml:space="preserve"> </w:t>
      </w:r>
      <w:r w:rsidRPr="00456038">
        <w:rPr>
          <w:b/>
          <w:bCs/>
          <w:highlight w:val="cyan"/>
          <w:u w:val="single"/>
        </w:rPr>
        <w:t>but</w:t>
      </w:r>
      <w:r w:rsidRPr="002919E9">
        <w:rPr>
          <w:u w:val="single"/>
        </w:rPr>
        <w:t xml:space="preserve"> by </w:t>
      </w:r>
      <w:r w:rsidRPr="00456038">
        <w:rPr>
          <w:highlight w:val="cyan"/>
          <w:u w:val="single"/>
        </w:rPr>
        <w:t xml:space="preserve">the </w:t>
      </w:r>
      <w:r w:rsidRPr="00456038">
        <w:rPr>
          <w:b/>
          <w:bCs/>
          <w:highlight w:val="cyan"/>
          <w:u w:val="single"/>
        </w:rPr>
        <w:t>courts</w:t>
      </w:r>
      <w:r w:rsidRPr="002919E9">
        <w:rPr>
          <w:sz w:val="14"/>
        </w:rPr>
        <w:t xml:space="preserve">.... The Justice Department, of course, has a very specific responsibility to determine for itself what this statute means, in order to decide when to prosecute; but </w:t>
      </w:r>
      <w:r w:rsidRPr="00456038">
        <w:rPr>
          <w:highlight w:val="cyan"/>
          <w:u w:val="single"/>
        </w:rPr>
        <w:t xml:space="preserve">we have </w:t>
      </w:r>
      <w:r w:rsidRPr="00456038">
        <w:rPr>
          <w:rStyle w:val="Emphasis"/>
          <w:highlight w:val="cyan"/>
        </w:rPr>
        <w:t>never thought</w:t>
      </w:r>
      <w:r w:rsidRPr="002919E9">
        <w:rPr>
          <w:sz w:val="14"/>
        </w:rPr>
        <w:t xml:space="preserve"> that </w:t>
      </w:r>
      <w:r w:rsidRPr="00456038">
        <w:rPr>
          <w:highlight w:val="cyan"/>
          <w:u w:val="single"/>
        </w:rPr>
        <w:t>the interp</w:t>
      </w:r>
      <w:r w:rsidRPr="002919E9">
        <w:rPr>
          <w:sz w:val="14"/>
          <w:szCs w:val="14"/>
        </w:rPr>
        <w:t>retation</w:t>
      </w:r>
      <w:r w:rsidRPr="002919E9">
        <w:rPr>
          <w:u w:val="single"/>
        </w:rPr>
        <w:t xml:space="preserve"> of</w:t>
      </w:r>
      <w:r w:rsidRPr="002919E9">
        <w:rPr>
          <w:sz w:val="14"/>
        </w:rPr>
        <w:t xml:space="preserve"> those charged with prosecuting </w:t>
      </w:r>
      <w:r w:rsidRPr="002919E9">
        <w:rPr>
          <w:u w:val="single"/>
        </w:rPr>
        <w:t xml:space="preserve">criminal statutes </w:t>
      </w:r>
      <w:r w:rsidRPr="00456038">
        <w:rPr>
          <w:highlight w:val="cyan"/>
          <w:u w:val="single"/>
        </w:rPr>
        <w:t xml:space="preserve">is entitled to </w:t>
      </w:r>
      <w:r w:rsidRPr="00456038">
        <w:rPr>
          <w:rStyle w:val="Emphasis"/>
          <w:highlight w:val="cyan"/>
        </w:rPr>
        <w:t>deference</w:t>
      </w:r>
      <w:r w:rsidRPr="002919E9">
        <w:rPr>
          <w:sz w:val="14"/>
        </w:rPr>
        <w:t>.237</w:t>
      </w:r>
    </w:p>
    <w:p w14:paraId="5CA8A516" w14:textId="77777777" w:rsidR="001A77F6" w:rsidRPr="002919E9" w:rsidRDefault="001A77F6" w:rsidP="001A77F6">
      <w:pPr>
        <w:rPr>
          <w:sz w:val="14"/>
        </w:rPr>
      </w:pPr>
      <w:r w:rsidRPr="002919E9">
        <w:rPr>
          <w:sz w:val="14"/>
        </w:rPr>
        <w:t>Be</w:t>
      </w:r>
      <w:r w:rsidRPr="00456038">
        <w:rPr>
          <w:highlight w:val="cyan"/>
          <w:u w:val="single"/>
        </w:rPr>
        <w:t>cause</w:t>
      </w:r>
      <w:r w:rsidRPr="002919E9">
        <w:rPr>
          <w:u w:val="single"/>
        </w:rPr>
        <w:t xml:space="preserve"> </w:t>
      </w:r>
      <w:r w:rsidRPr="00456038">
        <w:rPr>
          <w:highlight w:val="cyan"/>
          <w:u w:val="single"/>
        </w:rPr>
        <w:t>agencies</w:t>
      </w:r>
      <w:r w:rsidRPr="002919E9">
        <w:rPr>
          <w:u w:val="single"/>
        </w:rPr>
        <w:t xml:space="preserve"> have a </w:t>
      </w:r>
      <w:r w:rsidRPr="00645042">
        <w:rPr>
          <w:rStyle w:val="Emphasis"/>
        </w:rPr>
        <w:t xml:space="preserve">natural </w:t>
      </w:r>
      <w:r w:rsidRPr="00456038">
        <w:rPr>
          <w:rStyle w:val="Emphasis"/>
          <w:highlight w:val="cyan"/>
        </w:rPr>
        <w:t>tend</w:t>
      </w:r>
      <w:r w:rsidRPr="00645042">
        <w:rPr>
          <w:rStyle w:val="Emphasis"/>
        </w:rPr>
        <w:t xml:space="preserve">ency </w:t>
      </w:r>
      <w:r w:rsidRPr="00456038">
        <w:rPr>
          <w:rStyle w:val="Emphasis"/>
          <w:highlight w:val="cyan"/>
        </w:rPr>
        <w:t>to broadly interpret</w:t>
      </w:r>
      <w:r w:rsidRPr="002919E9">
        <w:rPr>
          <w:sz w:val="14"/>
        </w:rPr>
        <w:t xml:space="preserve"> the </w:t>
      </w:r>
      <w:r w:rsidRPr="00456038">
        <w:rPr>
          <w:highlight w:val="cyan"/>
          <w:u w:val="single"/>
        </w:rPr>
        <w:t>statutes</w:t>
      </w:r>
      <w:r w:rsidRPr="002919E9">
        <w:rPr>
          <w:u w:val="single"/>
        </w:rPr>
        <w:t xml:space="preserve"> they administer, </w:t>
      </w:r>
      <w:r w:rsidRPr="00456038">
        <w:rPr>
          <w:highlight w:val="cyan"/>
          <w:u w:val="single"/>
        </w:rPr>
        <w:t>granting Chevron</w:t>
      </w:r>
      <w:r w:rsidRPr="002919E9">
        <w:rPr>
          <w:u w:val="single"/>
        </w:rPr>
        <w:t xml:space="preserve"> deference in the criminal context "would </w:t>
      </w:r>
      <w:r w:rsidRPr="00456038">
        <w:rPr>
          <w:b/>
          <w:bCs/>
          <w:highlight w:val="cyan"/>
          <w:u w:val="single"/>
        </w:rPr>
        <w:t>turn</w:t>
      </w:r>
      <w:r w:rsidRPr="002919E9">
        <w:rPr>
          <w:u w:val="single"/>
        </w:rPr>
        <w:t xml:space="preserve"> the normal construction of criminal </w:t>
      </w:r>
      <w:r w:rsidRPr="00456038">
        <w:rPr>
          <w:highlight w:val="cyan"/>
          <w:u w:val="single"/>
        </w:rPr>
        <w:t xml:space="preserve">statutes </w:t>
      </w:r>
      <w:r w:rsidRPr="00456038">
        <w:rPr>
          <w:b/>
          <w:bCs/>
          <w:highlight w:val="cyan"/>
          <w:u w:val="single"/>
        </w:rPr>
        <w:t>upside-down</w:t>
      </w:r>
      <w:r w:rsidRPr="002919E9">
        <w:rPr>
          <w:u w:val="single"/>
        </w:rPr>
        <w:t xml:space="preserve">, </w:t>
      </w:r>
      <w:r w:rsidRPr="00456038">
        <w:rPr>
          <w:highlight w:val="cyan"/>
          <w:u w:val="single"/>
        </w:rPr>
        <w:t>replacing</w:t>
      </w:r>
      <w:r w:rsidRPr="002919E9">
        <w:rPr>
          <w:u w:val="single"/>
        </w:rPr>
        <w:t xml:space="preserve"> the doctrine of </w:t>
      </w:r>
      <w:r w:rsidRPr="00456038">
        <w:rPr>
          <w:highlight w:val="cyan"/>
          <w:u w:val="single"/>
        </w:rPr>
        <w:t>lenity with</w:t>
      </w:r>
      <w:r w:rsidRPr="002919E9">
        <w:rPr>
          <w:u w:val="single"/>
        </w:rPr>
        <w:t xml:space="preserve"> a </w:t>
      </w:r>
      <w:r w:rsidRPr="00645042">
        <w:rPr>
          <w:rStyle w:val="Emphasis"/>
        </w:rPr>
        <w:t xml:space="preserve">doctrine of </w:t>
      </w:r>
      <w:r w:rsidRPr="00456038">
        <w:rPr>
          <w:rStyle w:val="Emphasis"/>
          <w:highlight w:val="cyan"/>
        </w:rPr>
        <w:t>severity</w:t>
      </w:r>
      <w:r w:rsidRPr="002919E9">
        <w:rPr>
          <w:sz w:val="14"/>
        </w:rPr>
        <w:t>. 238</w:t>
      </w:r>
    </w:p>
    <w:p w14:paraId="4CD22C69" w14:textId="77777777" w:rsidR="001A77F6" w:rsidRPr="002919E9" w:rsidRDefault="001A77F6" w:rsidP="001A77F6">
      <w:pPr>
        <w:rPr>
          <w:sz w:val="14"/>
        </w:rPr>
      </w:pPr>
      <w:r w:rsidRPr="002919E9">
        <w:rPr>
          <w:u w:val="single"/>
        </w:rPr>
        <w:t>In</w:t>
      </w:r>
      <w:r w:rsidRPr="002919E9">
        <w:rPr>
          <w:sz w:val="14"/>
        </w:rPr>
        <w:t xml:space="preserve"> two </w:t>
      </w:r>
      <w:r w:rsidRPr="002919E9">
        <w:rPr>
          <w:u w:val="single"/>
        </w:rPr>
        <w:t>subsequent</w:t>
      </w:r>
      <w:r w:rsidRPr="002919E9">
        <w:rPr>
          <w:sz w:val="14"/>
        </w:rPr>
        <w:t xml:space="preserve"> Supreme Court </w:t>
      </w:r>
      <w:r w:rsidRPr="002919E9">
        <w:rPr>
          <w:u w:val="single"/>
        </w:rPr>
        <w:t xml:space="preserve">opinions, the Court has </w:t>
      </w:r>
      <w:r w:rsidRPr="00456038">
        <w:rPr>
          <w:highlight w:val="cyan"/>
          <w:u w:val="single"/>
        </w:rPr>
        <w:t>referenced</w:t>
      </w:r>
      <w:r w:rsidRPr="002919E9">
        <w:rPr>
          <w:u w:val="single"/>
        </w:rPr>
        <w:t xml:space="preserve"> </w:t>
      </w:r>
      <w:r w:rsidRPr="002919E9">
        <w:rPr>
          <w:sz w:val="14"/>
        </w:rPr>
        <w:t xml:space="preserve">Justice Scalia's </w:t>
      </w:r>
      <w:r w:rsidRPr="002919E9">
        <w:rPr>
          <w:u w:val="single"/>
        </w:rPr>
        <w:t>Crandon</w:t>
      </w:r>
      <w:r w:rsidRPr="002919E9">
        <w:rPr>
          <w:sz w:val="14"/>
        </w:rPr>
        <w:t xml:space="preserve"> concurrence, </w:t>
      </w:r>
      <w:r w:rsidRPr="00456038">
        <w:rPr>
          <w:b/>
          <w:bCs/>
          <w:highlight w:val="cyan"/>
          <w:u w:val="single"/>
        </w:rPr>
        <w:t>but</w:t>
      </w:r>
      <w:r w:rsidRPr="002919E9">
        <w:rPr>
          <w:sz w:val="14"/>
        </w:rPr>
        <w:t xml:space="preserve"> both citations were made in dicta, and hence </w:t>
      </w:r>
      <w:r w:rsidRPr="002919E9">
        <w:rPr>
          <w:u w:val="single"/>
        </w:rPr>
        <w:t xml:space="preserve">it does </w:t>
      </w:r>
      <w:r w:rsidRPr="00456038">
        <w:rPr>
          <w:rStyle w:val="Emphasis"/>
          <w:highlight w:val="cyan"/>
        </w:rPr>
        <w:t>not</w:t>
      </w:r>
      <w:r w:rsidRPr="002919E9">
        <w:rPr>
          <w:u w:val="single"/>
        </w:rPr>
        <w:t xml:space="preserve"> have</w:t>
      </w:r>
      <w:r w:rsidRPr="002919E9">
        <w:rPr>
          <w:sz w:val="14"/>
        </w:rPr>
        <w:t xml:space="preserve"> the status of </w:t>
      </w:r>
      <w:r w:rsidRPr="00645042">
        <w:rPr>
          <w:rStyle w:val="Emphasis"/>
        </w:rPr>
        <w:t xml:space="preserve">binding </w:t>
      </w:r>
      <w:r w:rsidRPr="00456038">
        <w:rPr>
          <w:rStyle w:val="Emphasis"/>
          <w:highlight w:val="cyan"/>
        </w:rPr>
        <w:t>precedent</w:t>
      </w:r>
      <w:r w:rsidRPr="002919E9">
        <w:rPr>
          <w:sz w:val="14"/>
        </w:rPr>
        <w:t>. 239 Lower courts have cited Justice Scalia's concurrence for the proposition that Chevron deference does not apply to an agency interpretation of a criminal statute. 240 However, whether the reasoning of Justice Scalia's opinion applies with equal force to agencies other than the DOJ who are, in fact, charged with administering the relevant statute is not clear.</w:t>
      </w:r>
    </w:p>
    <w:p w14:paraId="35FE95CE" w14:textId="77777777" w:rsidR="001A77F6" w:rsidRPr="009B74AC" w:rsidRDefault="001A77F6" w:rsidP="001A77F6"/>
    <w:p w14:paraId="7661E29F" w14:textId="7406B691" w:rsidR="00D91D7C" w:rsidRDefault="00D91D7C" w:rsidP="008D78CC">
      <w:pPr>
        <w:pStyle w:val="Heading3"/>
      </w:pPr>
      <w:r>
        <w:t>2AC – AT: No Solve Overcriminalization</w:t>
      </w:r>
    </w:p>
    <w:p w14:paraId="775592AF" w14:textId="1EC5CDCB" w:rsidR="00D91D7C" w:rsidRPr="00D91D7C" w:rsidRDefault="00D91D7C" w:rsidP="00D91D7C">
      <w:pPr>
        <w:pStyle w:val="Heading4"/>
      </w:pPr>
      <w:r>
        <w:t xml:space="preserve">A </w:t>
      </w:r>
      <w:r>
        <w:rPr>
          <w:u w:val="single"/>
        </w:rPr>
        <w:t xml:space="preserve">strengthened </w:t>
      </w:r>
      <w:r>
        <w:t xml:space="preserve">rule of lenity </w:t>
      </w:r>
      <w:r>
        <w:rPr>
          <w:u w:val="single"/>
        </w:rPr>
        <w:t>checks</w:t>
      </w:r>
      <w:r>
        <w:t xml:space="preserve"> legislative </w:t>
      </w:r>
      <w:r w:rsidRPr="004C7F7A">
        <w:rPr>
          <w:u w:val="single"/>
        </w:rPr>
        <w:t>overcriminalization</w:t>
      </w:r>
      <w:r>
        <w:t>.</w:t>
      </w:r>
    </w:p>
    <w:p w14:paraId="28E943B4" w14:textId="77777777" w:rsidR="00D91D7C" w:rsidRPr="00D1647B" w:rsidRDefault="00D91D7C" w:rsidP="00D91D7C">
      <w:r w:rsidRPr="00500B52">
        <w:rPr>
          <w:rStyle w:val="Style13ptBold"/>
        </w:rPr>
        <w:t>Stuntz 01</w:t>
      </w:r>
      <w:r>
        <w:t xml:space="preserve"> (William Stuntz, Criminal justice scholar and professor at Harvard Law School, Michigan Law Review, Vol100 No3, “The Pathological Politics of Criminal Law,” December 2001)</w:t>
      </w:r>
    </w:p>
    <w:p w14:paraId="17D71B3F" w14:textId="77777777" w:rsidR="00D91D7C" w:rsidRPr="00A850F6" w:rsidRDefault="00D91D7C" w:rsidP="00D91D7C">
      <w:pPr>
        <w:rPr>
          <w:rStyle w:val="StyleUnderline"/>
        </w:rPr>
      </w:pPr>
      <w:r>
        <w:t xml:space="preserve">Given prosecutorial discretion, </w:t>
      </w:r>
      <w:r w:rsidRPr="00500B52">
        <w:rPr>
          <w:rStyle w:val="StyleUnderline"/>
        </w:rPr>
        <w:t>legislatures have a natural bias toward overcriminalization</w:t>
      </w:r>
      <w:r>
        <w:t xml:space="preserve">. </w:t>
      </w:r>
      <w:r w:rsidRPr="00500B52">
        <w:rPr>
          <w:rStyle w:val="StyleUnderline"/>
        </w:rPr>
        <w:t>Courts are a good deal less prone to that bias</w:t>
      </w:r>
      <w:r>
        <w:t xml:space="preserve">. One can see this in the two areas of criminal law that are still largely judge-made: the law of mens rea and the law of defenses. In these areas, doctrinal development </w:t>
      </w:r>
      <w:r w:rsidRPr="00A850F6">
        <w:rPr>
          <w:rStyle w:val="StyleUnderline"/>
        </w:rPr>
        <w:t>sometimes works to defendants' advantage, and when that happens, courts are almost always the doctrine's authors. For a number of white-collar offenses, federal courts have defined mens rea standards so as to require the government to prove knowledge of illegality.'9 I Congress has ignored some of these decisions and overturned others;'92 to my knowledge, it has embraced none and enacted no comparable rules on its own.</w:t>
      </w:r>
      <w:r>
        <w:t xml:space="preserve"> Before 1981, federal and state court decisions alike drove toward a broader (more prodefendant) definition of insanity;'93 after John Hinckley's acquittal,'94 Congress and a number of state legislatures intervened to cabin the defense, 95 and a few legislatures abolished it.'96 More recently, arguments for a broadening of self-defense in cases where battered women killed their batterers won significant successes in the courts.'97 Those arguments were notably less successful in state legislatures (though there were a few victories there), and most of the favorable legislation simply ratified previous court decisions. 8 Meanwhile, in the realm of legislatively defined crime, change is almost entirely one-directional. </w:t>
      </w:r>
      <w:r w:rsidRPr="00A850F6">
        <w:rPr>
          <w:rStyle w:val="StyleUnderline"/>
        </w:rPr>
        <w:t xml:space="preserve">New crimes are regularly added to criminal codes. Old ones are rarely taken away, and legislatures almost never change definitions of offenses in ways that make violations harder to prove. </w:t>
      </w:r>
    </w:p>
    <w:p w14:paraId="323D04F9" w14:textId="77777777" w:rsidR="00D91D7C" w:rsidRDefault="00D91D7C" w:rsidP="00D91D7C">
      <w:r>
        <w:t>[Begin footnote] 189. See POSNER &amp; SILBAUGH, supra note 187, at 66; Developments in the Law: - Sexual Orientation and the Law, 102 HARV. L. REV. 1508, 1520 (1989). 190. According to the Supreme Court, all fifty states criminalized sodomy in 1961. Bowers v. Hardwick, 478 U.S. 186, 193 (1986). By 2000, only nineteen states still did so. Lin, supra note 187, at 737 n.129. 191. For a sampling of the relevant cases, see Bryan v. United States, 524 U.S. 184 (1998) (unlicensed sale of firearms); Ratzlaf v. United States, 510 U.S. 135 (1994) (evading currency reporting requirements); Liparota v. United States, 471 U.S. 419 (1985) (unauthorized sale of food stamps); United States v. Nofziger, 878 F.2d 442 (D.C. Cir. 1989) (election law violations). There is a mushrooming literature on these cases. For the best discussions, see J. Kelly Strader, The Judicial Politics of White Collar Crime, 50 HASTINGS L.J. 1199 (1999); John Shepard Wiley, Jr., Not Guilty by Reason of Blamelessness: Culpability in Federal Criminal Interpretation, 85 VA. L. REV. 1021 (1999). [End footnote]</w:t>
      </w:r>
    </w:p>
    <w:p w14:paraId="69F48A10" w14:textId="77777777" w:rsidR="00D91D7C" w:rsidRPr="00A850F6" w:rsidRDefault="00D91D7C" w:rsidP="00D91D7C">
      <w:pPr>
        <w:rPr>
          <w:rStyle w:val="StyleUnderline"/>
        </w:rPr>
      </w:pPr>
      <w:r>
        <w:t xml:space="preserve">So </w:t>
      </w:r>
      <w:r w:rsidRPr="00A850F6">
        <w:rPr>
          <w:rStyle w:val="StyleUnderline"/>
        </w:rPr>
        <w:t>it is natural to see legislative crime definition as something in need of restraint, and it is natural to see courts as good candidates for doing the restraining. But the degree of restraint is limited by the range of tools courts have. And the tools themselves are limited by the system's two central commitments: to legislative supremacy in crime definition, and to prosecutorial power over charging decisions. The commitment to legislative supremacy rules out aggressive constitutional review of criminal statutes. The commitment to prosecutorial discretion rules out aggressive equal protection review of charging decisions, the kind of review that would seek out and correct enforcement disparities among different population groups and would bar irregular and sporadic enforcement altogether.</w:t>
      </w:r>
    </w:p>
    <w:p w14:paraId="65617E32" w14:textId="77777777" w:rsidR="00D91D7C" w:rsidRDefault="00D91D7C" w:rsidP="00D91D7C">
      <w:r>
        <w:t>[Begin footnote] 192. For the leading example of congressional overruling, see Ratzlaf, 510 U.S. 135, overruled in a matter of months by Section 411 of the Riegle Community Development and Regulatory Improvement Act of 1994, Pub. L. No. 103-325, 108 Stat. 2160 (1994). The Act amended 31 U.S.C. § 5321, removing "willfully" from the definition of the anti-structuring crime at issue in Ratzlaf. 193. For a good recent account, see Christopher Slobogin, An End to Insanity: Recasting the Role of Mental Disability in Criminal Cases, 86 VA. L. REV. 1199,1210-14 (2000). 194. Hinckley attempted to assassinate President Reagan; he was charged with attempted murder, pled not guilty by reason of insanity, and was acquitted. His trial is excerpted and discussed in PETER W. LOW ET AL., THE TRIAL OF JOHN W. HINCKLEY, JR.: A CASE STUDY IN THE INSANITY DEFENSE (1986). 195. See 18 U.S.C. § 17 (1994) (doing away with the "control prong" of the test for insanity, and placing the burden of proof on the defendant). For a good survey of postHinckley developments in state law, see Lisa Callahan et al., Insanity Defense Reform in the United States - Post-Hinckley, 11 MENTAL &amp; PHYSICAL DISABILITY L. REP. 54 (1987). 196. See IDAHO CODE § 18-207 (Michie 1997); KAN. STAT. ANN. § 22-3220 (1995); NEV. REV. STAT. ANN. § 174.035 (Michie 2001); UTAH CODE ANN. § 76-2-305 (1999). 197. See Domestic Violence, iupra note 19, at 1579-85. 198. See id. at 1585-86 (noting that such legislation "primarily codified the courtroom victories won by battered women's advocates and defense attorneys"). [End footnote]</w:t>
      </w:r>
    </w:p>
    <w:p w14:paraId="68334411" w14:textId="77777777" w:rsidR="00D91D7C" w:rsidRDefault="00D91D7C" w:rsidP="00D91D7C">
      <w:r w:rsidRPr="00A850F6">
        <w:rPr>
          <w:rStyle w:val="StyleUnderline"/>
        </w:rPr>
        <w:t xml:space="preserve">Two major judicial tools remain. The first.is vagueness doctrine, a requirement that legislatures specify crimes rather than simply delegate their definition. The second is a close cousin of vagueness doctrine - the rule of lenity, which authorizes courts to resolve statutory uncertainties in defendants' favor, seemingly a useful corrective to legislatures' tendency to err on the government's side when defining crimes. Neither of these tools, though, can accomplish much, for both are easily evaded. </w:t>
      </w:r>
      <w:r w:rsidRPr="00447B5D">
        <w:t>Indeed, it is possible that each makes overcriminalization worse rather than better.</w:t>
      </w:r>
    </w:p>
    <w:p w14:paraId="11C71C57" w14:textId="77777777" w:rsidR="00D91D7C" w:rsidRDefault="00D91D7C" w:rsidP="00D91D7C">
      <w:r>
        <w:t>Vagueness Doctrine. Vagueness doctrine requires that legislatures be reasonably specific when defining crimes. (Actually, the doctrine goes beyond criminal law, but its primary use has been there.) It thus prevents legislatures from creating all-encompassing crimes like the infamous vagrancy ordinance in Papachristou v. Jacksonville,199 or the not-so-infamous gang loitering law in Chicago v. Morales.2 " The clear goal is to prevent the state from criminalizing everything, and thereby delegating the real work of defining crimes to prosecutors.</w:t>
      </w:r>
    </w:p>
    <w:p w14:paraId="1E96F91E" w14:textId="77777777" w:rsidR="00D91D7C" w:rsidRDefault="00D91D7C" w:rsidP="00D91D7C">
      <w:r>
        <w:t xml:space="preserve">But vagueness doctrine cannot accomplish that goal, for legislatures can achieve breadth and specificity at the same time. The history of the post-Papachristou law of street disorder proves the point. Oldstyle loitering and vagrancy statutes used language broad enough to encompass almost anything people (or at least people whom the police perceive as troublesome) might do in public. Papachristou itself is a good example; in that case the ostensibly criminal conduct consisted of two mixed-race couples driving down one of Jacksonville's main thoroughfares."' Courts invalidated most of those loitering and vagrancy statutes in the late 1960s and early 1970s." 2 </w:t>
      </w:r>
    </w:p>
    <w:p w14:paraId="42ED93F7" w14:textId="783A3ED3" w:rsidR="00D91D7C" w:rsidRDefault="00D91D7C" w:rsidP="00D91D7C">
      <w:r>
        <w:t>Ever since, legislatures, state and local, have been replacing them with a series of more carefully defined offenses: anti-cruising ordinances, anti-noise ordinances, loitering-with-intent statutes, and youth curfew laws are all examples.2 °3 At the same time, police have been reviving small-scale (and specific) prohibitions that had been dormant. A well-known case from Illinois, People v. Kail,2° involved a suspected prostitute arrested for riding a bicycle without a bell, under an explicit police department policy requiring officers to enforce any prohibitions they could find against vice suspects. °5</w:t>
      </w:r>
    </w:p>
    <w:p w14:paraId="6D8914E4" w14:textId="3C790244" w:rsidR="00D91D7C" w:rsidRDefault="00D91D7C" w:rsidP="00D91D7C">
      <w:pPr>
        <w:pStyle w:val="Heading4"/>
      </w:pPr>
      <w:r>
        <w:t>It would incentivize legislative clarity.</w:t>
      </w:r>
    </w:p>
    <w:p w14:paraId="2F523C67" w14:textId="77777777" w:rsidR="00D91D7C" w:rsidRPr="00B623A2" w:rsidRDefault="00D91D7C" w:rsidP="00D91D7C">
      <w:r w:rsidRPr="00B11C27">
        <w:rPr>
          <w:rStyle w:val="Style13ptBold"/>
        </w:rPr>
        <w:t>Larkin and Seibler 15</w:t>
      </w:r>
      <w:r>
        <w:t xml:space="preserve"> (Paul Larkin and John-Michael Seibler, Paul Larkin is the Rumpel Senior Legal Research Fellow in the Meese Center for Legal and Judicial Studies, John-Michael Seibler is a senior attorney at the Financial Industry Regulatory Authority, Proquest, The Heritage Foundation Legal memo, No163, P1, “Turning the Rule of Lenity Into a Rule of Lenity,” 11/17/15)</w:t>
      </w:r>
    </w:p>
    <w:p w14:paraId="00E414D0" w14:textId="77777777" w:rsidR="00D91D7C" w:rsidRDefault="00D91D7C" w:rsidP="00D91D7C">
      <w:r w:rsidRPr="00B623A2">
        <w:rPr>
          <w:rStyle w:val="StyleUnderline"/>
        </w:rPr>
        <w:t>The Rule of Lenity remains a valuable criminal law canon because it forces the legislatures to define crimes themselves rather than punt that task to the courts</w:t>
      </w:r>
      <w:r>
        <w:t xml:space="preserve">. By and large, </w:t>
      </w:r>
      <w:r w:rsidRPr="00B623A2">
        <w:rPr>
          <w:rStyle w:val="StyleUnderline"/>
        </w:rPr>
        <w:t>federal and state legislatures have left the development of canons of construction of criminal statutes to the courts as part of their common law</w:t>
      </w:r>
      <w:r>
        <w:t xml:space="preserve">, case-by-case decision-making process. Yet </w:t>
      </w:r>
      <w:r w:rsidRPr="00B623A2">
        <w:rPr>
          <w:rStyle w:val="StyleUnderline"/>
        </w:rPr>
        <w:t>legislatures have occasionally intervened to make their wishes known, enacting statutes to direct the courts how to interpret particular laws. The Texas lenity statute enacted in June 2015 may serve as an indication that legislatures will attempt to take back from the courts the development of canons of statutory construction</w:t>
      </w:r>
      <w:r>
        <w:t>. At a minimum, the new Texas law is a welcome addition to the legal developments underway to respond to the overuse of the criminal law that we have witnessed over the past four decades.</w:t>
      </w:r>
    </w:p>
    <w:p w14:paraId="48FF176D" w14:textId="77777777" w:rsidR="00D91D7C" w:rsidRDefault="00D91D7C" w:rsidP="00D91D7C">
      <w:r>
        <w:t>“</w:t>
      </w:r>
      <w:r w:rsidRPr="00B623A2">
        <w:rPr>
          <w:rStyle w:val="StyleUnderline"/>
        </w:rPr>
        <w:t>Too many crimes, too much punishment”1 has been a recurrent problem in our criminal justice system.2 That concern gave rise to a canon of statutory construction known as the Rule of Lenity, which has evolved to ensure that criminal laws, if objectively ambiguous, are read in favor of the defendant and against the government</w:t>
      </w:r>
      <w:r>
        <w:t>. So wrote William Blackstone in 1765: “[P]enal statutes must be construed strictly.”3</w:t>
      </w:r>
    </w:p>
    <w:p w14:paraId="4096E17F" w14:textId="0958D1CF" w:rsidR="00D91D7C" w:rsidRPr="00D91D7C" w:rsidRDefault="00D91D7C" w:rsidP="00D91D7C">
      <w:pPr>
        <w:rPr>
          <w:u w:val="single"/>
        </w:rPr>
      </w:pPr>
      <w:r>
        <w:t xml:space="preserve">By and large, </w:t>
      </w:r>
      <w:r w:rsidRPr="00B623A2">
        <w:rPr>
          <w:rStyle w:val="StyleUnderline"/>
        </w:rPr>
        <w:t>federal and state legislatures have left the development of canons of construction of criminal statutes to the courts as part of their common law, case-by-case decision-making process. Yet legislatures have occasionally intervened to make their wishes known, enacting statutes to direct the courts how to interpret particular laws.4</w:t>
      </w:r>
    </w:p>
    <w:p w14:paraId="47C8543B" w14:textId="0BDB47E5" w:rsidR="001A77F6" w:rsidRDefault="001A77F6" w:rsidP="008D78CC">
      <w:pPr>
        <w:pStyle w:val="Heading3"/>
      </w:pPr>
      <w:r>
        <w:t>2AC – AT: No Democracy Impact</w:t>
      </w:r>
    </w:p>
    <w:p w14:paraId="307D8BEF" w14:textId="77777777" w:rsidR="001A77F6" w:rsidRPr="007C6F40" w:rsidRDefault="001A77F6" w:rsidP="001A77F6">
      <w:pPr>
        <w:pStyle w:val="Heading4"/>
        <w:rPr>
          <w:lang w:eastAsia="zh-CN"/>
        </w:rPr>
      </w:pPr>
      <w:r w:rsidRPr="007C6F40">
        <w:t>Democratic backsliding</w:t>
      </w:r>
      <w:r w:rsidRPr="007C6F40">
        <w:rPr>
          <w:lang w:eastAsia="zh-CN"/>
        </w:rPr>
        <w:t xml:space="preserve"> will shatter the </w:t>
      </w:r>
      <w:r w:rsidRPr="007C6F40">
        <w:rPr>
          <w:u w:val="single"/>
          <w:lang w:eastAsia="zh-CN"/>
        </w:rPr>
        <w:t>international order</w:t>
      </w:r>
      <w:r w:rsidRPr="007C6F40">
        <w:rPr>
          <w:lang w:eastAsia="zh-CN"/>
        </w:rPr>
        <w:t>—we access every single impact</w:t>
      </w:r>
    </w:p>
    <w:p w14:paraId="5B6E1090" w14:textId="77777777" w:rsidR="001A77F6" w:rsidRPr="007C6F40" w:rsidRDefault="001A77F6" w:rsidP="001A77F6">
      <w:pPr>
        <w:spacing w:after="0"/>
        <w:rPr>
          <w:rStyle w:val="Style13ptBold"/>
          <w:lang w:eastAsia="zh-CN"/>
        </w:rPr>
      </w:pPr>
      <w:r w:rsidRPr="007C6F40">
        <w:rPr>
          <w:rStyle w:val="Style13ptBold"/>
          <w:lang w:eastAsia="zh-CN"/>
        </w:rPr>
        <w:t>Kendall-Taylor 16</w:t>
      </w:r>
    </w:p>
    <w:p w14:paraId="287E3BC1" w14:textId="77777777" w:rsidR="001A77F6" w:rsidRPr="007C6F40" w:rsidRDefault="001A77F6" w:rsidP="001A77F6">
      <w:r w:rsidRPr="007C6F40">
        <w:t xml:space="preserve">(Andrea Kendall-Taylor is a deputy national intelligence officer for Russia and Eurasia at the National Intelligence Council and a nonresident senior associate in the Human Rights Initiative at the Center for Strategic and International Studies in Washington, D.C., 7-15-16, “How Democracy’s Decline Would Undermine the International Order”, </w:t>
      </w:r>
      <w:hyperlink r:id="rId13" w:history="1">
        <w:r w:rsidRPr="007C6F40">
          <w:rPr>
            <w:rStyle w:val="Hyperlink"/>
          </w:rPr>
          <w:t>https://www.csis.org/analysis/how-democracy%E2%80%99s-decline-would-undermine-international-order</w:t>
        </w:r>
      </w:hyperlink>
      <w:r w:rsidRPr="007C6F40">
        <w:t>, accessed 11-20-18, DFY)</w:t>
      </w:r>
    </w:p>
    <w:p w14:paraId="0DC733FB" w14:textId="77777777" w:rsidR="001A77F6" w:rsidRPr="007C6F40" w:rsidRDefault="001A77F6" w:rsidP="001A77F6">
      <w:pPr>
        <w:rPr>
          <w:u w:val="single"/>
        </w:rPr>
      </w:pPr>
      <w:r w:rsidRPr="007C6F40">
        <w:rPr>
          <w:sz w:val="16"/>
        </w:rPr>
        <w:t xml:space="preserve">It is rare that policymakers, analysts, and academics agree. But there is an emerging consensus in the world of foreign policy: </w:t>
      </w:r>
      <w:r w:rsidRPr="007C6F40">
        <w:rPr>
          <w:u w:val="single"/>
        </w:rPr>
        <w:t>threats to the stability of the current international order are rising.</w:t>
      </w:r>
      <w:r w:rsidRPr="007C6F40">
        <w:rPr>
          <w:sz w:val="16"/>
        </w:rPr>
        <w:t xml:space="preserve"> The norms, values, laws, and institutions that have undergirded the international system and governed relationships between nations are being gradually dismantled. The most discussed sources of this pressure are </w:t>
      </w:r>
      <w:hyperlink r:id="rId14" w:history="1">
        <w:r w:rsidRPr="007C6F40">
          <w:rPr>
            <w:rStyle w:val="Hyperlink"/>
            <w:u w:val="single"/>
          </w:rPr>
          <w:t>the ascent of China</w:t>
        </w:r>
      </w:hyperlink>
      <w:r w:rsidRPr="007C6F40">
        <w:rPr>
          <w:u w:val="single"/>
        </w:rPr>
        <w:t> and other non-Western countries, Russia’s assertive foreign policy, and the diffusion of power from traditional nation-states to nonstate actors</w:t>
      </w:r>
      <w:r w:rsidRPr="007C6F40">
        <w:rPr>
          <w:sz w:val="16"/>
        </w:rPr>
        <w:t>, such as nongovernmental organizations, multinational corporations, and technology-empowered individuals. Largely missing from these discussions, however, is the </w:t>
      </w:r>
      <w:hyperlink r:id="rId15" w:history="1">
        <w:r w:rsidRPr="007C6F40">
          <w:rPr>
            <w:rStyle w:val="Hyperlink"/>
            <w:u w:val="single"/>
          </w:rPr>
          <w:t>specter of widespread democratic decline</w:t>
        </w:r>
      </w:hyperlink>
      <w:r w:rsidRPr="007C6F40">
        <w:rPr>
          <w:u w:val="single"/>
        </w:rPr>
        <w:t>. Rising challenges to democratic governance across the globe are a major strain on the international system, but they receive </w:t>
      </w:r>
      <w:hyperlink r:id="rId16" w:history="1">
        <w:r w:rsidRPr="007C6F40">
          <w:rPr>
            <w:rStyle w:val="Hyperlink"/>
            <w:u w:val="single"/>
          </w:rPr>
          <w:t>far less attention </w:t>
        </w:r>
      </w:hyperlink>
      <w:r w:rsidRPr="007C6F40">
        <w:rPr>
          <w:u w:val="single"/>
        </w:rPr>
        <w:t>in discussions of the shifting world order.</w:t>
      </w:r>
    </w:p>
    <w:p w14:paraId="2E21E7FF" w14:textId="77777777" w:rsidR="001A77F6" w:rsidRPr="007C6F40" w:rsidRDefault="001A77F6" w:rsidP="001A77F6">
      <w:pPr>
        <w:rPr>
          <w:sz w:val="16"/>
        </w:rPr>
      </w:pPr>
      <w:r w:rsidRPr="007C6F40">
        <w:rPr>
          <w:sz w:val="16"/>
        </w:rPr>
        <w:t xml:space="preserve">In the 70 years since the end of World War II, </w:t>
      </w:r>
      <w:r w:rsidRPr="007C6F40">
        <w:rPr>
          <w:u w:val="single"/>
        </w:rPr>
        <w:t>the United States has fostered a global order dominated by states that are liberal, capitalist, and democratic.</w:t>
      </w:r>
      <w:r w:rsidRPr="007C6F40">
        <w:rPr>
          <w:sz w:val="16"/>
        </w:rPr>
        <w:t xml:space="preserve"> </w:t>
      </w:r>
      <w:r w:rsidRPr="007C6F40">
        <w:rPr>
          <w:u w:val="single"/>
        </w:rPr>
        <w:t>The United States has promoted the spread of democracy to strengthen global norms and rules that constitute the foundation of our current international system.</w:t>
      </w:r>
      <w:r w:rsidRPr="007C6F40">
        <w:rPr>
          <w:sz w:val="16"/>
        </w:rPr>
        <w:t xml:space="preserve"> However, despite the steady rise of democracy since the end of the Cold War, over the last 10 years we have seen dramatic reversals in respect for democratic principles across the globe. </w:t>
      </w:r>
      <w:hyperlink r:id="rId17" w:history="1">
        <w:r w:rsidRPr="007C6F40">
          <w:rPr>
            <w:rStyle w:val="Hyperlink"/>
            <w:sz w:val="16"/>
          </w:rPr>
          <w:t>A 2015 Freedom House report</w:t>
        </w:r>
      </w:hyperlink>
      <w:r w:rsidRPr="007C6F40">
        <w:rPr>
          <w:sz w:val="16"/>
        </w:rPr>
        <w:t> stated that the “acceptance of democracy as the world’s dominant form of government—and of an international system built on democratic ideals—is under greater threat than at any point in the last 25 years.”</w:t>
      </w:r>
    </w:p>
    <w:p w14:paraId="65CDE3DF" w14:textId="77777777" w:rsidR="001A77F6" w:rsidRPr="007C6F40" w:rsidRDefault="001A77F6" w:rsidP="001A77F6">
      <w:pPr>
        <w:rPr>
          <w:u w:val="single"/>
        </w:rPr>
      </w:pPr>
      <w:r w:rsidRPr="007C6F40">
        <w:rPr>
          <w:u w:val="single"/>
        </w:rPr>
        <w:t>Although the number of democracies in the world is at an all-time high, there are a number of </w:t>
      </w:r>
      <w:hyperlink r:id="rId18" w:anchor="http://www.journalofdemocracy.org/article/democracy-decline" w:history="1">
        <w:r w:rsidRPr="007C6F40">
          <w:rPr>
            <w:rStyle w:val="Hyperlink"/>
            <w:u w:val="single"/>
          </w:rPr>
          <w:t>key trends </w:t>
        </w:r>
      </w:hyperlink>
      <w:r w:rsidRPr="007C6F40">
        <w:rPr>
          <w:u w:val="single"/>
        </w:rPr>
        <w:t>that are working to undermine democracy.</w:t>
      </w:r>
      <w:r w:rsidRPr="007C6F40">
        <w:rPr>
          <w:sz w:val="16"/>
        </w:rPr>
        <w:t xml:space="preserve"> </w:t>
      </w:r>
      <w:r w:rsidRPr="007C6F40">
        <w:rPr>
          <w:u w:val="single"/>
        </w:rPr>
        <w:t>The rollback of democracy in a few influential states</w:t>
      </w:r>
      <w:r w:rsidRPr="007C6F40">
        <w:rPr>
          <w:sz w:val="16"/>
        </w:rPr>
        <w:t xml:space="preserve"> or even in a number of less consequential ones </w:t>
      </w:r>
      <w:r w:rsidRPr="007C6F40">
        <w:rPr>
          <w:u w:val="single"/>
        </w:rPr>
        <w:t>would almost certainly accelerate meaningful changes in today’s global order.</w:t>
      </w:r>
    </w:p>
    <w:p w14:paraId="26ABD1BB" w14:textId="77777777" w:rsidR="001A77F6" w:rsidRPr="007C6F40" w:rsidRDefault="001A77F6" w:rsidP="001A77F6">
      <w:pPr>
        <w:rPr>
          <w:u w:val="single"/>
        </w:rPr>
      </w:pPr>
      <w:r w:rsidRPr="007C6F40">
        <w:rPr>
          <w:sz w:val="16"/>
        </w:rPr>
        <w:t>Democratic decline would weaken U.S. partnerships and erode an important foundation for U.S. cooperation abroad. </w:t>
      </w:r>
      <w:hyperlink r:id="rId19" w:anchor="http://cmp.sagepub.com/content/18/1/49.abstract" w:history="1">
        <w:r w:rsidRPr="007C6F40">
          <w:rPr>
            <w:rStyle w:val="Hyperlink"/>
            <w:sz w:val="16"/>
          </w:rPr>
          <w:t>Research demonstrates </w:t>
        </w:r>
      </w:hyperlink>
      <w:r w:rsidRPr="007C6F40">
        <w:rPr>
          <w:sz w:val="16"/>
        </w:rPr>
        <w:t xml:space="preserve">that </w:t>
      </w:r>
      <w:r w:rsidRPr="007C6F40">
        <w:rPr>
          <w:u w:val="single"/>
        </w:rPr>
        <w:t xml:space="preserve">domestic politics are a key determinant of the international behavior of states. In particular, democracies are more likely to form alliances and cooperate </w:t>
      </w:r>
      <w:r w:rsidRPr="007C6F40">
        <w:rPr>
          <w:sz w:val="16"/>
        </w:rPr>
        <w:t>more fully</w:t>
      </w:r>
      <w:r w:rsidRPr="007C6F40">
        <w:rPr>
          <w:u w:val="single"/>
        </w:rPr>
        <w:t xml:space="preserve"> with other democracies than with autocracies.</w:t>
      </w:r>
      <w:r w:rsidRPr="007C6F40">
        <w:rPr>
          <w:sz w:val="16"/>
        </w:rPr>
        <w:t xml:space="preserve"> Similarly, authoritarian countries have established mechanisms for cooperation and sharing of “worst practices.” </w:t>
      </w:r>
      <w:r w:rsidRPr="007C6F40">
        <w:rPr>
          <w:u w:val="single"/>
        </w:rPr>
        <w:t>An increase in authoritarian countries</w:t>
      </w:r>
      <w:r w:rsidRPr="007C6F40">
        <w:rPr>
          <w:sz w:val="16"/>
        </w:rPr>
        <w:t xml:space="preserve">, then, </w:t>
      </w:r>
      <w:r w:rsidRPr="007C6F40">
        <w:rPr>
          <w:u w:val="single"/>
        </w:rPr>
        <w:t>would provide a broader platform for coordination that could enable these countries to overcome</w:t>
      </w:r>
      <w:r w:rsidRPr="007C6F40">
        <w:rPr>
          <w:sz w:val="16"/>
        </w:rPr>
        <w:t xml:space="preserve"> their divergent histories, values, and interests—</w:t>
      </w:r>
      <w:r w:rsidRPr="007C6F40">
        <w:rPr>
          <w:u w:val="single"/>
        </w:rPr>
        <w:t>factors that are frequently cited as obstacles to the formation of a cohesive challenge to the U.S.-led international system.</w:t>
      </w:r>
    </w:p>
    <w:p w14:paraId="2899C61B" w14:textId="77777777" w:rsidR="001A77F6" w:rsidRPr="007C6F40" w:rsidRDefault="001A77F6" w:rsidP="001A77F6">
      <w:pPr>
        <w:rPr>
          <w:sz w:val="16"/>
        </w:rPr>
      </w:pPr>
      <w:r w:rsidRPr="007C6F40">
        <w:rPr>
          <w:sz w:val="16"/>
        </w:rPr>
        <w:t xml:space="preserve">Recent examples support the empirical data. </w:t>
      </w:r>
      <w:r w:rsidRPr="007C6F40">
        <w:rPr>
          <w:u w:val="single"/>
        </w:rPr>
        <w:t>Democratic backsliding in Hungary and the hardening of Egypt’s autocracy</w:t>
      </w:r>
      <w:r w:rsidRPr="007C6F40">
        <w:rPr>
          <w:sz w:val="16"/>
        </w:rPr>
        <w:t xml:space="preserve"> under Abdel Fattah el-Sisi have </w:t>
      </w:r>
      <w:r w:rsidRPr="007C6F40">
        <w:rPr>
          <w:u w:val="single"/>
        </w:rPr>
        <w:t xml:space="preserve">led to enhanced relations between these countries and Russia. </w:t>
      </w:r>
      <w:r w:rsidRPr="007C6F40">
        <w:rPr>
          <w:sz w:val="16"/>
        </w:rPr>
        <w:t xml:space="preserve">Likewise, </w:t>
      </w:r>
      <w:r w:rsidRPr="007C6F40">
        <w:rPr>
          <w:u w:val="single"/>
        </w:rPr>
        <w:t>democratic decline in Bangladesh has led</w:t>
      </w:r>
      <w:r w:rsidRPr="007C6F40">
        <w:rPr>
          <w:sz w:val="16"/>
        </w:rPr>
        <w:t xml:space="preserve"> Sheikh Hasina Wazed and her ruling Awami League to seek </w:t>
      </w:r>
      <w:r w:rsidRPr="007C6F40">
        <w:rPr>
          <w:u w:val="single"/>
        </w:rPr>
        <w:t>closer relations with China and Russia</w:t>
      </w:r>
      <w:r w:rsidRPr="007C6F40">
        <w:rPr>
          <w:sz w:val="16"/>
        </w:rPr>
        <w:t>, in part to mitigate Western pressure and bolster the regime’s domestic standing.</w:t>
      </w:r>
    </w:p>
    <w:p w14:paraId="2E51C51D" w14:textId="77777777" w:rsidR="001A77F6" w:rsidRPr="007C6F40" w:rsidRDefault="001A77F6" w:rsidP="001A77F6">
      <w:pPr>
        <w:rPr>
          <w:b/>
          <w:u w:val="single"/>
        </w:rPr>
      </w:pPr>
      <w:r w:rsidRPr="007C6F40">
        <w:rPr>
          <w:sz w:val="16"/>
        </w:rPr>
        <w:t xml:space="preserve">Although none of these burgeoning relationships has developed into a highly unified partnership, </w:t>
      </w:r>
      <w:r w:rsidRPr="007C6F40">
        <w:rPr>
          <w:u w:val="single"/>
        </w:rPr>
        <w:t>democratic backsliding in these countries has provided a basis for cooperation where it did not previously exist.</w:t>
      </w:r>
      <w:r w:rsidRPr="007C6F40">
        <w:rPr>
          <w:sz w:val="16"/>
        </w:rPr>
        <w:t xml:space="preserve"> And while the United States certainly finds common cause with authoritarian partners on specific issues, the depth and reliability of such </w:t>
      </w:r>
      <w:r w:rsidRPr="007C6F40">
        <w:rPr>
          <w:u w:val="single"/>
        </w:rPr>
        <w:t>cooperation is limited.</w:t>
      </w:r>
      <w:r w:rsidRPr="007C6F40">
        <w:rPr>
          <w:sz w:val="16"/>
        </w:rPr>
        <w:t xml:space="preserve"> Consequently, </w:t>
      </w:r>
      <w:r w:rsidRPr="007C6F40">
        <w:rPr>
          <w:rStyle w:val="Emphasis"/>
        </w:rPr>
        <w:t>further democratic decline could seriously compromise the United States’ ability to form the kinds of deep partnerships that will be required to confront today’s increasingly complex challenges.</w:t>
      </w:r>
      <w:r w:rsidRPr="007C6F40">
        <w:rPr>
          <w:sz w:val="16"/>
        </w:rPr>
        <w:t xml:space="preserve"> Global issues such as </w:t>
      </w:r>
      <w:r w:rsidRPr="007C6F40">
        <w:rPr>
          <w:u w:val="single"/>
        </w:rPr>
        <w:t>climate change, migration, and violent extremism demand the coordination and cooperation that democratic backsliding would put in peril.</w:t>
      </w:r>
      <w:r w:rsidRPr="007C6F40">
        <w:rPr>
          <w:sz w:val="16"/>
        </w:rPr>
        <w:t xml:space="preserve"> Put simply, </w:t>
      </w:r>
      <w:r w:rsidRPr="007C6F40">
        <w:rPr>
          <w:rStyle w:val="Emphasis"/>
        </w:rPr>
        <w:t>the United States is a less effective and influential actor if it loses its ability to rely on its partnerships with other democratic nations.</w:t>
      </w:r>
    </w:p>
    <w:p w14:paraId="1203B212" w14:textId="77777777" w:rsidR="001A77F6" w:rsidRPr="007C6F40" w:rsidRDefault="001A77F6" w:rsidP="001A77F6">
      <w:pPr>
        <w:rPr>
          <w:sz w:val="16"/>
        </w:rPr>
      </w:pPr>
      <w:r w:rsidRPr="007C6F40">
        <w:rPr>
          <w:u w:val="single"/>
        </w:rPr>
        <w:t xml:space="preserve">A slide toward authoritarianism could also challenge the current global order by diluting U.S. influence in critical international institutions, including </w:t>
      </w:r>
      <w:r w:rsidRPr="007C6F40">
        <w:rPr>
          <w:sz w:val="16"/>
        </w:rPr>
        <w:t>the </w:t>
      </w:r>
      <w:hyperlink r:id="rId20" w:history="1">
        <w:r w:rsidRPr="007C6F40">
          <w:rPr>
            <w:rStyle w:val="Hyperlink"/>
            <w:sz w:val="16"/>
            <w:u w:val="single"/>
          </w:rPr>
          <w:t>U</w:t>
        </w:r>
        <w:r w:rsidRPr="007C6F40">
          <w:rPr>
            <w:rStyle w:val="Hyperlink"/>
            <w:sz w:val="16"/>
          </w:rPr>
          <w:t xml:space="preserve">nited </w:t>
        </w:r>
        <w:r w:rsidRPr="007C6F40">
          <w:rPr>
            <w:rStyle w:val="Hyperlink"/>
            <w:sz w:val="16"/>
            <w:u w:val="single"/>
          </w:rPr>
          <w:t>N</w:t>
        </w:r>
        <w:r w:rsidRPr="007C6F40">
          <w:rPr>
            <w:rStyle w:val="Hyperlink"/>
            <w:sz w:val="16"/>
          </w:rPr>
          <w:t>ations </w:t>
        </w:r>
      </w:hyperlink>
      <w:r w:rsidRPr="007C6F40">
        <w:rPr>
          <w:sz w:val="16"/>
        </w:rPr>
        <w:t xml:space="preserve">, </w:t>
      </w:r>
      <w:r w:rsidRPr="007C6F40">
        <w:rPr>
          <w:u w:val="single"/>
        </w:rPr>
        <w:t xml:space="preserve">the World Bank, and the </w:t>
      </w:r>
      <w:r w:rsidRPr="007C6F40">
        <w:rPr>
          <w:sz w:val="16"/>
        </w:rPr>
        <w:t>International Monetary Fund (</w:t>
      </w:r>
      <w:r w:rsidRPr="007C6F40">
        <w:rPr>
          <w:u w:val="single"/>
        </w:rPr>
        <w:t>IMF</w:t>
      </w:r>
      <w:r w:rsidRPr="007C6F40">
        <w:rPr>
          <w:sz w:val="16"/>
        </w:rPr>
        <w:t xml:space="preserve">). </w:t>
      </w:r>
      <w:r w:rsidRPr="007C6F40">
        <w:rPr>
          <w:u w:val="single"/>
        </w:rPr>
        <w:t>Democratic decline would weaken Western efforts within these institutions to advance issues such as Internet freedom and the responsibility to protect.</w:t>
      </w:r>
      <w:r w:rsidRPr="007C6F40">
        <w:rPr>
          <w:sz w:val="16"/>
        </w:rPr>
        <w:t xml:space="preserve">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w:t>
      </w:r>
    </w:p>
    <w:p w14:paraId="32D3096C" w14:textId="77777777" w:rsidR="001A77F6" w:rsidRPr="007C6F40" w:rsidRDefault="001A77F6" w:rsidP="001A77F6">
      <w:pPr>
        <w:rPr>
          <w:b/>
          <w:u w:val="single"/>
        </w:rPr>
      </w:pPr>
      <w:r w:rsidRPr="007C6F40">
        <w:rPr>
          <w:sz w:val="16"/>
        </w:rPr>
        <w:t xml:space="preserve">Within the IMF and World Bank, </w:t>
      </w:r>
      <w:r w:rsidRPr="007C6F40">
        <w:rPr>
          <w:u w:val="single"/>
        </w:rPr>
        <w:t>autocracies</w:t>
      </w:r>
      <w:r w:rsidRPr="007C6F40">
        <w:rPr>
          <w:sz w:val="16"/>
        </w:rPr>
        <w:t>—along with other developing nations—</w:t>
      </w:r>
      <w:r w:rsidRPr="007C6F40">
        <w:rPr>
          <w:u w:val="single"/>
        </w:rPr>
        <w:t>seek to water down conditionality or the reforms that lenders require in exchange for financial support.</w:t>
      </w:r>
      <w:r w:rsidRPr="007C6F40">
        <w:rPr>
          <w:sz w:val="16"/>
        </w:rPr>
        <w:t xml:space="preserve"> If successful, diminished conditionality would enfeeble an important incentive for governance reforms. In a more extreme scenario, </w:t>
      </w:r>
      <w:r w:rsidRPr="007C6F40">
        <w:rPr>
          <w:u w:val="single"/>
        </w:rPr>
        <w:t>the rising influence of autocracies could enable these countries to bypass the IMF and World Bank all together.</w:t>
      </w:r>
      <w:r w:rsidRPr="007C6F40">
        <w:rPr>
          <w:sz w:val="16"/>
        </w:rPr>
        <w:t xml:space="preserve">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w:t>
      </w:r>
      <w:r w:rsidRPr="007C6F40">
        <w:rPr>
          <w:rStyle w:val="Emphasis"/>
        </w:rPr>
        <w:t>Authoritarian-led alternatives pose the risk that global economic governance will become </w:t>
      </w:r>
      <w:hyperlink r:id="rId21" w:anchor=".V2H3MRbXgdI" w:history="1">
        <w:r w:rsidRPr="007C6F40">
          <w:rPr>
            <w:rStyle w:val="Emphasis"/>
          </w:rPr>
          <w:t>fragmented and less effective</w:t>
        </w:r>
      </w:hyperlink>
      <w:r w:rsidRPr="007C6F40">
        <w:rPr>
          <w:rStyle w:val="Emphasis"/>
        </w:rPr>
        <w:t>.</w:t>
      </w:r>
    </w:p>
    <w:p w14:paraId="651D4681" w14:textId="77777777" w:rsidR="001A77F6" w:rsidRPr="007C6F40" w:rsidRDefault="001A77F6" w:rsidP="001A77F6">
      <w:pPr>
        <w:rPr>
          <w:b/>
          <w:u w:val="single"/>
        </w:rPr>
      </w:pPr>
      <w:r w:rsidRPr="007C6F40">
        <w:rPr>
          <w:u w:val="single"/>
        </w:rPr>
        <w:t>Violence and instability would also likely increase if more democracies give way to autocracy.</w:t>
      </w:r>
      <w:r w:rsidRPr="007C6F40">
        <w:rPr>
          <w:sz w:val="16"/>
        </w:rPr>
        <w:t> </w:t>
      </w:r>
      <w:hyperlink r:id="rId22" w:history="1">
        <w:r w:rsidRPr="007C6F40">
          <w:rPr>
            <w:rStyle w:val="Hyperlink"/>
            <w:sz w:val="16"/>
          </w:rPr>
          <w:t>International relations literature</w:t>
        </w:r>
      </w:hyperlink>
      <w:r w:rsidRPr="007C6F40">
        <w:rPr>
          <w:sz w:val="16"/>
        </w:rPr>
        <w:t xml:space="preserve"> tells us that democracies are less likely to fight wars against other democracies, suggesting that </w:t>
      </w:r>
      <w:r w:rsidRPr="007C6F40">
        <w:rPr>
          <w:rStyle w:val="Emphasis"/>
        </w:rPr>
        <w:t>interstate wars would rise as the number of democracies declines</w:t>
      </w:r>
      <w:r w:rsidRPr="007C6F40">
        <w:rPr>
          <w:b/>
          <w:u w:val="single"/>
        </w:rPr>
        <w:t>.</w:t>
      </w:r>
      <w:r w:rsidRPr="007C6F40">
        <w:rPr>
          <w:sz w:val="16"/>
        </w:rPr>
        <w:t xml:space="preserve"> Moreover, </w:t>
      </w:r>
      <w:r w:rsidRPr="007C6F40">
        <w:rPr>
          <w:u w:val="single"/>
        </w:rPr>
        <w:t>within countries that are already autocratic, additional movement away from democracy, or an “authoritarian hardening,” would increase global instability.</w:t>
      </w:r>
      <w:r w:rsidRPr="007C6F40">
        <w:rPr>
          <w:sz w:val="16"/>
        </w:rPr>
        <w:t xml:space="preserve"> Highly repressive </w:t>
      </w:r>
      <w:r w:rsidRPr="007C6F40">
        <w:rPr>
          <w:u w:val="single"/>
        </w:rPr>
        <w:t>autocracies are the most likely to experience state failure, as was the case in the Central African Republic, Libya, Somalia, Syria, and Yemen.</w:t>
      </w:r>
      <w:r w:rsidRPr="007C6F40">
        <w:rPr>
          <w:sz w:val="16"/>
        </w:rPr>
        <w:t xml:space="preserve"> In this way, </w:t>
      </w:r>
      <w:r w:rsidRPr="007C6F40">
        <w:rPr>
          <w:rStyle w:val="Emphasis"/>
        </w:rPr>
        <w:t>democratic decline would significantly strain the international order because rising levels of instability would exceed the West’s ability to respond to the tremendous costs of peacekeeping, humanitarian assistance, and refugee flows.</w:t>
      </w:r>
    </w:p>
    <w:p w14:paraId="2F26ADA3" w14:textId="77777777" w:rsidR="001A77F6" w:rsidRPr="007C6F40" w:rsidRDefault="001A77F6" w:rsidP="001A77F6">
      <w:pPr>
        <w:rPr>
          <w:u w:val="single"/>
        </w:rPr>
      </w:pPr>
      <w:r w:rsidRPr="007C6F40">
        <w:rPr>
          <w:sz w:val="16"/>
        </w:rPr>
        <w:t xml:space="preserve">Finally, </w:t>
      </w:r>
      <w:r w:rsidRPr="007C6F40">
        <w:rPr>
          <w:u w:val="single"/>
        </w:rPr>
        <w:t>widespread democratic decline would contribute to rising anti-U.S. sentiment that could fuel a global order that is increasingly antagonistic to the United States and its values.</w:t>
      </w:r>
      <w:r w:rsidRPr="007C6F40">
        <w:rPr>
          <w:sz w:val="16"/>
        </w:rPr>
        <w:t xml:space="preserve"> Most autocracies are highly suspicious of U.S. intentions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w:t>
      </w:r>
      <w:r w:rsidRPr="007C6F40">
        <w:rPr>
          <w:u w:val="single"/>
        </w:rPr>
        <w:t>vilification of the United States is a convenient way of distracting their publics from regime shortcomings and fostering public support for strongman tactics.</w:t>
      </w:r>
    </w:p>
    <w:p w14:paraId="79E019D5" w14:textId="77777777" w:rsidR="001A77F6" w:rsidRPr="007C6F40" w:rsidRDefault="001A77F6" w:rsidP="001A77F6">
      <w:pPr>
        <w:rPr>
          <w:sz w:val="16"/>
        </w:rPr>
      </w:pPr>
      <w:r w:rsidRPr="007C6F40">
        <w:rPr>
          <w:sz w:val="16"/>
        </w:rPr>
        <w:t xml:space="preserve">Since 9/11, and particularly in the wake of the Arab Spring, Western enthusiasm for democracy support has waned. </w:t>
      </w:r>
      <w:r w:rsidRPr="007C6F40">
        <w:rPr>
          <w:u w:val="single"/>
        </w:rPr>
        <w:t>Rising levels of instability, including in Ukraine and the Middle East, fragile governance in Afghanistan and Iraq, and sustained threats from terrorist groups such as ISIL have increased Western focus on security and stability.</w:t>
      </w:r>
      <w:r w:rsidRPr="007C6F40">
        <w:rPr>
          <w:sz w:val="16"/>
        </w:rPr>
        <w:t xml:space="preserve"> U.S. preoccupation with intelligence sharing, basing and overflight rights, along with the perception that autocracy equates with stability, are </w:t>
      </w:r>
      <w:r w:rsidRPr="007C6F40">
        <w:rPr>
          <w:u w:val="single"/>
        </w:rPr>
        <w:t>trumping democracy and human rights considerations.</w:t>
      </w:r>
    </w:p>
    <w:p w14:paraId="254BF57E" w14:textId="77777777" w:rsidR="001A77F6" w:rsidRPr="007C6F40" w:rsidRDefault="001A77F6" w:rsidP="001A77F6">
      <w:pPr>
        <w:rPr>
          <w:sz w:val="16"/>
          <w:szCs w:val="16"/>
        </w:rPr>
      </w:pPr>
      <w:r w:rsidRPr="007C6F40">
        <w:rPr>
          <w:sz w:val="16"/>
          <w:szCs w:val="16"/>
        </w:rPr>
        <w:t>While rising levels of global instability explain part of Washington’s shift from an historical commitment to democracy, the nature of the policy process itself is a less appreciated factor. Policy discussions tend to occur on a country-by-country basis—leading to choices that weigh the costs and benefits of democracy support within the confines of a single country. From this perspective, the benefits of counterterrorism cooperation or access to natural resources are regularly judged to outweigh the perceived costs of supporting human rights. A serious problem arises, however, when this process is replicated across countries. The bilateral focus rarely incorporates the risks to the U.S.-led global order that arise from widespread democratic decline across multiple countries.</w:t>
      </w:r>
    </w:p>
    <w:p w14:paraId="12AA7600" w14:textId="5267AAEA" w:rsidR="001A77F6" w:rsidRPr="001A77F6" w:rsidRDefault="001A77F6" w:rsidP="001A77F6">
      <w:pPr>
        <w:rPr>
          <w:u w:val="single"/>
        </w:rPr>
      </w:pPr>
      <w:r w:rsidRPr="007C6F40">
        <w:rPr>
          <w:sz w:val="16"/>
        </w:rPr>
        <w:t xml:space="preserve">Many of the threats to the current global order, such as China’s rise or the diffusion of power, are driven by factors that the United States and West more generally have little leverage to influence or control. </w:t>
      </w:r>
      <w:r w:rsidRPr="007C6F40">
        <w:rPr>
          <w:u w:val="single"/>
        </w:rPr>
        <w:t>Democracy</w:t>
      </w:r>
      <w:r w:rsidRPr="007C6F40">
        <w:rPr>
          <w:sz w:val="16"/>
        </w:rPr>
        <w:t xml:space="preserve">, however, </w:t>
      </w:r>
      <w:r w:rsidRPr="007C6F40">
        <w:rPr>
          <w:u w:val="single"/>
        </w:rPr>
        <w:t>is an area where Western actions can affect outcomes. Factoring in the risks that arise from a global democratic decline into policy discussions is a vital step to building a comprehensive approach to democracy support. Bringing this perspective to the table may not lead to dramatic shifts in foreign policy, but it would ensure that we are having the right conversation.</w:t>
      </w:r>
    </w:p>
    <w:p w14:paraId="422DEBB2" w14:textId="3FBB84F7" w:rsidR="001A77F6" w:rsidRDefault="001A77F6" w:rsidP="008D78CC">
      <w:pPr>
        <w:pStyle w:val="Heading3"/>
      </w:pPr>
      <w:r>
        <w:t>2AC – AT: SOP War</w:t>
      </w:r>
    </w:p>
    <w:p w14:paraId="7DA4EDBA" w14:textId="77777777" w:rsidR="001A77F6" w:rsidRPr="007C6F40" w:rsidRDefault="001A77F6" w:rsidP="001A77F6">
      <w:pPr>
        <w:pStyle w:val="Heading4"/>
        <w:tabs>
          <w:tab w:val="center" w:pos="90"/>
        </w:tabs>
        <w:rPr>
          <w:rFonts w:cs="Times New Roman"/>
        </w:rPr>
      </w:pPr>
      <w:r w:rsidRPr="007C6F40">
        <w:rPr>
          <w:rFonts w:cs="Times New Roman"/>
        </w:rPr>
        <w:t>SOP prevents nuke war</w:t>
      </w:r>
    </w:p>
    <w:p w14:paraId="3B40EC8F" w14:textId="77777777" w:rsidR="001A77F6" w:rsidRPr="007C6F40" w:rsidRDefault="001A77F6" w:rsidP="001A77F6">
      <w:pPr>
        <w:tabs>
          <w:tab w:val="center" w:pos="90"/>
        </w:tabs>
      </w:pPr>
      <w:r w:rsidRPr="007C6F40">
        <w:rPr>
          <w:rStyle w:val="Style13ptBold"/>
        </w:rPr>
        <w:t xml:space="preserve">Forrester 89 </w:t>
      </w:r>
      <w:r w:rsidRPr="007C6F40">
        <w:rPr>
          <w:sz w:val="16"/>
          <w:szCs w:val="16"/>
        </w:rPr>
        <w:t xml:space="preserve">Ray </w:t>
      </w:r>
      <w:r w:rsidRPr="007C6F40">
        <w:rPr>
          <w:rStyle w:val="Style13ptBold"/>
          <w:b w:val="0"/>
          <w:sz w:val="16"/>
          <w:szCs w:val="16"/>
        </w:rPr>
        <w:t>Forrester 89</w:t>
      </w:r>
      <w:r w:rsidRPr="007C6F40">
        <w:rPr>
          <w:sz w:val="16"/>
          <w:szCs w:val="16"/>
        </w:rPr>
        <w:t>, Professor, Hastings College of the Law, University of California. 57 Geo. Wash. L. Rev. 1636.  Lexis)</w:t>
      </w:r>
    </w:p>
    <w:p w14:paraId="21420ACC" w14:textId="7A67B66A" w:rsidR="001A77F6" w:rsidRPr="001A77F6" w:rsidRDefault="001A77F6" w:rsidP="001A77F6">
      <w:pPr>
        <w:tabs>
          <w:tab w:val="center" w:pos="90"/>
        </w:tabs>
        <w:rPr>
          <w:b/>
          <w:iCs/>
          <w:u w:val="single"/>
          <w:bdr w:val="single" w:sz="8" w:space="0" w:color="auto"/>
        </w:rPr>
      </w:pPr>
      <w:r w:rsidRPr="007C6F40">
        <w:rPr>
          <w:sz w:val="14"/>
        </w:rPr>
        <w:t xml:space="preserve">A basic theory--if not the basic theory of our Constitution--is that </w:t>
      </w:r>
      <w:r w:rsidRPr="007C6F40">
        <w:rPr>
          <w:rStyle w:val="StyleUnderline"/>
        </w:rPr>
        <w:t>concentration of power in any one person</w:t>
      </w:r>
      <w:r w:rsidRPr="007C6F40">
        <w:rPr>
          <w:sz w:val="14"/>
        </w:rPr>
        <w:t xml:space="preserve">, or one group, </w:t>
      </w:r>
      <w:r w:rsidRPr="007C6F40">
        <w:rPr>
          <w:rStyle w:val="StyleUnderline"/>
        </w:rPr>
        <w:t>is dangerous</w:t>
      </w:r>
      <w:r w:rsidRPr="007C6F40">
        <w:rPr>
          <w:sz w:val="14"/>
        </w:rPr>
        <w:t xml:space="preserve"> to mankind. </w:t>
      </w:r>
      <w:r w:rsidRPr="007C6F40">
        <w:rPr>
          <w:rStyle w:val="StyleUnderline"/>
        </w:rPr>
        <w:t xml:space="preserve">The </w:t>
      </w:r>
      <w:r w:rsidRPr="00456038">
        <w:rPr>
          <w:rStyle w:val="StyleUnderline"/>
          <w:highlight w:val="cyan"/>
        </w:rPr>
        <w:t>Constitution</w:t>
      </w:r>
      <w:r w:rsidRPr="007C6F40">
        <w:rPr>
          <w:sz w:val="14"/>
        </w:rPr>
        <w:t xml:space="preserve">, therefore, </w:t>
      </w:r>
      <w:r w:rsidRPr="00456038">
        <w:rPr>
          <w:rStyle w:val="StyleUnderline"/>
          <w:highlight w:val="cyan"/>
        </w:rPr>
        <w:t>contains</w:t>
      </w:r>
      <w:r w:rsidRPr="007C6F40">
        <w:rPr>
          <w:rStyle w:val="StyleUnderline"/>
        </w:rPr>
        <w:t xml:space="preserve"> a strong system of checks and balances, starting with</w:t>
      </w:r>
      <w:r w:rsidRPr="007C6F40">
        <w:rPr>
          <w:sz w:val="14"/>
        </w:rPr>
        <w:t xml:space="preserve"> the </w:t>
      </w:r>
      <w:r w:rsidRPr="00456038">
        <w:rPr>
          <w:rStyle w:val="StyleUnderline"/>
          <w:highlight w:val="cyan"/>
        </w:rPr>
        <w:t>separation of powers</w:t>
      </w:r>
      <w:r w:rsidRPr="007C6F40">
        <w:rPr>
          <w:sz w:val="14"/>
        </w:rPr>
        <w:t xml:space="preserve"> between the President, Congress, and the Supreme Court. The message is that </w:t>
      </w:r>
      <w:r w:rsidRPr="00456038">
        <w:rPr>
          <w:rStyle w:val="StyleUnderline"/>
          <w:highlight w:val="cyan"/>
        </w:rPr>
        <w:t>no</w:t>
      </w:r>
      <w:r w:rsidRPr="007C6F40">
        <w:rPr>
          <w:rStyle w:val="StyleUnderline"/>
        </w:rPr>
        <w:t xml:space="preserve"> </w:t>
      </w:r>
      <w:r w:rsidRPr="00456038">
        <w:rPr>
          <w:rStyle w:val="StyleUnderline"/>
          <w:highlight w:val="cyan"/>
        </w:rPr>
        <w:t>one</w:t>
      </w:r>
      <w:r w:rsidRPr="007C6F40">
        <w:rPr>
          <w:rStyle w:val="StyleUnderline"/>
        </w:rPr>
        <w:t xml:space="preserve"> of them </w:t>
      </w:r>
      <w:r w:rsidRPr="00456038">
        <w:rPr>
          <w:rStyle w:val="StyleUnderline"/>
          <w:highlight w:val="cyan"/>
        </w:rPr>
        <w:t>is safe with unchecked power</w:t>
      </w:r>
      <w:r w:rsidRPr="007C6F40">
        <w:rPr>
          <w:rStyle w:val="StyleUnderline"/>
        </w:rPr>
        <w:t>.</w:t>
      </w:r>
      <w:r w:rsidRPr="007C6F40">
        <w:rPr>
          <w:sz w:val="14"/>
        </w:rPr>
        <w:t xml:space="preserve"> Yet, in what is probably the most dangerous governmental power ever possessed, </w:t>
      </w:r>
      <w:r w:rsidRPr="007C6F40">
        <w:rPr>
          <w:rStyle w:val="Emphasis"/>
        </w:rPr>
        <w:t xml:space="preserve">we find the </w:t>
      </w:r>
      <w:r w:rsidRPr="00456038">
        <w:rPr>
          <w:rStyle w:val="Emphasis"/>
          <w:highlight w:val="cyan"/>
        </w:rPr>
        <w:t>potential for</w:t>
      </w:r>
      <w:r w:rsidRPr="007C6F40">
        <w:rPr>
          <w:rStyle w:val="Emphasis"/>
        </w:rPr>
        <w:t xml:space="preserve"> world </w:t>
      </w:r>
      <w:r w:rsidRPr="00456038">
        <w:rPr>
          <w:rStyle w:val="Emphasis"/>
          <w:highlight w:val="cyan"/>
        </w:rPr>
        <w:t>destruction</w:t>
      </w:r>
      <w:r w:rsidRPr="007C6F40">
        <w:rPr>
          <w:rStyle w:val="Emphasis"/>
        </w:rPr>
        <w:t xml:space="preserve"> lodged in the discretion of one person.</w:t>
      </w:r>
    </w:p>
    <w:p w14:paraId="0518DA86" w14:textId="77777777" w:rsidR="0095149D" w:rsidRDefault="0095149D" w:rsidP="0095149D">
      <w:pPr>
        <w:pStyle w:val="Heading3"/>
      </w:pPr>
      <w:r>
        <w:t>2AC – AT: Test Case Fiat</w:t>
      </w:r>
    </w:p>
    <w:p w14:paraId="2584040C" w14:textId="24463E0B" w:rsidR="0095149D" w:rsidRDefault="0095149D" w:rsidP="0095149D">
      <w:pPr>
        <w:pStyle w:val="Heading4"/>
      </w:pPr>
      <w:r>
        <w:t xml:space="preserve">Try </w:t>
      </w:r>
      <w:r w:rsidRPr="0095149D">
        <w:rPr>
          <w:i/>
          <w:iCs w:val="0"/>
        </w:rPr>
        <w:t>Guedes v. Bureau</w:t>
      </w:r>
      <w:r>
        <w:t>!</w:t>
      </w:r>
    </w:p>
    <w:p w14:paraId="549C1122" w14:textId="77777777" w:rsidR="0095149D" w:rsidRPr="006E1824" w:rsidRDefault="0095149D" w:rsidP="0095149D">
      <w:r>
        <w:rPr>
          <w:rStyle w:val="Style13ptBold"/>
        </w:rPr>
        <w:t>Greenlee and Larosiere 19</w:t>
      </w:r>
      <w:r>
        <w:rPr>
          <w:rStyle w:val="Style13ptBold"/>
          <w:b w:val="0"/>
          <w:bCs w:val="0"/>
        </w:rPr>
        <w:t xml:space="preserve"> — </w:t>
      </w:r>
      <w:r>
        <w:rPr>
          <w:rStyle w:val="Style13ptBold"/>
          <w:b w:val="0"/>
          <w:bCs w:val="0"/>
          <w:sz w:val="22"/>
        </w:rPr>
        <w:t xml:space="preserve">Joseph Greenlee </w:t>
      </w:r>
      <w:r w:rsidRPr="00834187">
        <w:rPr>
          <w:rStyle w:val="Style13ptBold"/>
          <w:b w:val="0"/>
          <w:bCs w:val="0"/>
          <w:sz w:val="22"/>
        </w:rPr>
        <w:t xml:space="preserve">is an </w:t>
      </w:r>
      <w:r>
        <w:rPr>
          <w:rStyle w:val="Style13ptBold"/>
          <w:b w:val="0"/>
          <w:bCs w:val="0"/>
          <w:sz w:val="22"/>
        </w:rPr>
        <w:t>attorney and has his J.D. from University of Denver</w:t>
      </w:r>
      <w:r w:rsidRPr="00834187">
        <w:rPr>
          <w:rStyle w:val="Style13ptBold"/>
          <w:b w:val="0"/>
          <w:bCs w:val="0"/>
          <w:sz w:val="22"/>
        </w:rPr>
        <w:t>. He is a</w:t>
      </w:r>
      <w:r>
        <w:rPr>
          <w:rStyle w:val="Style13ptBold"/>
          <w:b w:val="0"/>
          <w:bCs w:val="0"/>
          <w:sz w:val="22"/>
        </w:rPr>
        <w:t xml:space="preserve"> </w:t>
      </w:r>
      <w:r w:rsidRPr="00834187">
        <w:rPr>
          <w:rStyle w:val="Style13ptBold"/>
          <w:b w:val="0"/>
          <w:bCs w:val="0"/>
          <w:sz w:val="22"/>
        </w:rPr>
        <w:t>fellow at the Millennial Policy Center.</w:t>
      </w:r>
      <w:r>
        <w:rPr>
          <w:rStyle w:val="Style13ptBold"/>
          <w:b w:val="0"/>
          <w:bCs w:val="0"/>
          <w:sz w:val="22"/>
        </w:rPr>
        <w:t xml:space="preserve"> Matthew Larosiere is the director of legal policy at FPC, was a legal associate at Cato, and graduated from Alabama School of Law. [“BRIEF OF AMICUS CURIAE FIREARMS POLICY COALITION IN SUPPORT OF PETITIONERS”, October 2, 2019 (accessed: 6/21/20). No. 19-296, pg. 3-26. </w:t>
      </w:r>
      <w:r w:rsidRPr="006B620C">
        <w:rPr>
          <w:rStyle w:val="Style13ptBold"/>
          <w:b w:val="0"/>
          <w:bCs w:val="0"/>
          <w:sz w:val="22"/>
        </w:rPr>
        <w:t>https://www.supremecourt.gov/DocketPDF/19/19-296/117810/20191002172920916_Amicus%20Brief%20FPC.pdf</w:t>
      </w:r>
      <w:r>
        <w:rPr>
          <w:rStyle w:val="Style13ptBold"/>
          <w:b w:val="0"/>
          <w:bCs w:val="0"/>
          <w:sz w:val="22"/>
        </w:rPr>
        <w:t>]//JLPark</w:t>
      </w:r>
    </w:p>
    <w:p w14:paraId="024A17DA" w14:textId="77777777" w:rsidR="0095149D" w:rsidRPr="00B8318E" w:rsidRDefault="0095149D" w:rsidP="0095149D">
      <w:pPr>
        <w:rPr>
          <w:sz w:val="16"/>
        </w:rPr>
      </w:pPr>
      <w:r w:rsidRPr="00B8318E">
        <w:rPr>
          <w:sz w:val="16"/>
        </w:rPr>
        <w:t xml:space="preserve">III. Applying </w:t>
      </w:r>
      <w:r w:rsidRPr="00306DF8">
        <w:rPr>
          <w:u w:val="single"/>
        </w:rPr>
        <w:t>Chevron deference in criminal matters violates the separation of powers</w:t>
      </w:r>
      <w:r w:rsidRPr="00B8318E">
        <w:rPr>
          <w:sz w:val="16"/>
        </w:rPr>
        <w:t>.</w:t>
      </w:r>
    </w:p>
    <w:p w14:paraId="6F81B925" w14:textId="77777777" w:rsidR="0095149D" w:rsidRPr="00B8318E" w:rsidRDefault="0095149D" w:rsidP="0095149D">
      <w:pPr>
        <w:rPr>
          <w:sz w:val="16"/>
        </w:rPr>
      </w:pPr>
      <w:r w:rsidRPr="00B8318E">
        <w:rPr>
          <w:sz w:val="16"/>
        </w:rPr>
        <w:t xml:space="preserve">James Madison declared that </w:t>
      </w:r>
      <w:r w:rsidRPr="00306DF8">
        <w:rPr>
          <w:u w:val="single"/>
        </w:rPr>
        <w:t>“[t]he accumulation of all powers</w:t>
      </w:r>
      <w:r w:rsidRPr="00B8318E">
        <w:rPr>
          <w:sz w:val="16"/>
        </w:rPr>
        <w:t xml:space="preserve">, legislative, executive, and judiciary, in the same hands, </w:t>
      </w:r>
      <w:r w:rsidRPr="00306DF8">
        <w:rPr>
          <w:u w:val="single"/>
        </w:rPr>
        <w:t>whether of one, a few, or many</w:t>
      </w:r>
      <w:r w:rsidRPr="00B8318E">
        <w:rPr>
          <w:sz w:val="16"/>
        </w:rPr>
        <w:t xml:space="preserve">, and whether hereditary, self-appointed, or elective, </w:t>
      </w:r>
      <w:r w:rsidRPr="00306DF8">
        <w:rPr>
          <w:u w:val="single"/>
        </w:rPr>
        <w:t xml:space="preserve">may justly be </w:t>
      </w:r>
      <w:r w:rsidRPr="00B8318E">
        <w:rPr>
          <w:sz w:val="16"/>
        </w:rPr>
        <w:t>pronounced</w:t>
      </w:r>
      <w:r w:rsidRPr="00306DF8">
        <w:rPr>
          <w:u w:val="single"/>
        </w:rPr>
        <w:t xml:space="preserve"> the very definition of tyranny</w:t>
      </w:r>
      <w:r w:rsidRPr="00B8318E">
        <w:rPr>
          <w:sz w:val="16"/>
        </w:rPr>
        <w:t xml:space="preserve">.” THE FEDERALIST NO. 47. Madison, advocating for the ratification of the Constitution, was responding to an objection that the Constitution violated “the political maxim, that the legislative, executive, and judiciary departments ought to be separate and distinct”—an “essential precaution in favor of liberty.” Id. Madison, acknowledging that “the preservation of </w:t>
      </w:r>
      <w:r w:rsidRPr="00B8318E">
        <w:rPr>
          <w:u w:val="single"/>
        </w:rPr>
        <w:t>liberty requires that</w:t>
      </w:r>
      <w:r w:rsidRPr="00B8318E">
        <w:rPr>
          <w:sz w:val="16"/>
        </w:rPr>
        <w:t xml:space="preserve"> the three great departments of </w:t>
      </w:r>
      <w:r w:rsidRPr="00B8318E">
        <w:rPr>
          <w:u w:val="single"/>
        </w:rPr>
        <w:t>power</w:t>
      </w:r>
      <w:r w:rsidRPr="00B8318E">
        <w:rPr>
          <w:sz w:val="16"/>
        </w:rPr>
        <w:t xml:space="preserve"> should be </w:t>
      </w:r>
      <w:r w:rsidRPr="00B8318E">
        <w:rPr>
          <w:u w:val="single"/>
        </w:rPr>
        <w:t>separate and distinct</w:t>
      </w:r>
      <w:r w:rsidRPr="00B8318E">
        <w:rPr>
          <w:sz w:val="16"/>
        </w:rPr>
        <w:t xml:space="preserve">,” was confident “that it will be made apparent to every one, that the charge cannot be supported.” Id. “Were the federal Constitution . . . really chargeable with </w:t>
      </w:r>
      <w:r w:rsidRPr="00B8318E">
        <w:rPr>
          <w:u w:val="single"/>
        </w:rPr>
        <w:t>the accumulation of power, or</w:t>
      </w:r>
      <w:r w:rsidRPr="00B8318E">
        <w:rPr>
          <w:sz w:val="16"/>
        </w:rPr>
        <w:t xml:space="preserve"> with a mixture of powers, having </w:t>
      </w:r>
      <w:r w:rsidRPr="00B8318E">
        <w:rPr>
          <w:u w:val="single"/>
        </w:rPr>
        <w:t>a dangerous tendency to such an accumulation</w:t>
      </w:r>
      <w:r w:rsidRPr="00B8318E">
        <w:rPr>
          <w:sz w:val="16"/>
        </w:rPr>
        <w:t xml:space="preserve">, no further arguments </w:t>
      </w:r>
      <w:r w:rsidRPr="00B8318E">
        <w:rPr>
          <w:u w:val="single"/>
        </w:rPr>
        <w:t>would</w:t>
      </w:r>
      <w:r w:rsidRPr="00B8318E">
        <w:rPr>
          <w:sz w:val="16"/>
        </w:rPr>
        <w:t xml:space="preserve"> be necessary to </w:t>
      </w:r>
      <w:r w:rsidRPr="00B8318E">
        <w:rPr>
          <w:u w:val="single"/>
        </w:rPr>
        <w:t>inspire a</w:t>
      </w:r>
      <w:r w:rsidRPr="00B8318E">
        <w:rPr>
          <w:sz w:val="16"/>
        </w:rPr>
        <w:t xml:space="preserve"> universal </w:t>
      </w:r>
      <w:r w:rsidRPr="00B8318E">
        <w:rPr>
          <w:u w:val="single"/>
        </w:rPr>
        <w:t>reprobation</w:t>
      </w:r>
      <w:r w:rsidRPr="00B8318E">
        <w:rPr>
          <w:sz w:val="16"/>
        </w:rPr>
        <w:t xml:space="preserve"> of the system.” Id.</w:t>
      </w:r>
    </w:p>
    <w:p w14:paraId="5EA8AE10" w14:textId="77777777" w:rsidR="0095149D" w:rsidRPr="00B8318E" w:rsidRDefault="0095149D" w:rsidP="0095149D">
      <w:pPr>
        <w:rPr>
          <w:sz w:val="16"/>
          <w:szCs w:val="16"/>
        </w:rPr>
      </w:pPr>
      <w:r w:rsidRPr="00B8318E">
        <w:rPr>
          <w:sz w:val="16"/>
          <w:szCs w:val="16"/>
        </w:rPr>
        <w:t>Madison was echoing Blackstone, who had stated that “[i]n all tyrannical governments the supreme magistracy, or the right both of making and of enforcing the laws, is vested in one and the same man, or one and the same body of men; and wherever these two powers are united together, there can be no public liberty.” 1 Blackstone, COMMENTARIES at 146. Blackstone “thought a delegation of lawmaking power to be “disgraceful.” Dep't of Transp. v. Ass'n of Am. Railroads, 135 S. Ct. 1225, 1244 (2015) (Thomas, J., concurring in the judgment) (quoting 4 Blackstone, COMMENTARIES at 424).</w:t>
      </w:r>
    </w:p>
    <w:p w14:paraId="082A82B1" w14:textId="77777777" w:rsidR="0095149D" w:rsidRPr="00B8318E" w:rsidRDefault="0095149D" w:rsidP="0095149D">
      <w:pPr>
        <w:rPr>
          <w:sz w:val="16"/>
          <w:szCs w:val="16"/>
        </w:rPr>
      </w:pPr>
      <w:r w:rsidRPr="00B8318E">
        <w:rPr>
          <w:sz w:val="16"/>
          <w:szCs w:val="16"/>
        </w:rPr>
        <w:t>The Constitution was ratified with the understanding and expectation that these powers were separate and distinct. Thomas Jefferson wrote to Madison in 1797, explaining that “[The] principle [of the Constitution] is that of a separation of Legislative, Executive and Judiciary functions except in cases specified. If this principle be not expressed in direct terms, it is clearly the spirit of the Constitution. . . .” Letter from Thomas Jefferson to James Madison, in 9 THE WRITINGS OF THOMAS JEFFERSON 368 (Andrew A. Lipscomb &amp; Albert Ellery Bergh, eds., 1905). See also</w:t>
      </w:r>
    </w:p>
    <w:p w14:paraId="61E482D6" w14:textId="77777777" w:rsidR="0095149D" w:rsidRPr="00B8318E" w:rsidRDefault="0095149D" w:rsidP="0095149D">
      <w:pPr>
        <w:rPr>
          <w:sz w:val="16"/>
          <w:szCs w:val="16"/>
        </w:rPr>
      </w:pPr>
      <w:r w:rsidRPr="00B8318E">
        <w:rPr>
          <w:sz w:val="16"/>
          <w:szCs w:val="16"/>
        </w:rPr>
        <w:t>Letter from Thomas Jefferson to George Hay (May 20, 1807), in 10 THE WORKS OF THOMAS JEFFERSON 404 (Paul Leicester Ford ed., 1905) (“The leading principle of our Constitution is the independence of the Legislature, executive and judiciary of each other"). Jefferson and Madison—and the rest of the founders—would have been puzzled by the decision below, which upheld the executive branch’s exercise of “all powers, legislative, executive, and judiciary,” in direct contradiction to the “spirit of the Constitution.”</w:t>
      </w:r>
    </w:p>
    <w:p w14:paraId="167C30F9" w14:textId="77777777" w:rsidR="0095149D" w:rsidRPr="00B8318E" w:rsidRDefault="0095149D" w:rsidP="0095149D">
      <w:pPr>
        <w:rPr>
          <w:sz w:val="16"/>
          <w:szCs w:val="16"/>
        </w:rPr>
      </w:pPr>
      <w:r w:rsidRPr="00B8318E">
        <w:rPr>
          <w:sz w:val="16"/>
          <w:szCs w:val="16"/>
        </w:rPr>
        <w:t>A. Executive Powers.</w:t>
      </w:r>
    </w:p>
    <w:p w14:paraId="356F8325" w14:textId="77777777" w:rsidR="0095149D" w:rsidRPr="00CB4BA9" w:rsidRDefault="0095149D" w:rsidP="0095149D">
      <w:pPr>
        <w:rPr>
          <w:sz w:val="16"/>
          <w:szCs w:val="16"/>
        </w:rPr>
      </w:pPr>
      <w:r w:rsidRPr="00CB4BA9">
        <w:rPr>
          <w:sz w:val="16"/>
          <w:szCs w:val="16"/>
        </w:rPr>
        <w:t>Congress instructed that the “administration and enforcement” of the National Firearms Act “shall be performed by or under the supervision of the Attorney General.” 26 U.S.C. § 7801(a)(2)(A). With this, the Attorney General gained the authority to “prescribe all needful rules and regulations for the enforcement” of the Act. 26 U.S.C. § 7805. Congress then granted the Attorney General the authority to “prescribe only such rules and regulations as are necessary to carry out the provisions” of the Gun Control Act of 1968. 18 U.S.C. § 926(a). The Attorney General in turn delegated to the ATF the duties to “[i]nvestigate, administer, and enforce the laws related to” the National Firearms Act and Gun Control Act. 28 C.F.R. § 0.130(a).</w:t>
      </w:r>
    </w:p>
    <w:p w14:paraId="1206EF3F" w14:textId="77777777" w:rsidR="0095149D" w:rsidRPr="00CB4BA9" w:rsidRDefault="0095149D" w:rsidP="0095149D">
      <w:pPr>
        <w:rPr>
          <w:sz w:val="16"/>
          <w:szCs w:val="16"/>
        </w:rPr>
      </w:pPr>
      <w:r w:rsidRPr="00CB4BA9">
        <w:rPr>
          <w:sz w:val="16"/>
          <w:szCs w:val="16"/>
        </w:rPr>
        <w:t>The court below justified the ATF’s use of executive authority to effectively create legislation by explaining that this Court “held that, in the criminal context, as in all contexts, the separation of powers ‘does not prevent Congress from seeking assistance * * * from its coordinate Branches’ so long as Congress ‘lays down by legislative act an intelligible principle to which the person or body authorized to act is directed to conform.’” Guedes, 920 F.3d at 26 (quoting Touby v. United States, 500 U.S. 160, 165 (1991)). “And no party suggests that such an intelligible principle is lacking in this case.” Id.</w:t>
      </w:r>
    </w:p>
    <w:p w14:paraId="2F14FE55" w14:textId="77777777" w:rsidR="0095149D" w:rsidRPr="00CB4BA9" w:rsidRDefault="0095149D" w:rsidP="0095149D">
      <w:pPr>
        <w:rPr>
          <w:sz w:val="16"/>
          <w:szCs w:val="16"/>
        </w:rPr>
      </w:pPr>
      <w:r w:rsidRPr="00CB4BA9">
        <w:rPr>
          <w:sz w:val="16"/>
          <w:szCs w:val="16"/>
        </w:rPr>
        <w:t>Congress did indeed “lay[] down by legislative act an intelligible principle to which the [ATF] is directed to conform.” But the ATF far exceeded that directive. Specifically, the ATF was directed to “carry out,” “[i]nvestigate,” “administer,” and “enforce” the law. These duties are consistent with the executive power to “take Care that the Laws be faithfully executed.” U.S. Const. art. II, § 3. But they cannot reasonably be read to allow for the creation of laws—which, as explained next, is among the ways the ATF used its power.</w:t>
      </w:r>
    </w:p>
    <w:p w14:paraId="536DD06E" w14:textId="77777777" w:rsidR="0095149D" w:rsidRPr="00B8318E" w:rsidRDefault="0095149D" w:rsidP="0095149D">
      <w:pPr>
        <w:rPr>
          <w:sz w:val="16"/>
          <w:szCs w:val="16"/>
        </w:rPr>
      </w:pPr>
      <w:r w:rsidRPr="00B8318E">
        <w:rPr>
          <w:sz w:val="16"/>
          <w:szCs w:val="16"/>
        </w:rPr>
        <w:t>B. Legislative Powers.</w:t>
      </w:r>
    </w:p>
    <w:p w14:paraId="36E1E5BA" w14:textId="77777777" w:rsidR="0095149D" w:rsidRPr="00CB4BA9" w:rsidRDefault="0095149D" w:rsidP="0095149D">
      <w:pPr>
        <w:rPr>
          <w:sz w:val="16"/>
          <w:szCs w:val="16"/>
        </w:rPr>
      </w:pPr>
      <w:r w:rsidRPr="00B8318E">
        <w:rPr>
          <w:sz w:val="16"/>
        </w:rPr>
        <w:t xml:space="preserve">As the court </w:t>
      </w:r>
      <w:r w:rsidRPr="00CB4BA9">
        <w:rPr>
          <w:sz w:val="16"/>
          <w:szCs w:val="16"/>
        </w:rPr>
        <w:t>below acknowledged, the ATF’s Rule did not merely administer or enforce Congress’s law; it created new criminal law.</w:t>
      </w:r>
    </w:p>
    <w:p w14:paraId="1336DB47" w14:textId="77777777" w:rsidR="0095149D" w:rsidRPr="00B8318E" w:rsidRDefault="0095149D" w:rsidP="0095149D">
      <w:pPr>
        <w:rPr>
          <w:sz w:val="16"/>
        </w:rPr>
      </w:pPr>
      <w:r w:rsidRPr="00B8318E">
        <w:rPr>
          <w:sz w:val="16"/>
        </w:rPr>
        <w:t>“The Rule unequivocally bespeaks an effort by the Bureau to adjust the legal rights and obligations of bump-stock owners—i.e., to act with the force of law.” Guedes, 920 F.3d at 18. “</w:t>
      </w:r>
      <w:r w:rsidRPr="00B8318E">
        <w:rPr>
          <w:u w:val="single"/>
        </w:rPr>
        <w:t xml:space="preserve">The Rule makes clear </w:t>
      </w:r>
      <w:r w:rsidRPr="00B8318E">
        <w:rPr>
          <w:sz w:val="16"/>
        </w:rPr>
        <w:t xml:space="preserve">throughout </w:t>
      </w:r>
      <w:r w:rsidRPr="00B8318E">
        <w:rPr>
          <w:u w:val="single"/>
        </w:rPr>
        <w:t>that possession of bump-stock</w:t>
      </w:r>
      <w:r w:rsidRPr="00B8318E">
        <w:rPr>
          <w:sz w:val="16"/>
        </w:rPr>
        <w:t xml:space="preserve"> devices </w:t>
      </w:r>
      <w:r w:rsidRPr="00B8318E">
        <w:rPr>
          <w:u w:val="single"/>
        </w:rPr>
        <w:t>will become unlawful</w:t>
      </w:r>
      <w:r w:rsidRPr="00B8318E">
        <w:rPr>
          <w:sz w:val="16"/>
        </w:rPr>
        <w:t xml:space="preserve"> only as of the Rule's effective date, not before.” Id. Specifically, the Rule states that bump stocks “will be prohibited when this rule becomes effective.” 83 Fed. Reg. 66,514. The change in law is reflected by the Rule’s assurance that “[a]nyone currently in possession of a bump-stock-type device is not acting unlawfully unless they fail to relinquish or destroy their device after the effective date of this regulation.” Id. at 66,523. Most explicitly, the Rule acknowledges that it “criminalize[s] only future conduct, not past possession.” Id. at 66,525.</w:t>
      </w:r>
    </w:p>
    <w:p w14:paraId="3A86E9F1" w14:textId="77777777" w:rsidR="0095149D" w:rsidRPr="00B8318E" w:rsidRDefault="0095149D" w:rsidP="0095149D">
      <w:pPr>
        <w:rPr>
          <w:sz w:val="16"/>
        </w:rPr>
      </w:pPr>
      <w:r w:rsidRPr="00B8318E">
        <w:rPr>
          <w:u w:val="single"/>
        </w:rPr>
        <w:t>To make lawful activity unlawful is to create law</w:t>
      </w:r>
      <w:r w:rsidRPr="00B8318E">
        <w:rPr>
          <w:sz w:val="16"/>
        </w:rPr>
        <w:t>. As Judge Henderson noted, the ATF exceeded its authority:</w:t>
      </w:r>
    </w:p>
    <w:p w14:paraId="64C99066" w14:textId="77777777" w:rsidR="0095149D" w:rsidRPr="00B8318E" w:rsidRDefault="0095149D" w:rsidP="0095149D">
      <w:pPr>
        <w:ind w:left="360"/>
        <w:rPr>
          <w:sz w:val="16"/>
          <w:szCs w:val="16"/>
        </w:rPr>
      </w:pPr>
      <w:r w:rsidRPr="00B8318E">
        <w:rPr>
          <w:sz w:val="16"/>
          <w:szCs w:val="16"/>
        </w:rPr>
        <w:t>The statutory definition of “machinegun” does not include a firearm that shoots more than one round “automatically” by a single pull of the trigger AND THEN SOME (that is, by “constant forward pressure with the non-trigger hand”). Bump-StockType Devices, 83 Fed. Reg. at 66,532. By including more action than a single trigger pull, the Rule invalidly expands section 5845(b), as the ATF itself recognized in the rulemaking.</w:t>
      </w:r>
    </w:p>
    <w:p w14:paraId="23B58EB2" w14:textId="77777777" w:rsidR="0095149D" w:rsidRPr="00B8318E" w:rsidRDefault="0095149D" w:rsidP="0095149D">
      <w:pPr>
        <w:rPr>
          <w:sz w:val="16"/>
          <w:szCs w:val="16"/>
        </w:rPr>
      </w:pPr>
      <w:r w:rsidRPr="00B8318E">
        <w:rPr>
          <w:sz w:val="16"/>
          <w:szCs w:val="16"/>
        </w:rPr>
        <w:t>Guedes, 920 F.3d at 44 (Henderson, J., concurring in part and dissenting in part) (emphasis in original).</w:t>
      </w:r>
    </w:p>
    <w:p w14:paraId="072FFCE3" w14:textId="77777777" w:rsidR="0095149D" w:rsidRPr="00B8318E" w:rsidRDefault="0095149D" w:rsidP="0095149D">
      <w:pPr>
        <w:rPr>
          <w:sz w:val="16"/>
          <w:szCs w:val="16"/>
        </w:rPr>
      </w:pPr>
      <w:r w:rsidRPr="00B8318E">
        <w:rPr>
          <w:sz w:val="16"/>
          <w:szCs w:val="16"/>
        </w:rPr>
        <w:t>The Constitution provides that “All legislative Powers . . . granted” to the federal government “shall be vested in a Congress of the United States, which shall consist of a Senate and House of Representatives.” U.S. Const. art. I, § 1. “Every Bill which shall have passed the House of Representatives and the Senate, shall, before it becomes a Law, be presented to the President of the United States.” U.S. Const. art. I, § 7, cl. 2. “This text permits no delegation of those powers.” Whitman v. Am. Trucking Associations, 531 U.S. 457, 472 (2001).</w:t>
      </w:r>
    </w:p>
    <w:p w14:paraId="5705491C" w14:textId="77777777" w:rsidR="0095149D" w:rsidRPr="00B8318E" w:rsidRDefault="0095149D" w:rsidP="0095149D">
      <w:pPr>
        <w:rPr>
          <w:sz w:val="16"/>
        </w:rPr>
      </w:pPr>
      <w:r w:rsidRPr="00B8318E">
        <w:rPr>
          <w:sz w:val="16"/>
        </w:rPr>
        <w:t xml:space="preserve">Thus, “the Court has derived the nondelegation doctrine: that </w:t>
      </w:r>
      <w:r w:rsidRPr="00B8318E">
        <w:rPr>
          <w:u w:val="single"/>
        </w:rPr>
        <w:t>Congress may not constitutionally delegate its legislative power to another branch</w:t>
      </w:r>
      <w:r w:rsidRPr="00B8318E">
        <w:rPr>
          <w:sz w:val="16"/>
        </w:rPr>
        <w:t xml:space="preserve"> of Government.” Touby, 500 U.S. at 165. “For example, Congress improperly ‘delegates’ legislative power when it authorizes an entity other than itself to make a determination that requires an exercise of legislative power.” Dep't of Transp., 135 S. Ct. at 1241 (Thomas, J., concurring in the judgment). “</w:t>
      </w:r>
      <w:r w:rsidRPr="00B8318E">
        <w:rPr>
          <w:u w:val="single"/>
        </w:rPr>
        <w:t>The nondelegation doctrine is rooted in the principle of separation of powers that underlies our tripartite system of Government</w:t>
      </w:r>
      <w:r w:rsidRPr="00B8318E">
        <w:rPr>
          <w:sz w:val="16"/>
        </w:rPr>
        <w:t>.” Touby, 500 U.S. at 165 (quoting Mistretta v. United States, 488 U.S. 361, 371 (1989)).</w:t>
      </w:r>
    </w:p>
    <w:p w14:paraId="00D29D4E" w14:textId="77777777" w:rsidR="0095149D" w:rsidRPr="00CB4BA9" w:rsidRDefault="0095149D" w:rsidP="0095149D">
      <w:pPr>
        <w:rPr>
          <w:sz w:val="16"/>
        </w:rPr>
      </w:pPr>
      <w:r w:rsidRPr="00CB4BA9">
        <w:rPr>
          <w:sz w:val="16"/>
        </w:rPr>
        <w:t xml:space="preserve">The Constitution carefully establishes a system, and safeguards it, to ensure that legislation requires the approval of both houses of Congress, as well as the president—thus requiring today the consideration of 536 elected representatives directly accountable to their constituents. See Dep't of Transp., 135 S. Ct. at 1237 (Alito, J., concurring) (“The principle that Congress cannot delegate away its vested powers exists to protect liberty. Our Constitution, by careful design, prescribes a process for making law, and within that process there are many accountability checkpoints. </w:t>
      </w:r>
      <w:r w:rsidRPr="00B8318E">
        <w:rPr>
          <w:u w:val="single"/>
        </w:rPr>
        <w:t>It would dash the whole scheme if Congress could give its power away to an entity that is not constrained by those checkpoints</w:t>
      </w:r>
      <w:r w:rsidRPr="00CB4BA9">
        <w:rPr>
          <w:sz w:val="16"/>
        </w:rPr>
        <w:t xml:space="preserve">.”) (citation omitted). By contrast, here, the ATF effectively created its own legislation, entirely independent of the legislative branch, and unaccountable to the People or any other branch of government. This </w:t>
      </w:r>
      <w:r w:rsidRPr="00B8318E">
        <w:rPr>
          <w:u w:val="single"/>
        </w:rPr>
        <w:t>cannot stand, for</w:t>
      </w:r>
      <w:r w:rsidRPr="00CB4BA9">
        <w:rPr>
          <w:sz w:val="16"/>
        </w:rPr>
        <w:t xml:space="preserve"> “[l]iberty requires </w:t>
      </w:r>
      <w:r w:rsidRPr="00B8318E">
        <w:rPr>
          <w:u w:val="single"/>
        </w:rPr>
        <w:t>accountability</w:t>
      </w:r>
      <w:r w:rsidRPr="00CB4BA9">
        <w:rPr>
          <w:sz w:val="16"/>
        </w:rPr>
        <w:t>.” Id. at 1234 (Alito, J., concurring).</w:t>
      </w:r>
    </w:p>
    <w:p w14:paraId="2AE95C8E" w14:textId="77777777" w:rsidR="0095149D" w:rsidRPr="0070114D" w:rsidRDefault="0095149D" w:rsidP="0095149D">
      <w:pPr>
        <w:rPr>
          <w:sz w:val="16"/>
          <w:szCs w:val="16"/>
        </w:rPr>
      </w:pPr>
      <w:r w:rsidRPr="0070114D">
        <w:rPr>
          <w:sz w:val="16"/>
          <w:szCs w:val="16"/>
        </w:rPr>
        <w:t>C. Judiciary Powers.</w:t>
      </w:r>
    </w:p>
    <w:p w14:paraId="5590754C" w14:textId="77777777" w:rsidR="0095149D" w:rsidRPr="0070114D" w:rsidRDefault="0095149D" w:rsidP="0095149D">
      <w:pPr>
        <w:rPr>
          <w:sz w:val="16"/>
        </w:rPr>
      </w:pPr>
      <w:r w:rsidRPr="0070114D">
        <w:rPr>
          <w:sz w:val="16"/>
        </w:rPr>
        <w:t xml:space="preserve">Rufus </w:t>
      </w:r>
      <w:r w:rsidRPr="0070114D">
        <w:rPr>
          <w:u w:val="single"/>
        </w:rPr>
        <w:t>King emphasized the importance for judges to “expound the law as it should come before them, free from the bias</w:t>
      </w:r>
      <w:r w:rsidRPr="0070114D">
        <w:rPr>
          <w:sz w:val="16"/>
        </w:rPr>
        <w:t xml:space="preserve"> of having participated in its formation.” 6 PROCEEDINGS OF SIXTH NATIONAL CONFERENCE 291 (1917). Madison’s Journal of the Constitutional Convention represents the Founders’ view:</w:t>
      </w:r>
    </w:p>
    <w:p w14:paraId="21F0D56B" w14:textId="77777777" w:rsidR="0095149D" w:rsidRPr="00CB4BA9" w:rsidRDefault="0095149D" w:rsidP="0095149D">
      <w:pPr>
        <w:ind w:left="360"/>
        <w:rPr>
          <w:rStyle w:val="StyleUnderline"/>
        </w:rPr>
      </w:pPr>
      <w:r w:rsidRPr="0070114D">
        <w:rPr>
          <w:sz w:val="16"/>
          <w:szCs w:val="16"/>
        </w:rPr>
        <w:t xml:space="preserve">MR. STRONG thought, with MR. GERRY, that </w:t>
      </w:r>
      <w:r w:rsidRPr="00CB4BA9">
        <w:rPr>
          <w:rStyle w:val="StyleUnderline"/>
        </w:rPr>
        <w:t>the power of making, ought to be kept distinct from that of expounding, the laws. No maxim was better established. The Judges in exercising the function of expositors might be influenced by the part they had taken in passing the laws.</w:t>
      </w:r>
    </w:p>
    <w:p w14:paraId="2F381BC6" w14:textId="77777777" w:rsidR="0095149D" w:rsidRPr="0070114D" w:rsidRDefault="0095149D" w:rsidP="0095149D">
      <w:pPr>
        <w:rPr>
          <w:sz w:val="16"/>
          <w:szCs w:val="16"/>
        </w:rPr>
      </w:pPr>
      <w:r w:rsidRPr="0070114D">
        <w:rPr>
          <w:sz w:val="16"/>
          <w:szCs w:val="16"/>
        </w:rPr>
        <w:t>JOURNAL OF THE CONSTITUTIONAL CONVENTION, KEPT BY JAMES MADISON 400 (E.H. Scott, ed. 1893). Hence the independent judiciary established in the Constitution.</w:t>
      </w:r>
    </w:p>
    <w:p w14:paraId="168E53B9" w14:textId="77777777" w:rsidR="0095149D" w:rsidRPr="0070114D" w:rsidRDefault="0095149D" w:rsidP="0095149D">
      <w:pPr>
        <w:rPr>
          <w:sz w:val="16"/>
        </w:rPr>
      </w:pPr>
      <w:r w:rsidRPr="0070114D">
        <w:rPr>
          <w:sz w:val="16"/>
        </w:rPr>
        <w:t xml:space="preserve">Here, </w:t>
      </w:r>
      <w:r w:rsidRPr="0070114D">
        <w:rPr>
          <w:u w:val="single"/>
        </w:rPr>
        <w:t xml:space="preserve">however, the executive </w:t>
      </w:r>
      <w:r w:rsidRPr="0070114D">
        <w:rPr>
          <w:sz w:val="16"/>
        </w:rPr>
        <w:t xml:space="preserve">branch </w:t>
      </w:r>
      <w:r w:rsidRPr="0070114D">
        <w:rPr>
          <w:u w:val="single"/>
        </w:rPr>
        <w:t>has</w:t>
      </w:r>
      <w:r w:rsidRPr="0070114D">
        <w:rPr>
          <w:sz w:val="16"/>
        </w:rPr>
        <w:t xml:space="preserve"> been free to </w:t>
      </w:r>
      <w:r w:rsidRPr="0070114D">
        <w:rPr>
          <w:u w:val="single"/>
        </w:rPr>
        <w:t>expound its own Rule, despite having participated in its formation and</w:t>
      </w:r>
      <w:r w:rsidRPr="0070114D">
        <w:rPr>
          <w:sz w:val="16"/>
        </w:rPr>
        <w:t xml:space="preserve"> its “responsibility for administering and </w:t>
      </w:r>
      <w:r w:rsidRPr="0070114D">
        <w:rPr>
          <w:u w:val="single"/>
        </w:rPr>
        <w:t>enforcing</w:t>
      </w:r>
      <w:r w:rsidRPr="0070114D">
        <w:rPr>
          <w:sz w:val="16"/>
        </w:rPr>
        <w:t>” it. 83 Fed. Reg. 66,515.</w:t>
      </w:r>
    </w:p>
    <w:p w14:paraId="6D2E9D0C" w14:textId="77777777" w:rsidR="0095149D" w:rsidRPr="00CB4BA9" w:rsidRDefault="0095149D" w:rsidP="0095149D">
      <w:pPr>
        <w:rPr>
          <w:sz w:val="16"/>
        </w:rPr>
      </w:pPr>
      <w:r w:rsidRPr="00CB4BA9">
        <w:rPr>
          <w:sz w:val="16"/>
        </w:rPr>
        <w:t xml:space="preserve">What is more, </w:t>
      </w:r>
      <w:r w:rsidRPr="0070114D">
        <w:rPr>
          <w:u w:val="single"/>
        </w:rPr>
        <w:t>the court</w:t>
      </w:r>
      <w:r w:rsidRPr="00CB4BA9">
        <w:rPr>
          <w:sz w:val="16"/>
        </w:rPr>
        <w:t xml:space="preserve"> below </w:t>
      </w:r>
      <w:r w:rsidRPr="0070114D">
        <w:rPr>
          <w:u w:val="single"/>
        </w:rPr>
        <w:t xml:space="preserve">deferred to the </w:t>
      </w:r>
      <w:r w:rsidRPr="00CB4BA9">
        <w:rPr>
          <w:sz w:val="16"/>
        </w:rPr>
        <w:t>ATF’s</w:t>
      </w:r>
      <w:r w:rsidRPr="0070114D">
        <w:rPr>
          <w:u w:val="single"/>
        </w:rPr>
        <w:t xml:space="preserve"> interpretation of the law even though the government’s counsel asked it not to apply Chevron</w:t>
      </w:r>
      <w:r w:rsidRPr="00CB4BA9">
        <w:rPr>
          <w:sz w:val="16"/>
        </w:rPr>
        <w:t xml:space="preserve">. And, </w:t>
      </w:r>
      <w:r w:rsidRPr="0070114D">
        <w:rPr>
          <w:u w:val="single"/>
        </w:rPr>
        <w:t>in accordance with Chevron, the court was willing to “accept the agency's construction of the statute, even if the agency's reading differs from what the court believes is the best statutory interpretation</w:t>
      </w:r>
      <w:r w:rsidRPr="00CB4BA9">
        <w:rPr>
          <w:sz w:val="16"/>
        </w:rPr>
        <w:t>.” Guedes, 920 F.3d at 32 (quoting Nat'l Cable &amp; Telecommunications Ass'n v. Brand X Internet Servs., 545 U.S. 967, 980 (2005)).</w:t>
      </w:r>
    </w:p>
    <w:p w14:paraId="304BC215" w14:textId="77777777" w:rsidR="0095149D" w:rsidRPr="0070114D" w:rsidRDefault="0095149D" w:rsidP="0095149D">
      <w:pPr>
        <w:rPr>
          <w:sz w:val="16"/>
          <w:szCs w:val="16"/>
        </w:rPr>
      </w:pPr>
      <w:r w:rsidRPr="0070114D">
        <w:rPr>
          <w:sz w:val="16"/>
          <w:szCs w:val="16"/>
        </w:rPr>
        <w:t>In sum, the ATF “criminalize[d] . . . future conduct,” Guedes, 920 F.3d at 18; 83 Fed. Reg. 66,525, is responsible for “enforcing” the prohibition on that conduct, Guedes, 920 F.3d at 19; 83 Fed. Reg. 66,515, and is permitted to interpret its own enforcement of that prohibition—“even if the agency’s reading differs from . . . the best statutory interpretation.” Guedes, 920 F.3d at 32 (quoting Brand X, 545 U.S. at 980).</w:t>
      </w:r>
    </w:p>
    <w:p w14:paraId="656168AF" w14:textId="77777777" w:rsidR="0095149D" w:rsidRPr="0070114D" w:rsidRDefault="0095149D" w:rsidP="0095149D">
      <w:pPr>
        <w:rPr>
          <w:sz w:val="16"/>
        </w:rPr>
      </w:pPr>
      <w:r w:rsidRPr="0070114D">
        <w:rPr>
          <w:u w:val="single"/>
        </w:rPr>
        <w:t xml:space="preserve">This accumulation of powers in a single, unaccountable bureau is </w:t>
      </w:r>
      <w:r w:rsidRPr="0070114D">
        <w:rPr>
          <w:sz w:val="16"/>
        </w:rPr>
        <w:t xml:space="preserve">precisely </w:t>
      </w:r>
      <w:r w:rsidRPr="0070114D">
        <w:rPr>
          <w:u w:val="single"/>
        </w:rPr>
        <w:t>what</w:t>
      </w:r>
      <w:r w:rsidRPr="0070114D">
        <w:rPr>
          <w:sz w:val="16"/>
        </w:rPr>
        <w:t xml:space="preserve"> the founders endeavored </w:t>
      </w:r>
      <w:r w:rsidRPr="0070114D">
        <w:rPr>
          <w:u w:val="single"/>
        </w:rPr>
        <w:t>to avoid</w:t>
      </w:r>
      <w:r w:rsidRPr="0070114D">
        <w:rPr>
          <w:sz w:val="16"/>
        </w:rPr>
        <w:t>. “An elective despotism was not the government we fought for; but one in which the powers of government should be so divided and balanced among the several bodies of magistracy as that no one could transcend their legal limits without being effectually checked and restrained by the others.” THE FEDERALIST NO. 84.</w:t>
      </w:r>
    </w:p>
    <w:p w14:paraId="64F9DF3C" w14:textId="77777777" w:rsidR="0095149D" w:rsidRPr="0095149D" w:rsidRDefault="0095149D" w:rsidP="0095149D">
      <w:pPr>
        <w:rPr>
          <w:u w:val="single"/>
        </w:rPr>
      </w:pPr>
      <w:r w:rsidRPr="0070114D">
        <w:rPr>
          <w:sz w:val="16"/>
        </w:rPr>
        <w:t xml:space="preserve">Jefferson warned that “[t]o take a single step beyond the boundaries” established in the Constitution “is to take possession of a boundless field of power.” THE WRITINGS OF THOMAS JEFFERSON: 1788- 1792, at 285 (Paul Leicester Ford, ed. 1895). </w:t>
      </w:r>
      <w:r w:rsidRPr="0070114D">
        <w:rPr>
          <w:b/>
          <w:bCs/>
          <w:u w:val="single"/>
        </w:rPr>
        <w:t>The ATF ventured</w:t>
      </w:r>
      <w:r w:rsidRPr="0070114D">
        <w:rPr>
          <w:u w:val="single"/>
        </w:rPr>
        <w:t xml:space="preserve"> well </w:t>
      </w:r>
      <w:r w:rsidRPr="0070114D">
        <w:rPr>
          <w:b/>
          <w:bCs/>
          <w:u w:val="single"/>
        </w:rPr>
        <w:t>beyond those boundaries</w:t>
      </w:r>
      <w:r w:rsidRPr="0070114D">
        <w:rPr>
          <w:sz w:val="16"/>
        </w:rPr>
        <w:t xml:space="preserve"> here, </w:t>
      </w:r>
      <w:r w:rsidRPr="0070114D">
        <w:rPr>
          <w:u w:val="single"/>
        </w:rPr>
        <w:t>and if these transgressions are tolerated, the lasting implications will affect far more than mere bumpstocks.</w:t>
      </w:r>
    </w:p>
    <w:p w14:paraId="2B7398E0" w14:textId="77777777" w:rsidR="00AF7FCA" w:rsidRPr="00621D20" w:rsidRDefault="00AF7FCA" w:rsidP="00AF7FCA">
      <w:pPr>
        <w:pStyle w:val="Heading4"/>
        <w:rPr>
          <w:i/>
          <w:iCs w:val="0"/>
        </w:rPr>
      </w:pPr>
      <w:r>
        <w:t>Test cases exist now.</w:t>
      </w:r>
    </w:p>
    <w:p w14:paraId="0CBC8698" w14:textId="77777777" w:rsidR="00AF7FCA" w:rsidRDefault="00AF7FCA" w:rsidP="00AF7FCA">
      <w:r>
        <w:rPr>
          <w:rStyle w:val="Style13ptBold"/>
        </w:rPr>
        <w:t>Currier 16</w:t>
      </w:r>
      <w:r>
        <w:t xml:space="preserve"> – Anna Currier, J.D. at American University Washington College of Law and Deputy Attorney General at Delaware Department of Justice ("The Rule Of Lenity And The Enforcement Of The Federal Securities Laws,” American University Business Law Review, vol. 5, no. 1, pg. 80-83, available online at </w:t>
      </w:r>
      <w:hyperlink r:id="rId23" w:history="1">
        <w:r w:rsidRPr="00555308">
          <w:rPr>
            <w:rStyle w:val="Hyperlink"/>
          </w:rPr>
          <w:t>http://digitalcommons.wcl.american.edu/aublr/vol5/iss1/4</w:t>
        </w:r>
      </w:hyperlink>
      <w:r>
        <w:t>, accessed 6-20-2020) LR</w:t>
      </w:r>
    </w:p>
    <w:p w14:paraId="3784380E" w14:textId="77777777" w:rsidR="00AF7FCA" w:rsidRDefault="00AF7FCA" w:rsidP="00AF7FCA">
      <w:pPr>
        <w:rPr>
          <w:rStyle w:val="StyleUnderline"/>
        </w:rPr>
      </w:pPr>
      <w:r w:rsidRPr="00A342A9">
        <w:rPr>
          <w:rStyle w:val="StyleUnderline"/>
        </w:rPr>
        <w:t>Since the Supreme Court's landmark decision in</w:t>
      </w:r>
      <w:r w:rsidRPr="00A342A9">
        <w:rPr>
          <w:sz w:val="16"/>
        </w:rPr>
        <w:t xml:space="preserve"> Chevron U.S.A., Inc. v. Natural Resources Defense Council Inc. ("</w:t>
      </w:r>
      <w:r w:rsidRPr="00A342A9">
        <w:rPr>
          <w:rStyle w:val="StyleUnderline"/>
        </w:rPr>
        <w:t>Chevron</w:t>
      </w:r>
      <w:r w:rsidRPr="00A342A9">
        <w:rPr>
          <w:sz w:val="16"/>
        </w:rPr>
        <w:t xml:space="preserve">"), </w:t>
      </w:r>
      <w:r w:rsidRPr="00A342A9">
        <w:rPr>
          <w:rStyle w:val="StyleUnderline"/>
        </w:rPr>
        <w:t>it has been settled</w:t>
      </w:r>
      <w:r w:rsidRPr="00A342A9">
        <w:rPr>
          <w:sz w:val="16"/>
        </w:rPr>
        <w:t xml:space="preserve"> law that </w:t>
      </w:r>
      <w:r w:rsidRPr="00A342A9">
        <w:rPr>
          <w:rStyle w:val="StyleUnderline"/>
        </w:rPr>
        <w:t>courts owe deference to an executive agency's interpretation</w:t>
      </w:r>
      <w:r w:rsidRPr="00A342A9">
        <w:rPr>
          <w:sz w:val="16"/>
        </w:rPr>
        <w:t xml:space="preserve"> of a "statutory scheme it is entrusted to administer ..... "1 </w:t>
      </w:r>
      <w:r w:rsidRPr="00A342A9">
        <w:rPr>
          <w:rStyle w:val="StyleUnderline"/>
        </w:rPr>
        <w:t xml:space="preserve">The </w:t>
      </w:r>
      <w:r w:rsidRPr="00E42E05">
        <w:rPr>
          <w:rStyle w:val="StyleUnderline"/>
        </w:rPr>
        <w:t>principle, of whether</w:t>
      </w:r>
      <w:r w:rsidRPr="00A342A9">
        <w:rPr>
          <w:rStyle w:val="StyleUnderline"/>
        </w:rPr>
        <w:t xml:space="preserve"> statutory construction will continue</w:t>
      </w:r>
      <w:r w:rsidRPr="00A342A9">
        <w:rPr>
          <w:sz w:val="16"/>
        </w:rPr>
        <w:t xml:space="preserve"> to apply </w:t>
      </w:r>
      <w:r w:rsidRPr="00A342A9">
        <w:rPr>
          <w:rStyle w:val="StyleUnderline"/>
        </w:rPr>
        <w:t>in cases involving</w:t>
      </w:r>
      <w:r w:rsidRPr="00A342A9">
        <w:rPr>
          <w:sz w:val="16"/>
        </w:rPr>
        <w:t xml:space="preserve"> the </w:t>
      </w:r>
      <w:r w:rsidRPr="00A342A9">
        <w:rPr>
          <w:rStyle w:val="StyleUnderline"/>
        </w:rPr>
        <w:t>enforcement of</w:t>
      </w:r>
      <w:r w:rsidRPr="00A342A9">
        <w:rPr>
          <w:sz w:val="16"/>
        </w:rPr>
        <w:t xml:space="preserve"> the </w:t>
      </w:r>
      <w:r w:rsidRPr="00A342A9">
        <w:rPr>
          <w:rStyle w:val="StyleUnderline"/>
        </w:rPr>
        <w:t xml:space="preserve">federal securities laws, is </w:t>
      </w:r>
      <w:r w:rsidRPr="000A411D">
        <w:rPr>
          <w:rStyle w:val="Emphasis"/>
        </w:rPr>
        <w:t>now in question</w:t>
      </w:r>
      <w:r w:rsidRPr="00A342A9">
        <w:rPr>
          <w:rStyle w:val="StyleUnderline"/>
        </w:rPr>
        <w:t xml:space="preserve">. </w:t>
      </w:r>
    </w:p>
    <w:p w14:paraId="66674BD2" w14:textId="77777777" w:rsidR="00AF7FCA" w:rsidRPr="001D7117" w:rsidRDefault="00AF7FCA" w:rsidP="00AF7FCA">
      <w:pPr>
        <w:rPr>
          <w:sz w:val="16"/>
        </w:rPr>
      </w:pPr>
      <w:r w:rsidRPr="001D7117">
        <w:rPr>
          <w:rStyle w:val="StyleUnderline"/>
        </w:rPr>
        <w:t xml:space="preserve">Included in </w:t>
      </w:r>
      <w:r w:rsidRPr="001D7117">
        <w:rPr>
          <w:sz w:val="16"/>
        </w:rPr>
        <w:t xml:space="preserve">Justice </w:t>
      </w:r>
      <w:r w:rsidRPr="001D7117">
        <w:rPr>
          <w:rStyle w:val="StyleUnderline"/>
        </w:rPr>
        <w:t>Scalia's concurrence in Whitman was an invitation</w:t>
      </w:r>
      <w:r w:rsidRPr="001D7117">
        <w:rPr>
          <w:sz w:val="16"/>
        </w:rPr>
        <w:t xml:space="preserve"> of sorts, </w:t>
      </w:r>
      <w:r w:rsidRPr="001D7117">
        <w:rPr>
          <w:rStyle w:val="StyleUnderline"/>
        </w:rPr>
        <w:t>expressing</w:t>
      </w:r>
      <w:r w:rsidRPr="001D7117">
        <w:rPr>
          <w:sz w:val="16"/>
        </w:rPr>
        <w:t xml:space="preserve"> his </w:t>
      </w:r>
      <w:r w:rsidRPr="001D7117">
        <w:rPr>
          <w:rStyle w:val="StyleUnderline"/>
        </w:rPr>
        <w:t xml:space="preserve">favorable disposition toward </w:t>
      </w:r>
      <w:r w:rsidRPr="000A411D">
        <w:rPr>
          <w:rStyle w:val="Emphasis"/>
        </w:rPr>
        <w:t>granting certiorari</w:t>
      </w:r>
      <w:r w:rsidRPr="001D7117">
        <w:rPr>
          <w:rStyle w:val="StyleUnderline"/>
        </w:rPr>
        <w:t xml:space="preserve"> in a case that presented the Supreme Court</w:t>
      </w:r>
      <w:r w:rsidRPr="001D7117">
        <w:rPr>
          <w:sz w:val="16"/>
        </w:rPr>
        <w:t xml:space="preserve"> with the </w:t>
      </w:r>
      <w:r w:rsidRPr="001D7117">
        <w:rPr>
          <w:rStyle w:val="StyleUnderline"/>
        </w:rPr>
        <w:t xml:space="preserve">opportunity to decide whether </w:t>
      </w:r>
      <w:r w:rsidRPr="000A411D">
        <w:rPr>
          <w:rStyle w:val="Emphasis"/>
        </w:rPr>
        <w:t>lenity trumps deference</w:t>
      </w:r>
      <w:r w:rsidRPr="001D7117">
        <w:rPr>
          <w:rStyle w:val="StyleUnderline"/>
        </w:rPr>
        <w:t xml:space="preserve"> where a rule or statute has </w:t>
      </w:r>
      <w:r w:rsidRPr="000A411D">
        <w:rPr>
          <w:rStyle w:val="Emphasis"/>
        </w:rPr>
        <w:t>both administrative and criminal application</w:t>
      </w:r>
      <w:r w:rsidRPr="001D7117">
        <w:rPr>
          <w:rStyle w:val="StyleUnderline"/>
        </w:rPr>
        <w:t>.</w:t>
      </w:r>
      <w:r w:rsidRPr="001D7117">
        <w:rPr>
          <w:sz w:val="16"/>
        </w:rPr>
        <w:t xml:space="preserve">2  </w:t>
      </w:r>
      <w:r w:rsidRPr="001D7117">
        <w:rPr>
          <w:rStyle w:val="StyleUnderline"/>
        </w:rPr>
        <w:t>The implication</w:t>
      </w:r>
      <w:r w:rsidRPr="001D7117">
        <w:rPr>
          <w:sz w:val="16"/>
        </w:rPr>
        <w:t xml:space="preserve"> of Justice Scalia's concurrence </w:t>
      </w:r>
      <w:r w:rsidRPr="001D7117">
        <w:rPr>
          <w:rStyle w:val="StyleUnderline"/>
        </w:rPr>
        <w:t xml:space="preserve">for the enforcement of </w:t>
      </w:r>
      <w:r w:rsidRPr="001D7117">
        <w:rPr>
          <w:sz w:val="16"/>
        </w:rPr>
        <w:t xml:space="preserve">the </w:t>
      </w:r>
      <w:r w:rsidRPr="001D7117">
        <w:rPr>
          <w:rStyle w:val="StyleUnderline"/>
        </w:rPr>
        <w:t xml:space="preserve">federal securities laws are </w:t>
      </w:r>
      <w:r w:rsidRPr="000A411D">
        <w:rPr>
          <w:rStyle w:val="Emphasis"/>
        </w:rPr>
        <w:t>unprecedented</w:t>
      </w:r>
      <w:r w:rsidRPr="001D7117">
        <w:rPr>
          <w:rStyle w:val="StyleUnderline"/>
        </w:rPr>
        <w:t xml:space="preserve"> in</w:t>
      </w:r>
      <w:r w:rsidRPr="001D7117">
        <w:rPr>
          <w:sz w:val="16"/>
        </w:rPr>
        <w:t xml:space="preserve"> their </w:t>
      </w:r>
      <w:r w:rsidRPr="001D7117">
        <w:rPr>
          <w:rStyle w:val="StyleUnderline"/>
        </w:rPr>
        <w:t>scope and impact.</w:t>
      </w:r>
      <w:r w:rsidRPr="001D7117">
        <w:rPr>
          <w:sz w:val="16"/>
        </w:rPr>
        <w:t xml:space="preserve">3 </w:t>
      </w:r>
    </w:p>
    <w:p w14:paraId="23D4B638" w14:textId="77777777" w:rsidR="00AF7FCA" w:rsidRPr="003C1AC1" w:rsidRDefault="00AF7FCA" w:rsidP="00AF7FCA">
      <w:pPr>
        <w:rPr>
          <w:sz w:val="16"/>
        </w:rPr>
      </w:pPr>
      <w:r w:rsidRPr="00DA5B5B">
        <w:rPr>
          <w:rStyle w:val="StyleUnderline"/>
        </w:rPr>
        <w:t xml:space="preserve">In </w:t>
      </w:r>
      <w:r w:rsidRPr="000A411D">
        <w:rPr>
          <w:rStyle w:val="Emphasis"/>
        </w:rPr>
        <w:t>Whitman v. United States</w:t>
      </w:r>
      <w:r w:rsidRPr="00DA5B5B">
        <w:rPr>
          <w:rStyle w:val="StyleUnderline"/>
        </w:rPr>
        <w:t>, Whitman had been convicted of insider trading</w:t>
      </w:r>
      <w:r w:rsidRPr="00DA5B5B">
        <w:rPr>
          <w:sz w:val="16"/>
        </w:rPr>
        <w:t xml:space="preserve"> as a secondary tippee,4 </w:t>
      </w:r>
      <w:r w:rsidRPr="00DA5B5B">
        <w:rPr>
          <w:rStyle w:val="StyleUnderline"/>
        </w:rPr>
        <w:t xml:space="preserve">and the Second Circuit affirmed his </w:t>
      </w:r>
      <w:r w:rsidRPr="000A411D">
        <w:rPr>
          <w:rStyle w:val="StyleUnderline"/>
        </w:rPr>
        <w:t>conviction.</w:t>
      </w:r>
      <w:r w:rsidRPr="00DA5B5B">
        <w:rPr>
          <w:sz w:val="16"/>
        </w:rPr>
        <w:t xml:space="preserve">5 The Second Circuit followed this rationale in United States v. Royer, which held that a defendant commits insider trading in violation of Section 10(b) when he trades "while in knowing possession of nonpublic information material to those trades." 6 Royer was based in part on the Court's reading of the Commission's interpretation of Rule lOb5-1 7, which defines insider trading as a manipulative and deceptive device 8 and adopts an awareness standard for insider-trading liability under Section 10(b). 9 </w:t>
      </w:r>
    </w:p>
    <w:p w14:paraId="325F50A5" w14:textId="77777777" w:rsidR="00AF7FCA" w:rsidRPr="003E3481" w:rsidRDefault="00AF7FCA" w:rsidP="00AF7FCA">
      <w:pPr>
        <w:rPr>
          <w:sz w:val="16"/>
        </w:rPr>
      </w:pPr>
      <w:r w:rsidRPr="003E3481">
        <w:rPr>
          <w:sz w:val="16"/>
        </w:rPr>
        <w:t xml:space="preserve">In December 2014, the </w:t>
      </w:r>
      <w:r w:rsidRPr="003E3481">
        <w:rPr>
          <w:rStyle w:val="StyleUnderline"/>
        </w:rPr>
        <w:t>Second Circuit</w:t>
      </w:r>
      <w:r w:rsidRPr="003E3481">
        <w:rPr>
          <w:sz w:val="16"/>
        </w:rPr>
        <w:t xml:space="preserve"> ("Court") </w:t>
      </w:r>
      <w:r w:rsidRPr="003E3481">
        <w:rPr>
          <w:rStyle w:val="StyleUnderline"/>
        </w:rPr>
        <w:t>decided</w:t>
      </w:r>
      <w:r w:rsidRPr="003E3481">
        <w:rPr>
          <w:sz w:val="16"/>
        </w:rPr>
        <w:t xml:space="preserve"> another </w:t>
      </w:r>
      <w:r w:rsidRPr="003E3481">
        <w:rPr>
          <w:rStyle w:val="StyleUnderline"/>
        </w:rPr>
        <w:t xml:space="preserve">criminal insider trading case: </w:t>
      </w:r>
      <w:r w:rsidRPr="003E3481">
        <w:rPr>
          <w:rStyle w:val="Emphasis"/>
        </w:rPr>
        <w:t>United States v. Newman</w:t>
      </w:r>
      <w:r w:rsidRPr="003E3481">
        <w:rPr>
          <w:rStyle w:val="StyleUnderline"/>
        </w:rPr>
        <w:t>.</w:t>
      </w:r>
      <w:r w:rsidRPr="003E3481">
        <w:rPr>
          <w:sz w:val="16"/>
        </w:rPr>
        <w:t xml:space="preserve">'0 In Newman, the U.S. Attorney's Office for the Southern District of New York ("Government") argued that it was sufficient to prove a violation under Rule 10b5-2 by showing that a tippee had traded on material, nonpublic information with knowledge that the information was tipped in breach of a fiduciary duty.' The Second Circuit rejected this formulation and, appearing to implicitly adopt Justice Scalia's approach, the Court embraced a standard that imposed a heavier burden on the Government. This heavier burden was exemplified by the Court's holding that a breach of fiduciary duty is only committed if there is a personal benefit to the tipper, and the Government must prove beyond a reasonable doubt that the tippee had knowledge of both the fiduciary duty and the personal benefit.12  The Second Circuit in Newman defined personal benefit with specificity; the Court held that the Government would need to prove a "meaningfully close personal relationship that generates an exchange that is objective, consequential, and represents at least a potential gain of a pecuniary or similarly valuable nature," and the Government must bring evidence of "a relationship between the insider and the recipient that suggests a quid pro quo from the latter, or an intention to benefit the [latter]."' 3 </w:t>
      </w:r>
      <w:r w:rsidRPr="003E3481">
        <w:rPr>
          <w:rStyle w:val="StyleUnderline"/>
        </w:rPr>
        <w:t>Newman relied in part on the Supreme Court's decision in Dirks v. SEC</w:t>
      </w:r>
      <w:r w:rsidRPr="003E3481">
        <w:rPr>
          <w:sz w:val="16"/>
        </w:rPr>
        <w:t>, a civil insider trading case decided before the Commission had promulgated Rules 10b5-1 and 10b5-2.14</w:t>
      </w:r>
    </w:p>
    <w:p w14:paraId="0DA59CAA" w14:textId="77777777" w:rsidR="00AF7FCA" w:rsidRPr="003E3481" w:rsidRDefault="00AF7FCA" w:rsidP="00AF7FCA">
      <w:pPr>
        <w:rPr>
          <w:sz w:val="16"/>
        </w:rPr>
      </w:pPr>
      <w:r w:rsidRPr="003E3481">
        <w:rPr>
          <w:sz w:val="16"/>
        </w:rPr>
        <w:t xml:space="preserve">On July 30, 2015, </w:t>
      </w:r>
      <w:r w:rsidRPr="003E3481">
        <w:rPr>
          <w:rStyle w:val="StyleUnderline"/>
        </w:rPr>
        <w:t xml:space="preserve">the Government filed a petition for </w:t>
      </w:r>
      <w:r w:rsidRPr="003E3481">
        <w:rPr>
          <w:rStyle w:val="Emphasis"/>
        </w:rPr>
        <w:t>writ of certiorari</w:t>
      </w:r>
      <w:r w:rsidRPr="003E3481">
        <w:rPr>
          <w:rStyle w:val="StyleUnderline"/>
        </w:rPr>
        <w:t xml:space="preserve"> with the Supreme Court.</w:t>
      </w:r>
      <w:r w:rsidRPr="003E3481">
        <w:rPr>
          <w:sz w:val="16"/>
        </w:rPr>
        <w:t xml:space="preserve"> 5 In the petition, the </w:t>
      </w:r>
      <w:r w:rsidRPr="003E3481">
        <w:rPr>
          <w:rStyle w:val="StyleUnderline"/>
        </w:rPr>
        <w:t>Government argued that Newman's holding</w:t>
      </w:r>
      <w:r w:rsidRPr="003E3481">
        <w:rPr>
          <w:sz w:val="16"/>
        </w:rPr>
        <w:t xml:space="preserve"> sharply </w:t>
      </w:r>
      <w:r w:rsidRPr="003E3481">
        <w:rPr>
          <w:rStyle w:val="StyleUnderline"/>
        </w:rPr>
        <w:t>contrasted with Dirks because the former</w:t>
      </w:r>
      <w:r w:rsidRPr="003E3481">
        <w:rPr>
          <w:sz w:val="16"/>
        </w:rPr>
        <w:t xml:space="preserve"> opinion </w:t>
      </w:r>
      <w:r w:rsidRPr="003E3481">
        <w:rPr>
          <w:rStyle w:val="StyleUnderline"/>
        </w:rPr>
        <w:t>articulated a heightened personal benefit requirement that rejected Dirks' previous definition of personal benefit</w:t>
      </w:r>
      <w:r w:rsidRPr="003E3481">
        <w:rPr>
          <w:sz w:val="16"/>
        </w:rPr>
        <w:t>, a benefit that was explained by the Second Circuit as one that could be "inferred from a personal relationship between the tipper and the tippee. ''16</w:t>
      </w:r>
    </w:p>
    <w:p w14:paraId="2577ED9E" w14:textId="77777777" w:rsidR="00AF7FCA" w:rsidRPr="00621D20" w:rsidRDefault="00AF7FCA" w:rsidP="00AF7FCA">
      <w:pPr>
        <w:rPr>
          <w:u w:val="single"/>
        </w:rPr>
      </w:pPr>
      <w:r w:rsidRPr="003E3481">
        <w:rPr>
          <w:sz w:val="16"/>
        </w:rPr>
        <w:t xml:space="preserve">This Comment will discuss </w:t>
      </w:r>
      <w:r w:rsidRPr="003E3481">
        <w:rPr>
          <w:rStyle w:val="StyleUnderline"/>
        </w:rPr>
        <w:t>Newman's</w:t>
      </w:r>
      <w:r w:rsidRPr="003E3481">
        <w:rPr>
          <w:sz w:val="16"/>
        </w:rPr>
        <w:t xml:space="preserve"> potential </w:t>
      </w:r>
      <w:r w:rsidRPr="003E3481">
        <w:rPr>
          <w:rStyle w:val="StyleUnderline"/>
        </w:rPr>
        <w:t>impact on</w:t>
      </w:r>
      <w:r w:rsidRPr="003E3481">
        <w:rPr>
          <w:sz w:val="16"/>
        </w:rPr>
        <w:t xml:space="preserve"> the </w:t>
      </w:r>
      <w:r w:rsidRPr="003E3481">
        <w:rPr>
          <w:rStyle w:val="StyleUnderline"/>
        </w:rPr>
        <w:t>enforcement of federal securities laws.</w:t>
      </w:r>
      <w:r w:rsidRPr="003E3481">
        <w:rPr>
          <w:sz w:val="16"/>
        </w:rPr>
        <w:t xml:space="preserve"> Specifically, </w:t>
      </w:r>
      <w:r w:rsidRPr="003E3481">
        <w:rPr>
          <w:rStyle w:val="StyleUnderline"/>
        </w:rPr>
        <w:t>it examines</w:t>
      </w:r>
      <w:r w:rsidRPr="003E3481">
        <w:rPr>
          <w:sz w:val="16"/>
        </w:rPr>
        <w:t xml:space="preserve"> whether </w:t>
      </w:r>
      <w:r w:rsidRPr="003E3481">
        <w:rPr>
          <w:rStyle w:val="StyleUnderline"/>
        </w:rPr>
        <w:t xml:space="preserve">subordinating deference to the </w:t>
      </w:r>
      <w:r w:rsidRPr="003E3481">
        <w:rPr>
          <w:rStyle w:val="Emphasis"/>
        </w:rPr>
        <w:t>rule of lenity</w:t>
      </w:r>
      <w:r w:rsidRPr="003E3481">
        <w:rPr>
          <w:sz w:val="16"/>
        </w:rPr>
        <w:t xml:space="preserve">, combined with a federal court's denial of deference to the Commission in insider trading prosecutions brought under Rule 1 Ob-5 as recently seen in Newman, </w:t>
      </w:r>
      <w:r w:rsidRPr="003E3481">
        <w:rPr>
          <w:rStyle w:val="StyleUnderline"/>
        </w:rPr>
        <w:t xml:space="preserve">signals an important change in the enforcement of the federal securities laws in criminal proceedings. </w:t>
      </w:r>
    </w:p>
    <w:p w14:paraId="3CF08C5F" w14:textId="3E043339" w:rsidR="008D78CC" w:rsidRDefault="008D78CC" w:rsidP="008D78CC">
      <w:pPr>
        <w:pStyle w:val="Heading3"/>
      </w:pPr>
      <w:r>
        <w:t>2AC – AT: Inherency</w:t>
      </w:r>
      <w:r w:rsidR="00621D20">
        <w:t xml:space="preserve"> – General</w:t>
      </w:r>
    </w:p>
    <w:p w14:paraId="58778D50" w14:textId="09C767F1" w:rsidR="002E524B" w:rsidRPr="002E524B" w:rsidRDefault="00621D20" w:rsidP="002E524B">
      <w:pPr>
        <w:pStyle w:val="Heading4"/>
      </w:pPr>
      <w:r>
        <w:t>It is still unresolved whether</w:t>
      </w:r>
      <w:r w:rsidR="002E524B">
        <w:t xml:space="preserve"> </w:t>
      </w:r>
      <w:r>
        <w:t>deference trumps lenity.</w:t>
      </w:r>
    </w:p>
    <w:p w14:paraId="7D752B06" w14:textId="77777777" w:rsidR="002E524B" w:rsidRPr="00981233" w:rsidRDefault="002E524B" w:rsidP="002E524B">
      <w:r>
        <w:rPr>
          <w:rStyle w:val="Style13ptBold"/>
        </w:rPr>
        <w:t>Currier 16</w:t>
      </w:r>
      <w:r>
        <w:t xml:space="preserve"> – Anna Currier, J.D. at American University Washington College of Law and Deputy Attorney General at Delaware Department of Justice ("The Rule Of Lenity And The Enforcement Of The Federal Securities Laws,” American University Business Law Review, vol. 5, no. 1, pg. 89-91, available online at </w:t>
      </w:r>
      <w:hyperlink r:id="rId24" w:history="1">
        <w:r w:rsidRPr="00555308">
          <w:rPr>
            <w:rStyle w:val="Hyperlink"/>
          </w:rPr>
          <w:t>http://digitalcommons.wcl.american.edu/aublr/vol5/iss1/4</w:t>
        </w:r>
      </w:hyperlink>
      <w:r>
        <w:t>, accessed 6-20-2020) LR</w:t>
      </w:r>
    </w:p>
    <w:p w14:paraId="130073C7" w14:textId="77777777" w:rsidR="002E524B" w:rsidRPr="00860042" w:rsidRDefault="002E524B" w:rsidP="002E524B">
      <w:pPr>
        <w:rPr>
          <w:sz w:val="16"/>
        </w:rPr>
      </w:pPr>
      <w:r w:rsidRPr="006B72DC">
        <w:rPr>
          <w:rStyle w:val="StyleUnderline"/>
        </w:rPr>
        <w:t xml:space="preserve">In 1984, the Supreme Court decided a </w:t>
      </w:r>
      <w:r w:rsidRPr="000113DF">
        <w:rPr>
          <w:rStyle w:val="Emphasis"/>
        </w:rPr>
        <w:t>milestone</w:t>
      </w:r>
      <w:r w:rsidRPr="006B72DC">
        <w:rPr>
          <w:rStyle w:val="StyleUnderline"/>
        </w:rPr>
        <w:t xml:space="preserve"> administrative law case, Chevron</w:t>
      </w:r>
      <w:r w:rsidRPr="00860042">
        <w:rPr>
          <w:sz w:val="16"/>
        </w:rPr>
        <w:t xml:space="preserve"> U.S.A., Inc. v. Natural Resources Defense Council Inc., </w:t>
      </w:r>
      <w:r w:rsidRPr="006B72DC">
        <w:rPr>
          <w:rStyle w:val="StyleUnderline"/>
        </w:rPr>
        <w:t>where it held that a court owes deference to an executive agency's interpretation of a statute.</w:t>
      </w:r>
      <w:r w:rsidRPr="00860042">
        <w:rPr>
          <w:sz w:val="16"/>
        </w:rPr>
        <w:t xml:space="preserve"> 67 The Supreme Court enunciated its analysis that must be applied when reviewing such an interpretation. </w:t>
      </w:r>
      <w:r w:rsidRPr="006B72DC">
        <w:rPr>
          <w:rStyle w:val="StyleUnderline"/>
        </w:rPr>
        <w:t>Specifically, if Congress has unambiguously spoken</w:t>
      </w:r>
      <w:r w:rsidRPr="00860042">
        <w:rPr>
          <w:sz w:val="16"/>
        </w:rPr>
        <w:t xml:space="preserve"> on the issue, </w:t>
      </w:r>
      <w:r w:rsidRPr="006B72DC">
        <w:rPr>
          <w:rStyle w:val="StyleUnderline"/>
        </w:rPr>
        <w:t>both the court and the agency must "give effect to</w:t>
      </w:r>
      <w:r w:rsidRPr="00860042">
        <w:rPr>
          <w:sz w:val="16"/>
        </w:rPr>
        <w:t xml:space="preserve"> the unambiguously expressed </w:t>
      </w:r>
      <w:r w:rsidRPr="006B72DC">
        <w:rPr>
          <w:rStyle w:val="StyleUnderline"/>
        </w:rPr>
        <w:t>intent of Congress.</w:t>
      </w:r>
      <w:r w:rsidRPr="00860042">
        <w:rPr>
          <w:sz w:val="16"/>
        </w:rPr>
        <w:t>" 68  The Supreme Court went on to state that, "</w:t>
      </w:r>
      <w:r w:rsidRPr="006B72DC">
        <w:rPr>
          <w:rStyle w:val="StyleUnderline"/>
        </w:rPr>
        <w:t xml:space="preserve">if the statute is silent or </w:t>
      </w:r>
      <w:r w:rsidRPr="000113DF">
        <w:rPr>
          <w:rStyle w:val="Emphasis"/>
        </w:rPr>
        <w:t>ambiguous</w:t>
      </w:r>
      <w:r w:rsidRPr="00860042">
        <w:rPr>
          <w:sz w:val="16"/>
        </w:rPr>
        <w:t xml:space="preserve"> with respect to the specific issue, </w:t>
      </w:r>
      <w:r w:rsidRPr="006B72DC">
        <w:rPr>
          <w:rStyle w:val="StyleUnderline"/>
        </w:rPr>
        <w:t>the question</w:t>
      </w:r>
      <w:r w:rsidRPr="00860042">
        <w:rPr>
          <w:sz w:val="16"/>
        </w:rPr>
        <w:t xml:space="preserve"> for the court </w:t>
      </w:r>
      <w:r w:rsidRPr="006B72DC">
        <w:rPr>
          <w:rStyle w:val="StyleUnderline"/>
        </w:rPr>
        <w:t>is whether the agency's answer is</w:t>
      </w:r>
      <w:r w:rsidRPr="00860042">
        <w:rPr>
          <w:sz w:val="16"/>
        </w:rPr>
        <w:t xml:space="preserve"> based on </w:t>
      </w:r>
      <w:r w:rsidRPr="006B72DC">
        <w:rPr>
          <w:rStyle w:val="StyleUnderline"/>
        </w:rPr>
        <w:t>a permissible construction of the statute.</w:t>
      </w:r>
      <w:r w:rsidRPr="00860042">
        <w:rPr>
          <w:sz w:val="16"/>
        </w:rPr>
        <w:t xml:space="preserve"> ' 69 It stressed that </w:t>
      </w:r>
      <w:r w:rsidRPr="006B72DC">
        <w:rPr>
          <w:rStyle w:val="StyleUnderline"/>
        </w:rPr>
        <w:t>legislative regulations should be given deference unless they are "arbitrary, capricious, or manifestly contrary to the statute.</w:t>
      </w:r>
      <w:r w:rsidRPr="00860042">
        <w:rPr>
          <w:sz w:val="16"/>
        </w:rPr>
        <w:t xml:space="preserve">, 70 Although this was not the first case that imposed agency deference,7' </w:t>
      </w:r>
      <w:r w:rsidRPr="00860042">
        <w:rPr>
          <w:rStyle w:val="StyleUnderline"/>
        </w:rPr>
        <w:t>it was the first case to</w:t>
      </w:r>
      <w:r w:rsidRPr="00860042">
        <w:rPr>
          <w:sz w:val="16"/>
        </w:rPr>
        <w:t xml:space="preserve"> expressly </w:t>
      </w:r>
      <w:r w:rsidRPr="00860042">
        <w:rPr>
          <w:rStyle w:val="StyleUnderline"/>
        </w:rPr>
        <w:t>approve agencies' power to fill</w:t>
      </w:r>
      <w:r w:rsidRPr="00860042">
        <w:rPr>
          <w:sz w:val="16"/>
        </w:rPr>
        <w:t xml:space="preserve"> in </w:t>
      </w:r>
      <w:r w:rsidRPr="00860042">
        <w:rPr>
          <w:rStyle w:val="StyleUnderline"/>
        </w:rPr>
        <w:t>gaps</w:t>
      </w:r>
      <w:r w:rsidRPr="00860042">
        <w:rPr>
          <w:sz w:val="16"/>
        </w:rPr>
        <w:t xml:space="preserve"> in statutory language, </w:t>
      </w:r>
      <w:r w:rsidRPr="00860042">
        <w:rPr>
          <w:rStyle w:val="StyleUnderline"/>
        </w:rPr>
        <w:t>giving</w:t>
      </w:r>
      <w:r w:rsidRPr="00860042">
        <w:rPr>
          <w:sz w:val="16"/>
        </w:rPr>
        <w:t xml:space="preserve"> executive </w:t>
      </w:r>
      <w:r w:rsidRPr="00860042">
        <w:rPr>
          <w:rStyle w:val="StyleUnderline"/>
        </w:rPr>
        <w:t>agencies power to use regulations to define statutory liability when intended.</w:t>
      </w:r>
      <w:r w:rsidRPr="00860042">
        <w:rPr>
          <w:sz w:val="16"/>
        </w:rPr>
        <w:t xml:space="preserve">72 </w:t>
      </w:r>
    </w:p>
    <w:p w14:paraId="136650AB" w14:textId="77777777" w:rsidR="002E524B" w:rsidRPr="00052262" w:rsidRDefault="002E524B" w:rsidP="002E524B">
      <w:pPr>
        <w:rPr>
          <w:sz w:val="16"/>
        </w:rPr>
      </w:pPr>
      <w:r w:rsidRPr="00052262">
        <w:rPr>
          <w:sz w:val="16"/>
        </w:rPr>
        <w:t xml:space="preserve">The </w:t>
      </w:r>
      <w:r w:rsidRPr="00860042">
        <w:rPr>
          <w:rStyle w:val="StyleUnderline"/>
        </w:rPr>
        <w:t>Chevron</w:t>
      </w:r>
      <w:r w:rsidRPr="00052262">
        <w:rPr>
          <w:sz w:val="16"/>
        </w:rPr>
        <w:t xml:space="preserve"> holding </w:t>
      </w:r>
      <w:r w:rsidRPr="00860042">
        <w:rPr>
          <w:rStyle w:val="StyleUnderline"/>
        </w:rPr>
        <w:t>required judicial deference to agency regulations that are not unreasonable</w:t>
      </w:r>
      <w:r w:rsidRPr="00052262">
        <w:rPr>
          <w:sz w:val="16"/>
        </w:rPr>
        <w:t xml:space="preserve">,73 a holding </w:t>
      </w:r>
      <w:r w:rsidRPr="00860042">
        <w:rPr>
          <w:rStyle w:val="StyleUnderline"/>
        </w:rPr>
        <w:t xml:space="preserve">that </w:t>
      </w:r>
      <w:r w:rsidRPr="00860042">
        <w:rPr>
          <w:rStyle w:val="Emphasis"/>
        </w:rPr>
        <w:t>conflicts</w:t>
      </w:r>
      <w:r w:rsidRPr="00860042">
        <w:rPr>
          <w:rStyle w:val="StyleUnderline"/>
        </w:rPr>
        <w:t xml:space="preserve"> with the </w:t>
      </w:r>
      <w:r w:rsidRPr="00860042">
        <w:rPr>
          <w:rStyle w:val="Emphasis"/>
        </w:rPr>
        <w:t>rule of lenity</w:t>
      </w:r>
      <w:r w:rsidRPr="00860042">
        <w:rPr>
          <w:rStyle w:val="StyleUnderline"/>
        </w:rPr>
        <w:t>.</w:t>
      </w:r>
      <w:r w:rsidRPr="00052262">
        <w:rPr>
          <w:sz w:val="16"/>
        </w:rPr>
        <w:t xml:space="preserve">74 The </w:t>
      </w:r>
      <w:r w:rsidRPr="00052262">
        <w:rPr>
          <w:rStyle w:val="StyleUnderline"/>
        </w:rPr>
        <w:t>Supreme Court addressed this tension initially in Crandon</w:t>
      </w:r>
      <w:r w:rsidRPr="00052262">
        <w:rPr>
          <w:sz w:val="16"/>
        </w:rPr>
        <w:t xml:space="preserve"> v. United States, a civil suit </w:t>
      </w:r>
      <w:r w:rsidRPr="00052262">
        <w:rPr>
          <w:rStyle w:val="StyleUnderline"/>
        </w:rPr>
        <w:t>based on a criminal statute.</w:t>
      </w:r>
      <w:r w:rsidRPr="00052262">
        <w:rPr>
          <w:sz w:val="16"/>
        </w:rPr>
        <w:t xml:space="preserve">75 </w:t>
      </w:r>
      <w:r w:rsidRPr="00052262">
        <w:rPr>
          <w:rStyle w:val="StyleUnderline"/>
        </w:rPr>
        <w:t>It resolved the statutory ambiguity using the rule of lenity and held that "legislatures, not courts, define criminal liability</w:t>
      </w:r>
      <w:r w:rsidRPr="00052262">
        <w:rPr>
          <w:sz w:val="16"/>
        </w:rPr>
        <w:t xml:space="preserve">., 76 </w:t>
      </w:r>
      <w:r w:rsidRPr="00052262">
        <w:rPr>
          <w:rStyle w:val="StyleUnderline"/>
        </w:rPr>
        <w:t xml:space="preserve">Five years later, the </w:t>
      </w:r>
      <w:r w:rsidRPr="00052262">
        <w:rPr>
          <w:sz w:val="16"/>
        </w:rPr>
        <w:t xml:space="preserve">Supreme </w:t>
      </w:r>
      <w:r w:rsidRPr="00052262">
        <w:rPr>
          <w:rStyle w:val="StyleUnderline"/>
        </w:rPr>
        <w:t>Court appeared to change direction in Babbitt v. Sweet Home</w:t>
      </w:r>
      <w:r w:rsidRPr="00052262">
        <w:rPr>
          <w:sz w:val="16"/>
        </w:rPr>
        <w:t xml:space="preserve"> Chapter, Communities for Great Ore, </w:t>
      </w:r>
      <w:r w:rsidRPr="00052262">
        <w:rPr>
          <w:rStyle w:val="StyleUnderline"/>
        </w:rPr>
        <w:t xml:space="preserve">a civil case brought under an Environmental Protection Agency statute capable of </w:t>
      </w:r>
      <w:r w:rsidRPr="00052262">
        <w:rPr>
          <w:rStyle w:val="Emphasis"/>
        </w:rPr>
        <w:t>both civil and criminal applications</w:t>
      </w:r>
      <w:r w:rsidRPr="00052262">
        <w:rPr>
          <w:rStyle w:val="StyleUnderline"/>
        </w:rPr>
        <w:t>.</w:t>
      </w:r>
      <w:r w:rsidRPr="00052262">
        <w:rPr>
          <w:sz w:val="16"/>
        </w:rPr>
        <w:t xml:space="preserve">77 In Babbitt, </w:t>
      </w:r>
      <w:r w:rsidRPr="00052262">
        <w:rPr>
          <w:rStyle w:val="StyleUnderline"/>
        </w:rPr>
        <w:t>the</w:t>
      </w:r>
      <w:r w:rsidRPr="00052262">
        <w:rPr>
          <w:sz w:val="16"/>
        </w:rPr>
        <w:t xml:space="preserve"> Supreme </w:t>
      </w:r>
      <w:r w:rsidRPr="00052262">
        <w:rPr>
          <w:rStyle w:val="StyleUnderline"/>
        </w:rPr>
        <w:t>Court stated that it</w:t>
      </w:r>
      <w:r w:rsidRPr="00052262">
        <w:rPr>
          <w:sz w:val="16"/>
        </w:rPr>
        <w:t xml:space="preserve"> has "</w:t>
      </w:r>
      <w:r w:rsidRPr="00052262">
        <w:rPr>
          <w:rStyle w:val="StyleUnderline"/>
        </w:rPr>
        <w:t>never suggested</w:t>
      </w:r>
      <w:r w:rsidRPr="00052262">
        <w:rPr>
          <w:sz w:val="16"/>
        </w:rPr>
        <w:t xml:space="preserve"> that </w:t>
      </w:r>
      <w:r w:rsidRPr="00052262">
        <w:rPr>
          <w:rStyle w:val="StyleUnderline"/>
        </w:rPr>
        <w:t>the rule of lenity should provide the standard for reviewing facial challenges to administrative regulations</w:t>
      </w:r>
      <w:r w:rsidRPr="00052262">
        <w:rPr>
          <w:sz w:val="16"/>
        </w:rPr>
        <w:t xml:space="preserve"> ... 78 </w:t>
      </w:r>
    </w:p>
    <w:p w14:paraId="57316C83" w14:textId="77777777" w:rsidR="002E524B" w:rsidRPr="00EE726C" w:rsidRDefault="002E524B" w:rsidP="002E524B">
      <w:pPr>
        <w:rPr>
          <w:sz w:val="16"/>
        </w:rPr>
      </w:pPr>
      <w:r w:rsidRPr="00EE726C">
        <w:rPr>
          <w:sz w:val="16"/>
        </w:rPr>
        <w:t xml:space="preserve">Most recently, in Leocal v. Ashcroft, the Supreme Court reversed a ruling brought under a statute capable of both civil and criminal enforcement, applying the rule of lenity. It held that any statutory ambiguity had to be interpreted in the petitioner's favor to ensure consistent interpretation. 79 As Crandon, Leocal, and Babbitt illustrate, the Supreme Court has inconsistently applied the rule of lenity.80 </w:t>
      </w:r>
      <w:r w:rsidRPr="0033416F">
        <w:rPr>
          <w:rStyle w:val="StyleUnderline"/>
        </w:rPr>
        <w:t xml:space="preserve">However, unlike the rule of lenity, the Supreme Court has </w:t>
      </w:r>
      <w:r w:rsidRPr="002A5625">
        <w:rPr>
          <w:rStyle w:val="Emphasis"/>
        </w:rPr>
        <w:t>consistently applied</w:t>
      </w:r>
      <w:r w:rsidRPr="0033416F">
        <w:rPr>
          <w:rStyle w:val="StyleUnderline"/>
        </w:rPr>
        <w:t xml:space="preserve"> the </w:t>
      </w:r>
      <w:r w:rsidRPr="002A5625">
        <w:rPr>
          <w:rStyle w:val="Emphasis"/>
        </w:rPr>
        <w:t>Commission's rules in both civil and criminal cases</w:t>
      </w:r>
      <w:r w:rsidRPr="0033416F">
        <w:rPr>
          <w:rStyle w:val="StyleUnderline"/>
        </w:rPr>
        <w:t>, holding in SEC v. Zandford that the Commission's interpretation of Section 10(b) was entitled to deference.</w:t>
      </w:r>
      <w:r w:rsidRPr="00EE726C">
        <w:rPr>
          <w:sz w:val="16"/>
        </w:rPr>
        <w:t xml:space="preserve"> 81</w:t>
      </w:r>
    </w:p>
    <w:p w14:paraId="0E907F7D" w14:textId="352FC132" w:rsidR="002E524B" w:rsidRDefault="002E524B" w:rsidP="008D78CC">
      <w:pPr>
        <w:rPr>
          <w:sz w:val="16"/>
        </w:rPr>
      </w:pPr>
      <w:r w:rsidRPr="002A5625">
        <w:rPr>
          <w:rStyle w:val="StyleUnderline"/>
        </w:rPr>
        <w:t>It is not</w:t>
      </w:r>
      <w:r w:rsidRPr="002A5625">
        <w:rPr>
          <w:sz w:val="16"/>
        </w:rPr>
        <w:t xml:space="preserve"> always </w:t>
      </w:r>
      <w:r w:rsidRPr="002A5625">
        <w:rPr>
          <w:rStyle w:val="StyleUnderline"/>
        </w:rPr>
        <w:t>clear when Chevron should</w:t>
      </w:r>
      <w:r w:rsidRPr="002A5625">
        <w:rPr>
          <w:sz w:val="16"/>
        </w:rPr>
        <w:t xml:space="preserve"> actually </w:t>
      </w:r>
      <w:r w:rsidRPr="002A5625">
        <w:rPr>
          <w:rStyle w:val="StyleUnderline"/>
        </w:rPr>
        <w:t>apply.</w:t>
      </w:r>
      <w:r w:rsidRPr="002A5625">
        <w:rPr>
          <w:sz w:val="16"/>
        </w:rPr>
        <w:t xml:space="preserve">82 Chevron deference allows executive agencies to construe statutory language and to clarify a law, power that can infringe upon the courts' role. As Justice Marshall famously said, "It is emphatically the province and duty of the judicial department to say what the law is. ''83  </w:t>
      </w:r>
      <w:r w:rsidRPr="002A5625">
        <w:rPr>
          <w:rStyle w:val="StyleUnderline"/>
        </w:rPr>
        <w:t>Chevron's portrayal of administrative agencies as experts bestows</w:t>
      </w:r>
      <w:r w:rsidRPr="002A5625">
        <w:rPr>
          <w:sz w:val="16"/>
        </w:rPr>
        <w:t xml:space="preserve"> upon </w:t>
      </w:r>
      <w:r w:rsidRPr="002A5625">
        <w:rPr>
          <w:rStyle w:val="StyleUnderline"/>
        </w:rPr>
        <w:t>these agencies</w:t>
      </w:r>
      <w:r w:rsidRPr="002A5625">
        <w:rPr>
          <w:sz w:val="16"/>
        </w:rPr>
        <w:t xml:space="preserve"> the </w:t>
      </w:r>
      <w:r w:rsidRPr="002A5625">
        <w:rPr>
          <w:rStyle w:val="StyleUnderline"/>
        </w:rPr>
        <w:t xml:space="preserve">power to </w:t>
      </w:r>
      <w:r w:rsidRPr="002A5625">
        <w:rPr>
          <w:rStyle w:val="Emphasis"/>
        </w:rPr>
        <w:t>articulate new policy</w:t>
      </w:r>
      <w:r w:rsidRPr="002A5625">
        <w:rPr>
          <w:rStyle w:val="StyleUnderline"/>
        </w:rPr>
        <w:t xml:space="preserve"> by devising schemes through promulgating their </w:t>
      </w:r>
      <w:r w:rsidRPr="00FA5194">
        <w:rPr>
          <w:rStyle w:val="Emphasis"/>
        </w:rPr>
        <w:t>own rules</w:t>
      </w:r>
      <w:r w:rsidRPr="002A5625">
        <w:rPr>
          <w:rStyle w:val="StyleUnderline"/>
        </w:rPr>
        <w:t>.</w:t>
      </w:r>
      <w:r w:rsidRPr="002A5625">
        <w:rPr>
          <w:sz w:val="16"/>
        </w:rPr>
        <w:t xml:space="preserve"> 84</w:t>
      </w:r>
    </w:p>
    <w:p w14:paraId="789F22FD" w14:textId="69B0225C" w:rsidR="00805A42" w:rsidRPr="00805A42" w:rsidRDefault="00805A42" w:rsidP="00805A42">
      <w:pPr>
        <w:pStyle w:val="Heading4"/>
        <w:rPr>
          <w:u w:val="single"/>
        </w:rPr>
      </w:pPr>
      <w:r>
        <w:t xml:space="preserve">But </w:t>
      </w:r>
      <w:r>
        <w:rPr>
          <w:i/>
          <w:iCs w:val="0"/>
        </w:rPr>
        <w:t>Babbitt</w:t>
      </w:r>
      <w:r>
        <w:t xml:space="preserve"> puts </w:t>
      </w:r>
      <w:r>
        <w:rPr>
          <w:i/>
          <w:iCs w:val="0"/>
        </w:rPr>
        <w:t>Chevron</w:t>
      </w:r>
      <w:r>
        <w:t xml:space="preserve"> on top.</w:t>
      </w:r>
    </w:p>
    <w:p w14:paraId="0C0E4E15" w14:textId="77777777" w:rsidR="00805A42" w:rsidRPr="00A034ED" w:rsidRDefault="00805A42" w:rsidP="00805A42">
      <w:r w:rsidRPr="00A034ED">
        <w:rPr>
          <w:b/>
          <w:bCs/>
          <w:sz w:val="26"/>
          <w:szCs w:val="26"/>
        </w:rPr>
        <w:t>Alt and Cline 19</w:t>
      </w:r>
      <w:r>
        <w:t xml:space="preserve"> - </w:t>
      </w:r>
      <w:r w:rsidRPr="00A034ED">
        <w:t>Counsel for Amicus Curiae</w:t>
      </w:r>
      <w:r>
        <w:t xml:space="preserve">, </w:t>
      </w:r>
      <w:r w:rsidRPr="00A034ED">
        <w:t>Counsel of Record</w:t>
      </w:r>
      <w:r>
        <w:t>, (Robert and John D., “</w:t>
      </w:r>
      <w:r w:rsidRPr="00A034ED">
        <w:t>BRIEF OF AMICI CURIAE DUE PROCESS INSTITUTE AND THE BUCKEYE INSTITUTE IN SUPPORT OF PETITION FOR A WRIT OF CERTIORARI</w:t>
      </w:r>
      <w:r>
        <w:t xml:space="preserve">,” </w:t>
      </w:r>
      <w:r>
        <w:rPr>
          <w:i/>
          <w:iCs/>
        </w:rPr>
        <w:t xml:space="preserve">The Buckeye Institute </w:t>
      </w:r>
      <w:r w:rsidRPr="00A034ED">
        <w:rPr>
          <w:i/>
          <w:iCs/>
        </w:rPr>
        <w:t>an independent research and educational institution</w:t>
      </w:r>
      <w:r>
        <w:t>, Published October 2019, Accessed 6-20-20, LASA-AH)</w:t>
      </w:r>
    </w:p>
    <w:p w14:paraId="1BD62D02" w14:textId="77777777" w:rsidR="00805A42" w:rsidRPr="00092782" w:rsidRDefault="00805A42" w:rsidP="00805A42">
      <w:pPr>
        <w:rPr>
          <w:u w:val="single"/>
        </w:rPr>
      </w:pPr>
      <w:r w:rsidRPr="00092782">
        <w:rPr>
          <w:u w:val="single"/>
        </w:rPr>
        <w:t>Thompson/Center stands for the proposition that the rule of lenity prevails over an agency interpretation of an ambiguous statute with both civil and criminal applications.</w:t>
      </w:r>
      <w:r>
        <w:t xml:space="preserve"> </w:t>
      </w:r>
      <w:r w:rsidRPr="00092782">
        <w:rPr>
          <w:u w:val="single"/>
        </w:rPr>
        <w:t>In Babbitt v. Sweet Home</w:t>
      </w:r>
      <w:r>
        <w:t xml:space="preserve"> Chapter, 515 U.S. 687 (1995), however, </w:t>
      </w:r>
      <w:r w:rsidRPr="00092782">
        <w:rPr>
          <w:u w:val="single"/>
        </w:rPr>
        <w:t>the Court (in an opinion by Justice Stevens) clouded the picture. Babbitt involved interpretation of the terms "take" and "harm" in the Endangered Species Act</w:t>
      </w:r>
      <w:r>
        <w:t xml:space="preserve">. The Department of Interior adopted a broad interpretation of those terms, which a group of small landowners and logging companies challenged. </w:t>
      </w:r>
      <w:r w:rsidRPr="00092782">
        <w:rPr>
          <w:u w:val="single"/>
        </w:rPr>
        <w:t>The challengers invoked the rule of lenity, because the Endangered Species Act has both civil and criminal applications. The Court rejected this argument in a footnote. It declared:</w:t>
      </w:r>
    </w:p>
    <w:p w14:paraId="0289741B" w14:textId="77777777" w:rsidR="00805A42" w:rsidRDefault="00805A42" w:rsidP="00805A42">
      <w:r w:rsidRPr="00092782">
        <w:rPr>
          <w:u w:val="single"/>
        </w:rPr>
        <w:t>We have applied the rule of lenity in a case raising a narrow question concerning the application of a statute that contains criminal sanctions to a specific factual dispute--whether pistols with short barrels and attachable shoulder stocks are short-barreled rifles</w:t>
      </w:r>
      <w:r>
        <w:t xml:space="preserve">-- where no regulation was present. See [Thompson/Center Arms Co.]. </w:t>
      </w:r>
      <w:r w:rsidRPr="00092782">
        <w:rPr>
          <w:u w:val="single"/>
        </w:rPr>
        <w:t>We have never suggested that the rule of lenity should provide the standard for reviewing facial challenges to administrative regulations whenever the governing statute authorizes criminal enforcement.</w:t>
      </w:r>
      <w:r>
        <w:t xml:space="preserve"> Even if there exist regulations whose interpretations of statutory criminal penalties provide such inadequate notice of potential liability as to offend the rule of lenity, the "harm" regulation, which has existed for two decades and gives a fair warning of its consequences, cannot be one of them.</w:t>
      </w:r>
    </w:p>
    <w:p w14:paraId="6E37E322" w14:textId="77777777" w:rsidR="00805A42" w:rsidRPr="00092782" w:rsidRDefault="00805A42" w:rsidP="00805A42">
      <w:pPr>
        <w:rPr>
          <w:u w:val="single"/>
        </w:rPr>
      </w:pPr>
      <w:r>
        <w:t xml:space="preserve">Id. at 704 n.18. </w:t>
      </w:r>
      <w:r w:rsidRPr="00092782">
        <w:rPr>
          <w:u w:val="single"/>
        </w:rPr>
        <w:t xml:space="preserve">Instead of the rule of lenity, the </w:t>
      </w:r>
      <w:r w:rsidRPr="00092782">
        <w:rPr>
          <w:rStyle w:val="Emphasis"/>
        </w:rPr>
        <w:t>Court applied Chevron deference</w:t>
      </w:r>
      <w:r w:rsidRPr="00092782">
        <w:rPr>
          <w:u w:val="single"/>
        </w:rPr>
        <w:t xml:space="preserve"> and upheld the regulation interpreting the statute. See id. at 708.5</w:t>
      </w:r>
    </w:p>
    <w:p w14:paraId="71117973" w14:textId="77777777" w:rsidR="00805A42" w:rsidRDefault="00805A42" w:rsidP="00805A42">
      <w:r>
        <w:t>Nine years later, in an immigration case, the Court found the rule of lenity applicable to 18 U.S.C. § 16 (defining "crime of violence"), because the statute has criminal as well as civil applications. See Leocal v. Ashcroft, 543 U.S. 1, 11 n.8 (2004) (citing Thompson/Center Arms). The Court gave no deference to the interpretation of the Board of Immigration Appeals, and it did not cite Babbitt.</w:t>
      </w:r>
    </w:p>
    <w:p w14:paraId="04136F3D" w14:textId="252300B6" w:rsidR="00805A42" w:rsidRPr="00805A42" w:rsidRDefault="00805A42" w:rsidP="008D78CC">
      <w:pPr>
        <w:rPr>
          <w:u w:val="single"/>
        </w:rPr>
      </w:pPr>
      <w:r>
        <w:t xml:space="preserve">In the wake of Thompson/Center Arms, Babbitt, and Leocal, judges and law professors have differed over the proper interpretive approach to an ambiguous statute with both criminal and civil applications. Some, like the court of appeals majority in this case, urge Chevron deference.6 Others invoke the rule of lenity.7 </w:t>
      </w:r>
      <w:r w:rsidRPr="00A034ED">
        <w:rPr>
          <w:u w:val="single"/>
        </w:rPr>
        <w:t xml:space="preserve">This Court's decisions do not clearly resolve the question. As we discuss in the next part, </w:t>
      </w:r>
      <w:r w:rsidRPr="00A034ED">
        <w:rPr>
          <w:rStyle w:val="Emphasis"/>
        </w:rPr>
        <w:t xml:space="preserve">considerations of fair warning and separation of powers </w:t>
      </w:r>
      <w:r w:rsidRPr="00A034ED">
        <w:rPr>
          <w:u w:val="single"/>
        </w:rPr>
        <w:t>require use of the rule of lenity in construing ambiguous statutes with both criminal and civil applications.</w:t>
      </w:r>
    </w:p>
    <w:p w14:paraId="6ED8D10D" w14:textId="2EF6F129" w:rsidR="00621D20" w:rsidRDefault="00621D20" w:rsidP="00621D20">
      <w:pPr>
        <w:pStyle w:val="Heading3"/>
      </w:pPr>
      <w:r>
        <w:t xml:space="preserve">2AC – AT: Inherency – Immigration </w:t>
      </w:r>
    </w:p>
    <w:p w14:paraId="3DED4700" w14:textId="77777777" w:rsidR="00621D20" w:rsidRPr="00695649" w:rsidRDefault="00621D20" w:rsidP="00621D20">
      <w:pPr>
        <w:pStyle w:val="Heading4"/>
      </w:pPr>
      <w:r>
        <w:t>Courts must decide between Chevron or the rule of lenity in deportation cases.</w:t>
      </w:r>
    </w:p>
    <w:p w14:paraId="52C9A104" w14:textId="77777777" w:rsidR="00621D20" w:rsidRPr="00FF09EF" w:rsidRDefault="00621D20" w:rsidP="00621D20">
      <w:r>
        <w:rPr>
          <w:rStyle w:val="Style13ptBold"/>
        </w:rPr>
        <w:t>Sharpless 17</w:t>
      </w:r>
      <w:r>
        <w:t xml:space="preserve"> – Rebecca Sharpless, Clinical Professor at University of Miami School of Law ("Zone of Nondeference: Chevron and Deportation for a Crime,” 9 Drexel L. Review 323, available online at https://drexel.edu/law/lawreview/issues/Archives/v9-2/sharpless/, accessed 6-23-2020) LR</w:t>
      </w:r>
    </w:p>
    <w:p w14:paraId="6C3B9C42" w14:textId="1E8AD3E5" w:rsidR="00621D20" w:rsidRPr="00621D20" w:rsidRDefault="00621D20" w:rsidP="00621D20">
      <w:pPr>
        <w:rPr>
          <w:u w:val="single"/>
        </w:rPr>
      </w:pPr>
      <w:r w:rsidRPr="00D946D1">
        <w:rPr>
          <w:rStyle w:val="StyleUnderline"/>
        </w:rPr>
        <w:t>Under Chevron,</w:t>
      </w:r>
      <w:r w:rsidRPr="00695649">
        <w:rPr>
          <w:sz w:val="16"/>
        </w:rPr>
        <w:t xml:space="preserve"> reviewing </w:t>
      </w:r>
      <w:r w:rsidRPr="00D946D1">
        <w:rPr>
          <w:rStyle w:val="StyleUnderline"/>
        </w:rPr>
        <w:t>courts</w:t>
      </w:r>
      <w:r w:rsidRPr="00695649">
        <w:rPr>
          <w:sz w:val="16"/>
        </w:rPr>
        <w:t xml:space="preserve"> generally </w:t>
      </w:r>
      <w:r w:rsidRPr="00D946D1">
        <w:rPr>
          <w:rStyle w:val="StyleUnderline"/>
        </w:rPr>
        <w:t>defer to reasonable interpretations of the INA made by the U.S. Attorney General and the</w:t>
      </w:r>
      <w:r w:rsidRPr="00695649">
        <w:rPr>
          <w:sz w:val="16"/>
        </w:rPr>
        <w:t xml:space="preserve"> Board of Immigration Appeals (“</w:t>
      </w:r>
      <w:r w:rsidRPr="00D946D1">
        <w:rPr>
          <w:rStyle w:val="StyleUnderline"/>
        </w:rPr>
        <w:t>BIA</w:t>
      </w:r>
      <w:r w:rsidRPr="00695649">
        <w:rPr>
          <w:sz w:val="16"/>
        </w:rPr>
        <w:t xml:space="preserve">”) </w:t>
      </w:r>
      <w:r w:rsidRPr="00D946D1">
        <w:rPr>
          <w:rStyle w:val="StyleUnderline"/>
        </w:rPr>
        <w:t>in precedential, adjudicative decisions</w:t>
      </w:r>
      <w:r w:rsidRPr="00695649">
        <w:rPr>
          <w:sz w:val="16"/>
        </w:rPr>
        <w:t xml:space="preserve">.5 </w:t>
      </w:r>
      <w:r w:rsidRPr="00D946D1">
        <w:rPr>
          <w:rStyle w:val="StyleUnderline"/>
        </w:rPr>
        <w:t>Standing in tension</w:t>
      </w:r>
      <w:r w:rsidRPr="00695649">
        <w:rPr>
          <w:sz w:val="16"/>
        </w:rPr>
        <w:t xml:space="preserve"> with this rule </w:t>
      </w:r>
      <w:r w:rsidRPr="00D946D1">
        <w:rPr>
          <w:rStyle w:val="StyleUnderline"/>
        </w:rPr>
        <w:t>are Supreme Court decisions holding that ambiguous deportation statutes should be construed in favor of the noncitizen in view of the harsh consequences of deportation.</w:t>
      </w:r>
      <w:r w:rsidRPr="00695649">
        <w:rPr>
          <w:sz w:val="16"/>
        </w:rPr>
        <w:t xml:space="preserve">6 </w:t>
      </w:r>
      <w:r w:rsidRPr="00695649">
        <w:rPr>
          <w:rStyle w:val="StyleUnderline"/>
        </w:rPr>
        <w:t>The reality that interpretations</w:t>
      </w:r>
      <w:r w:rsidRPr="00695649">
        <w:rPr>
          <w:sz w:val="16"/>
        </w:rPr>
        <w:t xml:space="preserve"> of crime-based removal statutes </w:t>
      </w:r>
      <w:r w:rsidRPr="00695649">
        <w:rPr>
          <w:rStyle w:val="StyleUnderline"/>
        </w:rPr>
        <w:t xml:space="preserve">often </w:t>
      </w:r>
      <w:r w:rsidRPr="00695649">
        <w:rPr>
          <w:rStyle w:val="Emphasis"/>
        </w:rPr>
        <w:t>involve criminal law</w:t>
      </w:r>
      <w:r w:rsidRPr="00695649">
        <w:rPr>
          <w:rStyle w:val="StyleUnderline"/>
        </w:rPr>
        <w:t xml:space="preserve"> further complicates this</w:t>
      </w:r>
      <w:r w:rsidRPr="00695649">
        <w:rPr>
          <w:sz w:val="16"/>
        </w:rPr>
        <w:t xml:space="preserve"> legal landscape. Adjudicators must analyze both the scope of the criminal grounds of removal and the nature of criminal convictions. </w:t>
      </w:r>
      <w:r w:rsidRPr="00695649">
        <w:rPr>
          <w:rStyle w:val="StyleUnderline"/>
        </w:rPr>
        <w:t>Immigration and federal criminal law share statutory terms, like “aggravated felony” and “conviction,”</w:t>
      </w:r>
      <w:r w:rsidRPr="00695649">
        <w:rPr>
          <w:sz w:val="16"/>
        </w:rPr>
        <w:t xml:space="preserve">7 </w:t>
      </w:r>
      <w:r w:rsidRPr="00695649">
        <w:rPr>
          <w:rStyle w:val="StyleUnderline"/>
        </w:rPr>
        <w:t xml:space="preserve">and the INA defines </w:t>
      </w:r>
      <w:r w:rsidRPr="00695649">
        <w:rPr>
          <w:rStyle w:val="Emphasis"/>
        </w:rPr>
        <w:t>both civil violations and criminal offenses</w:t>
      </w:r>
      <w:r w:rsidRPr="00695649">
        <w:rPr>
          <w:sz w:val="16"/>
        </w:rPr>
        <w:t xml:space="preserve">.8 </w:t>
      </w:r>
      <w:r w:rsidRPr="00695649">
        <w:rPr>
          <w:rStyle w:val="StyleUnderline"/>
        </w:rPr>
        <w:t>The Chevron doctrine thus collides with the Supreme Court’s statement</w:t>
      </w:r>
      <w:r w:rsidRPr="00695649">
        <w:rPr>
          <w:sz w:val="16"/>
        </w:rPr>
        <w:t xml:space="preserve"> that federal agencies have no authority to resolve ambiguities in criminal laws </w:t>
      </w:r>
      <w:r w:rsidRPr="00695649">
        <w:rPr>
          <w:rStyle w:val="StyleUnderline"/>
        </w:rPr>
        <w:t xml:space="preserve">and with the </w:t>
      </w:r>
      <w:r w:rsidRPr="00695649">
        <w:rPr>
          <w:rStyle w:val="Emphasis"/>
        </w:rPr>
        <w:t>rule of lenity</w:t>
      </w:r>
      <w:r w:rsidRPr="00695649">
        <w:rPr>
          <w:rStyle w:val="StyleUnderline"/>
        </w:rPr>
        <w:t>, which holds that ambiguities in criminal law should be construed in favor of the defendant.</w:t>
      </w:r>
      <w:r w:rsidRPr="00695649">
        <w:rPr>
          <w:sz w:val="16"/>
        </w:rPr>
        <w:t xml:space="preserve">9 </w:t>
      </w:r>
      <w:r w:rsidRPr="00695649">
        <w:rPr>
          <w:rStyle w:val="StyleUnderline"/>
        </w:rPr>
        <w:t>When civil deportation is based on a criminal offense, courts must decide whether Chevron, the rule of lenity</w:t>
      </w:r>
      <w:r w:rsidRPr="00695649">
        <w:rPr>
          <w:sz w:val="16"/>
        </w:rPr>
        <w:t xml:space="preserve">, or something else </w:t>
      </w:r>
      <w:r w:rsidRPr="00695649">
        <w:rPr>
          <w:rStyle w:val="StyleUnderline"/>
        </w:rPr>
        <w:t xml:space="preserve">governs interpretive </w:t>
      </w:r>
      <w:r w:rsidRPr="00695649">
        <w:rPr>
          <w:rStyle w:val="Emphasis"/>
        </w:rPr>
        <w:t>ambiguities</w:t>
      </w:r>
      <w:r w:rsidRPr="00695649">
        <w:rPr>
          <w:rStyle w:val="StyleUnderline"/>
        </w:rPr>
        <w:t xml:space="preserve">. </w:t>
      </w:r>
    </w:p>
    <w:p w14:paraId="45E67175" w14:textId="1038DA9D" w:rsidR="00621D20" w:rsidRDefault="00621D20" w:rsidP="00621D20">
      <w:pPr>
        <w:pStyle w:val="Heading4"/>
      </w:pPr>
      <w:r>
        <w:t>And the Court has empirically refused to resolve that question.</w:t>
      </w:r>
    </w:p>
    <w:p w14:paraId="349B7B7B" w14:textId="77777777" w:rsidR="00621D20" w:rsidRPr="004A2449" w:rsidRDefault="00621D20" w:rsidP="00621D20">
      <w:pPr>
        <w:rPr>
          <w:rStyle w:val="StyleUnderline"/>
          <w:u w:val="none"/>
        </w:rPr>
      </w:pPr>
      <w:r>
        <w:rPr>
          <w:rStyle w:val="Style13ptBold"/>
        </w:rPr>
        <w:t>Sharpless 17</w:t>
      </w:r>
      <w:r>
        <w:t xml:space="preserve"> – Rebecca Sharpless, Clinical Professor at University of Miami School of Law ("Zone of Nondeference: Chevron and Deportation for a Crime,” 9 Drexel L. Review 323, available online at https://drexel.edu/law/lawreview/issues/Archives/v9-2/sharpless/, accessed 6-25-2020) LR</w:t>
      </w:r>
    </w:p>
    <w:p w14:paraId="4BDCFFB0" w14:textId="77777777" w:rsidR="00621D20" w:rsidRPr="003207A1" w:rsidRDefault="00621D20" w:rsidP="00621D20">
      <w:pPr>
        <w:rPr>
          <w:sz w:val="16"/>
        </w:rPr>
      </w:pPr>
      <w:r w:rsidRPr="0062704F">
        <w:rPr>
          <w:sz w:val="16"/>
        </w:rPr>
        <w:t xml:space="preserve">More </w:t>
      </w:r>
      <w:r w:rsidRPr="0062704F">
        <w:rPr>
          <w:rStyle w:val="StyleUnderline"/>
        </w:rPr>
        <w:t>controversial is the question</w:t>
      </w:r>
      <w:r w:rsidRPr="0062704F">
        <w:rPr>
          <w:sz w:val="16"/>
        </w:rPr>
        <w:t xml:space="preserve"> that is the focus of this Article— </w:t>
      </w:r>
      <w:r w:rsidRPr="0062704F">
        <w:rPr>
          <w:rStyle w:val="StyleUnderline"/>
        </w:rPr>
        <w:t>whether courts give Chevron deference to the agency’s interpretation of noncriminal terms or criminal terms with no fixed definition that appear in crime-based removal grounds.</w:t>
      </w:r>
      <w:r w:rsidRPr="0062704F">
        <w:rPr>
          <w:sz w:val="16"/>
        </w:rPr>
        <w:t xml:space="preserve"> </w:t>
      </w:r>
      <w:r w:rsidRPr="0062704F">
        <w:rPr>
          <w:rStyle w:val="StyleUnderline"/>
        </w:rPr>
        <w:t>Examples</w:t>
      </w:r>
      <w:r w:rsidRPr="0062704F">
        <w:rPr>
          <w:sz w:val="16"/>
        </w:rPr>
        <w:t xml:space="preserve"> of noncriminal statutory terms </w:t>
      </w:r>
      <w:r w:rsidRPr="0062704F">
        <w:rPr>
          <w:rStyle w:val="StyleUnderline"/>
        </w:rPr>
        <w:t>are phrases like “described in” or “relating to.</w:t>
      </w:r>
      <w:r w:rsidRPr="0062704F">
        <w:rPr>
          <w:sz w:val="16"/>
        </w:rPr>
        <w:t xml:space="preserve">” Criminal terms and phrases with no statutorily defined meaning include terms like </w:t>
      </w:r>
      <w:r w:rsidRPr="0062704F">
        <w:rPr>
          <w:rStyle w:val="StyleUnderline"/>
        </w:rPr>
        <w:t xml:space="preserve">“theft” or “burglary,” </w:t>
      </w:r>
      <w:r w:rsidRPr="0062704F">
        <w:rPr>
          <w:sz w:val="16"/>
        </w:rPr>
        <w:t xml:space="preserve">and phrases </w:t>
      </w:r>
      <w:r w:rsidRPr="0062704F">
        <w:rPr>
          <w:rStyle w:val="StyleUnderline"/>
        </w:rPr>
        <w:t>like “sexual abuse of a minor” and crime “involving moral turpitude.”</w:t>
      </w:r>
      <w:r w:rsidRPr="0062704F">
        <w:rPr>
          <w:sz w:val="16"/>
        </w:rPr>
        <w:t>17</w:t>
      </w:r>
    </w:p>
    <w:p w14:paraId="7849F340" w14:textId="77777777" w:rsidR="00621D20" w:rsidRPr="009061D3" w:rsidRDefault="00621D20" w:rsidP="00621D20">
      <w:pPr>
        <w:rPr>
          <w:sz w:val="16"/>
        </w:rPr>
      </w:pPr>
      <w:r w:rsidRPr="00404B59">
        <w:rPr>
          <w:rStyle w:val="StyleUnderline"/>
        </w:rPr>
        <w:t>The Court recently dec</w:t>
      </w:r>
      <w:r w:rsidRPr="009061D3">
        <w:rPr>
          <w:rStyle w:val="StyleUnderline"/>
        </w:rPr>
        <w:t>lined</w:t>
      </w:r>
      <w:r w:rsidRPr="009061D3">
        <w:rPr>
          <w:sz w:val="16"/>
        </w:rPr>
        <w:t xml:space="preserve"> an opportunity </w:t>
      </w:r>
      <w:r w:rsidRPr="00404B59">
        <w:rPr>
          <w:rStyle w:val="StyleUnderline"/>
        </w:rPr>
        <w:t>to answer</w:t>
      </w:r>
      <w:r w:rsidRPr="009061D3">
        <w:rPr>
          <w:sz w:val="16"/>
        </w:rPr>
        <w:t xml:space="preserve"> at least some </w:t>
      </w:r>
      <w:r w:rsidRPr="00404B59">
        <w:rPr>
          <w:rStyle w:val="StyleUnderline"/>
        </w:rPr>
        <w:t>questions about</w:t>
      </w:r>
      <w:r w:rsidRPr="009061D3">
        <w:rPr>
          <w:sz w:val="16"/>
        </w:rPr>
        <w:t xml:space="preserve"> how </w:t>
      </w:r>
      <w:r w:rsidRPr="00404B59">
        <w:rPr>
          <w:rStyle w:val="StyleUnderline"/>
        </w:rPr>
        <w:t>Chevron</w:t>
      </w:r>
      <w:r w:rsidRPr="009061D3">
        <w:rPr>
          <w:sz w:val="16"/>
        </w:rPr>
        <w:t xml:space="preserve"> relates to interpretations o</w:t>
      </w:r>
      <w:r w:rsidRPr="009061D3">
        <w:rPr>
          <w:rStyle w:val="StyleUnderline"/>
        </w:rPr>
        <w:t>f the scope of crime-based removal statutes. The case of Juan Esquivel-Quintana</w:t>
      </w:r>
      <w:r w:rsidRPr="009061D3">
        <w:rPr>
          <w:sz w:val="16"/>
        </w:rPr>
        <w:t xml:space="preserve"> involved the question of whether a California statutory rape conviction falls within the aggravated felony ground of deportation.18 This </w:t>
      </w:r>
      <w:r w:rsidRPr="009061D3">
        <w:rPr>
          <w:rStyle w:val="StyleUnderline"/>
        </w:rPr>
        <w:t xml:space="preserve">provision, like all aggravated felony provisions, is a </w:t>
      </w:r>
      <w:r w:rsidRPr="009061D3">
        <w:rPr>
          <w:rStyle w:val="Emphasis"/>
        </w:rPr>
        <w:t>hybrid statute</w:t>
      </w:r>
      <w:r w:rsidRPr="009061D3">
        <w:rPr>
          <w:sz w:val="16"/>
        </w:rPr>
        <w:t>—</w:t>
      </w:r>
      <w:r w:rsidRPr="009061D3">
        <w:rPr>
          <w:rStyle w:val="StyleUnderline"/>
        </w:rPr>
        <w:t>a civil statute that has criminal applications both within immigration law and in</w:t>
      </w:r>
      <w:r w:rsidRPr="009061D3">
        <w:rPr>
          <w:sz w:val="16"/>
        </w:rPr>
        <w:t xml:space="preserve"> the </w:t>
      </w:r>
      <w:r w:rsidRPr="009061D3">
        <w:rPr>
          <w:rStyle w:val="StyleUnderline"/>
        </w:rPr>
        <w:t>federal criminal code.</w:t>
      </w:r>
      <w:r w:rsidRPr="009061D3">
        <w:rPr>
          <w:sz w:val="16"/>
        </w:rPr>
        <w:t xml:space="preserve">19 </w:t>
      </w:r>
      <w:r w:rsidRPr="009061D3">
        <w:rPr>
          <w:rStyle w:val="StyleUnderline"/>
        </w:rPr>
        <w:t>Federal sentencing law enhances sentences</w:t>
      </w:r>
      <w:r w:rsidRPr="009061D3">
        <w:rPr>
          <w:sz w:val="16"/>
        </w:rPr>
        <w:t xml:space="preserve"> for certain immigration-related crimes </w:t>
      </w:r>
      <w:r w:rsidRPr="009061D3">
        <w:rPr>
          <w:rStyle w:val="StyleUnderline"/>
        </w:rPr>
        <w:t>if the person has been convicted of an aggravated felony.</w:t>
      </w:r>
      <w:r w:rsidRPr="009061D3">
        <w:rPr>
          <w:sz w:val="16"/>
        </w:rPr>
        <w:t xml:space="preserve">20 </w:t>
      </w:r>
    </w:p>
    <w:p w14:paraId="4805E92B" w14:textId="77777777" w:rsidR="00621D20" w:rsidRPr="009061D3" w:rsidRDefault="00621D20" w:rsidP="00621D20">
      <w:pPr>
        <w:rPr>
          <w:sz w:val="16"/>
        </w:rPr>
      </w:pPr>
      <w:r w:rsidRPr="009061D3">
        <w:rPr>
          <w:rStyle w:val="StyleUnderline"/>
        </w:rPr>
        <w:t>Whether</w:t>
      </w:r>
      <w:r w:rsidRPr="009061D3">
        <w:rPr>
          <w:sz w:val="16"/>
        </w:rPr>
        <w:t xml:space="preserve"> Esquivel-Quintana’s California </w:t>
      </w:r>
      <w:r w:rsidRPr="009061D3">
        <w:rPr>
          <w:rStyle w:val="StyleUnderline"/>
        </w:rPr>
        <w:t>conviction triggered deportation turned on the scope of the “sexual abuse of a minor” provision</w:t>
      </w:r>
      <w:r w:rsidRPr="009061D3">
        <w:rPr>
          <w:sz w:val="16"/>
        </w:rPr>
        <w:t xml:space="preserve"> of the aggravated felony definition.21 California law criminalizes sexual intercourse with a minor when the age gap is three years or more.22 In contrast, federal law, the law of 43 states and the District of Columbia, and the Model Penal Code do not criminalize this conduct.23 </w:t>
      </w:r>
      <w:r w:rsidRPr="009061D3">
        <w:rPr>
          <w:rStyle w:val="StyleUnderline"/>
        </w:rPr>
        <w:t>The BIA ruled that</w:t>
      </w:r>
      <w:r w:rsidRPr="009061D3">
        <w:rPr>
          <w:sz w:val="16"/>
        </w:rPr>
        <w:t xml:space="preserve"> Esquivel-Quintana’s </w:t>
      </w:r>
      <w:r w:rsidRPr="009061D3">
        <w:rPr>
          <w:rStyle w:val="StyleUnderline"/>
        </w:rPr>
        <w:t>conviction was an aggravated felony because statutory-rape convictions qualify as “sexual abuse of a minor” as long as there is a “meaningful age difference”</w:t>
      </w:r>
      <w:r w:rsidRPr="009061D3">
        <w:rPr>
          <w:sz w:val="16"/>
        </w:rPr>
        <w:t xml:space="preserve"> between the defendant and child.24 </w:t>
      </w:r>
      <w:r w:rsidRPr="009061D3">
        <w:rPr>
          <w:rStyle w:val="StyleUnderline"/>
        </w:rPr>
        <w:t>The Sixth Circuit, finding ambiguity in the statutory phrase</w:t>
      </w:r>
      <w:r w:rsidRPr="009061D3">
        <w:rPr>
          <w:sz w:val="16"/>
        </w:rPr>
        <w:t xml:space="preserve"> “sexual abuse of a minor,” </w:t>
      </w:r>
      <w:r w:rsidRPr="009061D3">
        <w:rPr>
          <w:rStyle w:val="Emphasis"/>
        </w:rPr>
        <w:t>deferred to the BIA’s interpretation</w:t>
      </w:r>
      <w:r w:rsidRPr="009061D3">
        <w:rPr>
          <w:rStyle w:val="StyleUnderline"/>
        </w:rPr>
        <w:t>.</w:t>
      </w:r>
      <w:r w:rsidRPr="009061D3">
        <w:rPr>
          <w:sz w:val="16"/>
        </w:rPr>
        <w:t xml:space="preserve">25 </w:t>
      </w:r>
      <w:r w:rsidRPr="009061D3">
        <w:rPr>
          <w:rStyle w:val="StyleUnderline"/>
        </w:rPr>
        <w:t>In a separate decision,</w:t>
      </w:r>
      <w:r w:rsidRPr="009061D3">
        <w:rPr>
          <w:sz w:val="16"/>
        </w:rPr>
        <w:t xml:space="preserve"> concurring in part and dissenting in part, </w:t>
      </w:r>
      <w:r w:rsidRPr="009061D3">
        <w:rPr>
          <w:rStyle w:val="StyleUnderline"/>
        </w:rPr>
        <w:t xml:space="preserve">one judge stated he would have resolved the ambiguity in the hybrid statute by applying the criminal </w:t>
      </w:r>
      <w:r w:rsidRPr="00A246ED">
        <w:rPr>
          <w:rStyle w:val="Emphasis"/>
        </w:rPr>
        <w:t>rule of lenity</w:t>
      </w:r>
      <w:r w:rsidRPr="009061D3">
        <w:rPr>
          <w:rStyle w:val="StyleUnderline"/>
        </w:rPr>
        <w:t xml:space="preserve"> rather than Chevron.</w:t>
      </w:r>
      <w:r w:rsidRPr="009061D3">
        <w:rPr>
          <w:sz w:val="16"/>
        </w:rPr>
        <w:t xml:space="preserve">26 </w:t>
      </w:r>
    </w:p>
    <w:p w14:paraId="25CEE778" w14:textId="77777777" w:rsidR="00621D20" w:rsidRPr="003207A1" w:rsidRDefault="00621D20" w:rsidP="00621D20">
      <w:pPr>
        <w:rPr>
          <w:sz w:val="16"/>
        </w:rPr>
      </w:pPr>
      <w:r w:rsidRPr="009061D3">
        <w:rPr>
          <w:rStyle w:val="StyleUnderline"/>
        </w:rPr>
        <w:t>Before the Supreme Court, Esquivel-Quintana argued that</w:t>
      </w:r>
      <w:r w:rsidRPr="009061D3">
        <w:rPr>
          <w:sz w:val="16"/>
        </w:rPr>
        <w:t xml:space="preserve"> it did not matter whether Chevron applies because the meaning of </w:t>
      </w:r>
      <w:r w:rsidRPr="009061D3">
        <w:rPr>
          <w:rStyle w:val="StyleUnderline"/>
        </w:rPr>
        <w:t>“sexual abuse of a minor” is clear.</w:t>
      </w:r>
      <w:r w:rsidRPr="009061D3">
        <w:rPr>
          <w:sz w:val="16"/>
        </w:rPr>
        <w:t xml:space="preserve">27 </w:t>
      </w:r>
      <w:r w:rsidRPr="009061D3">
        <w:rPr>
          <w:rStyle w:val="StyleUnderline"/>
        </w:rPr>
        <w:t xml:space="preserve">But if the phrase is ambiguous, he contended that the </w:t>
      </w:r>
      <w:r w:rsidRPr="009061D3">
        <w:rPr>
          <w:rStyle w:val="Emphasis"/>
        </w:rPr>
        <w:t>rule of lenity, not Chevron</w:t>
      </w:r>
      <w:r w:rsidRPr="009061D3">
        <w:rPr>
          <w:rStyle w:val="StyleUnderline"/>
        </w:rPr>
        <w:t>, governed the analysis.2</w:t>
      </w:r>
      <w:r w:rsidRPr="009061D3">
        <w:rPr>
          <w:sz w:val="16"/>
        </w:rPr>
        <w:t xml:space="preserve">8 Following the reasoning of the Sixth Circuit opinion concurring and dissenting, Esquivel-Quintana reasoned that </w:t>
      </w:r>
      <w:r w:rsidRPr="009061D3">
        <w:rPr>
          <w:rStyle w:val="StyleUnderline"/>
        </w:rPr>
        <w:t>Chevron did not apply because the</w:t>
      </w:r>
      <w:r w:rsidRPr="009061D3">
        <w:rPr>
          <w:sz w:val="16"/>
        </w:rPr>
        <w:t xml:space="preserve"> aggravated felony </w:t>
      </w:r>
      <w:r w:rsidRPr="009061D3">
        <w:rPr>
          <w:rStyle w:val="StyleUnderline"/>
        </w:rPr>
        <w:t>statute “dictates not only civil consequences but criminal liability as well</w:t>
      </w:r>
      <w:r w:rsidRPr="009061D3">
        <w:rPr>
          <w:sz w:val="16"/>
        </w:rPr>
        <w:t xml:space="preserve">.”29 </w:t>
      </w:r>
      <w:r w:rsidRPr="009061D3">
        <w:rPr>
          <w:rStyle w:val="StyleUnderline"/>
        </w:rPr>
        <w:t xml:space="preserve">“[T]he rule of lenity” </w:t>
      </w:r>
      <w:r w:rsidRPr="009061D3">
        <w:rPr>
          <w:sz w:val="16"/>
        </w:rPr>
        <w:t>thus “</w:t>
      </w:r>
      <w:r w:rsidRPr="009061D3">
        <w:rPr>
          <w:rStyle w:val="StyleUnderline"/>
        </w:rPr>
        <w:t>requires courts to interpret ambiguity in [his] favor</w:t>
      </w:r>
      <w:r w:rsidRPr="009061D3">
        <w:rPr>
          <w:sz w:val="16"/>
        </w:rPr>
        <w:t xml:space="preserve">.”30 </w:t>
      </w:r>
    </w:p>
    <w:p w14:paraId="0D92C010" w14:textId="77777777" w:rsidR="00621D20" w:rsidRDefault="00621D20" w:rsidP="00621D20">
      <w:pPr>
        <w:rPr>
          <w:sz w:val="16"/>
        </w:rPr>
      </w:pPr>
      <w:r w:rsidRPr="003207A1">
        <w:rPr>
          <w:rStyle w:val="StyleUnderline"/>
        </w:rPr>
        <w:t>In a unanimous decision, the Court declined to reach the Chevron question</w:t>
      </w:r>
      <w:r w:rsidRPr="003207A1">
        <w:rPr>
          <w:sz w:val="16"/>
        </w:rPr>
        <w:t xml:space="preserve"> but </w:t>
      </w:r>
      <w:r w:rsidRPr="003207A1">
        <w:rPr>
          <w:rStyle w:val="StyleUnderline"/>
        </w:rPr>
        <w:t>accepted Esquivel-Quintana’s argument that</w:t>
      </w:r>
      <w:r w:rsidRPr="003207A1">
        <w:rPr>
          <w:sz w:val="16"/>
        </w:rPr>
        <w:t xml:space="preserve"> the phrase </w:t>
      </w:r>
      <w:r w:rsidRPr="003207A1">
        <w:rPr>
          <w:rStyle w:val="StyleUnderline"/>
        </w:rPr>
        <w:t>“sexual abuse of a minor” unambiguously excludes convictions under the California statutory rape statute.</w:t>
      </w:r>
      <w:r w:rsidRPr="003207A1">
        <w:rPr>
          <w:sz w:val="16"/>
        </w:rPr>
        <w:t xml:space="preserve">31 As discussed below, the Court has traditionally ignored Chevron in cases involving the aggravated felony definition, even when the parties have briefed it.32 But even if </w:t>
      </w:r>
      <w:r w:rsidRPr="003207A1">
        <w:rPr>
          <w:rStyle w:val="StyleUnderline"/>
        </w:rPr>
        <w:t>the Court</w:t>
      </w:r>
      <w:r w:rsidRPr="003207A1">
        <w:rPr>
          <w:sz w:val="16"/>
        </w:rPr>
        <w:t xml:space="preserve"> had reached the Chevron issue in Esquivel-Quintana, it </w:t>
      </w:r>
      <w:r w:rsidRPr="003207A1">
        <w:rPr>
          <w:rStyle w:val="StyleUnderline"/>
        </w:rPr>
        <w:t>would not have answered</w:t>
      </w:r>
      <w:r w:rsidRPr="003207A1">
        <w:rPr>
          <w:sz w:val="16"/>
        </w:rPr>
        <w:t xml:space="preserve"> all </w:t>
      </w:r>
      <w:r w:rsidRPr="003207A1">
        <w:rPr>
          <w:rStyle w:val="StyleUnderline"/>
        </w:rPr>
        <w:t>questions regarding deference and deportation for a crime.</w:t>
      </w:r>
      <w:r w:rsidRPr="003207A1">
        <w:rPr>
          <w:sz w:val="16"/>
        </w:rPr>
        <w:t xml:space="preserve">33 </w:t>
      </w:r>
      <w:r w:rsidRPr="00C13355">
        <w:rPr>
          <w:rStyle w:val="StyleUnderline"/>
        </w:rPr>
        <w:t>Esquivel-Quintana</w:t>
      </w:r>
      <w:r w:rsidRPr="003207A1">
        <w:rPr>
          <w:sz w:val="16"/>
        </w:rPr>
        <w:t xml:space="preserve"> involved a provision of the </w:t>
      </w:r>
      <w:r w:rsidRPr="00C13355">
        <w:rPr>
          <w:rStyle w:val="StyleUnderline"/>
        </w:rPr>
        <w:t>aggravated felony</w:t>
      </w:r>
      <w:r w:rsidRPr="003207A1">
        <w:rPr>
          <w:sz w:val="16"/>
        </w:rPr>
        <w:t xml:space="preserve"> definition that resides in the INA but is expressly cross-referenced in federal sentencing law.34 The statute is </w:t>
      </w:r>
      <w:r w:rsidRPr="00C13355">
        <w:rPr>
          <w:rStyle w:val="StyleUnderline"/>
        </w:rPr>
        <w:t>a classic example of a hybrid statute.</w:t>
      </w:r>
      <w:r w:rsidRPr="003207A1">
        <w:rPr>
          <w:sz w:val="16"/>
        </w:rPr>
        <w:t xml:space="preserve"> Other criminal grounds of removal, however, have no direct application in criminal law, although they involve criminal law terms. As mentioned above, noncitizens can be deported in some circumstances for having been “convicted of” a crime “involving moral turpitude.”35 Noncitizens can also be deported for having been convicted of an offense “relating to” the Controlled Substances Act.36 A more complete jurisprudence on Chevron and crime-based deportation would look beyond the aggravated felony definition (and the issue of hybrid statutes) to ask what principles should guide courts in deciding whether Chevron applies to the interpretation of crime-based removal statutes. </w:t>
      </w:r>
    </w:p>
    <w:p w14:paraId="51DED4A4" w14:textId="77777777" w:rsidR="00621D20" w:rsidRDefault="00621D20" w:rsidP="00621D20">
      <w:pPr>
        <w:rPr>
          <w:b/>
          <w:bCs/>
        </w:rPr>
      </w:pPr>
      <w:r>
        <w:rPr>
          <w:b/>
          <w:bCs/>
        </w:rPr>
        <w:t>&lt;&lt;insert footnote 34&gt;&gt;</w:t>
      </w:r>
    </w:p>
    <w:p w14:paraId="6C908592" w14:textId="77777777" w:rsidR="00621D20" w:rsidRPr="00E01499" w:rsidRDefault="00621D20" w:rsidP="00621D20">
      <w:pPr>
        <w:rPr>
          <w:sz w:val="16"/>
        </w:rPr>
      </w:pPr>
      <w:r w:rsidRPr="00E01499">
        <w:rPr>
          <w:rStyle w:val="StyleUnderline"/>
        </w:rPr>
        <w:t>While the phrase “aggravated felony” resides in civil immigration law, it has many criminal applications, both in the INA and in criminal law.</w:t>
      </w:r>
      <w:r w:rsidRPr="00E01499">
        <w:rPr>
          <w:sz w:val="16"/>
        </w:rPr>
        <w:t xml:space="preserve"> Under criminal provisions of the INA, it is a felony to aid or assist in entering the U.S. “any alien inadmissible under section 1182(a)(2) (insofar as an alien inadmissible under such section has been convicted of an aggravated felony).” 8 U.S.C. § 1327 (2012) (emphasis added). Having an aggravated felony also raises the maximum prison term for failure to depart from four to ten years. Id. § 1253(a)(1). In criminal law, the term appears in federal sentencing enhancement statutes. For example, the maximum penalty authorized by statute for illegal reentry rises from two years to twenty years if the defendant has been convicted of an aggravated felony. Id. § 1326(a)(2), (b)(2).</w:t>
      </w:r>
    </w:p>
    <w:p w14:paraId="528E7362" w14:textId="77777777" w:rsidR="00621D20" w:rsidRPr="00621D20" w:rsidRDefault="00621D20" w:rsidP="00621D20"/>
    <w:p w14:paraId="54DFDB65" w14:textId="77777777" w:rsidR="00621D20" w:rsidRDefault="00621D20" w:rsidP="00621D20">
      <w:pPr>
        <w:pStyle w:val="Heading4"/>
      </w:pPr>
      <w:r>
        <w:t xml:space="preserve">In 2017, the Court </w:t>
      </w:r>
      <w:r>
        <w:rPr>
          <w:u w:val="single"/>
        </w:rPr>
        <w:t>purposefully ducked</w:t>
      </w:r>
      <w:r>
        <w:t xml:space="preserve"> it.</w:t>
      </w:r>
    </w:p>
    <w:p w14:paraId="2AF086E3" w14:textId="77777777" w:rsidR="00621D20" w:rsidRPr="00452CC3" w:rsidRDefault="00621D20" w:rsidP="00621D20">
      <w:r w:rsidRPr="00452CC3">
        <w:rPr>
          <w:rStyle w:val="Style13ptBold"/>
        </w:rPr>
        <w:t>Thomas 17</w:t>
      </w:r>
      <w:r>
        <w:t xml:space="preserve"> – Justice Clarence Thomas, joined by the unanimous Court. [Esquivel-Quintana v. Sessions, 581 U.S. (2017), https://supreme.justia.com/cases/federal/us/581/16-54/#tab-opinion-3739537]//BPS </w:t>
      </w:r>
    </w:p>
    <w:p w14:paraId="68737A18" w14:textId="77777777" w:rsidR="00621D20" w:rsidRDefault="00621D20" w:rsidP="00621D20">
      <w:pPr>
        <w:rPr>
          <w:sz w:val="16"/>
        </w:rPr>
      </w:pPr>
      <w:r w:rsidRPr="00452CC3">
        <w:rPr>
          <w:sz w:val="16"/>
        </w:rPr>
        <w:t xml:space="preserve">Finally, petitioner and the Government debate whether the Board’s interpretation of sexual abuse of a minor is entitled to deference under Chevron, 467 U. S. 837. Petitioner argues that any ambiguity in the meaning of this phrase must be resolved in favor of the alien under the rule of lenity. See Brief for Petitioner 41–45. The Government responds that ambiguities should be resolved by deferring to the Board’s interpretation. See Brief for Respondent 45–53. </w:t>
      </w:r>
      <w:r w:rsidRPr="00452CC3">
        <w:rPr>
          <w:rStyle w:val="StyleUnderline"/>
        </w:rPr>
        <w:t xml:space="preserve">We have </w:t>
      </w:r>
      <w:r w:rsidRPr="00452CC3">
        <w:rPr>
          <w:rStyle w:val="Emphasis"/>
        </w:rPr>
        <w:t>no need</w:t>
      </w:r>
      <w:r w:rsidRPr="00452CC3">
        <w:rPr>
          <w:rStyle w:val="StyleUnderline"/>
        </w:rPr>
        <w:t xml:space="preserve"> to resolve whether </w:t>
      </w:r>
      <w:r w:rsidRPr="00452CC3">
        <w:rPr>
          <w:rStyle w:val="Emphasis"/>
        </w:rPr>
        <w:t>the rule of lenity</w:t>
      </w:r>
      <w:r w:rsidRPr="00452CC3">
        <w:rPr>
          <w:rStyle w:val="StyleUnderline"/>
        </w:rPr>
        <w:t xml:space="preserve"> or </w:t>
      </w:r>
      <w:r w:rsidRPr="00452CC3">
        <w:rPr>
          <w:rStyle w:val="Emphasis"/>
        </w:rPr>
        <w:t>Chevron</w:t>
      </w:r>
      <w:r w:rsidRPr="00452CC3">
        <w:rPr>
          <w:rStyle w:val="StyleUnderline"/>
        </w:rPr>
        <w:t xml:space="preserve"> receives </w:t>
      </w:r>
      <w:r w:rsidRPr="00452CC3">
        <w:rPr>
          <w:rStyle w:val="Emphasis"/>
        </w:rPr>
        <w:t>priority</w:t>
      </w:r>
      <w:r w:rsidRPr="00452CC3">
        <w:rPr>
          <w:rStyle w:val="StyleUnderline"/>
        </w:rPr>
        <w:t xml:space="preserve"> in this case because </w:t>
      </w:r>
      <w:r w:rsidRPr="00452CC3">
        <w:rPr>
          <w:rStyle w:val="Emphasis"/>
        </w:rPr>
        <w:t>the statute</w:t>
      </w:r>
      <w:r w:rsidRPr="00452CC3">
        <w:rPr>
          <w:rStyle w:val="StyleUnderline"/>
        </w:rPr>
        <w:t xml:space="preserve">, read in context, </w:t>
      </w:r>
      <w:r w:rsidRPr="00452CC3">
        <w:rPr>
          <w:rStyle w:val="Emphasis"/>
        </w:rPr>
        <w:t>unambiguously forecloses</w:t>
      </w:r>
      <w:r w:rsidRPr="00452CC3">
        <w:rPr>
          <w:rStyle w:val="StyleUnderline"/>
        </w:rPr>
        <w:t xml:space="preserve"> the Board’s interpretation. Therefore, </w:t>
      </w:r>
      <w:r w:rsidRPr="00452CC3">
        <w:rPr>
          <w:rStyle w:val="Emphasis"/>
        </w:rPr>
        <w:t>neither</w:t>
      </w:r>
      <w:r w:rsidRPr="00452CC3">
        <w:rPr>
          <w:rStyle w:val="StyleUnderline"/>
        </w:rPr>
        <w:t xml:space="preserve"> the rule of lenity nor Chevron applies</w:t>
      </w:r>
      <w:r w:rsidRPr="00452CC3">
        <w:rPr>
          <w:sz w:val="16"/>
        </w:rPr>
        <w:t>.</w:t>
      </w:r>
    </w:p>
    <w:p w14:paraId="3723ECC7" w14:textId="37AA7E79" w:rsidR="00B51F6B" w:rsidRDefault="00B51F6B" w:rsidP="00B51F6B">
      <w:pPr>
        <w:pStyle w:val="Heading3"/>
      </w:pPr>
      <w:r>
        <w:t>2AC – AT: Deportations Inevitable</w:t>
      </w:r>
    </w:p>
    <w:p w14:paraId="2474C214" w14:textId="5E24808F" w:rsidR="00B51F6B" w:rsidRPr="00B51F6B" w:rsidRDefault="00B51F6B" w:rsidP="00B51F6B">
      <w:pPr>
        <w:pStyle w:val="Heading4"/>
      </w:pPr>
      <w:r w:rsidRPr="0000458A">
        <w:rPr>
          <w:u w:val="single"/>
        </w:rPr>
        <w:t>Broad application</w:t>
      </w:r>
      <w:r w:rsidRPr="0000458A">
        <w:t xml:space="preserve"> of the </w:t>
      </w:r>
      <w:r w:rsidRPr="00B51F6B">
        <w:t>INA</w:t>
      </w:r>
      <w:r>
        <w:t>’</w:t>
      </w:r>
      <w:r w:rsidRPr="00B51F6B">
        <w:t>s</w:t>
      </w:r>
      <w:r w:rsidRPr="0000458A">
        <w:t xml:space="preserve"> </w:t>
      </w:r>
      <w:r w:rsidRPr="0000458A">
        <w:rPr>
          <w:u w:val="single"/>
        </w:rPr>
        <w:t>criminal</w:t>
      </w:r>
      <w:r w:rsidRPr="00B51F6B">
        <w:t xml:space="preserve"> provisions</w:t>
      </w:r>
      <w:r w:rsidRPr="0000458A">
        <w:t xml:space="preserve"> leads to </w:t>
      </w:r>
      <w:r w:rsidRPr="0000458A">
        <w:rPr>
          <w:u w:val="single"/>
        </w:rPr>
        <w:t>deportations</w:t>
      </w:r>
      <w:r>
        <w:t>.</w:t>
      </w:r>
    </w:p>
    <w:p w14:paraId="2E462F24" w14:textId="77777777" w:rsidR="00B51F6B" w:rsidRPr="0000458A" w:rsidRDefault="00B51F6B" w:rsidP="00B51F6B">
      <w:r w:rsidRPr="0000458A">
        <w:rPr>
          <w:rStyle w:val="Heading4Char"/>
        </w:rPr>
        <w:t>Kimberly et al. 16</w:t>
      </w:r>
      <w:r w:rsidRPr="0000458A">
        <w:t xml:space="preserve"> – (Michael B. Kimberly is co-chair of the Firm’s Supreme Court and Appellate Practice Group, visiting lecturer in law at Yale Law School; Chuck Roth, National Immigrant Justice Center; Kevin Ranlett is a partner in the firm’s Supreme Court &amp; Appellate and Consumer Litigation &amp; Class Actions practices; Madeleine Hogue is a Litigation &amp; Dispute Resolution associate in Mayer Brown graduated magna cum laude from Duke Law School; Rebecca Sharpless, Professor of Law, University of Miami, JD Harvard Law School; Mark Barr, American Immigration Lawyers Association; “JUAN ESQUIVEL-QUINTANA, v. LORETTA E. LYNCH; BRIEF AMICI CURIAE OF THE NATIONAL IMMIGRANT JUSTICE CENTER AND THE AMERICAN IMMIGRATION LAWYERS ASSOCIATION IN SUPPORT OF PETITIONER”; D.A. June 18</w:t>
      </w:r>
      <w:r w:rsidRPr="0000458A">
        <w:rPr>
          <w:vertAlign w:val="superscript"/>
        </w:rPr>
        <w:t>th</w:t>
      </w:r>
      <w:r w:rsidRPr="0000458A">
        <w:t xml:space="preserve"> 2020, [Published December 2016]; No. 16-54, pg. 7-27) //LFS—JCM</w:t>
      </w:r>
    </w:p>
    <w:p w14:paraId="558B428E" w14:textId="77777777" w:rsidR="00B51F6B" w:rsidRPr="0000458A" w:rsidRDefault="00B51F6B" w:rsidP="00B51F6B">
      <w:pPr>
        <w:rPr>
          <w:sz w:val="16"/>
        </w:rPr>
      </w:pPr>
      <w:r w:rsidRPr="0000458A">
        <w:rPr>
          <w:sz w:val="16"/>
        </w:rPr>
        <w:t xml:space="preserve">III. </w:t>
      </w:r>
      <w:r w:rsidRPr="00456038">
        <w:rPr>
          <w:rStyle w:val="StyleUnderline"/>
          <w:highlight w:val="cyan"/>
        </w:rPr>
        <w:t xml:space="preserve">THE GOVERNMENT’S APPROACH WOULD </w:t>
      </w:r>
      <w:r w:rsidRPr="00456038">
        <w:rPr>
          <w:rStyle w:val="Emphasis"/>
          <w:highlight w:val="cyan"/>
        </w:rPr>
        <w:t>DEPRIVE</w:t>
      </w:r>
      <w:r w:rsidRPr="0000458A">
        <w:rPr>
          <w:rStyle w:val="Emphasis"/>
        </w:rPr>
        <w:t xml:space="preserve"> IMMIGRATION </w:t>
      </w:r>
      <w:r w:rsidRPr="00456038">
        <w:rPr>
          <w:rStyle w:val="Emphasis"/>
          <w:highlight w:val="cyan"/>
        </w:rPr>
        <w:t>JUDGES OF DISCRETION</w:t>
      </w:r>
      <w:r w:rsidRPr="00456038">
        <w:rPr>
          <w:rStyle w:val="StyleUnderline"/>
          <w:highlight w:val="cyan"/>
        </w:rPr>
        <w:t xml:space="preserve"> TO</w:t>
      </w:r>
      <w:r w:rsidRPr="0000458A">
        <w:rPr>
          <w:sz w:val="16"/>
        </w:rPr>
        <w:t xml:space="preserve"> CONSIDER </w:t>
      </w:r>
      <w:r w:rsidRPr="00456038">
        <w:rPr>
          <w:rStyle w:val="StyleUnderline"/>
          <w:highlight w:val="cyan"/>
        </w:rPr>
        <w:t>CANCEL</w:t>
      </w:r>
      <w:r w:rsidRPr="0000458A">
        <w:rPr>
          <w:sz w:val="16"/>
        </w:rPr>
        <w:t xml:space="preserve">LATION OF </w:t>
      </w:r>
      <w:r w:rsidRPr="00456038">
        <w:rPr>
          <w:rStyle w:val="StyleUnderline"/>
          <w:highlight w:val="cyan"/>
        </w:rPr>
        <w:t>REMOVAL</w:t>
      </w:r>
      <w:r w:rsidRPr="0000458A">
        <w:rPr>
          <w:rStyle w:val="StyleUnderline"/>
        </w:rPr>
        <w:t xml:space="preserve"> OR ASYLUM IN</w:t>
      </w:r>
      <w:r w:rsidRPr="0000458A">
        <w:rPr>
          <w:sz w:val="16"/>
        </w:rPr>
        <w:t xml:space="preserve"> APPROPRIATE </w:t>
      </w:r>
      <w:r w:rsidRPr="0000458A">
        <w:rPr>
          <w:rStyle w:val="StyleUnderline"/>
        </w:rPr>
        <w:t>CASES</w:t>
      </w:r>
      <w:r w:rsidRPr="0000458A">
        <w:rPr>
          <w:sz w:val="16"/>
        </w:rPr>
        <w:t>.</w:t>
      </w:r>
    </w:p>
    <w:p w14:paraId="5A85308E" w14:textId="77777777" w:rsidR="00B51F6B" w:rsidRPr="0000458A" w:rsidRDefault="00B51F6B" w:rsidP="00B51F6B">
      <w:pPr>
        <w:rPr>
          <w:sz w:val="16"/>
        </w:rPr>
      </w:pPr>
      <w:r w:rsidRPr="0000458A">
        <w:rPr>
          <w:sz w:val="16"/>
        </w:rPr>
        <w:t xml:space="preserve">Any </w:t>
      </w:r>
      <w:r w:rsidRPr="0000458A">
        <w:rPr>
          <w:rStyle w:val="StyleUnderline"/>
        </w:rPr>
        <w:t>lingering uncertainties on the question</w:t>
      </w:r>
      <w:r w:rsidRPr="0000458A">
        <w:rPr>
          <w:sz w:val="16"/>
        </w:rPr>
        <w:t xml:space="preserve"> presented </w:t>
      </w:r>
      <w:r w:rsidRPr="0000458A">
        <w:rPr>
          <w:rStyle w:val="StyleUnderline"/>
        </w:rPr>
        <w:t>are</w:t>
      </w:r>
      <w:r w:rsidRPr="0000458A">
        <w:rPr>
          <w:sz w:val="16"/>
        </w:rPr>
        <w:t xml:space="preserve"> further “</w:t>
      </w:r>
      <w:r w:rsidRPr="0000458A">
        <w:rPr>
          <w:rStyle w:val="StyleUnderline"/>
        </w:rPr>
        <w:t>clarified by the remainder of the statutory scheme</w:t>
      </w:r>
      <w:r w:rsidRPr="0000458A">
        <w:rPr>
          <w:sz w:val="16"/>
        </w:rPr>
        <w:t xml:space="preserve">.” United Sav. Ass’n of Tex. v. Timbers of Inwood Forest Assocs., Ltd., 484 U.S. 365, 371 (1988). “In ascertaining the plain meaning of the statute, </w:t>
      </w:r>
      <w:r w:rsidRPr="0000458A">
        <w:rPr>
          <w:rStyle w:val="StyleUnderline"/>
        </w:rPr>
        <w:t>the court must look to the particular statutory language</w:t>
      </w:r>
      <w:r w:rsidRPr="0000458A">
        <w:rPr>
          <w:sz w:val="16"/>
        </w:rPr>
        <w:t xml:space="preserve"> at issue, as well as the language and design of the statute as a whole.” K Mart Corp. v. Cartier, Inc., 486 U.S. 281, 291 (1988). Here, the statutory structure confirms that petitioner’s reading of the statute is correct.</w:t>
      </w:r>
    </w:p>
    <w:p w14:paraId="42A491CD" w14:textId="77777777" w:rsidR="00B51F6B" w:rsidRPr="0000458A" w:rsidRDefault="00B51F6B" w:rsidP="00B51F6B">
      <w:pPr>
        <w:rPr>
          <w:sz w:val="16"/>
        </w:rPr>
      </w:pPr>
      <w:r w:rsidRPr="00456038">
        <w:rPr>
          <w:rStyle w:val="StyleUnderline"/>
          <w:highlight w:val="cyan"/>
        </w:rPr>
        <w:t>Congress drafted</w:t>
      </w:r>
      <w:r w:rsidRPr="0000458A">
        <w:rPr>
          <w:rStyle w:val="StyleUnderline"/>
        </w:rPr>
        <w:t xml:space="preserve"> immigration </w:t>
      </w:r>
      <w:r w:rsidRPr="00456038">
        <w:rPr>
          <w:rStyle w:val="StyleUnderline"/>
          <w:highlight w:val="cyan"/>
        </w:rPr>
        <w:t xml:space="preserve">law to </w:t>
      </w:r>
      <w:r w:rsidRPr="00456038">
        <w:rPr>
          <w:rStyle w:val="Emphasis"/>
          <w:highlight w:val="cyan"/>
        </w:rPr>
        <w:t>avoid overly harsh results</w:t>
      </w:r>
      <w:r w:rsidRPr="0000458A">
        <w:rPr>
          <w:rStyle w:val="StyleUnderline"/>
        </w:rPr>
        <w:t xml:space="preserve"> while still permitting the effective policing of our</w:t>
      </w:r>
      <w:r w:rsidRPr="0000458A">
        <w:rPr>
          <w:sz w:val="16"/>
        </w:rPr>
        <w:t xml:space="preserve"> Nation’s </w:t>
      </w:r>
      <w:r w:rsidRPr="0000458A">
        <w:rPr>
          <w:rStyle w:val="StyleUnderline"/>
        </w:rPr>
        <w:t>borders</w:t>
      </w:r>
      <w:r w:rsidRPr="0000458A">
        <w:rPr>
          <w:sz w:val="16"/>
        </w:rPr>
        <w:t xml:space="preserve">. To achieve these goals, </w:t>
      </w:r>
      <w:r w:rsidRPr="0000458A">
        <w:rPr>
          <w:rStyle w:val="StyleUnderline"/>
        </w:rPr>
        <w:t xml:space="preserve">Congress </w:t>
      </w:r>
      <w:r w:rsidRPr="00456038">
        <w:rPr>
          <w:rStyle w:val="StyleUnderline"/>
          <w:highlight w:val="cyan"/>
        </w:rPr>
        <w:t>provided</w:t>
      </w:r>
      <w:r w:rsidRPr="0000458A">
        <w:rPr>
          <w:rStyle w:val="StyleUnderline"/>
        </w:rPr>
        <w:t xml:space="preserve"> immigration </w:t>
      </w:r>
      <w:r w:rsidRPr="00456038">
        <w:rPr>
          <w:rStyle w:val="StyleUnderline"/>
          <w:highlight w:val="cyan"/>
        </w:rPr>
        <w:t>judges</w:t>
      </w:r>
      <w:r w:rsidRPr="0000458A">
        <w:rPr>
          <w:rStyle w:val="StyleUnderline"/>
        </w:rPr>
        <w:t xml:space="preserve"> </w:t>
      </w:r>
      <w:r w:rsidRPr="00456038">
        <w:rPr>
          <w:rStyle w:val="StyleUnderline"/>
          <w:highlight w:val="cyan"/>
        </w:rPr>
        <w:t>with discretion</w:t>
      </w:r>
      <w:r w:rsidRPr="0000458A">
        <w:rPr>
          <w:rStyle w:val="StyleUnderline"/>
        </w:rPr>
        <w:t xml:space="preserve"> to make judgment calls</w:t>
      </w:r>
      <w:r w:rsidRPr="0000458A">
        <w:rPr>
          <w:sz w:val="16"/>
        </w:rPr>
        <w:t xml:space="preserve"> in light of the facts and circumstances of the case. </w:t>
      </w:r>
      <w:r w:rsidRPr="00456038">
        <w:rPr>
          <w:rStyle w:val="StyleUnderline"/>
          <w:highlight w:val="cyan"/>
        </w:rPr>
        <w:t>But</w:t>
      </w:r>
      <w:r w:rsidRPr="00456038">
        <w:rPr>
          <w:sz w:val="16"/>
          <w:highlight w:val="cyan"/>
        </w:rPr>
        <w:t xml:space="preserve"> </w:t>
      </w:r>
      <w:r w:rsidRPr="00456038">
        <w:rPr>
          <w:rStyle w:val="StyleUnderline"/>
          <w:highlight w:val="cyan"/>
        </w:rPr>
        <w:t>an</w:t>
      </w:r>
      <w:r w:rsidRPr="0000458A">
        <w:rPr>
          <w:rStyle w:val="StyleUnderline"/>
        </w:rPr>
        <w:t xml:space="preserve"> “</w:t>
      </w:r>
      <w:r w:rsidRPr="00456038">
        <w:rPr>
          <w:rStyle w:val="Emphasis"/>
          <w:highlight w:val="cyan"/>
        </w:rPr>
        <w:t>aggravated felony</w:t>
      </w:r>
      <w:r w:rsidRPr="0000458A">
        <w:rPr>
          <w:rStyle w:val="StyleUnderline"/>
        </w:rPr>
        <w:t xml:space="preserve">” conviction </w:t>
      </w:r>
      <w:r w:rsidRPr="00456038">
        <w:rPr>
          <w:rStyle w:val="StyleUnderline"/>
          <w:highlight w:val="cyan"/>
        </w:rPr>
        <w:t>removes that discretion</w:t>
      </w:r>
      <w:r w:rsidRPr="0000458A">
        <w:rPr>
          <w:rStyle w:val="StyleUnderline"/>
        </w:rPr>
        <w:t xml:space="preserve">, </w:t>
      </w:r>
      <w:r w:rsidRPr="00456038">
        <w:rPr>
          <w:rStyle w:val="StyleUnderline"/>
          <w:highlight w:val="cyan"/>
        </w:rPr>
        <w:t>mandating removal</w:t>
      </w:r>
      <w:r w:rsidRPr="0000458A">
        <w:rPr>
          <w:rStyle w:val="StyleUnderline"/>
        </w:rPr>
        <w:t xml:space="preserve"> regardless of how compelling the countervailing equities may be</w:t>
      </w:r>
      <w:r w:rsidRPr="0000458A">
        <w:rPr>
          <w:sz w:val="16"/>
        </w:rPr>
        <w:t xml:space="preserve">. </w:t>
      </w:r>
      <w:r w:rsidRPr="00456038">
        <w:rPr>
          <w:rStyle w:val="StyleUnderline"/>
          <w:highlight w:val="cyan"/>
        </w:rPr>
        <w:t xml:space="preserve">To </w:t>
      </w:r>
      <w:r w:rsidRPr="00456038">
        <w:rPr>
          <w:rStyle w:val="Emphasis"/>
          <w:highlight w:val="cyan"/>
        </w:rPr>
        <w:t>read</w:t>
      </w:r>
      <w:r w:rsidRPr="0000458A">
        <w:rPr>
          <w:rStyle w:val="StyleUnderline"/>
        </w:rPr>
        <w:t xml:space="preserve"> such </w:t>
      </w:r>
      <w:r w:rsidRPr="00456038">
        <w:rPr>
          <w:rStyle w:val="StyleUnderline"/>
          <w:highlight w:val="cyan"/>
        </w:rPr>
        <w:t xml:space="preserve">a </w:t>
      </w:r>
      <w:r w:rsidRPr="00456038">
        <w:rPr>
          <w:rStyle w:val="Emphasis"/>
          <w:highlight w:val="cyan"/>
        </w:rPr>
        <w:t>provision broadly</w:t>
      </w:r>
      <w:r w:rsidRPr="00456038">
        <w:rPr>
          <w:rStyle w:val="StyleUnderline"/>
          <w:highlight w:val="cyan"/>
        </w:rPr>
        <w:t xml:space="preserve"> would </w:t>
      </w:r>
      <w:r w:rsidRPr="00456038">
        <w:rPr>
          <w:rStyle w:val="Emphasis"/>
          <w:highlight w:val="cyan"/>
        </w:rPr>
        <w:t>upset</w:t>
      </w:r>
      <w:r w:rsidRPr="00456038">
        <w:rPr>
          <w:rStyle w:val="StyleUnderline"/>
          <w:highlight w:val="cyan"/>
        </w:rPr>
        <w:t xml:space="preserve"> the </w:t>
      </w:r>
      <w:r w:rsidRPr="00456038">
        <w:rPr>
          <w:rStyle w:val="Emphasis"/>
          <w:highlight w:val="cyan"/>
        </w:rPr>
        <w:t>statutory scheme</w:t>
      </w:r>
      <w:r w:rsidRPr="0000458A">
        <w:rPr>
          <w:rStyle w:val="StyleUnderline"/>
        </w:rPr>
        <w:t xml:space="preserve"> because </w:t>
      </w:r>
      <w:r w:rsidRPr="00456038">
        <w:rPr>
          <w:rStyle w:val="StyleUnderline"/>
          <w:highlight w:val="cyan"/>
        </w:rPr>
        <w:t xml:space="preserve">it would </w:t>
      </w:r>
      <w:r w:rsidRPr="00456038">
        <w:rPr>
          <w:rStyle w:val="Emphasis"/>
          <w:highlight w:val="cyan"/>
        </w:rPr>
        <w:t>divest</w:t>
      </w:r>
      <w:r w:rsidRPr="0000458A">
        <w:rPr>
          <w:rStyle w:val="StyleUnderline"/>
        </w:rPr>
        <w:t xml:space="preserve"> immigration </w:t>
      </w:r>
      <w:r w:rsidRPr="00456038">
        <w:rPr>
          <w:rStyle w:val="Emphasis"/>
          <w:highlight w:val="cyan"/>
        </w:rPr>
        <w:t>judges of discretion</w:t>
      </w:r>
      <w:r w:rsidRPr="0000458A">
        <w:rPr>
          <w:rStyle w:val="StyleUnderline"/>
        </w:rPr>
        <w:t xml:space="preserve"> in</w:t>
      </w:r>
      <w:r w:rsidRPr="0000458A">
        <w:rPr>
          <w:sz w:val="16"/>
        </w:rPr>
        <w:t xml:space="preserve"> precisely the sorts of </w:t>
      </w:r>
      <w:r w:rsidRPr="0000458A">
        <w:rPr>
          <w:rStyle w:val="StyleUnderline"/>
        </w:rPr>
        <w:t>cases where</w:t>
      </w:r>
      <w:r w:rsidRPr="0000458A">
        <w:rPr>
          <w:sz w:val="16"/>
        </w:rPr>
        <w:t xml:space="preserve"> </w:t>
      </w:r>
      <w:r w:rsidRPr="0000458A">
        <w:rPr>
          <w:rStyle w:val="StyleUnderline"/>
        </w:rPr>
        <w:t>exercise of discretion is most warranted</w:t>
      </w:r>
      <w:r w:rsidRPr="0000458A">
        <w:rPr>
          <w:sz w:val="16"/>
        </w:rPr>
        <w:t xml:space="preserve">. </w:t>
      </w:r>
      <w:r w:rsidRPr="0000458A">
        <w:rPr>
          <w:rStyle w:val="StyleUnderline"/>
        </w:rPr>
        <w:t>This is not a result that Congress could have intended</w:t>
      </w:r>
      <w:r w:rsidRPr="0000458A">
        <w:rPr>
          <w:sz w:val="16"/>
        </w:rPr>
        <w:t>.</w:t>
      </w:r>
    </w:p>
    <w:p w14:paraId="3E7A33A0" w14:textId="77777777" w:rsidR="00B51F6B" w:rsidRPr="0000458A" w:rsidRDefault="00B51F6B" w:rsidP="00B51F6B">
      <w:pPr>
        <w:rPr>
          <w:sz w:val="16"/>
        </w:rPr>
      </w:pPr>
      <w:r w:rsidRPr="0000458A">
        <w:rPr>
          <w:sz w:val="16"/>
        </w:rPr>
        <w:t xml:space="preserve">A. </w:t>
      </w:r>
      <w:r w:rsidRPr="00456038">
        <w:rPr>
          <w:rStyle w:val="StyleUnderline"/>
          <w:highlight w:val="cyan"/>
        </w:rPr>
        <w:t>An</w:t>
      </w:r>
      <w:r w:rsidRPr="0000458A">
        <w:rPr>
          <w:rStyle w:val="StyleUnderline"/>
        </w:rPr>
        <w:t xml:space="preserve"> “</w:t>
      </w:r>
      <w:r w:rsidRPr="00456038">
        <w:rPr>
          <w:rStyle w:val="Emphasis"/>
          <w:highlight w:val="cyan"/>
        </w:rPr>
        <w:t>aggravated felony</w:t>
      </w:r>
      <w:r w:rsidRPr="0000458A">
        <w:rPr>
          <w:rStyle w:val="StyleUnderline"/>
        </w:rPr>
        <w:t xml:space="preserve">” finding </w:t>
      </w:r>
      <w:r w:rsidRPr="00456038">
        <w:rPr>
          <w:rStyle w:val="Emphasis"/>
          <w:highlight w:val="cyan"/>
        </w:rPr>
        <w:t>precludes cancellation of removal</w:t>
      </w:r>
      <w:r w:rsidRPr="0000458A">
        <w:rPr>
          <w:rStyle w:val="Emphasis"/>
        </w:rPr>
        <w:t xml:space="preserve"> or asylum</w:t>
      </w:r>
      <w:r w:rsidRPr="0000458A">
        <w:rPr>
          <w:sz w:val="16"/>
        </w:rPr>
        <w:t>.</w:t>
      </w:r>
    </w:p>
    <w:p w14:paraId="711B45E8" w14:textId="77777777" w:rsidR="00B51F6B" w:rsidRPr="0000458A" w:rsidRDefault="00B51F6B" w:rsidP="00B51F6B">
      <w:pPr>
        <w:rPr>
          <w:sz w:val="16"/>
        </w:rPr>
      </w:pPr>
      <w:r w:rsidRPr="0000458A">
        <w:rPr>
          <w:sz w:val="16"/>
        </w:rPr>
        <w:t xml:space="preserve">1. As petitioner’s case demonstrates, </w:t>
      </w:r>
      <w:r w:rsidRPr="0000458A">
        <w:rPr>
          <w:rStyle w:val="StyleUnderline"/>
        </w:rPr>
        <w:t xml:space="preserve">a determination that a particular offense is </w:t>
      </w:r>
      <w:r w:rsidRPr="00456038">
        <w:rPr>
          <w:rStyle w:val="StyleUnderline"/>
          <w:highlight w:val="cyan"/>
        </w:rPr>
        <w:t>an</w:t>
      </w:r>
      <w:r w:rsidRPr="0000458A">
        <w:rPr>
          <w:rStyle w:val="StyleUnderline"/>
        </w:rPr>
        <w:t xml:space="preserve"> “</w:t>
      </w:r>
      <w:r w:rsidRPr="00456038">
        <w:rPr>
          <w:rStyle w:val="Emphasis"/>
          <w:highlight w:val="cyan"/>
        </w:rPr>
        <w:t>aggravated felony</w:t>
      </w:r>
      <w:r w:rsidRPr="0000458A">
        <w:rPr>
          <w:rStyle w:val="StyleUnderline"/>
        </w:rPr>
        <w:t xml:space="preserve">” </w:t>
      </w:r>
      <w:r w:rsidRPr="00456038">
        <w:rPr>
          <w:rStyle w:val="StyleUnderline"/>
          <w:highlight w:val="cyan"/>
        </w:rPr>
        <w:t xml:space="preserve">has </w:t>
      </w:r>
      <w:r w:rsidRPr="00456038">
        <w:rPr>
          <w:rStyle w:val="Emphasis"/>
          <w:highlight w:val="cyan"/>
        </w:rPr>
        <w:t>catastrophic consequences</w:t>
      </w:r>
      <w:r w:rsidRPr="0000458A">
        <w:rPr>
          <w:sz w:val="16"/>
        </w:rPr>
        <w:t xml:space="preserve">, </w:t>
      </w:r>
      <w:r w:rsidRPr="00456038">
        <w:rPr>
          <w:rStyle w:val="StyleUnderline"/>
          <w:highlight w:val="cyan"/>
        </w:rPr>
        <w:t>even for</w:t>
      </w:r>
      <w:r w:rsidRPr="0000458A">
        <w:rPr>
          <w:rStyle w:val="StyleUnderline"/>
        </w:rPr>
        <w:t xml:space="preserve"> longstanding </w:t>
      </w:r>
      <w:r w:rsidRPr="00456038">
        <w:rPr>
          <w:rStyle w:val="Emphasis"/>
          <w:highlight w:val="cyan"/>
        </w:rPr>
        <w:t>l</w:t>
      </w:r>
      <w:r w:rsidRPr="0000458A">
        <w:rPr>
          <w:rStyle w:val="StyleUnderline"/>
        </w:rPr>
        <w:t xml:space="preserve">awful </w:t>
      </w:r>
      <w:r w:rsidRPr="00456038">
        <w:rPr>
          <w:rStyle w:val="Emphasis"/>
          <w:highlight w:val="cyan"/>
        </w:rPr>
        <w:t>p</w:t>
      </w:r>
      <w:r w:rsidRPr="0000458A">
        <w:rPr>
          <w:rStyle w:val="StyleUnderline"/>
        </w:rPr>
        <w:t xml:space="preserve">ermanent </w:t>
      </w:r>
      <w:r w:rsidRPr="00456038">
        <w:rPr>
          <w:rStyle w:val="Emphasis"/>
          <w:highlight w:val="cyan"/>
        </w:rPr>
        <w:t>r</w:t>
      </w:r>
      <w:r w:rsidRPr="0000458A">
        <w:rPr>
          <w:rStyle w:val="StyleUnderline"/>
        </w:rPr>
        <w:t>esident</w:t>
      </w:r>
      <w:r w:rsidRPr="00456038">
        <w:rPr>
          <w:rStyle w:val="StyleUnderline"/>
          <w:highlight w:val="cyan"/>
        </w:rPr>
        <w:t>s</w:t>
      </w:r>
      <w:r w:rsidRPr="0000458A">
        <w:rPr>
          <w:sz w:val="16"/>
        </w:rPr>
        <w:t xml:space="preserve"> of the United States. For example, </w:t>
      </w:r>
      <w:r w:rsidRPr="0000458A">
        <w:rPr>
          <w:rStyle w:val="StyleUnderline"/>
        </w:rPr>
        <w:t xml:space="preserve">a person convicted of an aggravated felony </w:t>
      </w:r>
      <w:r w:rsidRPr="0000458A">
        <w:rPr>
          <w:rStyle w:val="Emphasis"/>
        </w:rPr>
        <w:t>may not seek “cancellation of removal</w:t>
      </w:r>
      <w:r w:rsidRPr="0000458A">
        <w:rPr>
          <w:rStyle w:val="StyleUnderline"/>
        </w:rPr>
        <w:t>.”</w:t>
      </w:r>
      <w:r w:rsidRPr="0000458A">
        <w:rPr>
          <w:sz w:val="16"/>
        </w:rPr>
        <w:t xml:space="preserve"> 8 U.S.C. § 1229b(a). Cancellation of removal is </w:t>
      </w:r>
      <w:r w:rsidRPr="0000458A">
        <w:rPr>
          <w:rStyle w:val="StyleUnderline"/>
        </w:rPr>
        <w:t>a form of discretionary relief</w:t>
      </w:r>
      <w:r w:rsidRPr="0000458A">
        <w:rPr>
          <w:sz w:val="16"/>
        </w:rPr>
        <w:t xml:space="preserve"> through which individuals who have lived in the United States for at least seven years following their admission, and who have been lawful permanent residents for at least five years, may request an order allowing them to stay in the United States. </w:t>
      </w:r>
      <w:r w:rsidRPr="0000458A">
        <w:rPr>
          <w:rStyle w:val="StyleUnderline"/>
        </w:rPr>
        <w:t>Equitable factors</w:t>
      </w:r>
      <w:r w:rsidRPr="0000458A">
        <w:rPr>
          <w:sz w:val="16"/>
        </w:rPr>
        <w:t xml:space="preserve"> relevant to an immigration judge’s exercise of discretion under this provision </w:t>
      </w:r>
      <w:r w:rsidRPr="0000458A">
        <w:rPr>
          <w:rStyle w:val="StyleUnderline"/>
        </w:rPr>
        <w:t>include family ties</w:t>
      </w:r>
      <w:r w:rsidRPr="0000458A">
        <w:rPr>
          <w:sz w:val="16"/>
        </w:rPr>
        <w:t xml:space="preserve"> within the United States, residency of long duration, </w:t>
      </w:r>
      <w:r w:rsidRPr="0000458A">
        <w:rPr>
          <w:rStyle w:val="StyleUnderline"/>
        </w:rPr>
        <w:t>evidence of hardship</w:t>
      </w:r>
      <w:r w:rsidRPr="0000458A">
        <w:rPr>
          <w:sz w:val="16"/>
        </w:rPr>
        <w:t xml:space="preserve"> to the respondent and family if deportation occurs, service in the Armed Forces, </w:t>
      </w:r>
      <w:r w:rsidRPr="0000458A">
        <w:rPr>
          <w:rStyle w:val="StyleUnderline"/>
        </w:rPr>
        <w:t>history of employment</w:t>
      </w:r>
      <w:r w:rsidRPr="0000458A">
        <w:rPr>
          <w:sz w:val="16"/>
        </w:rPr>
        <w:t xml:space="preserve">, existence of property or business ties, </w:t>
      </w:r>
      <w:r w:rsidRPr="0000458A">
        <w:rPr>
          <w:rStyle w:val="StyleUnderline"/>
        </w:rPr>
        <w:t>existence of value and service</w:t>
      </w:r>
      <w:r w:rsidRPr="0000458A">
        <w:rPr>
          <w:sz w:val="16"/>
        </w:rPr>
        <w:t xml:space="preserve"> to the community, </w:t>
      </w:r>
      <w:r w:rsidRPr="0000458A">
        <w:rPr>
          <w:rStyle w:val="StyleUnderline"/>
        </w:rPr>
        <w:t>proof of genuine rehabilitation</w:t>
      </w:r>
      <w:r w:rsidRPr="0000458A">
        <w:rPr>
          <w:sz w:val="16"/>
        </w:rPr>
        <w:t xml:space="preserve"> if a criminal record exists, and evidence attesting to a respondent’s good moral character. See, e.g., Matter of C-V-T-, 22 I. &amp; N. Dec. 7, 11 (BIA 1998); Matter of Wadud, 19 I. &amp; N. Dec. 182, 186-187 (BIA 1984); Matter of Marin, 16 I. &amp; N. Dec. 581, 584-585 (BIA 1978).</w:t>
      </w:r>
    </w:p>
    <w:p w14:paraId="3E55CBBE" w14:textId="77777777" w:rsidR="00B51F6B" w:rsidRPr="0000458A" w:rsidRDefault="00B51F6B" w:rsidP="00B51F6B">
      <w:pPr>
        <w:rPr>
          <w:rStyle w:val="StyleUnderline"/>
        </w:rPr>
      </w:pPr>
      <w:r w:rsidRPr="0000458A">
        <w:rPr>
          <w:rStyle w:val="StyleUnderline"/>
        </w:rPr>
        <w:t xml:space="preserve">Congress’s provision for </w:t>
      </w:r>
      <w:r w:rsidRPr="0000458A">
        <w:rPr>
          <w:rStyle w:val="Emphasis"/>
        </w:rPr>
        <w:t>cancellation of removal</w:t>
      </w:r>
      <w:r w:rsidRPr="0000458A">
        <w:rPr>
          <w:rStyle w:val="StyleUnderline"/>
        </w:rPr>
        <w:t xml:space="preserve"> reflects its understanding that the </w:t>
      </w:r>
      <w:r w:rsidRPr="0000458A">
        <w:rPr>
          <w:rStyle w:val="Emphasis"/>
        </w:rPr>
        <w:t>consequences of removal</w:t>
      </w:r>
      <w:r w:rsidRPr="0000458A">
        <w:rPr>
          <w:rStyle w:val="StyleUnderline"/>
        </w:rPr>
        <w:t xml:space="preserve"> are felt as much by the </w:t>
      </w:r>
      <w:r w:rsidRPr="0000458A">
        <w:rPr>
          <w:rStyle w:val="Emphasis"/>
        </w:rPr>
        <w:t>noncitizen’s family</w:t>
      </w:r>
      <w:r w:rsidRPr="0000458A">
        <w:rPr>
          <w:rStyle w:val="StyleUnderline"/>
        </w:rPr>
        <w:t xml:space="preserve">, friends, and community as by the noncitizen [themselves] </w:t>
      </w:r>
      <w:r w:rsidRPr="0000458A">
        <w:rPr>
          <w:strike/>
          <w:sz w:val="16"/>
        </w:rPr>
        <w:t>himself</w:t>
      </w:r>
      <w:r w:rsidRPr="0000458A">
        <w:rPr>
          <w:sz w:val="16"/>
        </w:rPr>
        <w:t xml:space="preserve">. Deporting a child’s mother or father </w:t>
      </w:r>
      <w:r w:rsidRPr="0000458A">
        <w:rPr>
          <w:rStyle w:val="Emphasis"/>
        </w:rPr>
        <w:t>breaks apart a family</w:t>
      </w:r>
      <w:r w:rsidRPr="0000458A">
        <w:rPr>
          <w:rStyle w:val="StyleUnderline"/>
        </w:rPr>
        <w:t xml:space="preserve"> forever and may leave young American citizens to fend for themselves</w:t>
      </w:r>
      <w:r w:rsidRPr="0000458A">
        <w:rPr>
          <w:sz w:val="16"/>
        </w:rPr>
        <w:t xml:space="preserve"> or in foster care, from whence they face “formidable barriers to reunification with their families.” SETH FREED WESSLER, APPLIED RESEARCH CENTER, SHATTERED FAMILIES: THE PERILOUS INTERSECTION OF IMMIGRATION ENFORCEMENT AND THE CHILD WELFARE SYSTEM 6 (2011) (of- fering a “conservative[] estimate[]” of “at least 5,100 children currently living in foster care whose parents have been either detained or deported”). </w:t>
      </w:r>
      <w:r w:rsidRPr="0000458A">
        <w:rPr>
          <w:rStyle w:val="StyleUnderline"/>
        </w:rPr>
        <w:t xml:space="preserve">The effects of deportation are most </w:t>
      </w:r>
      <w:r w:rsidRPr="0000458A">
        <w:rPr>
          <w:rStyle w:val="Emphasis"/>
        </w:rPr>
        <w:t>pronounced in lower-income families</w:t>
      </w:r>
      <w:r w:rsidRPr="0000458A">
        <w:rPr>
          <w:rStyle w:val="StyleUnderline"/>
        </w:rPr>
        <w:t xml:space="preserve"> that cannot afford to travel back and forth between the United States and their country of origin to visit loved ones.</w:t>
      </w:r>
    </w:p>
    <w:p w14:paraId="7C76189A" w14:textId="77777777" w:rsidR="00B51F6B" w:rsidRPr="0000458A" w:rsidRDefault="00B51F6B" w:rsidP="00B51F6B">
      <w:pPr>
        <w:rPr>
          <w:sz w:val="16"/>
        </w:rPr>
      </w:pPr>
      <w:r w:rsidRPr="0000458A">
        <w:rPr>
          <w:sz w:val="16"/>
        </w:rPr>
        <w:t xml:space="preserve">For a lawful permanent resident such as petitioner, who has lived in this country for his entire adult life, </w:t>
      </w:r>
      <w:r w:rsidRPr="00456038">
        <w:rPr>
          <w:rStyle w:val="Emphasis"/>
          <w:highlight w:val="cyan"/>
        </w:rPr>
        <w:t>deportation</w:t>
      </w:r>
      <w:r w:rsidRPr="00456038">
        <w:rPr>
          <w:rStyle w:val="StyleUnderline"/>
          <w:highlight w:val="cyan"/>
        </w:rPr>
        <w:t xml:space="preserve"> is</w:t>
      </w:r>
      <w:r w:rsidRPr="0000458A">
        <w:rPr>
          <w:rStyle w:val="StyleUnderline"/>
        </w:rPr>
        <w:t xml:space="preserve"> among </w:t>
      </w:r>
      <w:r w:rsidRPr="00456038">
        <w:rPr>
          <w:rStyle w:val="StyleUnderline"/>
          <w:highlight w:val="cyan"/>
        </w:rPr>
        <w:t xml:space="preserve">the </w:t>
      </w:r>
      <w:r w:rsidRPr="00456038">
        <w:rPr>
          <w:rStyle w:val="Emphasis"/>
          <w:highlight w:val="cyan"/>
        </w:rPr>
        <w:t>most extreme punishment</w:t>
      </w:r>
      <w:r w:rsidRPr="0000458A">
        <w:rPr>
          <w:rStyle w:val="Emphasis"/>
        </w:rPr>
        <w:t>s</w:t>
      </w:r>
      <w:r w:rsidRPr="0000458A">
        <w:rPr>
          <w:rStyle w:val="StyleUnderline"/>
        </w:rPr>
        <w:t xml:space="preserve"> possible</w:t>
      </w:r>
      <w:r w:rsidRPr="0000458A">
        <w:rPr>
          <w:sz w:val="16"/>
        </w:rPr>
        <w:t xml:space="preserve">. It amounts to </w:t>
      </w:r>
      <w:r w:rsidRPr="0000458A">
        <w:rPr>
          <w:rStyle w:val="StyleUnderline"/>
        </w:rPr>
        <w:t>permanent exile from the only home [they]</w:t>
      </w:r>
      <w:r w:rsidRPr="0000458A">
        <w:rPr>
          <w:sz w:val="16"/>
        </w:rPr>
        <w:t xml:space="preserve"> </w:t>
      </w:r>
      <w:r w:rsidRPr="0000458A">
        <w:rPr>
          <w:strike/>
          <w:sz w:val="16"/>
        </w:rPr>
        <w:t>he</w:t>
      </w:r>
      <w:r w:rsidRPr="0000458A">
        <w:rPr>
          <w:sz w:val="16"/>
        </w:rPr>
        <w:t xml:space="preserve"> </w:t>
      </w:r>
      <w:r w:rsidRPr="0000458A">
        <w:rPr>
          <w:rStyle w:val="StyleUnderline"/>
        </w:rPr>
        <w:t>has ever known</w:t>
      </w:r>
      <w:r w:rsidRPr="0000458A">
        <w:rPr>
          <w:sz w:val="16"/>
        </w:rPr>
        <w:t>. Many of these noncitizens have spent their entire lives in the United States and do not even remember their time in the nation to which they are being deported.6 As Learned Hand once observed:</w:t>
      </w:r>
    </w:p>
    <w:p w14:paraId="599AD151" w14:textId="77777777" w:rsidR="00B51F6B" w:rsidRPr="0000458A" w:rsidRDefault="00B51F6B" w:rsidP="00B51F6B">
      <w:pPr>
        <w:ind w:left="720"/>
        <w:rPr>
          <w:rStyle w:val="StyleUnderline"/>
        </w:rPr>
      </w:pPr>
      <w:r w:rsidRPr="0000458A">
        <w:rPr>
          <w:sz w:val="16"/>
        </w:rPr>
        <w:t xml:space="preserve">[W]e think it not improper to say that </w:t>
      </w:r>
      <w:r w:rsidRPr="0000458A">
        <w:rPr>
          <w:rStyle w:val="StyleUnderline"/>
        </w:rPr>
        <w:t xml:space="preserve">deportation </w:t>
      </w:r>
      <w:r w:rsidRPr="00456038">
        <w:rPr>
          <w:rStyle w:val="StyleUnderline"/>
          <w:highlight w:val="cyan"/>
        </w:rPr>
        <w:t xml:space="preserve">under the circumstances would </w:t>
      </w:r>
      <w:r w:rsidRPr="00456038">
        <w:rPr>
          <w:rStyle w:val="Emphasis"/>
          <w:highlight w:val="cyan"/>
        </w:rPr>
        <w:t>be deplorable</w:t>
      </w:r>
      <w:r w:rsidRPr="0000458A">
        <w:rPr>
          <w:sz w:val="16"/>
        </w:rPr>
        <w:t xml:space="preserve">. Whether the relator came here in arms or at the age of ten, he is as much our product as though his mother had borne him on American soil. He </w:t>
      </w:r>
      <w:r w:rsidRPr="0000458A">
        <w:rPr>
          <w:rStyle w:val="StyleUnderline"/>
        </w:rPr>
        <w:t>knows no other language, no other people, no other habits, than ours</w:t>
      </w:r>
      <w:r w:rsidRPr="0000458A">
        <w:rPr>
          <w:sz w:val="16"/>
        </w:rPr>
        <w:t xml:space="preserve">; he will be as much a stranger in [his country of origin] as any one born of ancestors who immigrated in the seventeenth century. However heinous his crimes, </w:t>
      </w:r>
      <w:r w:rsidRPr="0000458A">
        <w:rPr>
          <w:rStyle w:val="StyleUnderline"/>
        </w:rPr>
        <w:t>deportation is</w:t>
      </w:r>
      <w:r w:rsidRPr="0000458A">
        <w:rPr>
          <w:sz w:val="16"/>
        </w:rPr>
        <w:t xml:space="preserve"> to him </w:t>
      </w:r>
      <w:r w:rsidRPr="0000458A">
        <w:rPr>
          <w:rStyle w:val="StyleUnderline"/>
        </w:rPr>
        <w:t>exile, a dreadful punishment, abandoned by the common consent of all civilized peoples.</w:t>
      </w:r>
    </w:p>
    <w:p w14:paraId="235CF68E" w14:textId="77777777" w:rsidR="00B51F6B" w:rsidRPr="0000458A" w:rsidRDefault="00B51F6B" w:rsidP="00B51F6B">
      <w:pPr>
        <w:rPr>
          <w:sz w:val="16"/>
        </w:rPr>
      </w:pPr>
      <w:r w:rsidRPr="0000458A">
        <w:rPr>
          <w:sz w:val="16"/>
        </w:rPr>
        <w:t>United States ex rel. Klonis v. Davis, 13 F.2d 630, 630 (2d Cir. 1926); accord Jordan v. De George, 341 U.S. 223, 243 (1951) (Jackson, J., dissenting) (</w:t>
      </w:r>
      <w:r w:rsidRPr="00456038">
        <w:rPr>
          <w:rStyle w:val="Emphasis"/>
          <w:highlight w:val="cyan"/>
        </w:rPr>
        <w:t>removal means</w:t>
      </w:r>
      <w:r w:rsidRPr="0000458A">
        <w:rPr>
          <w:rStyle w:val="Emphasis"/>
        </w:rPr>
        <w:t xml:space="preserve"> “</w:t>
      </w:r>
      <w:r w:rsidRPr="00456038">
        <w:rPr>
          <w:rStyle w:val="Emphasis"/>
          <w:highlight w:val="cyan"/>
        </w:rPr>
        <w:t>a life sentence</w:t>
      </w:r>
      <w:r w:rsidRPr="0000458A">
        <w:rPr>
          <w:rStyle w:val="Emphasis"/>
        </w:rPr>
        <w:t xml:space="preserve"> of exile </w:t>
      </w:r>
      <w:r w:rsidRPr="00456038">
        <w:rPr>
          <w:rStyle w:val="Emphasis"/>
          <w:highlight w:val="cyan"/>
        </w:rPr>
        <w:t>from</w:t>
      </w:r>
      <w:r w:rsidRPr="0000458A">
        <w:rPr>
          <w:rStyle w:val="Emphasis"/>
        </w:rPr>
        <w:t xml:space="preserve"> what has become </w:t>
      </w:r>
      <w:r w:rsidRPr="00456038">
        <w:rPr>
          <w:rStyle w:val="Emphasis"/>
          <w:highlight w:val="cyan"/>
        </w:rPr>
        <w:t>home</w:t>
      </w:r>
      <w:r w:rsidRPr="0000458A">
        <w:rPr>
          <w:sz w:val="16"/>
        </w:rPr>
        <w:t>, of separation from his established means of livelihood for himself and his family of American citizens”).</w:t>
      </w:r>
    </w:p>
    <w:p w14:paraId="406B6F2A" w14:textId="77777777" w:rsidR="00B51F6B" w:rsidRPr="0000458A" w:rsidRDefault="00B51F6B" w:rsidP="00B51F6B">
      <w:pPr>
        <w:rPr>
          <w:sz w:val="16"/>
          <w:szCs w:val="16"/>
        </w:rPr>
      </w:pPr>
      <w:r w:rsidRPr="0000458A">
        <w:rPr>
          <w:sz w:val="16"/>
          <w:szCs w:val="16"/>
        </w:rPr>
        <w:t>Under the government’s approach, a 21-year-old who engages in consensual sexual intercourse with a 17-year-old and is convicted under a statute like California Penal Code § 261.5(c) would be statutorily barred from seeking cancellation of removal. Such a noncitizen would have no opportunity to argue that, as a matter of equity, he should be allowed to remain in this country; or to present evidence of family ties, history of employment, proof of rehabilitation, and good moral character. He would, instead, face automatic deportation—no matter how long he had lived in the United States; no matter how minimal and remote his connections to his country of origin; and no matter how many people in the United States depend on him for support.</w:t>
      </w:r>
    </w:p>
    <w:p w14:paraId="74948655" w14:textId="77777777" w:rsidR="00B51F6B" w:rsidRPr="0000458A" w:rsidRDefault="00B51F6B" w:rsidP="00B51F6B">
      <w:pPr>
        <w:rPr>
          <w:sz w:val="16"/>
        </w:rPr>
      </w:pPr>
      <w:r w:rsidRPr="00456038">
        <w:rPr>
          <w:rStyle w:val="StyleUnderline"/>
          <w:highlight w:val="cyan"/>
        </w:rPr>
        <w:t>Under</w:t>
      </w:r>
      <w:r w:rsidRPr="0000458A">
        <w:rPr>
          <w:rStyle w:val="StyleUnderline"/>
        </w:rPr>
        <w:t xml:space="preserve"> </w:t>
      </w:r>
      <w:r w:rsidRPr="00456038">
        <w:rPr>
          <w:rStyle w:val="StyleUnderline"/>
          <w:highlight w:val="cyan"/>
        </w:rPr>
        <w:t>petitioner’s approach</w:t>
      </w:r>
      <w:r w:rsidRPr="0000458A">
        <w:rPr>
          <w:sz w:val="16"/>
        </w:rPr>
        <w:t xml:space="preserve">, by contrast, </w:t>
      </w:r>
      <w:r w:rsidRPr="0000458A">
        <w:rPr>
          <w:rStyle w:val="StyleUnderline"/>
        </w:rPr>
        <w:t xml:space="preserve">immigration </w:t>
      </w:r>
      <w:r w:rsidRPr="00456038">
        <w:rPr>
          <w:rStyle w:val="Emphasis"/>
          <w:highlight w:val="cyan"/>
        </w:rPr>
        <w:t>judges</w:t>
      </w:r>
      <w:r w:rsidRPr="00456038">
        <w:rPr>
          <w:rStyle w:val="StyleUnderline"/>
          <w:highlight w:val="cyan"/>
        </w:rPr>
        <w:t xml:space="preserve"> would have </w:t>
      </w:r>
      <w:r w:rsidRPr="0000458A">
        <w:rPr>
          <w:rStyle w:val="StyleUnderline"/>
        </w:rPr>
        <w:t xml:space="preserve">the </w:t>
      </w:r>
      <w:r w:rsidRPr="00456038">
        <w:rPr>
          <w:rStyle w:val="StyleUnderline"/>
          <w:highlight w:val="cyan"/>
        </w:rPr>
        <w:t>leeway to</w:t>
      </w:r>
      <w:r w:rsidRPr="0000458A">
        <w:rPr>
          <w:rStyle w:val="StyleUnderline"/>
        </w:rPr>
        <w:t xml:space="preserve"> </w:t>
      </w:r>
      <w:r w:rsidRPr="0000458A">
        <w:rPr>
          <w:rStyle w:val="Emphasis"/>
        </w:rPr>
        <w:t>consider these factors</w:t>
      </w:r>
      <w:r w:rsidRPr="0000458A">
        <w:rPr>
          <w:rStyle w:val="StyleUnderline"/>
        </w:rPr>
        <w:t xml:space="preserve"> and to </w:t>
      </w:r>
      <w:r w:rsidRPr="00456038">
        <w:rPr>
          <w:rStyle w:val="Emphasis"/>
          <w:highlight w:val="cyan"/>
        </w:rPr>
        <w:t>grant relief</w:t>
      </w:r>
      <w:r w:rsidRPr="0000458A">
        <w:rPr>
          <w:rStyle w:val="StyleUnderline"/>
        </w:rPr>
        <w:t xml:space="preserve"> when warranted</w:t>
      </w:r>
      <w:r w:rsidRPr="0000458A">
        <w:rPr>
          <w:sz w:val="16"/>
        </w:rPr>
        <w:t xml:space="preserve">. Conversely, in those cases where the conduct of conviction is truly objectionable, </w:t>
      </w:r>
      <w:r w:rsidRPr="0000458A">
        <w:rPr>
          <w:rStyle w:val="Emphasis"/>
        </w:rPr>
        <w:t xml:space="preserve">immigration judges would </w:t>
      </w:r>
      <w:r w:rsidRPr="00456038">
        <w:rPr>
          <w:rStyle w:val="Emphasis"/>
          <w:highlight w:val="cyan"/>
        </w:rPr>
        <w:t>be able to</w:t>
      </w:r>
      <w:r w:rsidRPr="00456038">
        <w:rPr>
          <w:rStyle w:val="StyleUnderline"/>
          <w:highlight w:val="cyan"/>
        </w:rPr>
        <w:t xml:space="preserve"> exercise</w:t>
      </w:r>
      <w:r w:rsidRPr="0000458A">
        <w:rPr>
          <w:rStyle w:val="StyleUnderline"/>
        </w:rPr>
        <w:t xml:space="preserve"> their </w:t>
      </w:r>
      <w:r w:rsidRPr="00456038">
        <w:rPr>
          <w:rStyle w:val="Emphasis"/>
          <w:highlight w:val="cyan"/>
        </w:rPr>
        <w:t>discretion</w:t>
      </w:r>
      <w:r w:rsidRPr="00456038">
        <w:rPr>
          <w:rStyle w:val="StyleUnderline"/>
          <w:highlight w:val="cyan"/>
        </w:rPr>
        <w:t xml:space="preserve"> to </w:t>
      </w:r>
      <w:r w:rsidRPr="00456038">
        <w:rPr>
          <w:rStyle w:val="Emphasis"/>
          <w:highlight w:val="cyan"/>
        </w:rPr>
        <w:t>deny cancellation</w:t>
      </w:r>
      <w:r w:rsidRPr="0000458A">
        <w:rPr>
          <w:sz w:val="16"/>
        </w:rPr>
        <w:t xml:space="preserve">. There is, accordingly, no reason to be concerned that </w:t>
      </w:r>
      <w:r w:rsidRPr="0000458A">
        <w:rPr>
          <w:rStyle w:val="StyleUnderline"/>
        </w:rPr>
        <w:t xml:space="preserve">petitioner’s reading of the statute would </w:t>
      </w:r>
      <w:r w:rsidRPr="00456038">
        <w:rPr>
          <w:rStyle w:val="Emphasis"/>
          <w:highlight w:val="cyan"/>
        </w:rPr>
        <w:t>result in fewer deportations</w:t>
      </w:r>
      <w:r w:rsidRPr="0000458A">
        <w:rPr>
          <w:rStyle w:val="StyleUnderline"/>
        </w:rPr>
        <w:t xml:space="preserve"> of those whom Congress truly meant to deport</w:t>
      </w:r>
      <w:r w:rsidRPr="0000458A">
        <w:rPr>
          <w:sz w:val="16"/>
        </w:rPr>
        <w:t>.</w:t>
      </w:r>
    </w:p>
    <w:p w14:paraId="00F25030" w14:textId="77777777" w:rsidR="00B51F6B" w:rsidRPr="0000458A" w:rsidRDefault="00B51F6B" w:rsidP="00B51F6B">
      <w:pPr>
        <w:rPr>
          <w:sz w:val="16"/>
          <w:szCs w:val="16"/>
        </w:rPr>
      </w:pPr>
      <w:r w:rsidRPr="0000458A">
        <w:rPr>
          <w:sz w:val="16"/>
          <w:szCs w:val="16"/>
        </w:rPr>
        <w:t>2. The practical, human consequences of the government’s approach to the question presented are, for these reasons, deeply troubling. Take, for example, individuals who have served in the U.S. Armed Forces. For any lawful permanent resident who finds himself in removal proceedings, a record of military service would ordinarily weigh in favor of granting cancellation of removal. Many lawful permanent residents serve in the U.S. military, and the linguistic and cultural diversity they bring to their service is especially valuable in the context of national security. See, e.g., Anita U. Hattiangadi et al., CNA Corp., Non-Citizens in Today’s Military: Final Report 1 (2005). Indeed, in recognition of the benefits that noncitizens offer the military, the government has made a concerted effort “to provide services and opportunities to service members, veterans, and their families interacting with the U.S. immigration system.” Barack Obama, Presidential Memorandum— Supporting New American Service Members, Veterans, and their Families (Dec. 22, 2016). Since 2001, over 110,000 service members have been naturalized. Ibid. But many more service members remain noncitizens. Under the government’s position, however, a veteran who violated California Penal Code § 261.5(c)—no matter how long ago, and no matter the circumstances—would have no opportunity to argue for cancellation of removal based upon military service or the hardship that removal would present to his or her family or community.</w:t>
      </w:r>
    </w:p>
    <w:p w14:paraId="6AFAE4BA" w14:textId="77777777" w:rsidR="00B51F6B" w:rsidRPr="0000458A" w:rsidRDefault="00B51F6B" w:rsidP="00B51F6B">
      <w:pPr>
        <w:rPr>
          <w:sz w:val="16"/>
        </w:rPr>
      </w:pPr>
      <w:r w:rsidRPr="0000458A">
        <w:rPr>
          <w:sz w:val="16"/>
        </w:rPr>
        <w:t xml:space="preserve">3. </w:t>
      </w:r>
      <w:r w:rsidRPr="00456038">
        <w:rPr>
          <w:rStyle w:val="StyleUnderline"/>
          <w:highlight w:val="cyan"/>
        </w:rPr>
        <w:t xml:space="preserve">An </w:t>
      </w:r>
      <w:r w:rsidRPr="00456038">
        <w:rPr>
          <w:rStyle w:val="Emphasis"/>
          <w:highlight w:val="cyan"/>
        </w:rPr>
        <w:t>aggravated-felony</w:t>
      </w:r>
      <w:r w:rsidRPr="0000458A">
        <w:rPr>
          <w:rStyle w:val="StyleUnderline"/>
        </w:rPr>
        <w:t xml:space="preserve"> conviction also </w:t>
      </w:r>
      <w:r w:rsidRPr="00456038">
        <w:rPr>
          <w:rStyle w:val="Emphasis"/>
          <w:highlight w:val="cyan"/>
        </w:rPr>
        <w:t>permanently blocks</w:t>
      </w:r>
      <w:r w:rsidRPr="0000458A">
        <w:rPr>
          <w:rStyle w:val="StyleUnderline"/>
        </w:rPr>
        <w:t xml:space="preserve"> a noncitizen from </w:t>
      </w:r>
      <w:r w:rsidRPr="00456038">
        <w:rPr>
          <w:rStyle w:val="Emphasis"/>
          <w:highlight w:val="cyan"/>
        </w:rPr>
        <w:t>seeking asylum</w:t>
      </w:r>
      <w:r w:rsidRPr="0000458A">
        <w:rPr>
          <w:rStyle w:val="StyleUnderline"/>
        </w:rPr>
        <w:t xml:space="preserve"> in the United States</w:t>
      </w:r>
      <w:r w:rsidRPr="0000458A">
        <w:rPr>
          <w:sz w:val="16"/>
        </w:rPr>
        <w:t xml:space="preserve"> based on a well-founded fear that he or she will face persecution or death if returned to his or her country of origin. The history of refugee protection in the United States demonstrates that a </w:t>
      </w:r>
      <w:r w:rsidRPr="0000458A">
        <w:rPr>
          <w:rStyle w:val="StyleUnderline"/>
        </w:rPr>
        <w:t>noncitizen should be barred from this relief only if his or her crime was “particularly serious.”</w:t>
      </w:r>
      <w:r w:rsidRPr="0000458A">
        <w:rPr>
          <w:sz w:val="16"/>
        </w:rPr>
        <w:t xml:space="preserve"> Konou v. Holder, 750 F.3d 1120, 1127 (9th Cir. 2014).</w:t>
      </w:r>
    </w:p>
    <w:p w14:paraId="21D1F103" w14:textId="196313E4" w:rsidR="00B51F6B" w:rsidRPr="0000458A" w:rsidRDefault="00B51F6B" w:rsidP="00B51F6B">
      <w:pPr>
        <w:pStyle w:val="Heading4"/>
      </w:pPr>
      <w:r>
        <w:t>The aff solves.</w:t>
      </w:r>
    </w:p>
    <w:p w14:paraId="0E17B79D" w14:textId="77777777" w:rsidR="00B51F6B" w:rsidRPr="0000458A" w:rsidRDefault="00B51F6B" w:rsidP="00B51F6B">
      <w:r w:rsidRPr="0000458A">
        <w:rPr>
          <w:rStyle w:val="Heading4Char"/>
        </w:rPr>
        <w:t>Kimberly et al. 16</w:t>
      </w:r>
      <w:r w:rsidRPr="0000458A">
        <w:t xml:space="preserve"> – (Michael B. Kimberly is co-chair of the Firm’s Supreme Court and Appellate Practice Group, visiting lecturer in law at Yale Law School; Chuck Roth, National Immigrant Justice Center; Kevin Ranlett is a partner in the firm’s Supreme Court &amp; Appellate and Consumer Litigation &amp; Class Actions practices; Madeleine Hogue is a Litigation &amp; Dispute Resolution associate in Mayer Brown graduated magna cum laude from Duke Law School; Rebecca Sharpless, Professor of Law, University of Miami, JD Harvard Law School; Mark Barr, American Immigration Lawyers Association; “JUAN ESQUIVEL-QUINTANA, v. LORETTA E. LYNCH; BRIEF AMICI CURIAE OF THE NATIONAL IMMIGRANT JUSTICE CENTER AND THE AMERICAN IMMIGRATION LAWYERS ASSOCIATION IN SUPPORT OF PETITIONER”; D.A. June 18</w:t>
      </w:r>
      <w:r w:rsidRPr="0000458A">
        <w:rPr>
          <w:vertAlign w:val="superscript"/>
        </w:rPr>
        <w:t>th</w:t>
      </w:r>
      <w:r w:rsidRPr="0000458A">
        <w:t xml:space="preserve"> 2020, [Published December 2016]; No. 16-54, pg. 7-27) //LFS—JCM</w:t>
      </w:r>
    </w:p>
    <w:p w14:paraId="3EEBCC5D" w14:textId="77777777" w:rsidR="00B51F6B" w:rsidRPr="0000458A" w:rsidRDefault="00B51F6B" w:rsidP="00B51F6B">
      <w:pPr>
        <w:rPr>
          <w:sz w:val="16"/>
          <w:szCs w:val="16"/>
        </w:rPr>
      </w:pPr>
      <w:r w:rsidRPr="0000458A">
        <w:rPr>
          <w:sz w:val="16"/>
          <w:szCs w:val="16"/>
        </w:rPr>
        <w:t>I. THE COURT CONSTRUES DEPORTATION STATUTES IN FAVOR OF THE NONCITIZEN BECAUSE THE CONSEQUENCES OF REMOVAL ARE SO HARSH.</w:t>
      </w:r>
    </w:p>
    <w:p w14:paraId="770BECD0" w14:textId="77777777" w:rsidR="00B51F6B" w:rsidRPr="0000458A" w:rsidRDefault="00B51F6B" w:rsidP="00B51F6B">
      <w:pPr>
        <w:rPr>
          <w:sz w:val="16"/>
        </w:rPr>
      </w:pPr>
      <w:r w:rsidRPr="00456038">
        <w:rPr>
          <w:rStyle w:val="StyleUnderline"/>
          <w:highlight w:val="cyan"/>
        </w:rPr>
        <w:t xml:space="preserve">This Court has recognized </w:t>
      </w:r>
      <w:r w:rsidRPr="0000458A">
        <w:rPr>
          <w:rStyle w:val="StyleUnderline"/>
        </w:rPr>
        <w:t>a “longstanding principle” of “construing</w:t>
      </w:r>
      <w:r w:rsidRPr="0000458A">
        <w:rPr>
          <w:sz w:val="16"/>
        </w:rPr>
        <w:t xml:space="preserve"> any lingering </w:t>
      </w:r>
      <w:r w:rsidRPr="00456038">
        <w:rPr>
          <w:rStyle w:val="Emphasis"/>
          <w:highlight w:val="cyan"/>
        </w:rPr>
        <w:t>ambiguities</w:t>
      </w:r>
      <w:r w:rsidRPr="00456038">
        <w:rPr>
          <w:rStyle w:val="StyleUnderline"/>
          <w:highlight w:val="cyan"/>
        </w:rPr>
        <w:t xml:space="preserve"> in </w:t>
      </w:r>
      <w:r w:rsidRPr="00456038">
        <w:rPr>
          <w:rStyle w:val="Emphasis"/>
          <w:highlight w:val="cyan"/>
        </w:rPr>
        <w:t xml:space="preserve">deportation </w:t>
      </w:r>
      <w:r w:rsidRPr="0000458A">
        <w:rPr>
          <w:rStyle w:val="Emphasis"/>
        </w:rPr>
        <w:t>statutes</w:t>
      </w:r>
      <w:r w:rsidRPr="0000458A">
        <w:rPr>
          <w:rStyle w:val="StyleUnderline"/>
        </w:rPr>
        <w:t xml:space="preserve"> </w:t>
      </w:r>
      <w:r w:rsidRPr="00456038">
        <w:rPr>
          <w:rStyle w:val="StyleUnderline"/>
          <w:highlight w:val="cyan"/>
        </w:rPr>
        <w:t xml:space="preserve">in favor of </w:t>
      </w:r>
      <w:r w:rsidRPr="0000458A">
        <w:rPr>
          <w:rStyle w:val="StyleUnderline"/>
        </w:rPr>
        <w:t>the [</w:t>
      </w:r>
      <w:r w:rsidRPr="00456038">
        <w:rPr>
          <w:rStyle w:val="StyleUnderline"/>
          <w:highlight w:val="cyan"/>
        </w:rPr>
        <w:t>noncitizen</w:t>
      </w:r>
      <w:r w:rsidRPr="0000458A">
        <w:rPr>
          <w:rStyle w:val="StyleUnderline"/>
        </w:rPr>
        <w:t>]</w:t>
      </w:r>
      <w:r w:rsidRPr="0000458A">
        <w:rPr>
          <w:sz w:val="16"/>
        </w:rPr>
        <w:t xml:space="preserve">.” INS v. St. Cyr, 533 U.S. 289, 320 (2001) (quoting INS v. Cardoza-Fonseca, 480 U.S. 421, 449 (1987)). This principle ensures that </w:t>
      </w:r>
      <w:r w:rsidRPr="0000458A">
        <w:rPr>
          <w:rStyle w:val="StyleUnderline"/>
        </w:rPr>
        <w:t xml:space="preserve">the harsh consequences resulting from deportation are visited only upon those whom </w:t>
      </w:r>
      <w:r w:rsidRPr="0000458A">
        <w:rPr>
          <w:rStyle w:val="Emphasis"/>
        </w:rPr>
        <w:t>Congress</w:t>
      </w:r>
      <w:r w:rsidRPr="0000458A">
        <w:rPr>
          <w:sz w:val="16"/>
        </w:rPr>
        <w:t xml:space="preserve"> truly </w:t>
      </w:r>
      <w:r w:rsidRPr="0000458A">
        <w:rPr>
          <w:rStyle w:val="Emphasis"/>
        </w:rPr>
        <w:t>intended to be</w:t>
      </w:r>
      <w:r w:rsidRPr="0000458A">
        <w:rPr>
          <w:rStyle w:val="StyleUnderline"/>
        </w:rPr>
        <w:t xml:space="preserve"> subject to </w:t>
      </w:r>
      <w:r w:rsidRPr="0000458A">
        <w:rPr>
          <w:rStyle w:val="Emphasis"/>
        </w:rPr>
        <w:t>removal</w:t>
      </w:r>
      <w:r w:rsidRPr="0000458A">
        <w:rPr>
          <w:sz w:val="16"/>
        </w:rPr>
        <w:t>. Because “</w:t>
      </w:r>
      <w:r w:rsidRPr="0000458A">
        <w:rPr>
          <w:rStyle w:val="StyleUnderline"/>
        </w:rPr>
        <w:t>deportation is a drastic measure</w:t>
      </w:r>
      <w:r w:rsidRPr="0000458A">
        <w:rPr>
          <w:sz w:val="16"/>
        </w:rPr>
        <w:t xml:space="preserve"> and at times the equivalent of banishment [or] exile,” this </w:t>
      </w:r>
      <w:r w:rsidRPr="0000458A">
        <w:rPr>
          <w:rStyle w:val="StyleUnderline"/>
        </w:rPr>
        <w:t>Court “will not assume that Congress meant to trench on [a noncitizen’s] freedom</w:t>
      </w:r>
      <w:r w:rsidRPr="0000458A">
        <w:rPr>
          <w:sz w:val="16"/>
        </w:rPr>
        <w:t xml:space="preserve"> beyond that which is required by the narrowest of several possible meanings of the [statutory language].” Fong Haw Tan v. Phelan, 333 U.S. 6, 10 (1948).</w:t>
      </w:r>
    </w:p>
    <w:p w14:paraId="1F88F062" w14:textId="77777777" w:rsidR="00B51F6B" w:rsidRPr="0000458A" w:rsidRDefault="00B51F6B" w:rsidP="00B51F6B">
      <w:pPr>
        <w:rPr>
          <w:sz w:val="16"/>
        </w:rPr>
      </w:pPr>
      <w:r w:rsidRPr="0000458A">
        <w:rPr>
          <w:rStyle w:val="StyleUnderline"/>
        </w:rPr>
        <w:t xml:space="preserve">This canon of construction is </w:t>
      </w:r>
      <w:r w:rsidRPr="00456038">
        <w:rPr>
          <w:rStyle w:val="StyleUnderline"/>
          <w:highlight w:val="cyan"/>
        </w:rPr>
        <w:t>rooted in</w:t>
      </w:r>
      <w:r w:rsidRPr="0000458A">
        <w:rPr>
          <w:rStyle w:val="StyleUnderline"/>
        </w:rPr>
        <w:t xml:space="preserve"> the</w:t>
      </w:r>
      <w:r w:rsidRPr="0000458A">
        <w:rPr>
          <w:sz w:val="16"/>
        </w:rPr>
        <w:t xml:space="preserve"> same fundamental </w:t>
      </w:r>
      <w:r w:rsidRPr="0000458A">
        <w:rPr>
          <w:rStyle w:val="StyleUnderline"/>
        </w:rPr>
        <w:t xml:space="preserve">notions of fairness and </w:t>
      </w:r>
      <w:r w:rsidRPr="00456038">
        <w:rPr>
          <w:rStyle w:val="Emphasis"/>
          <w:highlight w:val="cyan"/>
        </w:rPr>
        <w:t>due process</w:t>
      </w:r>
      <w:r w:rsidRPr="00456038">
        <w:rPr>
          <w:rStyle w:val="StyleUnderline"/>
          <w:highlight w:val="cyan"/>
        </w:rPr>
        <w:t xml:space="preserve"> underlying</w:t>
      </w:r>
      <w:r w:rsidRPr="0000458A">
        <w:rPr>
          <w:sz w:val="16"/>
        </w:rPr>
        <w:t xml:space="preserve"> </w:t>
      </w:r>
      <w:r w:rsidRPr="0000458A">
        <w:rPr>
          <w:rStyle w:val="Emphasis"/>
        </w:rPr>
        <w:t xml:space="preserve">the doctrine of </w:t>
      </w:r>
      <w:r w:rsidRPr="00456038">
        <w:rPr>
          <w:rStyle w:val="Emphasis"/>
          <w:highlight w:val="cyan"/>
        </w:rPr>
        <w:t>criminal lenity</w:t>
      </w:r>
      <w:r w:rsidRPr="0000458A">
        <w:rPr>
          <w:sz w:val="16"/>
        </w:rPr>
        <w:t xml:space="preserve">. </w:t>
      </w:r>
      <w:r w:rsidRPr="00456038">
        <w:rPr>
          <w:rStyle w:val="StyleUnderline"/>
          <w:highlight w:val="cyan"/>
        </w:rPr>
        <w:t xml:space="preserve">If </w:t>
      </w:r>
      <w:r w:rsidRPr="0000458A">
        <w:rPr>
          <w:rStyle w:val="StyleUnderline"/>
        </w:rPr>
        <w:t xml:space="preserve">an </w:t>
      </w:r>
      <w:r w:rsidRPr="00456038">
        <w:rPr>
          <w:rStyle w:val="StyleUnderline"/>
          <w:highlight w:val="cyan"/>
        </w:rPr>
        <w:t>ambiguity</w:t>
      </w:r>
      <w:r w:rsidRPr="0000458A">
        <w:rPr>
          <w:rStyle w:val="StyleUnderline"/>
        </w:rPr>
        <w:t xml:space="preserve"> </w:t>
      </w:r>
      <w:r w:rsidRPr="00456038">
        <w:rPr>
          <w:rStyle w:val="StyleUnderline"/>
          <w:highlight w:val="cyan"/>
        </w:rPr>
        <w:t>in</w:t>
      </w:r>
      <w:r w:rsidRPr="0000458A">
        <w:rPr>
          <w:rStyle w:val="StyleUnderline"/>
        </w:rPr>
        <w:t xml:space="preserve"> a </w:t>
      </w:r>
      <w:r w:rsidRPr="00456038">
        <w:rPr>
          <w:rStyle w:val="StyleUnderline"/>
          <w:highlight w:val="cyan"/>
        </w:rPr>
        <w:t>deportation statute regarding</w:t>
      </w:r>
      <w:r w:rsidRPr="0000458A">
        <w:rPr>
          <w:sz w:val="16"/>
        </w:rPr>
        <w:t xml:space="preserve"> the impact of a past offense on </w:t>
      </w:r>
      <w:r w:rsidRPr="00456038">
        <w:rPr>
          <w:rStyle w:val="StyleUnderline"/>
          <w:highlight w:val="cyan"/>
        </w:rPr>
        <w:t>removability were</w:t>
      </w:r>
      <w:r w:rsidRPr="0000458A">
        <w:rPr>
          <w:sz w:val="16"/>
        </w:rPr>
        <w:t xml:space="preserve"> suddenly </w:t>
      </w:r>
      <w:r w:rsidRPr="00456038">
        <w:rPr>
          <w:rStyle w:val="StyleUnderline"/>
          <w:highlight w:val="cyan"/>
        </w:rPr>
        <w:t>interpreted against noncitizens</w:t>
      </w:r>
      <w:r w:rsidRPr="0000458A">
        <w:rPr>
          <w:sz w:val="16"/>
        </w:rPr>
        <w:t xml:space="preserve">, </w:t>
      </w:r>
      <w:r w:rsidRPr="00456038">
        <w:rPr>
          <w:rStyle w:val="StyleUnderline"/>
          <w:highlight w:val="cyan"/>
        </w:rPr>
        <w:t>the</w:t>
      </w:r>
      <w:r w:rsidRPr="0000458A">
        <w:rPr>
          <w:sz w:val="16"/>
        </w:rPr>
        <w:t xml:space="preserve"> effective </w:t>
      </w:r>
      <w:r w:rsidRPr="00456038">
        <w:rPr>
          <w:rStyle w:val="StyleUnderline"/>
          <w:highlight w:val="cyan"/>
        </w:rPr>
        <w:t>penalty</w:t>
      </w:r>
      <w:r w:rsidRPr="0000458A">
        <w:rPr>
          <w:sz w:val="16"/>
        </w:rPr>
        <w:t xml:space="preserve"> for that offense </w:t>
      </w:r>
      <w:r w:rsidRPr="00456038">
        <w:rPr>
          <w:rStyle w:val="StyleUnderline"/>
          <w:highlight w:val="cyan"/>
        </w:rPr>
        <w:t>would be</w:t>
      </w:r>
      <w:r w:rsidRPr="0000458A">
        <w:rPr>
          <w:sz w:val="16"/>
        </w:rPr>
        <w:t xml:space="preserve"> retroactively </w:t>
      </w:r>
      <w:r w:rsidRPr="00456038">
        <w:rPr>
          <w:rStyle w:val="StyleUnderline"/>
          <w:highlight w:val="cyan"/>
        </w:rPr>
        <w:t>increased</w:t>
      </w:r>
      <w:r w:rsidRPr="0000458A">
        <w:rPr>
          <w:sz w:val="16"/>
        </w:rPr>
        <w:t xml:space="preserve">. But as this Court has explained, “a fair warning should be given to the world in language that the common world will understand, of what the law intends to do if a certain line is passed.” United States v. Bass, 404 U.S. 336, 348 (1971) (quoting McBoyle v. United States, 283 U.S. 25, 27 (1931)). Indeed, </w:t>
      </w:r>
      <w:r w:rsidRPr="00456038">
        <w:rPr>
          <w:rStyle w:val="StyleUnderline"/>
          <w:highlight w:val="cyan"/>
        </w:rPr>
        <w:t>this Court has</w:t>
      </w:r>
      <w:r w:rsidRPr="0000458A">
        <w:rPr>
          <w:rStyle w:val="StyleUnderline"/>
        </w:rPr>
        <w:t xml:space="preserve"> repeatedly </w:t>
      </w:r>
      <w:r w:rsidRPr="00456038">
        <w:rPr>
          <w:rStyle w:val="Emphasis"/>
          <w:highlight w:val="cyan"/>
        </w:rPr>
        <w:t>relied</w:t>
      </w:r>
      <w:r w:rsidRPr="0000458A">
        <w:rPr>
          <w:rStyle w:val="Emphasis"/>
        </w:rPr>
        <w:t xml:space="preserve"> up</w:t>
      </w:r>
      <w:r w:rsidRPr="00456038">
        <w:rPr>
          <w:rStyle w:val="Emphasis"/>
          <w:highlight w:val="cyan"/>
        </w:rPr>
        <w:t>on</w:t>
      </w:r>
      <w:r w:rsidRPr="0000458A">
        <w:rPr>
          <w:rStyle w:val="StyleUnderline"/>
        </w:rPr>
        <w:t xml:space="preserve"> the </w:t>
      </w:r>
      <w:r w:rsidRPr="00456038">
        <w:rPr>
          <w:rStyle w:val="StyleUnderline"/>
          <w:highlight w:val="cyan"/>
        </w:rPr>
        <w:t>criminal</w:t>
      </w:r>
      <w:r w:rsidRPr="0000458A">
        <w:rPr>
          <w:rStyle w:val="StyleUnderline"/>
        </w:rPr>
        <w:t xml:space="preserve"> </w:t>
      </w:r>
      <w:r w:rsidRPr="0000458A">
        <w:rPr>
          <w:rStyle w:val="Emphasis"/>
        </w:rPr>
        <w:t xml:space="preserve">rule of </w:t>
      </w:r>
      <w:r w:rsidRPr="00456038">
        <w:rPr>
          <w:rStyle w:val="Emphasis"/>
          <w:highlight w:val="cyan"/>
        </w:rPr>
        <w:t>lenity</w:t>
      </w:r>
      <w:r w:rsidRPr="00456038">
        <w:rPr>
          <w:rStyle w:val="StyleUnderline"/>
          <w:highlight w:val="cyan"/>
        </w:rPr>
        <w:t xml:space="preserve"> in </w:t>
      </w:r>
      <w:r w:rsidRPr="00456038">
        <w:rPr>
          <w:rStyle w:val="Emphasis"/>
          <w:highlight w:val="cyan"/>
        </w:rPr>
        <w:t>immigration</w:t>
      </w:r>
      <w:r w:rsidRPr="0000458A">
        <w:rPr>
          <w:rStyle w:val="Emphasis"/>
        </w:rPr>
        <w:t xml:space="preserve"> cases</w:t>
      </w:r>
      <w:r w:rsidRPr="0000458A">
        <w:rPr>
          <w:sz w:val="16"/>
        </w:rPr>
        <w:t>. See, e.g., Leocal v. Ashcroft, 543 U.S. 1, 11 n.8 (2004) (“</w:t>
      </w:r>
      <w:r w:rsidRPr="00456038">
        <w:rPr>
          <w:rStyle w:val="Emphasis"/>
          <w:highlight w:val="cyan"/>
        </w:rPr>
        <w:t>Even if</w:t>
      </w:r>
      <w:r w:rsidRPr="0000458A">
        <w:rPr>
          <w:rStyle w:val="StyleUnderline"/>
        </w:rPr>
        <w:t xml:space="preserve"> [</w:t>
      </w:r>
      <w:r w:rsidRPr="00456038">
        <w:rPr>
          <w:rStyle w:val="StyleUnderline"/>
          <w:highlight w:val="cyan"/>
        </w:rPr>
        <w:t xml:space="preserve">the </w:t>
      </w:r>
      <w:r w:rsidRPr="00456038">
        <w:rPr>
          <w:rStyle w:val="Emphasis"/>
          <w:highlight w:val="cyan"/>
        </w:rPr>
        <w:t>statute</w:t>
      </w:r>
      <w:r w:rsidRPr="0000458A">
        <w:rPr>
          <w:rStyle w:val="StyleUnderline"/>
        </w:rPr>
        <w:t xml:space="preserve">] </w:t>
      </w:r>
      <w:r w:rsidRPr="00456038">
        <w:rPr>
          <w:rStyle w:val="Emphasis"/>
          <w:highlight w:val="cyan"/>
        </w:rPr>
        <w:t>lacked clarity</w:t>
      </w:r>
      <w:r w:rsidRPr="0000458A">
        <w:rPr>
          <w:sz w:val="16"/>
        </w:rPr>
        <w:t xml:space="preserve"> on this point, </w:t>
      </w:r>
      <w:r w:rsidRPr="00456038">
        <w:rPr>
          <w:rStyle w:val="StyleUnderline"/>
          <w:highlight w:val="cyan"/>
        </w:rPr>
        <w:t>we would</w:t>
      </w:r>
      <w:r w:rsidRPr="0000458A">
        <w:rPr>
          <w:rStyle w:val="StyleUnderline"/>
        </w:rPr>
        <w:t xml:space="preserve"> be </w:t>
      </w:r>
      <w:r w:rsidRPr="0000458A">
        <w:rPr>
          <w:rStyle w:val="Emphasis"/>
        </w:rPr>
        <w:t xml:space="preserve">constrained to </w:t>
      </w:r>
      <w:r w:rsidRPr="00456038">
        <w:rPr>
          <w:rStyle w:val="Emphasis"/>
          <w:highlight w:val="cyan"/>
        </w:rPr>
        <w:t>interpret</w:t>
      </w:r>
      <w:r w:rsidRPr="0000458A">
        <w:rPr>
          <w:rStyle w:val="StyleUnderline"/>
        </w:rPr>
        <w:t xml:space="preserve"> any </w:t>
      </w:r>
      <w:r w:rsidRPr="00456038">
        <w:rPr>
          <w:rStyle w:val="Emphasis"/>
          <w:highlight w:val="cyan"/>
        </w:rPr>
        <w:t>ambiguity</w:t>
      </w:r>
      <w:r w:rsidRPr="0000458A">
        <w:rPr>
          <w:sz w:val="16"/>
        </w:rPr>
        <w:t xml:space="preserve"> in the statute </w:t>
      </w:r>
      <w:r w:rsidRPr="00456038">
        <w:rPr>
          <w:rStyle w:val="StyleUnderline"/>
          <w:highlight w:val="cyan"/>
        </w:rPr>
        <w:t>in</w:t>
      </w:r>
      <w:r w:rsidRPr="0000458A">
        <w:rPr>
          <w:rStyle w:val="StyleUnderline"/>
        </w:rPr>
        <w:t xml:space="preserve"> [the </w:t>
      </w:r>
      <w:r w:rsidRPr="00456038">
        <w:rPr>
          <w:rStyle w:val="Emphasis"/>
          <w:highlight w:val="cyan"/>
        </w:rPr>
        <w:t>noncitizen’s</w:t>
      </w:r>
      <w:r w:rsidRPr="0000458A">
        <w:rPr>
          <w:rStyle w:val="StyleUnderline"/>
        </w:rPr>
        <w:t xml:space="preserve">] </w:t>
      </w:r>
      <w:r w:rsidRPr="00456038">
        <w:rPr>
          <w:rStyle w:val="Emphasis"/>
          <w:highlight w:val="cyan"/>
        </w:rPr>
        <w:t>favor</w:t>
      </w:r>
      <w:r w:rsidRPr="0000458A">
        <w:rPr>
          <w:sz w:val="16"/>
        </w:rPr>
        <w:t xml:space="preserve">,” </w:t>
      </w:r>
      <w:r w:rsidRPr="00456038">
        <w:rPr>
          <w:rStyle w:val="StyleUnderline"/>
          <w:highlight w:val="cyan"/>
        </w:rPr>
        <w:t>whether</w:t>
      </w:r>
      <w:r w:rsidRPr="0000458A">
        <w:rPr>
          <w:rStyle w:val="StyleUnderline"/>
        </w:rPr>
        <w:t xml:space="preserve"> “</w:t>
      </w:r>
      <w:r w:rsidRPr="00456038">
        <w:rPr>
          <w:rStyle w:val="Emphasis"/>
          <w:highlight w:val="cyan"/>
        </w:rPr>
        <w:t>in a criminal or noncriminal context</w:t>
      </w:r>
      <w:r w:rsidRPr="0000458A">
        <w:rPr>
          <w:rStyle w:val="StyleUnderline"/>
        </w:rPr>
        <w:t>.</w:t>
      </w:r>
      <w:r w:rsidRPr="0000458A">
        <w:rPr>
          <w:sz w:val="16"/>
        </w:rPr>
        <w:t>”); Bonetti v. Rogers, 356 U.S. 691, 699 (1958) (“</w:t>
      </w:r>
      <w:r w:rsidRPr="0000458A">
        <w:rPr>
          <w:rStyle w:val="Emphasis"/>
        </w:rPr>
        <w:t>ambiguity</w:t>
      </w:r>
      <w:r w:rsidRPr="0000458A">
        <w:rPr>
          <w:sz w:val="16"/>
        </w:rPr>
        <w:t xml:space="preserve">” in Anarchist Act of 1918 </w:t>
      </w:r>
      <w:r w:rsidRPr="0000458A">
        <w:rPr>
          <w:rStyle w:val="StyleUnderline"/>
        </w:rPr>
        <w:t>must be “</w:t>
      </w:r>
      <w:r w:rsidRPr="0000458A">
        <w:rPr>
          <w:rStyle w:val="Emphasis"/>
        </w:rPr>
        <w:t>resolved in favor of lenity</w:t>
      </w:r>
      <w:r w:rsidRPr="0000458A">
        <w:rPr>
          <w:rStyle w:val="StyleUnderline"/>
        </w:rPr>
        <w:t>”</w:t>
      </w:r>
      <w:r w:rsidRPr="0000458A">
        <w:rPr>
          <w:sz w:val="16"/>
        </w:rPr>
        <w:t xml:space="preserve"> (quoting Bell v. United States, 349 U.S. 81, 83 (1955))).2</w:t>
      </w:r>
    </w:p>
    <w:p w14:paraId="637AAD27" w14:textId="77777777" w:rsidR="00B51F6B" w:rsidRPr="0000458A" w:rsidRDefault="00B51F6B" w:rsidP="00B51F6B">
      <w:pPr>
        <w:rPr>
          <w:b/>
          <w:bCs/>
        </w:rPr>
      </w:pPr>
      <w:r w:rsidRPr="0000458A">
        <w:rPr>
          <w:b/>
          <w:bCs/>
        </w:rPr>
        <w:t>&lt;&lt;&lt;BEGIN FOOTNOTE 2&gt;&gt;&gt;</w:t>
      </w:r>
    </w:p>
    <w:p w14:paraId="74518AEE" w14:textId="77777777" w:rsidR="00B51F6B" w:rsidRPr="0000458A" w:rsidRDefault="00B51F6B" w:rsidP="00B51F6B">
      <w:pPr>
        <w:rPr>
          <w:rStyle w:val="StyleUnderline"/>
        </w:rPr>
      </w:pPr>
      <w:r w:rsidRPr="0000458A">
        <w:rPr>
          <w:sz w:val="16"/>
        </w:rPr>
        <w:t xml:space="preserve">2 Amici agree with petitioner that, </w:t>
      </w:r>
      <w:r w:rsidRPr="00456038">
        <w:rPr>
          <w:rStyle w:val="StyleUnderline"/>
          <w:highlight w:val="cyan"/>
        </w:rPr>
        <w:t xml:space="preserve">as a </w:t>
      </w:r>
      <w:r w:rsidRPr="00456038">
        <w:rPr>
          <w:rStyle w:val="Emphasis"/>
          <w:highlight w:val="cyan"/>
        </w:rPr>
        <w:t>hybrid statute</w:t>
      </w:r>
      <w:r w:rsidRPr="0000458A">
        <w:rPr>
          <w:rStyle w:val="StyleUnderline"/>
        </w:rPr>
        <w:t xml:space="preserve"> with criminal and civil implications</w:t>
      </w:r>
      <w:r w:rsidRPr="0000458A">
        <w:rPr>
          <w:sz w:val="16"/>
        </w:rPr>
        <w:t xml:space="preserve">, </w:t>
      </w:r>
      <w:r w:rsidRPr="00456038">
        <w:rPr>
          <w:rStyle w:val="StyleUnderline"/>
          <w:highlight w:val="cyan"/>
        </w:rPr>
        <w:t xml:space="preserve">the aggravated felony definition is </w:t>
      </w:r>
      <w:r w:rsidRPr="00456038">
        <w:rPr>
          <w:rStyle w:val="Emphasis"/>
          <w:highlight w:val="cyan"/>
        </w:rPr>
        <w:t xml:space="preserve">subject to </w:t>
      </w:r>
      <w:r w:rsidRPr="0000458A">
        <w:rPr>
          <w:rStyle w:val="Emphasis"/>
        </w:rPr>
        <w:t xml:space="preserve">criminal </w:t>
      </w:r>
      <w:r w:rsidRPr="00456038">
        <w:rPr>
          <w:rStyle w:val="Emphasis"/>
          <w:highlight w:val="cyan"/>
        </w:rPr>
        <w:t>lenity</w:t>
      </w:r>
      <w:r w:rsidRPr="0000458A">
        <w:rPr>
          <w:sz w:val="16"/>
        </w:rPr>
        <w:t xml:space="preserve">. Petr. Br. 38-43. But even without considering the rule of criminal lenity, the results in Leocal and Bonetti were consistent with—and required by—this Court’s rule that </w:t>
      </w:r>
      <w:r w:rsidRPr="0000458A">
        <w:rPr>
          <w:rStyle w:val="Emphasis"/>
        </w:rPr>
        <w:t>deportation statutes</w:t>
      </w:r>
      <w:r w:rsidRPr="0000458A">
        <w:rPr>
          <w:rStyle w:val="StyleUnderline"/>
        </w:rPr>
        <w:t xml:space="preserve"> should be interpreted </w:t>
      </w:r>
      <w:r w:rsidRPr="0000458A">
        <w:rPr>
          <w:rStyle w:val="Emphasis"/>
        </w:rPr>
        <w:t>in favor</w:t>
      </w:r>
      <w:r w:rsidRPr="0000458A">
        <w:rPr>
          <w:rStyle w:val="StyleUnderline"/>
        </w:rPr>
        <w:t xml:space="preserve"> of the </w:t>
      </w:r>
      <w:r w:rsidRPr="0000458A">
        <w:rPr>
          <w:rStyle w:val="Emphasis"/>
        </w:rPr>
        <w:t>noncitizen</w:t>
      </w:r>
      <w:r w:rsidRPr="0000458A">
        <w:rPr>
          <w:rStyle w:val="StyleUnderline"/>
        </w:rPr>
        <w:t>.</w:t>
      </w:r>
    </w:p>
    <w:p w14:paraId="774BBD86" w14:textId="77777777" w:rsidR="00B51F6B" w:rsidRPr="0000458A" w:rsidRDefault="00B51F6B" w:rsidP="00B51F6B">
      <w:pPr>
        <w:rPr>
          <w:b/>
          <w:bCs/>
        </w:rPr>
      </w:pPr>
      <w:r w:rsidRPr="0000458A">
        <w:rPr>
          <w:b/>
          <w:bCs/>
        </w:rPr>
        <w:t>&lt;&lt;&lt;END FOOTNOTE 2&gt;&gt;&gt;</w:t>
      </w:r>
    </w:p>
    <w:p w14:paraId="2FB2C1A1" w14:textId="77777777" w:rsidR="00B51F6B" w:rsidRPr="0000458A" w:rsidRDefault="00B51F6B" w:rsidP="00B51F6B">
      <w:pPr>
        <w:rPr>
          <w:sz w:val="16"/>
        </w:rPr>
      </w:pPr>
      <w:r w:rsidRPr="0000458A">
        <w:rPr>
          <w:sz w:val="16"/>
        </w:rPr>
        <w:t xml:space="preserve">As petitioner here has demonstrated, </w:t>
      </w:r>
      <w:r w:rsidRPr="0000458A">
        <w:rPr>
          <w:rStyle w:val="StyleUnderline"/>
        </w:rPr>
        <w:t xml:space="preserve">whether </w:t>
      </w:r>
      <w:r w:rsidRPr="00456038">
        <w:rPr>
          <w:rStyle w:val="StyleUnderline"/>
          <w:highlight w:val="cyan"/>
        </w:rPr>
        <w:t>to adopt the government’s interpretation of</w:t>
      </w:r>
      <w:r w:rsidRPr="0000458A">
        <w:rPr>
          <w:rStyle w:val="StyleUnderline"/>
        </w:rPr>
        <w:t xml:space="preserve"> the phrase “</w:t>
      </w:r>
      <w:r w:rsidRPr="00456038">
        <w:rPr>
          <w:rStyle w:val="Emphasis"/>
          <w:highlight w:val="cyan"/>
        </w:rPr>
        <w:t>aggravated felony</w:t>
      </w:r>
      <w:r w:rsidRPr="0000458A">
        <w:rPr>
          <w:rStyle w:val="StyleUnderline"/>
        </w:rPr>
        <w:t>”</w:t>
      </w:r>
      <w:r w:rsidRPr="0000458A">
        <w:rPr>
          <w:sz w:val="16"/>
        </w:rPr>
        <w:t xml:space="preserve"> in Section 1101(a)(43)(A)—which </w:t>
      </w:r>
      <w:r w:rsidRPr="00456038">
        <w:rPr>
          <w:rStyle w:val="StyleUnderline"/>
          <w:highlight w:val="cyan"/>
        </w:rPr>
        <w:t xml:space="preserve">would </w:t>
      </w:r>
      <w:r w:rsidRPr="00456038">
        <w:rPr>
          <w:rStyle w:val="Emphasis"/>
          <w:highlight w:val="cyan"/>
        </w:rPr>
        <w:t>sweep in offenses</w:t>
      </w:r>
      <w:r w:rsidRPr="0000458A">
        <w:rPr>
          <w:rStyle w:val="StyleUnderline"/>
        </w:rPr>
        <w:t xml:space="preserve"> under the laws of a handful of states criminalizing sexual contact</w:t>
      </w:r>
      <w:r w:rsidRPr="0000458A">
        <w:rPr>
          <w:sz w:val="16"/>
        </w:rPr>
        <w:t xml:space="preserve"> between 21 and 17 year olds—</w:t>
      </w:r>
      <w:r w:rsidRPr="0000458A">
        <w:rPr>
          <w:rStyle w:val="StyleUnderline"/>
        </w:rPr>
        <w:t>is not a close question</w:t>
      </w:r>
      <w:r w:rsidRPr="0000458A">
        <w:rPr>
          <w:sz w:val="16"/>
        </w:rPr>
        <w:t xml:space="preserve">. Petr. Br. 14-35. But even if the issue were in doubt, </w:t>
      </w:r>
      <w:r w:rsidRPr="00456038">
        <w:rPr>
          <w:rStyle w:val="Emphasis"/>
          <w:highlight w:val="cyan"/>
        </w:rPr>
        <w:t>this Court’s rule of lenity</w:t>
      </w:r>
      <w:r w:rsidRPr="0000458A">
        <w:rPr>
          <w:rStyle w:val="StyleUnderline"/>
        </w:rPr>
        <w:t xml:space="preserve"> for </w:t>
      </w:r>
      <w:r w:rsidRPr="0000458A">
        <w:rPr>
          <w:rStyle w:val="Emphasis"/>
        </w:rPr>
        <w:t xml:space="preserve">immigration statutes </w:t>
      </w:r>
      <w:r w:rsidRPr="00456038">
        <w:rPr>
          <w:rStyle w:val="Emphasis"/>
          <w:highlight w:val="cyan"/>
        </w:rPr>
        <w:t>requires</w:t>
      </w:r>
      <w:r w:rsidRPr="0000458A">
        <w:rPr>
          <w:rStyle w:val="StyleUnderline"/>
        </w:rPr>
        <w:t xml:space="preserve"> that </w:t>
      </w:r>
      <w:r w:rsidRPr="00456038">
        <w:rPr>
          <w:rStyle w:val="Emphasis"/>
          <w:highlight w:val="cyan"/>
        </w:rPr>
        <w:t>doubt</w:t>
      </w:r>
      <w:r w:rsidRPr="00456038">
        <w:rPr>
          <w:rStyle w:val="StyleUnderline"/>
          <w:highlight w:val="cyan"/>
        </w:rPr>
        <w:t xml:space="preserve"> </w:t>
      </w:r>
      <w:r w:rsidRPr="0000458A">
        <w:rPr>
          <w:rStyle w:val="StyleUnderline"/>
        </w:rPr>
        <w:t xml:space="preserve">to be resolved </w:t>
      </w:r>
      <w:r w:rsidRPr="00456038">
        <w:rPr>
          <w:rStyle w:val="Emphasis"/>
          <w:highlight w:val="cyan"/>
        </w:rPr>
        <w:t>against the government</w:t>
      </w:r>
      <w:r w:rsidRPr="0000458A">
        <w:rPr>
          <w:rStyle w:val="Emphasis"/>
        </w:rPr>
        <w:t>’s position</w:t>
      </w:r>
      <w:r w:rsidRPr="0000458A">
        <w:rPr>
          <w:sz w:val="16"/>
        </w:rPr>
        <w:t>.</w:t>
      </w:r>
    </w:p>
    <w:p w14:paraId="77BB1261" w14:textId="77777777" w:rsidR="00B51F6B" w:rsidRPr="0000458A" w:rsidRDefault="00B51F6B" w:rsidP="00B51F6B">
      <w:pPr>
        <w:rPr>
          <w:sz w:val="16"/>
        </w:rPr>
      </w:pPr>
      <w:r w:rsidRPr="0000458A">
        <w:rPr>
          <w:sz w:val="16"/>
        </w:rPr>
        <w:t xml:space="preserve">Like the provisions addressed in St. Cyr and Fong Haw Tan, </w:t>
      </w:r>
      <w:r w:rsidRPr="00456038">
        <w:rPr>
          <w:rStyle w:val="StyleUnderline"/>
          <w:highlight w:val="cyan"/>
        </w:rPr>
        <w:t>the</w:t>
      </w:r>
      <w:r w:rsidRPr="0000458A">
        <w:rPr>
          <w:rStyle w:val="StyleUnderline"/>
        </w:rPr>
        <w:t xml:space="preserve"> “</w:t>
      </w:r>
      <w:r w:rsidRPr="0000458A">
        <w:rPr>
          <w:rStyle w:val="Emphasis"/>
        </w:rPr>
        <w:t>aggravated felony</w:t>
      </w:r>
      <w:r w:rsidRPr="0000458A">
        <w:rPr>
          <w:rStyle w:val="StyleUnderline"/>
        </w:rPr>
        <w:t xml:space="preserve">” </w:t>
      </w:r>
      <w:r w:rsidRPr="00456038">
        <w:rPr>
          <w:rStyle w:val="StyleUnderline"/>
          <w:highlight w:val="cyan"/>
        </w:rPr>
        <w:t>provisions</w:t>
      </w:r>
      <w:r w:rsidRPr="0000458A">
        <w:rPr>
          <w:rStyle w:val="StyleUnderline"/>
        </w:rPr>
        <w:t xml:space="preserve"> at issue here </w:t>
      </w:r>
      <w:r w:rsidRPr="00456038">
        <w:rPr>
          <w:rStyle w:val="StyleUnderline"/>
          <w:highlight w:val="cyan"/>
        </w:rPr>
        <w:t xml:space="preserve">impose </w:t>
      </w:r>
      <w:r w:rsidRPr="0000458A">
        <w:rPr>
          <w:rStyle w:val="Emphasis"/>
        </w:rPr>
        <w:t xml:space="preserve">devastating </w:t>
      </w:r>
      <w:r w:rsidRPr="00456038">
        <w:rPr>
          <w:rStyle w:val="Emphasis"/>
          <w:highlight w:val="cyan"/>
        </w:rPr>
        <w:t>consequences</w:t>
      </w:r>
      <w:r w:rsidRPr="00456038">
        <w:rPr>
          <w:rStyle w:val="StyleUnderline"/>
          <w:highlight w:val="cyan"/>
        </w:rPr>
        <w:t xml:space="preserve"> on</w:t>
      </w:r>
      <w:r w:rsidRPr="0000458A">
        <w:rPr>
          <w:rStyle w:val="StyleUnderline"/>
        </w:rPr>
        <w:t xml:space="preserve"> </w:t>
      </w:r>
      <w:r w:rsidRPr="00456038">
        <w:rPr>
          <w:rStyle w:val="Emphasis"/>
          <w:highlight w:val="cyan"/>
        </w:rPr>
        <w:t>l</w:t>
      </w:r>
      <w:r w:rsidRPr="0000458A">
        <w:rPr>
          <w:rStyle w:val="StyleUnderline"/>
        </w:rPr>
        <w:t xml:space="preserve">awful </w:t>
      </w:r>
      <w:r w:rsidRPr="00456038">
        <w:rPr>
          <w:rStyle w:val="Emphasis"/>
          <w:highlight w:val="cyan"/>
        </w:rPr>
        <w:t>p</w:t>
      </w:r>
      <w:r w:rsidRPr="0000458A">
        <w:rPr>
          <w:rStyle w:val="StyleUnderline"/>
        </w:rPr>
        <w:t xml:space="preserve">ermanent </w:t>
      </w:r>
      <w:r w:rsidRPr="00456038">
        <w:rPr>
          <w:rStyle w:val="Emphasis"/>
          <w:highlight w:val="cyan"/>
        </w:rPr>
        <w:t>r</w:t>
      </w:r>
      <w:r w:rsidRPr="0000458A">
        <w:rPr>
          <w:rStyle w:val="StyleUnderline"/>
        </w:rPr>
        <w:t>esident</w:t>
      </w:r>
      <w:r w:rsidRPr="00456038">
        <w:rPr>
          <w:rStyle w:val="Emphasis"/>
          <w:highlight w:val="cyan"/>
        </w:rPr>
        <w:t>s</w:t>
      </w:r>
      <w:r w:rsidRPr="0000458A">
        <w:rPr>
          <w:rStyle w:val="StyleUnderline"/>
        </w:rPr>
        <w:t xml:space="preserve"> </w:t>
      </w:r>
      <w:r w:rsidRPr="00456038">
        <w:rPr>
          <w:rStyle w:val="Emphasis"/>
          <w:highlight w:val="cyan"/>
        </w:rPr>
        <w:t>and asylum seekers</w:t>
      </w:r>
      <w:r w:rsidRPr="0000458A">
        <w:rPr>
          <w:rStyle w:val="StyleUnderline"/>
        </w:rPr>
        <w:t xml:space="preserve"> </w:t>
      </w:r>
      <w:r w:rsidRPr="0000458A">
        <w:rPr>
          <w:sz w:val="16"/>
        </w:rPr>
        <w:t xml:space="preserve">alike. </w:t>
      </w:r>
      <w:r w:rsidRPr="0000458A">
        <w:rPr>
          <w:rStyle w:val="StyleUnderline"/>
        </w:rPr>
        <w:t>A person convicted of an “</w:t>
      </w:r>
      <w:r w:rsidRPr="0000458A">
        <w:rPr>
          <w:rStyle w:val="Emphasis"/>
        </w:rPr>
        <w:t>aggravated felony</w:t>
      </w:r>
      <w:r w:rsidRPr="0000458A">
        <w:rPr>
          <w:rStyle w:val="StyleUnderline"/>
        </w:rPr>
        <w:t xml:space="preserve">” is </w:t>
      </w:r>
      <w:r w:rsidRPr="0000458A">
        <w:rPr>
          <w:rStyle w:val="Emphasis"/>
        </w:rPr>
        <w:t>deportable</w:t>
      </w:r>
      <w:r w:rsidRPr="0000458A">
        <w:rPr>
          <w:sz w:val="16"/>
        </w:rPr>
        <w:t xml:space="preserve"> under 8 U.S.C. § 1227(a)(2)(A)(iii). Moreover, when deportation proceedings are instituted on the basis of an aggravated felony, </w:t>
      </w:r>
      <w:r w:rsidRPr="0000458A">
        <w:rPr>
          <w:rStyle w:val="Emphasis"/>
        </w:rPr>
        <w:t>removal</w:t>
      </w:r>
      <w:r w:rsidRPr="0000458A">
        <w:rPr>
          <w:rStyle w:val="StyleUnderline"/>
        </w:rPr>
        <w:t xml:space="preserve"> is </w:t>
      </w:r>
      <w:r w:rsidRPr="0000458A">
        <w:rPr>
          <w:rStyle w:val="Emphasis"/>
        </w:rPr>
        <w:t>mandatory</w:t>
      </w:r>
      <w:r w:rsidRPr="0000458A">
        <w:rPr>
          <w:rStyle w:val="StyleUnderline"/>
        </w:rPr>
        <w:t>; the noncitizen cannot seek discretionary relief</w:t>
      </w:r>
      <w:r w:rsidRPr="0000458A">
        <w:rPr>
          <w:sz w:val="16"/>
        </w:rPr>
        <w:t xml:space="preserve"> such as asylum or cancellation of removal. Id. §§ 1158- (b)(2)(A)(ii), (B)(i); id. §§ 1229b(a)(3), (b)(1)(C). Even worse, because courts have imposed no statute of limitations or ex post facto protections to limit these consequences</w:t>
      </w:r>
      <w:r w:rsidRPr="0000458A">
        <w:rPr>
          <w:rStyle w:val="StyleUnderline"/>
        </w:rPr>
        <w:t xml:space="preserve">, </w:t>
      </w:r>
      <w:r w:rsidRPr="00456038">
        <w:rPr>
          <w:rStyle w:val="StyleUnderline"/>
          <w:highlight w:val="cyan"/>
        </w:rPr>
        <w:t xml:space="preserve">a noncitizen may be </w:t>
      </w:r>
      <w:r w:rsidRPr="00456038">
        <w:rPr>
          <w:rStyle w:val="Emphasis"/>
          <w:highlight w:val="cyan"/>
        </w:rPr>
        <w:t>deported</w:t>
      </w:r>
      <w:r w:rsidRPr="0000458A">
        <w:rPr>
          <w:rStyle w:val="StyleUnderline"/>
        </w:rPr>
        <w:t xml:space="preserve"> based </w:t>
      </w:r>
      <w:r w:rsidRPr="00456038">
        <w:rPr>
          <w:rStyle w:val="StyleUnderline"/>
          <w:highlight w:val="cyan"/>
        </w:rPr>
        <w:t>on</w:t>
      </w:r>
      <w:r w:rsidRPr="0000458A">
        <w:rPr>
          <w:rStyle w:val="StyleUnderline"/>
        </w:rPr>
        <w:t xml:space="preserve"> the subsequent </w:t>
      </w:r>
      <w:r w:rsidRPr="00456038">
        <w:rPr>
          <w:rStyle w:val="Emphasis"/>
          <w:highlight w:val="cyan"/>
        </w:rPr>
        <w:t>reclassification of an offense</w:t>
      </w:r>
      <w:r w:rsidRPr="00456038">
        <w:rPr>
          <w:rStyle w:val="StyleUnderline"/>
          <w:highlight w:val="cyan"/>
        </w:rPr>
        <w:t xml:space="preserve"> </w:t>
      </w:r>
      <w:r w:rsidRPr="00456038">
        <w:rPr>
          <w:rStyle w:val="Emphasis"/>
          <w:highlight w:val="cyan"/>
        </w:rPr>
        <w:t>as an aggravated felony</w:t>
      </w:r>
      <w:r w:rsidRPr="0000458A">
        <w:rPr>
          <w:rStyle w:val="StyleUnderline"/>
        </w:rPr>
        <w:t xml:space="preserve"> many </w:t>
      </w:r>
      <w:r w:rsidRPr="00456038">
        <w:rPr>
          <w:rStyle w:val="Emphasis"/>
          <w:highlight w:val="cyan"/>
        </w:rPr>
        <w:t>years after</w:t>
      </w:r>
      <w:r w:rsidRPr="00456038">
        <w:rPr>
          <w:rStyle w:val="StyleUnderline"/>
          <w:highlight w:val="cyan"/>
        </w:rPr>
        <w:t xml:space="preserve"> the </w:t>
      </w:r>
      <w:r w:rsidRPr="00456038">
        <w:rPr>
          <w:rStyle w:val="Emphasis"/>
          <w:highlight w:val="cyan"/>
        </w:rPr>
        <w:t>offense</w:t>
      </w:r>
      <w:r w:rsidRPr="0000458A">
        <w:rPr>
          <w:rStyle w:val="Emphasis"/>
        </w:rPr>
        <w:t xml:space="preserve"> was </w:t>
      </w:r>
      <w:r w:rsidRPr="0000458A">
        <w:rPr>
          <w:rStyle w:val="StyleUnderline"/>
        </w:rPr>
        <w:t xml:space="preserve">actually </w:t>
      </w:r>
      <w:r w:rsidRPr="0000458A">
        <w:rPr>
          <w:rStyle w:val="Emphasis"/>
        </w:rPr>
        <w:t>committed</w:t>
      </w:r>
      <w:r w:rsidRPr="0000458A">
        <w:rPr>
          <w:sz w:val="16"/>
        </w:rPr>
        <w:t>. See id. §§ 1227(a)(2)(A)(iii); see also, e.g., Perriello v. Napolitano, 579 F.3d 135, 137 (2d Cir. 2009) (“We acknowledge the significant hardship that Perriello and his family will face as a result of the unaccountable delay in the decision to seek his removal decades after his conviction, and notwithstanding his evidently lawful and productive life in the interval.”); Kuhali v. Reno, 266 F.3d 93, 110-111 (2d Cir. 2001) (similar).</w:t>
      </w:r>
    </w:p>
    <w:p w14:paraId="5EBD0BB9" w14:textId="77777777" w:rsidR="00B51F6B" w:rsidRPr="0000458A" w:rsidRDefault="00B51F6B" w:rsidP="00B51F6B">
      <w:pPr>
        <w:rPr>
          <w:sz w:val="16"/>
        </w:rPr>
      </w:pPr>
      <w:r w:rsidRPr="0000458A">
        <w:rPr>
          <w:rStyle w:val="StyleUnderline"/>
        </w:rPr>
        <w:t>The rule of immigration lenity has particular force</w:t>
      </w:r>
      <w:r w:rsidRPr="0000458A">
        <w:rPr>
          <w:sz w:val="16"/>
        </w:rPr>
        <w:t xml:space="preserve"> where, as here, </w:t>
      </w:r>
      <w:r w:rsidRPr="00456038">
        <w:rPr>
          <w:rStyle w:val="StyleUnderline"/>
          <w:highlight w:val="cyan"/>
        </w:rPr>
        <w:t>the statute</w:t>
      </w:r>
      <w:r w:rsidRPr="0000458A">
        <w:rPr>
          <w:rStyle w:val="StyleUnderline"/>
        </w:rPr>
        <w:t xml:space="preserve"> at issue “</w:t>
      </w:r>
      <w:r w:rsidRPr="00456038">
        <w:rPr>
          <w:rStyle w:val="StyleUnderline"/>
          <w:highlight w:val="cyan"/>
        </w:rPr>
        <w:t>was designed to accomplish</w:t>
      </w:r>
      <w:r w:rsidRPr="0000458A">
        <w:rPr>
          <w:rStyle w:val="StyleUnderline"/>
        </w:rPr>
        <w:t xml:space="preserve"> a </w:t>
      </w:r>
      <w:r w:rsidRPr="00456038">
        <w:rPr>
          <w:rStyle w:val="StyleUnderline"/>
          <w:highlight w:val="cyan"/>
        </w:rPr>
        <w:t>humanitarian</w:t>
      </w:r>
      <w:r w:rsidRPr="0000458A">
        <w:rPr>
          <w:rStyle w:val="StyleUnderline"/>
        </w:rPr>
        <w:t xml:space="preserve"> </w:t>
      </w:r>
      <w:r w:rsidRPr="00456038">
        <w:rPr>
          <w:rStyle w:val="StyleUnderline"/>
          <w:highlight w:val="cyan"/>
        </w:rPr>
        <w:t>result</w:t>
      </w:r>
      <w:r w:rsidRPr="0000458A">
        <w:rPr>
          <w:sz w:val="16"/>
        </w:rPr>
        <w:t xml:space="preserve">.” INS v. Errico, 385 U.S. 214, 225 (1966). Errico involved an INA provision providing for removal of noncitizens who had originally procured entry into the United States by fraud. Id. at 215. </w:t>
      </w:r>
      <w:r w:rsidRPr="0000458A">
        <w:rPr>
          <w:rStyle w:val="StyleUnderline"/>
        </w:rPr>
        <w:t xml:space="preserve">The provision contained an </w:t>
      </w:r>
      <w:r w:rsidRPr="0000458A">
        <w:rPr>
          <w:rStyle w:val="Emphasis"/>
        </w:rPr>
        <w:t>exception for</w:t>
      </w:r>
      <w:r w:rsidRPr="0000458A">
        <w:rPr>
          <w:rStyle w:val="StyleUnderline"/>
        </w:rPr>
        <w:t xml:space="preserve"> the spouse, parent, or child of a United States citizen or </w:t>
      </w:r>
      <w:r w:rsidRPr="0000458A">
        <w:rPr>
          <w:rStyle w:val="Emphasis"/>
        </w:rPr>
        <w:t>l</w:t>
      </w:r>
      <w:r w:rsidRPr="0000458A">
        <w:rPr>
          <w:rStyle w:val="StyleUnderline"/>
        </w:rPr>
        <w:t xml:space="preserve">awful </w:t>
      </w:r>
      <w:r w:rsidRPr="0000458A">
        <w:rPr>
          <w:rStyle w:val="Emphasis"/>
        </w:rPr>
        <w:t>p</w:t>
      </w:r>
      <w:r w:rsidRPr="0000458A">
        <w:rPr>
          <w:rStyle w:val="StyleUnderline"/>
        </w:rPr>
        <w:t xml:space="preserve">ermanent </w:t>
      </w:r>
      <w:r w:rsidRPr="0000458A">
        <w:rPr>
          <w:rStyle w:val="Emphasis"/>
        </w:rPr>
        <w:t>r</w:t>
      </w:r>
      <w:r w:rsidRPr="0000458A">
        <w:rPr>
          <w:rStyle w:val="StyleUnderline"/>
        </w:rPr>
        <w:t xml:space="preserve">esident so long as </w:t>
      </w:r>
      <w:r w:rsidRPr="0000458A">
        <w:rPr>
          <w:rStyle w:val="Emphasis"/>
        </w:rPr>
        <w:t>the person</w:t>
      </w:r>
      <w:r w:rsidRPr="0000458A">
        <w:rPr>
          <w:rStyle w:val="StyleUnderline"/>
        </w:rPr>
        <w:t xml:space="preserve"> seeking an exception </w:t>
      </w:r>
      <w:r w:rsidRPr="0000458A">
        <w:rPr>
          <w:rStyle w:val="Emphasis"/>
        </w:rPr>
        <w:t>had been</w:t>
      </w:r>
      <w:r w:rsidRPr="0000458A">
        <w:rPr>
          <w:rStyle w:val="StyleUnderline"/>
        </w:rPr>
        <w:t xml:space="preserve"> “otherwise </w:t>
      </w:r>
      <w:r w:rsidRPr="0000458A">
        <w:rPr>
          <w:rStyle w:val="Emphasis"/>
        </w:rPr>
        <w:t>admissible at the time of entry</w:t>
      </w:r>
      <w:r w:rsidRPr="0000458A">
        <w:rPr>
          <w:rStyle w:val="StyleUnderline"/>
        </w:rPr>
        <w:t xml:space="preserve">.” </w:t>
      </w:r>
      <w:r w:rsidRPr="0000458A">
        <w:rPr>
          <w:sz w:val="16"/>
        </w:rPr>
        <w:t xml:space="preserve">Ibid. </w:t>
      </w:r>
      <w:r w:rsidRPr="0000458A">
        <w:rPr>
          <w:rStyle w:val="StyleUnderline"/>
        </w:rPr>
        <w:t>The Court interpreted the term “</w:t>
      </w:r>
      <w:r w:rsidRPr="0000458A">
        <w:rPr>
          <w:rStyle w:val="Emphasis"/>
        </w:rPr>
        <w:t>otherwise admissible</w:t>
      </w:r>
      <w:r w:rsidRPr="0000458A">
        <w:rPr>
          <w:rStyle w:val="StyleUnderline"/>
        </w:rPr>
        <w:t xml:space="preserve">” in </w:t>
      </w:r>
      <w:r w:rsidRPr="0000458A">
        <w:rPr>
          <w:rStyle w:val="Emphasis"/>
        </w:rPr>
        <w:t>favor</w:t>
      </w:r>
      <w:r w:rsidRPr="0000458A">
        <w:rPr>
          <w:rStyle w:val="StyleUnderline"/>
        </w:rPr>
        <w:t xml:space="preserve"> of the </w:t>
      </w:r>
      <w:r w:rsidRPr="0000458A">
        <w:rPr>
          <w:rStyle w:val="Emphasis"/>
        </w:rPr>
        <w:t>noncitizen</w:t>
      </w:r>
      <w:r w:rsidRPr="0000458A">
        <w:rPr>
          <w:sz w:val="16"/>
        </w:rPr>
        <w:t xml:space="preserve">,3 explaining that </w:t>
      </w:r>
      <w:r w:rsidRPr="0000458A">
        <w:rPr>
          <w:rStyle w:val="StyleUnderline"/>
        </w:rPr>
        <w:t>the exception should be read</w:t>
      </w:r>
      <w:r w:rsidRPr="0000458A">
        <w:rPr>
          <w:sz w:val="16"/>
        </w:rPr>
        <w:t xml:space="preserve"> broadly “</w:t>
      </w:r>
      <w:r w:rsidRPr="0000458A">
        <w:rPr>
          <w:rStyle w:val="StyleUnderline"/>
        </w:rPr>
        <w:t>in the light of its humanitarian purpose of preventing the breaking up of families</w:t>
      </w:r>
      <w:r w:rsidRPr="0000458A">
        <w:rPr>
          <w:sz w:val="16"/>
        </w:rPr>
        <w:t xml:space="preserve"> composed in part at least of American citizens.” Id. at 225.</w:t>
      </w:r>
    </w:p>
    <w:p w14:paraId="1577950C" w14:textId="77777777" w:rsidR="00B51F6B" w:rsidRPr="0000458A" w:rsidRDefault="00B51F6B" w:rsidP="00B51F6B">
      <w:pPr>
        <w:rPr>
          <w:sz w:val="16"/>
        </w:rPr>
      </w:pPr>
      <w:r w:rsidRPr="0000458A">
        <w:rPr>
          <w:rStyle w:val="StyleUnderline"/>
        </w:rPr>
        <w:t>The statutes providing for cancellation of removal and asylum mirror the structure of the provision</w:t>
      </w:r>
      <w:r w:rsidRPr="0000458A">
        <w:rPr>
          <w:sz w:val="16"/>
        </w:rPr>
        <w:t xml:space="preserve"> analyzed in Errico. </w:t>
      </w:r>
      <w:r w:rsidRPr="00456038">
        <w:rPr>
          <w:rStyle w:val="StyleUnderline"/>
          <w:highlight w:val="cyan"/>
        </w:rPr>
        <w:t xml:space="preserve">They were </w:t>
      </w:r>
      <w:r w:rsidRPr="00456038">
        <w:rPr>
          <w:rStyle w:val="Emphasis"/>
          <w:highlight w:val="cyan"/>
        </w:rPr>
        <w:t>enacted with humanitarian goals</w:t>
      </w:r>
      <w:r w:rsidRPr="0000458A">
        <w:rPr>
          <w:sz w:val="16"/>
        </w:rPr>
        <w:t xml:space="preserve"> in mind: </w:t>
      </w:r>
      <w:r w:rsidRPr="0000458A">
        <w:rPr>
          <w:rStyle w:val="StyleUnderline"/>
        </w:rPr>
        <w:t xml:space="preserve">avoiding overly harsh results, </w:t>
      </w:r>
      <w:r w:rsidRPr="0000458A">
        <w:rPr>
          <w:rStyle w:val="Emphasis"/>
        </w:rPr>
        <w:t>protecting citizens who would suffer</w:t>
      </w:r>
      <w:r w:rsidRPr="0000458A">
        <w:rPr>
          <w:sz w:val="16"/>
        </w:rPr>
        <w:t xml:space="preserve"> if a noncitizen were removed, and </w:t>
      </w:r>
      <w:r w:rsidRPr="0000458A">
        <w:rPr>
          <w:rStyle w:val="StyleUnderline"/>
        </w:rPr>
        <w:t xml:space="preserve">ensuring the </w:t>
      </w:r>
      <w:r w:rsidRPr="0000458A">
        <w:rPr>
          <w:rStyle w:val="Emphasis"/>
        </w:rPr>
        <w:t>safety of refugees</w:t>
      </w:r>
      <w:r w:rsidRPr="0000458A">
        <w:rPr>
          <w:sz w:val="16"/>
        </w:rPr>
        <w:t xml:space="preserve"> fleeing persecution. </w:t>
      </w:r>
      <w:r w:rsidRPr="00456038">
        <w:rPr>
          <w:rStyle w:val="StyleUnderline"/>
          <w:highlight w:val="cyan"/>
        </w:rPr>
        <w:t>The denial of</w:t>
      </w:r>
      <w:r w:rsidRPr="0000458A">
        <w:rPr>
          <w:rStyle w:val="StyleUnderline"/>
        </w:rPr>
        <w:t xml:space="preserve"> a request for</w:t>
      </w:r>
      <w:r w:rsidRPr="0000458A">
        <w:rPr>
          <w:sz w:val="16"/>
        </w:rPr>
        <w:t xml:space="preserve"> cancellation of </w:t>
      </w:r>
      <w:r w:rsidRPr="0000458A">
        <w:rPr>
          <w:rStyle w:val="StyleUnderline"/>
        </w:rPr>
        <w:t>removal or asyl</w:t>
      </w:r>
      <w:r w:rsidRPr="00456038">
        <w:rPr>
          <w:rStyle w:val="StyleUnderline"/>
          <w:highlight w:val="cyan"/>
        </w:rPr>
        <w:t xml:space="preserve">um results in the </w:t>
      </w:r>
      <w:r w:rsidRPr="00456038">
        <w:rPr>
          <w:rStyle w:val="Emphasis"/>
          <w:highlight w:val="cyan"/>
        </w:rPr>
        <w:t>ultimate</w:t>
      </w:r>
      <w:r w:rsidRPr="0000458A">
        <w:rPr>
          <w:rStyle w:val="Emphasis"/>
        </w:rPr>
        <w:t xml:space="preserve"> immigration </w:t>
      </w:r>
      <w:r w:rsidRPr="00456038">
        <w:rPr>
          <w:rStyle w:val="Emphasis"/>
          <w:highlight w:val="cyan"/>
        </w:rPr>
        <w:t>consequence</w:t>
      </w:r>
      <w:r w:rsidRPr="0000458A">
        <w:rPr>
          <w:rStyle w:val="StyleUnderline"/>
        </w:rPr>
        <w:t>—</w:t>
      </w:r>
      <w:r w:rsidRPr="00456038">
        <w:rPr>
          <w:rStyle w:val="Emphasis"/>
          <w:highlight w:val="cyan"/>
        </w:rPr>
        <w:t>deportation</w:t>
      </w:r>
      <w:r w:rsidRPr="0000458A">
        <w:rPr>
          <w:sz w:val="16"/>
        </w:rPr>
        <w:t xml:space="preserve">. Thus, </w:t>
      </w:r>
      <w:r w:rsidRPr="00456038">
        <w:rPr>
          <w:rStyle w:val="StyleUnderline"/>
          <w:highlight w:val="cyan"/>
        </w:rPr>
        <w:t xml:space="preserve">where </w:t>
      </w:r>
      <w:r w:rsidRPr="00456038">
        <w:rPr>
          <w:rStyle w:val="Emphasis"/>
          <w:highlight w:val="cyan"/>
        </w:rPr>
        <w:t>ambiguous</w:t>
      </w:r>
      <w:r w:rsidRPr="0000458A">
        <w:rPr>
          <w:rStyle w:val="StyleUnderline"/>
        </w:rPr>
        <w:t xml:space="preserve">, </w:t>
      </w:r>
      <w:r w:rsidRPr="00456038">
        <w:rPr>
          <w:rStyle w:val="StyleUnderline"/>
          <w:highlight w:val="cyan"/>
        </w:rPr>
        <w:t xml:space="preserve">these </w:t>
      </w:r>
      <w:r w:rsidRPr="00456038">
        <w:rPr>
          <w:rStyle w:val="Emphasis"/>
          <w:highlight w:val="cyan"/>
        </w:rPr>
        <w:t>provisions should be</w:t>
      </w:r>
      <w:r w:rsidRPr="0000458A">
        <w:rPr>
          <w:rStyle w:val="StyleUnderline"/>
        </w:rPr>
        <w:t xml:space="preserve"> interpreted </w:t>
      </w:r>
      <w:r w:rsidRPr="00456038">
        <w:rPr>
          <w:rStyle w:val="Emphasis"/>
          <w:highlight w:val="cyan"/>
        </w:rPr>
        <w:t>in favor of</w:t>
      </w:r>
      <w:r w:rsidRPr="00456038">
        <w:rPr>
          <w:rStyle w:val="StyleUnderline"/>
          <w:highlight w:val="cyan"/>
        </w:rPr>
        <w:t xml:space="preserve"> the </w:t>
      </w:r>
      <w:r w:rsidRPr="00456038">
        <w:rPr>
          <w:rStyle w:val="Emphasis"/>
          <w:highlight w:val="cyan"/>
        </w:rPr>
        <w:t>noncitizen</w:t>
      </w:r>
      <w:r w:rsidRPr="0000458A">
        <w:rPr>
          <w:sz w:val="16"/>
        </w:rPr>
        <w:t>.</w:t>
      </w:r>
    </w:p>
    <w:p w14:paraId="279DA2DC" w14:textId="77777777" w:rsidR="00B51F6B" w:rsidRPr="0000458A" w:rsidRDefault="00B51F6B" w:rsidP="00B51F6B">
      <w:pPr>
        <w:rPr>
          <w:sz w:val="16"/>
        </w:rPr>
      </w:pPr>
      <w:r w:rsidRPr="0000458A">
        <w:rPr>
          <w:sz w:val="16"/>
        </w:rPr>
        <w:t xml:space="preserve">II. </w:t>
      </w:r>
      <w:r w:rsidRPr="0000458A">
        <w:rPr>
          <w:rStyle w:val="StyleUnderline"/>
        </w:rPr>
        <w:t>THE GOVERNMENT’S APPROACH WOULD READ “AGGRAVATED FELONY” TO COVER LOW-LEVEL OFFENSES</w:t>
      </w:r>
      <w:r w:rsidRPr="0000458A">
        <w:rPr>
          <w:sz w:val="16"/>
        </w:rPr>
        <w:t xml:space="preserve"> FOR </w:t>
      </w:r>
      <w:r w:rsidRPr="0000458A">
        <w:rPr>
          <w:rStyle w:val="StyleUnderline"/>
        </w:rPr>
        <w:t>WHICH CONGRESS DID NOT INTEND TO IMPOSE</w:t>
      </w:r>
      <w:r w:rsidRPr="0000458A">
        <w:rPr>
          <w:sz w:val="16"/>
        </w:rPr>
        <w:t xml:space="preserve"> MANDATORY </w:t>
      </w:r>
      <w:r w:rsidRPr="0000458A">
        <w:rPr>
          <w:rStyle w:val="StyleUnderline"/>
        </w:rPr>
        <w:t>REMOVAL</w:t>
      </w:r>
      <w:r w:rsidRPr="0000458A">
        <w:rPr>
          <w:sz w:val="16"/>
        </w:rPr>
        <w:t xml:space="preserve">. </w:t>
      </w:r>
    </w:p>
    <w:p w14:paraId="22C2C10D" w14:textId="538014C5" w:rsidR="00B51F6B" w:rsidRDefault="00B51F6B" w:rsidP="00B51F6B">
      <w:pPr>
        <w:rPr>
          <w:sz w:val="16"/>
        </w:rPr>
      </w:pPr>
      <w:r w:rsidRPr="0000458A">
        <w:rPr>
          <w:rStyle w:val="StyleUnderline"/>
        </w:rPr>
        <w:t xml:space="preserve">This </w:t>
      </w:r>
      <w:r w:rsidRPr="0000458A">
        <w:rPr>
          <w:rStyle w:val="Emphasis"/>
        </w:rPr>
        <w:t>Court</w:t>
      </w:r>
      <w:r w:rsidRPr="0000458A">
        <w:rPr>
          <w:rStyle w:val="StyleUnderline"/>
        </w:rPr>
        <w:t xml:space="preserve"> has cautioned </w:t>
      </w:r>
      <w:r w:rsidRPr="0000458A">
        <w:rPr>
          <w:rStyle w:val="Emphasis"/>
        </w:rPr>
        <w:t>against</w:t>
      </w:r>
      <w:r w:rsidRPr="0000458A">
        <w:rPr>
          <w:rStyle w:val="StyleUnderline"/>
        </w:rPr>
        <w:t xml:space="preserve"> </w:t>
      </w:r>
      <w:r w:rsidRPr="0000458A">
        <w:rPr>
          <w:rStyle w:val="Emphasis"/>
        </w:rPr>
        <w:t>interpreting</w:t>
      </w:r>
      <w:r w:rsidRPr="0000458A">
        <w:rPr>
          <w:sz w:val="16"/>
        </w:rPr>
        <w:t xml:space="preserve"> the “</w:t>
      </w:r>
      <w:r w:rsidRPr="0000458A">
        <w:rPr>
          <w:rStyle w:val="Emphasis"/>
        </w:rPr>
        <w:t>aggravated felony</w:t>
      </w:r>
      <w:r w:rsidRPr="0000458A">
        <w:rPr>
          <w:sz w:val="16"/>
        </w:rPr>
        <w:t xml:space="preserve">” provision </w:t>
      </w:r>
      <w:r w:rsidRPr="0000458A">
        <w:rPr>
          <w:rStyle w:val="StyleUnderline"/>
        </w:rPr>
        <w:t xml:space="preserve">to </w:t>
      </w:r>
      <w:r w:rsidRPr="0000458A">
        <w:rPr>
          <w:rStyle w:val="Emphasis"/>
        </w:rPr>
        <w:t>encompass offenses</w:t>
      </w:r>
      <w:r w:rsidRPr="0000458A">
        <w:rPr>
          <w:rStyle w:val="StyleUnderline"/>
        </w:rPr>
        <w:t xml:space="preserve"> that may be </w:t>
      </w:r>
      <w:r w:rsidRPr="0000458A">
        <w:rPr>
          <w:rStyle w:val="Emphasis"/>
        </w:rPr>
        <w:t>neither aggravated</w:t>
      </w:r>
      <w:r w:rsidRPr="0000458A">
        <w:rPr>
          <w:rStyle w:val="StyleUnderline"/>
        </w:rPr>
        <w:t xml:space="preserve"> nor </w:t>
      </w:r>
      <w:r w:rsidRPr="0000458A">
        <w:rPr>
          <w:rStyle w:val="Emphasis"/>
        </w:rPr>
        <w:t>felonies</w:t>
      </w:r>
      <w:r w:rsidRPr="0000458A">
        <w:rPr>
          <w:sz w:val="16"/>
        </w:rPr>
        <w:t xml:space="preserve">— a result that “the English language tells us not to expect.” Carachuri-Rosendo v. Holder, 560 U.S. 563, 575 (2010). The government’s approach in this case ignores that warning. Instead, </w:t>
      </w:r>
      <w:r w:rsidRPr="0000458A">
        <w:rPr>
          <w:rStyle w:val="StyleUnderline"/>
        </w:rPr>
        <w:t>the government proposes to interpret Section 1101</w:t>
      </w:r>
      <w:r w:rsidRPr="0000458A">
        <w:rPr>
          <w:sz w:val="16"/>
        </w:rPr>
        <w:t xml:space="preserve">(a)(43)(A) </w:t>
      </w:r>
      <w:r w:rsidRPr="0000458A">
        <w:rPr>
          <w:rStyle w:val="StyleUnderline"/>
        </w:rPr>
        <w:t xml:space="preserve">as sweeping in </w:t>
      </w:r>
      <w:r w:rsidRPr="0000458A">
        <w:rPr>
          <w:rStyle w:val="Emphasis"/>
        </w:rPr>
        <w:t>low-level offenses</w:t>
      </w:r>
      <w:r w:rsidRPr="0000458A">
        <w:rPr>
          <w:rStyle w:val="StyleUnderline"/>
        </w:rPr>
        <w:t>, including misdemeanors, involving conduct that is not even a crime</w:t>
      </w:r>
      <w:r w:rsidRPr="0000458A">
        <w:rPr>
          <w:sz w:val="16"/>
        </w:rPr>
        <w:t xml:space="preserve"> in most jurisdictions. As petitioner demonstrates, federal law does not criminalize consensual sexual intercourse between a 21-year-old and someone who is almost 18. Petr. Br. 17-19. Nor does the Model Penal Code, and nor do the vast majority of states. Id. at 20-21. Indeed, while every state criminalizes sex between someone under 16 and a person more than four years older, only seven states criminalize the leastculpable conduct at issue here. Ibid.</w:t>
      </w:r>
    </w:p>
    <w:p w14:paraId="73A9B190" w14:textId="049C6E5C" w:rsidR="00621D20" w:rsidRDefault="00621D20" w:rsidP="00621D20">
      <w:pPr>
        <w:pStyle w:val="Heading3"/>
      </w:pPr>
      <w:r>
        <w:t>2AC – AT: No Circuit Split</w:t>
      </w:r>
    </w:p>
    <w:p w14:paraId="40F71498" w14:textId="6AB87ECE" w:rsidR="00621D20" w:rsidRDefault="00621D20" w:rsidP="00621D20">
      <w:pPr>
        <w:pStyle w:val="Heading4"/>
      </w:pPr>
      <w:r>
        <w:t>Especially over immigration.</w:t>
      </w:r>
    </w:p>
    <w:p w14:paraId="61DDDDDD" w14:textId="77777777" w:rsidR="00621D20" w:rsidRDefault="00621D20" w:rsidP="00621D20">
      <w:r>
        <w:rPr>
          <w:rStyle w:val="Style13ptBold"/>
        </w:rPr>
        <w:t>Sharpless 17</w:t>
      </w:r>
      <w:r>
        <w:t xml:space="preserve"> – Rebecca Sharpless, Clinical Professor at University of Miami School of Law ("Zone of Nondeference: Chevron and Deportation for a Crime,” 9 Drexel L. Review 323, available online at https://drexel.edu/law/lawreview/issues/Archives/v9-2/sharpless/, accessed 6-25-2020) LR</w:t>
      </w:r>
    </w:p>
    <w:p w14:paraId="17954E8A" w14:textId="77777777" w:rsidR="00621D20" w:rsidRPr="000D1928" w:rsidRDefault="00621D20" w:rsidP="00621D20">
      <w:pPr>
        <w:rPr>
          <w:sz w:val="16"/>
        </w:rPr>
      </w:pPr>
      <w:r w:rsidRPr="00927235">
        <w:rPr>
          <w:rStyle w:val="StyleUnderline"/>
        </w:rPr>
        <w:t>With respect to immigration law</w:t>
      </w:r>
      <w:r w:rsidRPr="000D1928">
        <w:rPr>
          <w:sz w:val="16"/>
        </w:rPr>
        <w:t xml:space="preserve">, the </w:t>
      </w:r>
      <w:r w:rsidRPr="00927235">
        <w:rPr>
          <w:rStyle w:val="StyleUnderline"/>
        </w:rPr>
        <w:t>general rule is that</w:t>
      </w:r>
      <w:r w:rsidRPr="000D1928">
        <w:rPr>
          <w:sz w:val="16"/>
        </w:rPr>
        <w:t xml:space="preserve"> the “principles of </w:t>
      </w:r>
      <w:r w:rsidRPr="00063A5B">
        <w:rPr>
          <w:rStyle w:val="Emphasis"/>
        </w:rPr>
        <w:t>Chevron deference are applicable</w:t>
      </w:r>
      <w:r w:rsidRPr="000D1928">
        <w:rPr>
          <w:sz w:val="16"/>
        </w:rPr>
        <w:t xml:space="preserve">.”82 </w:t>
      </w:r>
      <w:r w:rsidRPr="00927235">
        <w:rPr>
          <w:rStyle w:val="StyleUnderline"/>
        </w:rPr>
        <w:t xml:space="preserve">Congress has granted </w:t>
      </w:r>
      <w:r w:rsidRPr="000D1928">
        <w:rPr>
          <w:sz w:val="16"/>
        </w:rPr>
        <w:t xml:space="preserve">the </w:t>
      </w:r>
      <w:r w:rsidRPr="00927235">
        <w:rPr>
          <w:rStyle w:val="StyleUnderline"/>
        </w:rPr>
        <w:t>authority to interpret the INA to the Attorney General, who has in turn delegated</w:t>
      </w:r>
      <w:r w:rsidRPr="000D1928">
        <w:rPr>
          <w:sz w:val="16"/>
        </w:rPr>
        <w:t xml:space="preserve"> adjudicative </w:t>
      </w:r>
      <w:r w:rsidRPr="00927235">
        <w:rPr>
          <w:rStyle w:val="StyleUnderline"/>
        </w:rPr>
        <w:t>authority to the BIA</w:t>
      </w:r>
      <w:r w:rsidRPr="000D1928">
        <w:rPr>
          <w:sz w:val="16"/>
        </w:rPr>
        <w:t xml:space="preserve"> by regulation.83 Indeed, the Supreme Court has historically applied a form of super-deference to immigration questions in light of the plenary power doctrine, which empowered Congress and the executive branch to act with unfettered authority in the area of immigration.84 </w:t>
      </w:r>
    </w:p>
    <w:p w14:paraId="55F2C326" w14:textId="77777777" w:rsidR="00621D20" w:rsidRPr="000D1928" w:rsidRDefault="00621D20" w:rsidP="00621D20">
      <w:pPr>
        <w:rPr>
          <w:sz w:val="16"/>
        </w:rPr>
      </w:pPr>
      <w:r w:rsidRPr="000D1928">
        <w:rPr>
          <w:sz w:val="16"/>
        </w:rPr>
        <w:t xml:space="preserve">The </w:t>
      </w:r>
      <w:r w:rsidRPr="000D1928">
        <w:rPr>
          <w:rStyle w:val="StyleUnderline"/>
        </w:rPr>
        <w:t>story</w:t>
      </w:r>
      <w:r w:rsidRPr="000D1928">
        <w:rPr>
          <w:sz w:val="16"/>
        </w:rPr>
        <w:t xml:space="preserve">, however, is </w:t>
      </w:r>
      <w:r w:rsidRPr="00063A5B">
        <w:rPr>
          <w:rStyle w:val="Emphasis"/>
        </w:rPr>
        <w:t>not so simple</w:t>
      </w:r>
      <w:r w:rsidRPr="000D1928">
        <w:rPr>
          <w:rStyle w:val="StyleUnderline"/>
        </w:rPr>
        <w:t xml:space="preserve">. Just as criminal law jurisprudence includes an </w:t>
      </w:r>
      <w:r w:rsidRPr="00063A5B">
        <w:rPr>
          <w:rStyle w:val="StyleUnderline"/>
        </w:rPr>
        <w:t>interpretive rule of lenity, immigration</w:t>
      </w:r>
      <w:r w:rsidRPr="000D1928">
        <w:rPr>
          <w:rStyle w:val="StyleUnderline"/>
        </w:rPr>
        <w:t xml:space="preserve"> law has a “longstanding principle of construing</w:t>
      </w:r>
      <w:r w:rsidRPr="000D1928">
        <w:rPr>
          <w:sz w:val="16"/>
        </w:rPr>
        <w:t xml:space="preserve"> any lingering </w:t>
      </w:r>
      <w:r w:rsidRPr="000D1928">
        <w:rPr>
          <w:rStyle w:val="StyleUnderline"/>
        </w:rPr>
        <w:t>ambiguities</w:t>
      </w:r>
      <w:r w:rsidRPr="000D1928">
        <w:rPr>
          <w:sz w:val="16"/>
        </w:rPr>
        <w:t xml:space="preserve"> in deportation statutes </w:t>
      </w:r>
      <w:r w:rsidRPr="000D1928">
        <w:rPr>
          <w:rStyle w:val="StyleUnderline"/>
        </w:rPr>
        <w:t>in favor of the alien.”</w:t>
      </w:r>
      <w:r w:rsidRPr="000D1928">
        <w:rPr>
          <w:sz w:val="16"/>
        </w:rPr>
        <w:t xml:space="preserve">85 With origins in early deportation cases, </w:t>
      </w:r>
      <w:r w:rsidRPr="000D1928">
        <w:rPr>
          <w:rStyle w:val="StyleUnderline"/>
        </w:rPr>
        <w:t>this “</w:t>
      </w:r>
      <w:r w:rsidRPr="00063A5B">
        <w:rPr>
          <w:rStyle w:val="Emphasis"/>
        </w:rPr>
        <w:t>rule of immigration lenity</w:t>
      </w:r>
      <w:r w:rsidRPr="000D1928">
        <w:rPr>
          <w:rStyle w:val="StyleUnderline"/>
        </w:rPr>
        <w:t>” aims to protect noncitizens from deportation in cases where</w:t>
      </w:r>
      <w:r w:rsidRPr="000D1928">
        <w:rPr>
          <w:sz w:val="16"/>
        </w:rPr>
        <w:t xml:space="preserve"> the </w:t>
      </w:r>
      <w:r w:rsidRPr="000D1928">
        <w:rPr>
          <w:rStyle w:val="StyleUnderline"/>
        </w:rPr>
        <w:t>meaning of a statutory provision is not clear.</w:t>
      </w:r>
      <w:r w:rsidRPr="000D1928">
        <w:rPr>
          <w:sz w:val="16"/>
        </w:rPr>
        <w:t xml:space="preserve">86 The rule stems from the Court’s longstanding recognition that “deportation is a drastic measure and at times the equivalent of banishment or exile.”87 </w:t>
      </w:r>
      <w:r w:rsidRPr="000D1928">
        <w:rPr>
          <w:rStyle w:val="StyleUnderline"/>
        </w:rPr>
        <w:t xml:space="preserve">The Court has </w:t>
      </w:r>
      <w:r w:rsidRPr="00063A5B">
        <w:rPr>
          <w:rStyle w:val="Emphasis"/>
        </w:rPr>
        <w:t>not</w:t>
      </w:r>
      <w:r w:rsidRPr="000D1928">
        <w:rPr>
          <w:sz w:val="16"/>
        </w:rPr>
        <w:t xml:space="preserve"> directly </w:t>
      </w:r>
      <w:r w:rsidRPr="00063A5B">
        <w:rPr>
          <w:rStyle w:val="Emphasis"/>
        </w:rPr>
        <w:t>addressed</w:t>
      </w:r>
      <w:r w:rsidRPr="00063A5B">
        <w:rPr>
          <w:rStyle w:val="StyleUnderline"/>
        </w:rPr>
        <w:t xml:space="preserve"> the relationship</w:t>
      </w:r>
      <w:r w:rsidRPr="000D1928">
        <w:rPr>
          <w:rStyle w:val="StyleUnderline"/>
        </w:rPr>
        <w:t xml:space="preserve"> between Chevron and</w:t>
      </w:r>
      <w:r w:rsidRPr="000D1928">
        <w:rPr>
          <w:sz w:val="16"/>
        </w:rPr>
        <w:t xml:space="preserve"> the presumption in favor of </w:t>
      </w:r>
      <w:r w:rsidRPr="000D1928">
        <w:rPr>
          <w:rStyle w:val="StyleUnderline"/>
        </w:rPr>
        <w:t>lenity.</w:t>
      </w:r>
      <w:r w:rsidRPr="000D1928">
        <w:rPr>
          <w:sz w:val="16"/>
        </w:rPr>
        <w:t xml:space="preserve">88 </w:t>
      </w:r>
    </w:p>
    <w:p w14:paraId="5D35596D" w14:textId="77777777" w:rsidR="00621D20" w:rsidRPr="00206D52" w:rsidRDefault="00621D20" w:rsidP="00621D20">
      <w:pPr>
        <w:rPr>
          <w:sz w:val="16"/>
        </w:rPr>
      </w:pPr>
      <w:r w:rsidRPr="00206D52">
        <w:rPr>
          <w:rStyle w:val="StyleUnderline"/>
        </w:rPr>
        <w:t>Further complicating</w:t>
      </w:r>
      <w:r w:rsidRPr="00206D52">
        <w:rPr>
          <w:sz w:val="16"/>
        </w:rPr>
        <w:t xml:space="preserve"> the </w:t>
      </w:r>
      <w:r w:rsidRPr="00206D52">
        <w:rPr>
          <w:rStyle w:val="StyleUnderline"/>
        </w:rPr>
        <w:t>Chevron</w:t>
      </w:r>
      <w:r w:rsidRPr="00206D52">
        <w:rPr>
          <w:sz w:val="16"/>
        </w:rPr>
        <w:t xml:space="preserve">/immigration law relationship </w:t>
      </w:r>
      <w:r w:rsidRPr="00206D52">
        <w:rPr>
          <w:rStyle w:val="StyleUnderline"/>
        </w:rPr>
        <w:t>is</w:t>
      </w:r>
      <w:r w:rsidRPr="00206D52">
        <w:rPr>
          <w:sz w:val="16"/>
        </w:rPr>
        <w:t xml:space="preserve"> the reality </w:t>
      </w:r>
      <w:r w:rsidRPr="00206D52">
        <w:rPr>
          <w:rStyle w:val="StyleUnderline"/>
        </w:rPr>
        <w:t xml:space="preserve">that </w:t>
      </w:r>
      <w:r w:rsidRPr="00063A5B">
        <w:rPr>
          <w:rStyle w:val="Emphasis"/>
        </w:rPr>
        <w:t>immigration law intertwines with criminal law</w:t>
      </w:r>
      <w:r w:rsidRPr="00206D52">
        <w:rPr>
          <w:rStyle w:val="StyleUnderline"/>
        </w:rPr>
        <w:t>.</w:t>
      </w:r>
      <w:r w:rsidRPr="00206D52">
        <w:rPr>
          <w:sz w:val="16"/>
        </w:rPr>
        <w:t xml:space="preserve">89 As mentioned above, the controversy centers on whether courts defer to agency interpretations of terms defining the scope of a crime-based removal ground.90 The </w:t>
      </w:r>
      <w:r w:rsidRPr="00206D52">
        <w:rPr>
          <w:rStyle w:val="StyleUnderline"/>
        </w:rPr>
        <w:t>terms and phrases</w:t>
      </w:r>
      <w:r w:rsidRPr="00206D52">
        <w:rPr>
          <w:sz w:val="16"/>
        </w:rPr>
        <w:t xml:space="preserve"> divide into four basic categories: (1) those </w:t>
      </w:r>
      <w:r w:rsidRPr="00206D52">
        <w:rPr>
          <w:rStyle w:val="StyleUnderline"/>
        </w:rPr>
        <w:t>involving interpretation</w:t>
      </w:r>
      <w:r w:rsidRPr="00206D52">
        <w:rPr>
          <w:sz w:val="16"/>
        </w:rPr>
        <w:t xml:space="preserve"> of a term or phrase </w:t>
      </w:r>
      <w:r w:rsidRPr="00206D52">
        <w:rPr>
          <w:rStyle w:val="StyleUnderline"/>
        </w:rPr>
        <w:t>expressly defined in a federal criminal statute</w:t>
      </w:r>
      <w:r w:rsidRPr="00206D52">
        <w:rPr>
          <w:sz w:val="16"/>
        </w:rPr>
        <w:t xml:space="preserve">, like “crime of violence;” (2) those </w:t>
      </w:r>
      <w:r w:rsidRPr="00206D52">
        <w:rPr>
          <w:rStyle w:val="StyleUnderline"/>
        </w:rPr>
        <w:t>employing</w:t>
      </w:r>
      <w:r w:rsidRPr="00206D52">
        <w:rPr>
          <w:sz w:val="16"/>
        </w:rPr>
        <w:t xml:space="preserve"> a </w:t>
      </w:r>
      <w:r w:rsidRPr="00206D52">
        <w:rPr>
          <w:rStyle w:val="StyleUnderline"/>
        </w:rPr>
        <w:t>general criminal law</w:t>
      </w:r>
      <w:r w:rsidRPr="00206D52">
        <w:rPr>
          <w:sz w:val="16"/>
        </w:rPr>
        <w:t xml:space="preserve"> term, like “conviction,” “burglary,” or “theft;” (3) those </w:t>
      </w:r>
      <w:r w:rsidRPr="00206D52">
        <w:rPr>
          <w:rStyle w:val="StyleUnderline"/>
        </w:rPr>
        <w:t>describing a category of offenses</w:t>
      </w:r>
      <w:r w:rsidRPr="00206D52">
        <w:rPr>
          <w:sz w:val="16"/>
        </w:rPr>
        <w:t xml:space="preserve">, like “sexual abuse of a minor” or “crime involving moral turpitude;” and (4) those </w:t>
      </w:r>
      <w:r w:rsidRPr="00206D52">
        <w:rPr>
          <w:rStyle w:val="StyleUnderline"/>
        </w:rPr>
        <w:t>relating to statutory terms that have no distinct criminal law meaning</w:t>
      </w:r>
      <w:r w:rsidRPr="00206D52">
        <w:rPr>
          <w:sz w:val="16"/>
        </w:rPr>
        <w:t xml:space="preserve">, like “described in,” or “relating to,” or “involving.”91 While some of these statutory terms are part of the aggravated felony definition— the designation that carries the most serious immigration consequences and also appears in federal criminal law—others are not.92 </w:t>
      </w:r>
    </w:p>
    <w:p w14:paraId="62B49585" w14:textId="77777777" w:rsidR="00621D20" w:rsidRPr="00436B6D" w:rsidRDefault="00621D20" w:rsidP="00621D20">
      <w:pPr>
        <w:rPr>
          <w:sz w:val="16"/>
        </w:rPr>
      </w:pPr>
      <w:r w:rsidRPr="00436B6D">
        <w:rPr>
          <w:sz w:val="16"/>
        </w:rPr>
        <w:t xml:space="preserve">As to the </w:t>
      </w:r>
      <w:r w:rsidRPr="00436B6D">
        <w:rPr>
          <w:rStyle w:val="StyleUnderline"/>
        </w:rPr>
        <w:t>first category</w:t>
      </w:r>
      <w:r w:rsidRPr="00436B6D">
        <w:rPr>
          <w:sz w:val="16"/>
        </w:rPr>
        <w:t xml:space="preserve">, cross-referenced terms, </w:t>
      </w:r>
      <w:r w:rsidRPr="00436B6D">
        <w:rPr>
          <w:rStyle w:val="StyleUnderline"/>
        </w:rPr>
        <w:t>courts agree</w:t>
      </w:r>
      <w:r w:rsidRPr="00436B6D">
        <w:rPr>
          <w:sz w:val="16"/>
        </w:rPr>
        <w:t xml:space="preserve"> that </w:t>
      </w:r>
      <w:r w:rsidRPr="00436B6D">
        <w:rPr>
          <w:rStyle w:val="StyleUnderline"/>
        </w:rPr>
        <w:t>Chevron has no bearing</w:t>
      </w:r>
      <w:r w:rsidRPr="00436B6D">
        <w:rPr>
          <w:sz w:val="16"/>
        </w:rPr>
        <w:t xml:space="preserve">.93 The U.S. Attorney General has recognized that “courts do not afford Chevron deference to the Board’s interpretation of a criminal provision incorporated by reference into the INA.”94 “Incorporated,” in this view, means expressly cross-referenced by statute number. The Supreme Court routinely reviews this type of case with no mention of Chevron deference.95 </w:t>
      </w:r>
      <w:r w:rsidRPr="00436B6D">
        <w:rPr>
          <w:rStyle w:val="StyleUnderline"/>
        </w:rPr>
        <w:t>The same reasoning holds true for the second category</w:t>
      </w:r>
      <w:r w:rsidRPr="00436B6D">
        <w:rPr>
          <w:sz w:val="16"/>
        </w:rPr>
        <w:t xml:space="preserve">—criminal terms for which there is no cross-referenced federal criminal definition. When faced with interpreting the term “burglary,” for example, the Court in Taylor v. United States defined the term “generically” by surveying the laws of the states, federal law, and the Model Penal Code.96 The BIA and courts have imported this definition of burglary into immigration law.97 </w:t>
      </w:r>
    </w:p>
    <w:p w14:paraId="44D8F0E0" w14:textId="77777777" w:rsidR="00621D20" w:rsidRPr="00EA359B" w:rsidRDefault="00621D20" w:rsidP="00621D20">
      <w:pPr>
        <w:rPr>
          <w:sz w:val="16"/>
        </w:rPr>
      </w:pPr>
      <w:r w:rsidRPr="00EA359B">
        <w:rPr>
          <w:rStyle w:val="StyleUnderline"/>
        </w:rPr>
        <w:t>Terms and phrases that describe a group of offenses or</w:t>
      </w:r>
      <w:r w:rsidRPr="00EA359B">
        <w:rPr>
          <w:sz w:val="16"/>
        </w:rPr>
        <w:t xml:space="preserve"> that </w:t>
      </w:r>
      <w:r w:rsidRPr="00EA359B">
        <w:rPr>
          <w:rStyle w:val="StyleUnderline"/>
        </w:rPr>
        <w:t>have no settled meaning in criminal law are more controversial.</w:t>
      </w:r>
      <w:r w:rsidRPr="00EA359B">
        <w:rPr>
          <w:sz w:val="16"/>
        </w:rPr>
        <w:t xml:space="preserve">98 </w:t>
      </w:r>
      <w:r w:rsidRPr="00EA359B">
        <w:rPr>
          <w:rStyle w:val="StyleUnderline"/>
        </w:rPr>
        <w:t>Esquivel-Quintana illustrates the controversy</w:t>
      </w:r>
      <w:r w:rsidRPr="00EA359B">
        <w:rPr>
          <w:sz w:val="16"/>
        </w:rPr>
        <w:t xml:space="preserve"> of this type of interpretive question, addressing the meaning of “sexual abuse of a minor” in the aggravated felony definition.99 Esquivel-Quintana argued, and the Court agreed, that </w:t>
      </w:r>
      <w:r w:rsidRPr="00EA359B">
        <w:rPr>
          <w:rStyle w:val="StyleUnderline"/>
        </w:rPr>
        <w:t>the unambiguous meaning</w:t>
      </w:r>
      <w:r w:rsidRPr="00EA359B">
        <w:rPr>
          <w:sz w:val="16"/>
        </w:rPr>
        <w:t xml:space="preserve"> of “sexual abuse of a minor” </w:t>
      </w:r>
      <w:r w:rsidRPr="00EA359B">
        <w:rPr>
          <w:rStyle w:val="StyleUnderline"/>
        </w:rPr>
        <w:t>emerges from the interpretive approach</w:t>
      </w:r>
      <w:r w:rsidRPr="00EA359B">
        <w:rPr>
          <w:sz w:val="16"/>
        </w:rPr>
        <w:t xml:space="preserve"> employed in Taylor— surveying federal law, state law, and the Model Penal Code.100 </w:t>
      </w:r>
      <w:r w:rsidRPr="00EA359B">
        <w:rPr>
          <w:rStyle w:val="StyleUnderline"/>
        </w:rPr>
        <w:t xml:space="preserve">The phrase “sexual abuse of a minor,” </w:t>
      </w:r>
      <w:r w:rsidRPr="00EA359B">
        <w:rPr>
          <w:sz w:val="16"/>
        </w:rPr>
        <w:t xml:space="preserve">in the Court’s view, </w:t>
      </w:r>
      <w:r w:rsidRPr="00EA359B">
        <w:rPr>
          <w:rStyle w:val="StyleUnderline"/>
        </w:rPr>
        <w:t>is a generic term like “burglary</w:t>
      </w:r>
      <w:r w:rsidRPr="00EA359B">
        <w:rPr>
          <w:sz w:val="16"/>
        </w:rPr>
        <w:t xml:space="preserve">” in Taylor.101 </w:t>
      </w:r>
      <w:r w:rsidRPr="00EA359B">
        <w:rPr>
          <w:rStyle w:val="StyleUnderline"/>
        </w:rPr>
        <w:t>The Court rejected the government’s contention that the phrase</w:t>
      </w:r>
      <w:r w:rsidRPr="00EA359B">
        <w:rPr>
          <w:sz w:val="16"/>
        </w:rPr>
        <w:t xml:space="preserve"> does not describe a generic crime but a category of offenses </w:t>
      </w:r>
      <w:r w:rsidRPr="00EA359B">
        <w:rPr>
          <w:rStyle w:val="StyleUnderline"/>
        </w:rPr>
        <w:t xml:space="preserve">appropriate for Chevron </w:t>
      </w:r>
      <w:r w:rsidRPr="00EA359B">
        <w:rPr>
          <w:sz w:val="16"/>
        </w:rPr>
        <w:t xml:space="preserve">deference.102 </w:t>
      </w:r>
    </w:p>
    <w:p w14:paraId="519D87E2" w14:textId="77777777" w:rsidR="00621D20" w:rsidRDefault="00621D20" w:rsidP="00621D20">
      <w:pPr>
        <w:rPr>
          <w:sz w:val="16"/>
        </w:rPr>
      </w:pPr>
      <w:r w:rsidRPr="007A5C08">
        <w:rPr>
          <w:rStyle w:val="StyleUnderline"/>
        </w:rPr>
        <w:t xml:space="preserve">Esquivel-Quintana involved the aggravated felony definition, a </w:t>
      </w:r>
      <w:r w:rsidRPr="00063A5B">
        <w:rPr>
          <w:rStyle w:val="Emphasis"/>
        </w:rPr>
        <w:t>hybrid statute</w:t>
      </w:r>
      <w:r w:rsidRPr="007A5C08">
        <w:rPr>
          <w:rStyle w:val="StyleUnderline"/>
        </w:rPr>
        <w:t>.</w:t>
      </w:r>
      <w:r w:rsidRPr="00063A5B">
        <w:rPr>
          <w:sz w:val="16"/>
          <w:szCs w:val="16"/>
        </w:rPr>
        <w:t>1</w:t>
      </w:r>
      <w:r w:rsidRPr="007A5C08">
        <w:rPr>
          <w:sz w:val="16"/>
        </w:rPr>
        <w:t xml:space="preserve">03 But </w:t>
      </w:r>
      <w:r w:rsidRPr="007A5C08">
        <w:rPr>
          <w:rStyle w:val="StyleUnderline"/>
        </w:rPr>
        <w:t>interpretive questions</w:t>
      </w:r>
      <w:r w:rsidRPr="007A5C08">
        <w:rPr>
          <w:sz w:val="16"/>
        </w:rPr>
        <w:t xml:space="preserve"> relating to non-aggravated felonies </w:t>
      </w:r>
      <w:r w:rsidRPr="007A5C08">
        <w:rPr>
          <w:rStyle w:val="StyleUnderline"/>
        </w:rPr>
        <w:t>present</w:t>
      </w:r>
      <w:r w:rsidRPr="007A5C08">
        <w:rPr>
          <w:sz w:val="16"/>
        </w:rPr>
        <w:t xml:space="preserve"> an </w:t>
      </w:r>
      <w:r w:rsidRPr="007A5C08">
        <w:rPr>
          <w:rStyle w:val="StyleUnderline"/>
        </w:rPr>
        <w:t>even closer</w:t>
      </w:r>
      <w:r w:rsidRPr="007A5C08">
        <w:rPr>
          <w:sz w:val="16"/>
        </w:rPr>
        <w:t xml:space="preserve"> question, </w:t>
      </w:r>
      <w:r w:rsidRPr="007A5C08">
        <w:rPr>
          <w:rStyle w:val="StyleUnderline"/>
        </w:rPr>
        <w:t>as these grounds have no criminal law application. The</w:t>
      </w:r>
      <w:r w:rsidRPr="007A5C08">
        <w:rPr>
          <w:sz w:val="16"/>
        </w:rPr>
        <w:t xml:space="preserve"> Supreme </w:t>
      </w:r>
      <w:r w:rsidRPr="007A5C08">
        <w:rPr>
          <w:rStyle w:val="StyleUnderline"/>
        </w:rPr>
        <w:t>Court has suggested</w:t>
      </w:r>
      <w:r w:rsidRPr="007A5C08">
        <w:rPr>
          <w:sz w:val="16"/>
        </w:rPr>
        <w:t xml:space="preserve">—albeit briefly—that </w:t>
      </w:r>
      <w:r w:rsidRPr="007A5C08">
        <w:rPr>
          <w:rStyle w:val="StyleUnderline"/>
        </w:rPr>
        <w:t>Chevron is relevant in such cases</w:t>
      </w:r>
      <w:r w:rsidRPr="007A5C08">
        <w:rPr>
          <w:sz w:val="16"/>
        </w:rPr>
        <w:t xml:space="preserve">, at least with respect to statutory terms that have no distinct criminal law meaning (the fourth category above).104 </w:t>
      </w:r>
      <w:r w:rsidRPr="007A5C08">
        <w:rPr>
          <w:rStyle w:val="StyleUnderline"/>
        </w:rPr>
        <w:t>In Mellouli v. Lynch, the Court interpreted the phrase “relating to” in the controlled substance criminal deportation ground.</w:t>
      </w:r>
      <w:r w:rsidRPr="007A5C08">
        <w:rPr>
          <w:sz w:val="16"/>
        </w:rPr>
        <w:t xml:space="preserve">105 At issue was whether a Kansas misdemeanor for possession of drug paraphernalia constituted a deportable drug offense under a provision that authorizes the removal of a noncitizen “convicted of a violation of . . . any law or regulation of a State, the United States, or a foreign country relating to a controlled substance (as defined in [the federal Controlled Substances Act]).”106 </w:t>
      </w:r>
      <w:r w:rsidRPr="007A5C08">
        <w:rPr>
          <w:rStyle w:val="StyleUnderline"/>
        </w:rPr>
        <w:t>The Court held that</w:t>
      </w:r>
      <w:r w:rsidRPr="007A5C08">
        <w:rPr>
          <w:sz w:val="16"/>
        </w:rPr>
        <w:t xml:space="preserve"> the Kansas paraphernalia </w:t>
      </w:r>
      <w:r w:rsidRPr="007A5C08">
        <w:rPr>
          <w:rStyle w:val="StyleUnderline"/>
        </w:rPr>
        <w:t>conviction was not a deportable offense because</w:t>
      </w:r>
      <w:r w:rsidRPr="007A5C08">
        <w:rPr>
          <w:sz w:val="16"/>
        </w:rPr>
        <w:t xml:space="preserve"> the Kansas </w:t>
      </w:r>
      <w:r w:rsidRPr="007A5C08">
        <w:rPr>
          <w:rStyle w:val="StyleUnderline"/>
        </w:rPr>
        <w:t>drug schedule was broader</w:t>
      </w:r>
      <w:r w:rsidRPr="007A5C08">
        <w:rPr>
          <w:sz w:val="16"/>
        </w:rPr>
        <w:t xml:space="preserve"> than the one described in the Controlled Substances Act.107 The Court reasoned that the paraphernalia conviction did not necessarily “relate to” a federal controlled substance because it could have related to a substance criminalized by Kansas, but not federal, law.108 </w:t>
      </w:r>
      <w:r w:rsidRPr="007A5C08">
        <w:rPr>
          <w:rStyle w:val="StyleUnderline"/>
        </w:rPr>
        <w:t>Characterizing the BIA’s contrary interpretation as “ma[king] scant sense,”</w:t>
      </w:r>
      <w:r w:rsidRPr="007A5C08">
        <w:rPr>
          <w:sz w:val="16"/>
        </w:rPr>
        <w:t xml:space="preserve"> the </w:t>
      </w:r>
      <w:r w:rsidRPr="007A5C08">
        <w:rPr>
          <w:rStyle w:val="StyleUnderline"/>
        </w:rPr>
        <w:t>Court found the agency was “owed no deference</w:t>
      </w:r>
      <w:r w:rsidRPr="007A5C08">
        <w:rPr>
          <w:sz w:val="16"/>
        </w:rPr>
        <w:t xml:space="preserve"> under the doctrine described in Chevron.”109 </w:t>
      </w:r>
      <w:r w:rsidRPr="007A5C08">
        <w:rPr>
          <w:rStyle w:val="StyleUnderline"/>
        </w:rPr>
        <w:t xml:space="preserve">The Court thus </w:t>
      </w:r>
      <w:r w:rsidRPr="00063A5B">
        <w:rPr>
          <w:rStyle w:val="Emphasis"/>
        </w:rPr>
        <w:t>appeared to engage</w:t>
      </w:r>
      <w:r w:rsidRPr="007A5C08">
        <w:rPr>
          <w:rStyle w:val="StyleUnderline"/>
        </w:rPr>
        <w:t xml:space="preserve"> in a step two </w:t>
      </w:r>
      <w:r w:rsidRPr="00063A5B">
        <w:rPr>
          <w:rStyle w:val="Emphasis"/>
        </w:rPr>
        <w:t>Chevron inquiry</w:t>
      </w:r>
      <w:r w:rsidRPr="007A5C08">
        <w:rPr>
          <w:rStyle w:val="StyleUnderline"/>
        </w:rPr>
        <w:t>, rejecting</w:t>
      </w:r>
      <w:r w:rsidRPr="007A5C08">
        <w:rPr>
          <w:sz w:val="16"/>
        </w:rPr>
        <w:t xml:space="preserve"> the </w:t>
      </w:r>
      <w:r w:rsidRPr="007A5C08">
        <w:rPr>
          <w:rStyle w:val="StyleUnderline"/>
        </w:rPr>
        <w:t>BIA’s interpretation</w:t>
      </w:r>
      <w:r w:rsidRPr="007A5C08">
        <w:rPr>
          <w:sz w:val="16"/>
        </w:rPr>
        <w:t xml:space="preserve"> of an ambiguous statute </w:t>
      </w:r>
      <w:r w:rsidRPr="007A5C08">
        <w:rPr>
          <w:rStyle w:val="StyleUnderline"/>
        </w:rPr>
        <w:t>as unreasonable.</w:t>
      </w:r>
      <w:r w:rsidRPr="007A5C08">
        <w:rPr>
          <w:sz w:val="16"/>
        </w:rPr>
        <w:t xml:space="preserve">110 The </w:t>
      </w:r>
      <w:r w:rsidRPr="007A5C08">
        <w:rPr>
          <w:rStyle w:val="StyleUnderline"/>
        </w:rPr>
        <w:t>Court’s</w:t>
      </w:r>
      <w:r w:rsidRPr="007A5C08">
        <w:rPr>
          <w:sz w:val="16"/>
        </w:rPr>
        <w:t xml:space="preserve"> brief </w:t>
      </w:r>
      <w:r w:rsidRPr="007A5C08">
        <w:rPr>
          <w:rStyle w:val="StyleUnderline"/>
        </w:rPr>
        <w:t xml:space="preserve">reasoning </w:t>
      </w:r>
      <w:r w:rsidRPr="00063A5B">
        <w:rPr>
          <w:rStyle w:val="Emphasis"/>
        </w:rPr>
        <w:t>did not reveal</w:t>
      </w:r>
      <w:r w:rsidRPr="007A5C08">
        <w:rPr>
          <w:rStyle w:val="StyleUnderline"/>
        </w:rPr>
        <w:t xml:space="preserve"> why it believed Chevron was relevant.</w:t>
      </w:r>
      <w:r w:rsidRPr="007A5C08">
        <w:rPr>
          <w:sz w:val="16"/>
        </w:rPr>
        <w:t xml:space="preserve">111 </w:t>
      </w:r>
    </w:p>
    <w:p w14:paraId="2372C005" w14:textId="77777777" w:rsidR="00621D20" w:rsidRPr="00634D27" w:rsidRDefault="00621D20" w:rsidP="00621D20">
      <w:pPr>
        <w:rPr>
          <w:sz w:val="16"/>
        </w:rPr>
      </w:pPr>
      <w:r w:rsidRPr="00634D27">
        <w:rPr>
          <w:sz w:val="16"/>
        </w:rPr>
        <w:t xml:space="preserve">Apart from Mellouli, the Court has ignored Chevron when interpreting crime-based removal statutes.112 In cases involving aggravated felony provisions, the Court has neither referred to Chevron nor deferred to the agency, even when Chevron was briefed by the parties.113 </w:t>
      </w:r>
      <w:r w:rsidRPr="00634D27">
        <w:rPr>
          <w:rStyle w:val="StyleUnderline"/>
        </w:rPr>
        <w:t>Lower courts</w:t>
      </w:r>
      <w:r w:rsidRPr="00634D27">
        <w:rPr>
          <w:sz w:val="16"/>
        </w:rPr>
        <w:t xml:space="preserve">, in contrast, </w:t>
      </w:r>
      <w:r w:rsidRPr="00634D27">
        <w:rPr>
          <w:rStyle w:val="StyleUnderline"/>
        </w:rPr>
        <w:t xml:space="preserve">have </w:t>
      </w:r>
      <w:r w:rsidRPr="00063A5B">
        <w:rPr>
          <w:rStyle w:val="Emphasis"/>
        </w:rPr>
        <w:t>often deferred</w:t>
      </w:r>
      <w:r w:rsidRPr="00634D27">
        <w:rPr>
          <w:rStyle w:val="StyleUnderline"/>
        </w:rPr>
        <w:t xml:space="preserve"> to the agency’s interpretations of aggravated felony provisions </w:t>
      </w:r>
      <w:r w:rsidRPr="00063A5B">
        <w:rPr>
          <w:rStyle w:val="Emphasis"/>
        </w:rPr>
        <w:t>without first questioning</w:t>
      </w:r>
      <w:r w:rsidRPr="00634D27">
        <w:rPr>
          <w:rStyle w:val="StyleUnderline"/>
        </w:rPr>
        <w:t xml:space="preserve"> whether deference is appropriate.</w:t>
      </w:r>
      <w:r w:rsidRPr="00634D27">
        <w:rPr>
          <w:sz w:val="16"/>
        </w:rPr>
        <w:t xml:space="preserve">114 </w:t>
      </w:r>
    </w:p>
    <w:p w14:paraId="043D4E45" w14:textId="77777777" w:rsidR="00621D20" w:rsidRPr="00BC362A" w:rsidRDefault="00621D20" w:rsidP="00621D20">
      <w:pPr>
        <w:rPr>
          <w:sz w:val="16"/>
        </w:rPr>
      </w:pPr>
      <w:r w:rsidRPr="00BC362A">
        <w:rPr>
          <w:rStyle w:val="StyleUnderline"/>
        </w:rPr>
        <w:t>The Court has not yet developed</w:t>
      </w:r>
      <w:r w:rsidRPr="00BC362A">
        <w:rPr>
          <w:sz w:val="16"/>
        </w:rPr>
        <w:t xml:space="preserve"> a </w:t>
      </w:r>
      <w:r w:rsidRPr="00BC362A">
        <w:rPr>
          <w:rStyle w:val="StyleUnderline"/>
        </w:rPr>
        <w:t>jurisprudence</w:t>
      </w:r>
      <w:r w:rsidRPr="00BC362A">
        <w:rPr>
          <w:sz w:val="16"/>
        </w:rPr>
        <w:t xml:space="preserve"> addressing </w:t>
      </w:r>
      <w:r w:rsidRPr="00BC362A">
        <w:rPr>
          <w:rStyle w:val="StyleUnderline"/>
        </w:rPr>
        <w:t>when</w:t>
      </w:r>
      <w:r w:rsidRPr="00BC362A">
        <w:rPr>
          <w:sz w:val="16"/>
        </w:rPr>
        <w:t xml:space="preserve">, if ever, </w:t>
      </w:r>
      <w:r w:rsidRPr="00BC362A">
        <w:rPr>
          <w:rStyle w:val="StyleUnderline"/>
        </w:rPr>
        <w:t>Chevron applies to interpretations of crime-based removal grounds.</w:t>
      </w:r>
      <w:r w:rsidRPr="00BC362A">
        <w:rPr>
          <w:sz w:val="16"/>
        </w:rPr>
        <w:t xml:space="preserve"> While there is general agreement that some ambiguity in the criminal grounds of deportation is for courts alone to settle, </w:t>
      </w:r>
      <w:r w:rsidRPr="00BC362A">
        <w:rPr>
          <w:rStyle w:val="StyleUnderline"/>
        </w:rPr>
        <w:t xml:space="preserve">there is </w:t>
      </w:r>
      <w:r w:rsidRPr="00063A5B">
        <w:rPr>
          <w:rStyle w:val="Emphasis"/>
        </w:rPr>
        <w:t>persistent confusion</w:t>
      </w:r>
      <w:r w:rsidRPr="00BC362A">
        <w:rPr>
          <w:sz w:val="16"/>
        </w:rPr>
        <w:t xml:space="preserve"> about which questions fall into this category. </w:t>
      </w:r>
      <w:r w:rsidRPr="00BC362A">
        <w:rPr>
          <w:rStyle w:val="StyleUnderline"/>
        </w:rPr>
        <w:t>The different types of terms and phrases needing interpretation</w:t>
      </w:r>
      <w:r w:rsidRPr="00BC362A">
        <w:rPr>
          <w:sz w:val="16"/>
        </w:rPr>
        <w:t>—</w:t>
      </w:r>
      <w:r w:rsidRPr="00BC362A">
        <w:rPr>
          <w:rStyle w:val="StyleUnderline"/>
        </w:rPr>
        <w:t>and</w:t>
      </w:r>
      <w:r w:rsidRPr="00BC362A">
        <w:rPr>
          <w:sz w:val="16"/>
        </w:rPr>
        <w:t xml:space="preserve"> the cross-cutting </w:t>
      </w:r>
      <w:r w:rsidRPr="00BC362A">
        <w:rPr>
          <w:rStyle w:val="StyleUnderline"/>
        </w:rPr>
        <w:t>issue of whether Chevron applies to deportation statutes that have criminal application</w:t>
      </w:r>
      <w:r w:rsidRPr="00BC362A">
        <w:rPr>
          <w:sz w:val="16"/>
        </w:rPr>
        <w:t xml:space="preserve"> (e.g., the aggravated felony definition)—</w:t>
      </w:r>
      <w:r w:rsidRPr="00BC362A">
        <w:rPr>
          <w:rStyle w:val="StyleUnderline"/>
        </w:rPr>
        <w:t xml:space="preserve">complicate the question of whether Chevron applies in any given scenario. The Court is in </w:t>
      </w:r>
      <w:r w:rsidRPr="00063A5B">
        <w:rPr>
          <w:rStyle w:val="Emphasis"/>
        </w:rPr>
        <w:t>sore need of guidance</w:t>
      </w:r>
      <w:r w:rsidRPr="00BC362A">
        <w:rPr>
          <w:rStyle w:val="StyleUnderline"/>
        </w:rPr>
        <w:t xml:space="preserve"> in the area of </w:t>
      </w:r>
      <w:r w:rsidRPr="00063A5B">
        <w:rPr>
          <w:rStyle w:val="Emphasis"/>
        </w:rPr>
        <w:t>Chevron and deportation</w:t>
      </w:r>
      <w:r w:rsidRPr="00BC362A">
        <w:rPr>
          <w:rStyle w:val="StyleUnderline"/>
        </w:rPr>
        <w:t xml:space="preserve"> for a crime.</w:t>
      </w:r>
      <w:r w:rsidRPr="00BC362A">
        <w:rPr>
          <w:sz w:val="16"/>
        </w:rPr>
        <w:t xml:space="preserve"> </w:t>
      </w:r>
    </w:p>
    <w:p w14:paraId="7DA513D7" w14:textId="27C2244D" w:rsidR="00621D20" w:rsidRDefault="00621D20" w:rsidP="00621D20">
      <w:pPr>
        <w:pStyle w:val="Heading3"/>
      </w:pPr>
      <w:r>
        <w:t>2AC – AT: Lenity Doesn’t Solve Deportations</w:t>
      </w:r>
    </w:p>
    <w:p w14:paraId="628138C0" w14:textId="77777777" w:rsidR="0095149D" w:rsidRPr="0095149D" w:rsidRDefault="0095149D" w:rsidP="0095149D">
      <w:pPr>
        <w:pStyle w:val="Heading4"/>
      </w:pPr>
      <w:r>
        <w:t xml:space="preserve">It’s </w:t>
      </w:r>
      <w:r>
        <w:rPr>
          <w:u w:val="single"/>
        </w:rPr>
        <w:t>impossible</w:t>
      </w:r>
      <w:r>
        <w:t xml:space="preserve"> to apply lenity </w:t>
      </w:r>
      <w:r>
        <w:rPr>
          <w:u w:val="single"/>
        </w:rPr>
        <w:t>without</w:t>
      </w:r>
      <w:r>
        <w:t xml:space="preserve"> helping immigrants.</w:t>
      </w:r>
    </w:p>
    <w:p w14:paraId="126B127E" w14:textId="77777777" w:rsidR="0095149D" w:rsidRDefault="0095149D" w:rsidP="0095149D">
      <w:r>
        <w:rPr>
          <w:rStyle w:val="Style13ptBold"/>
        </w:rPr>
        <w:t xml:space="preserve">Mezzina and Shapiro 17 </w:t>
      </w:r>
      <w:r>
        <w:rPr>
          <w:rStyle w:val="Style13ptBold"/>
          <w:b w:val="0"/>
          <w:bCs w:val="0"/>
        </w:rPr>
        <w:t xml:space="preserve">— </w:t>
      </w:r>
      <w:r>
        <w:t xml:space="preserve">Paul Alessio Mezzina is a partner at King &amp; Spalding and has a JD and AB from Harvard Law; Ilya Shapiro is the director of the Robert A. Levy Center for Constitutional Studies at the Cato Institute, publisher of the Cato Supreme Court Review, has a JD from the University of Chicago Law School, and an AB from Princeton. (“RONY ESTUARDO PEREZ-GUZMAN AKA RONNIE PEREZ-GUZMAN v. JEFFERSON B. SESSIONS III, UNITED STATES ATTORNEY GENERAL: BRIEF OF THE CATO INSTITUTE AS AMIC CURIAE IN SUPPORT OF PETITIONERS” Cato Institute, September 27, 2017. </w:t>
      </w:r>
      <w:hyperlink r:id="rId25" w:history="1">
        <w:r>
          <w:rPr>
            <w:rStyle w:val="Hyperlink"/>
          </w:rPr>
          <w:t>https://www.cato.org/sites/cato.org/files/pubs/pdf/perez-guzman-cert-stage.pdf</w:t>
        </w:r>
      </w:hyperlink>
      <w:r>
        <w:t>)//JLPark</w:t>
      </w:r>
    </w:p>
    <w:p w14:paraId="30B11F1A" w14:textId="77777777" w:rsidR="0095149D" w:rsidRPr="00BE570A" w:rsidRDefault="0095149D" w:rsidP="0095149D">
      <w:pPr>
        <w:rPr>
          <w:rStyle w:val="Style13ptBold"/>
          <w:b w:val="0"/>
          <w:bCs w:val="0"/>
          <w:sz w:val="16"/>
        </w:rPr>
      </w:pPr>
      <w:r w:rsidRPr="00BE570A">
        <w:rPr>
          <w:sz w:val="16"/>
        </w:rPr>
        <w:t xml:space="preserve">III. </w:t>
      </w:r>
      <w:r w:rsidRPr="00BE570A">
        <w:rPr>
          <w:rStyle w:val="StyleUnderline"/>
        </w:rPr>
        <w:t>Courts Should Resolve Statutory Conflicts By Applying Longstanding Rules Of Construction</w:t>
      </w:r>
      <w:r w:rsidRPr="00BE570A">
        <w:rPr>
          <w:sz w:val="16"/>
        </w:rPr>
        <w:t xml:space="preserve"> That Protect Individual Liberty.</w:t>
      </w:r>
    </w:p>
    <w:p w14:paraId="1602EC2F" w14:textId="77777777" w:rsidR="0095149D" w:rsidRPr="00BE570A" w:rsidRDefault="0095149D" w:rsidP="0095149D">
      <w:pPr>
        <w:rPr>
          <w:rStyle w:val="Style13ptBold"/>
          <w:b w:val="0"/>
          <w:bCs w:val="0"/>
          <w:sz w:val="16"/>
        </w:rPr>
      </w:pPr>
      <w:r w:rsidRPr="00BE570A">
        <w:rPr>
          <w:sz w:val="16"/>
        </w:rPr>
        <w:t xml:space="preserve">Petitioner is correct that ordinary principles of statutory construction, including semantic canons like the specific-general canon, weigh heavily against allowing the reinstatement bar to trump the asylum provision. Pet. 24–28. More fundamentally, </w:t>
      </w:r>
      <w:r w:rsidRPr="00BE570A">
        <w:rPr>
          <w:rStyle w:val="StyleUnderline"/>
        </w:rPr>
        <w:t>the asylum provision should prevail under the rule of lenity. Substantive canons like the rule of lenity are an important means by which courts protect fundamental constitutional values, including due process of law, democratic governance, and individual liberty</w:t>
      </w:r>
      <w:r w:rsidRPr="00BE570A">
        <w:rPr>
          <w:sz w:val="16"/>
        </w:rPr>
        <w:t>. The judiciary’s time-honored practice of adhering to those canons is an important reason why courts are better situated than executive agencies to resolve statutory conflicts like the one at issue here.</w:t>
      </w:r>
    </w:p>
    <w:p w14:paraId="092B8259" w14:textId="77777777" w:rsidR="0095149D" w:rsidRPr="00BE570A" w:rsidRDefault="0095149D" w:rsidP="0095149D">
      <w:pPr>
        <w:rPr>
          <w:rStyle w:val="Style13ptBold"/>
          <w:b w:val="0"/>
          <w:bCs w:val="0"/>
          <w:sz w:val="16"/>
          <w:szCs w:val="16"/>
        </w:rPr>
      </w:pPr>
      <w:r w:rsidRPr="00BE570A">
        <w:rPr>
          <w:sz w:val="16"/>
          <w:szCs w:val="16"/>
        </w:rPr>
        <w:t>A “longstanding” canon of construction requires courts to resolve any ambiguities in deportation statutes “in favor of the alien.” INS v. St. Cyr, 533 U.S. 289, 320 (2001) (quoting INS v. Cardoza-Fonseca, 480 U.S. 421, 449 (1987)); see Dada v. Mukasey, 554 U.S. 1, 19 (2008); Pet. 28 n.6. Because this canon embodies the same principle of forbearance that requires construing ambiguous criminal statutes in favor of the defendant, it is often called the “immigration rule of lenity.” E.g., Brian Slocum, The Immigration Rule of Lenity and Chevron Deference, 17 Geo. Immigr. L.J. 515, 520 (2003); see Bonetti v. Rogers, 356 U.S. 691, 699 (1958) (describing the canon as an application of the more general rule of lenity); Fong Haw Tan v. Phelan, 333 U.S. 6, 10 (1948) (explaining that the canon reflects the harshness of deportation, which is akin to exile or banishment); Francis v. Reno, 269 F.3d 162, 170 (3d Cir. 2001).</w:t>
      </w:r>
    </w:p>
    <w:p w14:paraId="65343771" w14:textId="77777777" w:rsidR="0095149D" w:rsidRPr="00BE570A" w:rsidRDefault="0095149D" w:rsidP="0095149D">
      <w:pPr>
        <w:rPr>
          <w:rStyle w:val="Style13ptBold"/>
          <w:b w:val="0"/>
          <w:bCs w:val="0"/>
          <w:sz w:val="16"/>
        </w:rPr>
      </w:pPr>
      <w:r w:rsidRPr="00BE570A">
        <w:rPr>
          <w:rStyle w:val="StyleUnderline"/>
        </w:rPr>
        <w:t>Whether in the criminal context or the immigration context, the rule of lenity reflects a fundamental principle: Congress must speak clearly if it wants to</w:t>
      </w:r>
      <w:r w:rsidRPr="00BE570A">
        <w:rPr>
          <w:sz w:val="16"/>
        </w:rPr>
        <w:t xml:space="preserve"> impose an especially severe </w:t>
      </w:r>
      <w:r w:rsidRPr="00BE570A">
        <w:rPr>
          <w:rStyle w:val="StyleUnderline"/>
        </w:rPr>
        <w:t>deprivation of liberty</w:t>
      </w:r>
      <w:r w:rsidRPr="00BE570A">
        <w:rPr>
          <w:sz w:val="16"/>
        </w:rPr>
        <w:t xml:space="preserve">. Just as the criminal rule of lenity expresses society’s “instinctive distastes against men languishing in prison unless the lawmaker has clearly said they should,” United States v. Bass, 404 U.S. 336, 348 (1971) (quoting Henry Friendly, Benchmarks 209 (1967)), </w:t>
      </w:r>
      <w:r w:rsidRPr="00BE570A">
        <w:rPr>
          <w:rStyle w:val="StyleUnderline"/>
        </w:rPr>
        <w:t>the immigration rule of lenity expresses the law’s distaste for individuals being forcibly removed from the country unless the lawmaker has clearly said they should be</w:t>
      </w:r>
      <w:r w:rsidRPr="00BE570A">
        <w:rPr>
          <w:sz w:val="16"/>
        </w:rPr>
        <w:t>. See also Antonin Scalia &amp; Bryan A. Garner, Reading Law: The Interpretation of Legal Texts 296 (2012) (explaining that the rule of lenity is rooted in the belief that “a just legislature will not decree punishment without making clear what conduct incurs the punishment and what the extent of the punishment will be”); Carter v. Wells-Bowen Realty, Inc., 736 F.3d 722, 731 (6th Cir. 2013) (Sutton, J., concurring) (“The rule of lenity carries into effect the principle that only the legislature, the most democratic and accountable branch of government, should decide what conduct triggers these consequences.”).</w:t>
      </w:r>
    </w:p>
    <w:p w14:paraId="1F3FE336" w14:textId="77777777" w:rsidR="0095149D" w:rsidRPr="00BE570A" w:rsidRDefault="0095149D" w:rsidP="0095149D">
      <w:pPr>
        <w:rPr>
          <w:rStyle w:val="Style13ptBold"/>
          <w:b w:val="0"/>
          <w:bCs w:val="0"/>
          <w:sz w:val="16"/>
        </w:rPr>
      </w:pPr>
      <w:r w:rsidRPr="00BE570A">
        <w:rPr>
          <w:rStyle w:val="StyleUnderline"/>
        </w:rPr>
        <w:t>Chevron</w:t>
      </w:r>
      <w:r w:rsidRPr="00BE570A">
        <w:rPr>
          <w:sz w:val="16"/>
        </w:rPr>
        <w:t xml:space="preserve"> deference, which presumes that Congress has delegated the relevant decision to an agency, </w:t>
      </w:r>
      <w:r w:rsidRPr="00BE570A">
        <w:rPr>
          <w:rStyle w:val="StyleUnderline"/>
        </w:rPr>
        <w:t>cannot trump the rule of lenity</w:t>
      </w:r>
      <w:r w:rsidRPr="00BE570A">
        <w:rPr>
          <w:sz w:val="16"/>
        </w:rPr>
        <w:t xml:space="preserve">, which protects vital liberty interests by providing that only Congress itself can decide to infringe those interests. E.g., Whitman v. United States, 135 S. Ct. 352, 353–54 (2014) (statement of Scalia, J., respecting denial of certiorari); Carter, 736 F.3d at 730–36 (Sutton, J., concurring); see also Nat’l Cable &amp; Telecomm. Ass’n v. Brand X Internet Servs., 545 U.S. 967, 985 (2005) (identifying the rule of lenity as a tool of construction that a court might invoke to justify withholding Chevron deference). As Professor Sunstein has explained, </w:t>
      </w:r>
      <w:r w:rsidRPr="00BE570A">
        <w:rPr>
          <w:rStyle w:val="StyleUnderline"/>
        </w:rPr>
        <w:t>the rule of lenity provides that “important rights and interests” can be infringed “only with respect for the institutional safeguards introduced through the design of Congress</w:t>
      </w:r>
      <w:r w:rsidRPr="00BE570A">
        <w:rPr>
          <w:sz w:val="16"/>
        </w:rPr>
        <w:t>.” Cass R. Sunstein, Nondelegation Canons, 67 U. Chi. L. Rev. 315, 338– 39 (2000). It necessarily follows that the rule of lenity must take precedence over Chevron: “Executive interpretation of a vague statute is not enough when the purpose of the canon is to require Congress to make its instructions clear.” Id. at 331; see also Kenneth A. Bamberger, Normative Canons in the Review of Administrative Policymaking, 118 Yale L.J. 64, 79–80 (2008); Elliott Greenfield, A Lenity Exception to Chevron Deference, 58 Baylor L. Rev. 1, 59–60 (2006); Cass R. Sunstein, Law and Administration After Chevron, 90 Colum. L. Rev. 2071, 2115–16 (1990).</w:t>
      </w:r>
    </w:p>
    <w:p w14:paraId="70FC5D70" w14:textId="77777777" w:rsidR="0095149D" w:rsidRPr="00BE570A" w:rsidRDefault="0095149D" w:rsidP="0095149D">
      <w:pPr>
        <w:rPr>
          <w:rStyle w:val="Style13ptBold"/>
          <w:b w:val="0"/>
          <w:bCs w:val="0"/>
          <w:sz w:val="16"/>
        </w:rPr>
      </w:pPr>
      <w:r w:rsidRPr="00BE570A">
        <w:rPr>
          <w:sz w:val="16"/>
        </w:rPr>
        <w:t xml:space="preserve">By limiting Congress’s ability to delegate particularly important decisions, the rule of </w:t>
      </w:r>
      <w:r w:rsidRPr="00BE570A">
        <w:rPr>
          <w:rStyle w:val="StyleUnderline"/>
        </w:rPr>
        <w:t>lenity helps ensure</w:t>
      </w:r>
      <w:r w:rsidRPr="00BE570A">
        <w:rPr>
          <w:sz w:val="16"/>
        </w:rPr>
        <w:t xml:space="preserve"> that “the scope of </w:t>
      </w:r>
      <w:r w:rsidRPr="00BE570A">
        <w:rPr>
          <w:rStyle w:val="StyleUnderline"/>
        </w:rPr>
        <w:t>individual liberty may be reduced only according to the deliberately difficult processes prescribed by the Constitution</w:t>
      </w:r>
      <w:r w:rsidRPr="00BE570A">
        <w:rPr>
          <w:sz w:val="16"/>
        </w:rPr>
        <w:t xml:space="preserve">.” United States v. Nichols, 784 F.3d 666, 671 (10th Cir. 2015) (Gorsuch, J., dissenting from denial of rehearing en banc). </w:t>
      </w:r>
      <w:r w:rsidRPr="00BE570A">
        <w:rPr>
          <w:rStyle w:val="Emphasis"/>
        </w:rPr>
        <w:t>That is a vital safeguard</w:t>
      </w:r>
      <w:r w:rsidRPr="00BE570A">
        <w:rPr>
          <w:sz w:val="16"/>
        </w:rPr>
        <w:t xml:space="preserve">, </w:t>
      </w:r>
      <w:r w:rsidRPr="00BE570A">
        <w:rPr>
          <w:rStyle w:val="StyleUnderline"/>
        </w:rPr>
        <w:t>as we have “not yet found a better way to preserve freedom than by making the exercise of power subject to the carefully crafted restraints spelled out in the Constitution</w:t>
      </w:r>
      <w:r w:rsidRPr="00BE570A">
        <w:rPr>
          <w:sz w:val="16"/>
        </w:rPr>
        <w:t>”— including the “inefficient” but “deliberate and deliberative” process of bicameralism and presentment. INS v. Chadha, 462 U.S. 919, 959 (1983); see Dep’t of Transp. v. Ass’n of Am. Railroads, 135 S. Ct. 1225, 1252 (2015) (Thomas, J., concurring in the judgment) (agreeing with Alexander Hamilton that “[t]he injury which may possibly be done by defeating a few good laws will be amply compensated by the advantage of preventing a number of bad ones” (quoting The Federalist No. 73, at 444)); NLRB v. Noel Canning, 134 S. Ct. 2550, 2610 (2014) (Scalia, J., concurring in the judgment).</w:t>
      </w:r>
    </w:p>
    <w:p w14:paraId="1C999530" w14:textId="77777777" w:rsidR="0095149D" w:rsidRPr="00BE570A" w:rsidRDefault="0095149D" w:rsidP="0095149D">
      <w:pPr>
        <w:rPr>
          <w:rStyle w:val="Style13ptBold"/>
          <w:b w:val="0"/>
          <w:bCs w:val="0"/>
          <w:sz w:val="16"/>
        </w:rPr>
      </w:pPr>
      <w:r w:rsidRPr="00BE570A">
        <w:rPr>
          <w:rStyle w:val="StyleUnderline"/>
        </w:rPr>
        <w:t>Because the political</w:t>
      </w:r>
      <w:r w:rsidRPr="00BE570A">
        <w:rPr>
          <w:sz w:val="16"/>
        </w:rPr>
        <w:t xml:space="preserve"> branches </w:t>
      </w:r>
      <w:r w:rsidRPr="00BE570A">
        <w:rPr>
          <w:rStyle w:val="StyleUnderline"/>
        </w:rPr>
        <w:t>often prioritize the achievement of their policy</w:t>
      </w:r>
      <w:r w:rsidRPr="00BE570A">
        <w:rPr>
          <w:sz w:val="16"/>
        </w:rPr>
        <w:t xml:space="preserve"> </w:t>
      </w:r>
      <w:r w:rsidRPr="00BE570A">
        <w:rPr>
          <w:rStyle w:val="StyleUnderline"/>
        </w:rPr>
        <w:t>goals over respect for the constitution</w:t>
      </w:r>
      <w:r w:rsidRPr="00BE570A">
        <w:rPr>
          <w:sz w:val="16"/>
        </w:rPr>
        <w:t xml:space="preserve">, however, </w:t>
      </w:r>
      <w:r w:rsidRPr="00BE570A">
        <w:rPr>
          <w:rStyle w:val="StyleUnderline"/>
        </w:rPr>
        <w:t>lenity is a safeguard</w:t>
      </w:r>
      <w:r w:rsidRPr="00BE570A">
        <w:rPr>
          <w:sz w:val="16"/>
        </w:rPr>
        <w:t xml:space="preserve"> “</w:t>
      </w:r>
      <w:r w:rsidRPr="00BE570A">
        <w:rPr>
          <w:rStyle w:val="StyleUnderline"/>
        </w:rPr>
        <w:t xml:space="preserve">that may not be fully </w:t>
      </w:r>
      <w:r w:rsidRPr="00BE570A">
        <w:rPr>
          <w:sz w:val="16"/>
        </w:rPr>
        <w:t>vindicated without the intervention of the courts.” Nichols¸ 784 F.3d at 671 (Gorsuch, J., dissenting from denial of rehearing en banc</w:t>
      </w:r>
      <w:r w:rsidRPr="00BE570A">
        <w:rPr>
          <w:rStyle w:val="StyleUnderline"/>
        </w:rPr>
        <w:t>). “Agencies simply do not have the competency, the motivation, the impartiality, or the insulation from political forces to perform this task adequately</w:t>
      </w:r>
      <w:r w:rsidRPr="00BE570A">
        <w:rPr>
          <w:sz w:val="16"/>
        </w:rPr>
        <w:t>.” Greenfield, supra, at 59.</w:t>
      </w:r>
    </w:p>
    <w:p w14:paraId="4AFD23E2" w14:textId="77777777" w:rsidR="0095149D" w:rsidRPr="00BE570A" w:rsidRDefault="0095149D" w:rsidP="0095149D">
      <w:pPr>
        <w:rPr>
          <w:rStyle w:val="StyleUnderline"/>
        </w:rPr>
      </w:pPr>
      <w:r w:rsidRPr="00BE570A">
        <w:rPr>
          <w:sz w:val="16"/>
        </w:rPr>
        <w:t xml:space="preserve">Other substantive canons likewise promote values that take precedence over Chevron deference. See, e.g., Solid Waste Agency of N. Cook Cnty. v. U.S. Army Corps of Eng’rs, 531 U.S. 159, 172–74 (2001) (avoidance of doubtful constitutional questions); EEOC v. Arabian Am. Oil Co., 499 U.S. 244, 260 (1991) (Scalia, J., concurring in the judgment) (presumption against extraterritoriality), superseded by statute as stated in Arbaugh v. Y&amp;H Corp., 546 U.S. 500, 512 n.8 (2006); Massachusetts v. U.S. Dep’t of Transp., 93 F.3d 890, 893–94 (D.C. Cir. 1996) (presumption against preemption). It makes little difference whether one views lenity and other substantive canons as barring application of the Chevron framework, as clarifying an otherwise ambiguous statute at Chevron “step one,” or as making contrary interpretations unreasonable at Chevron “step two.” The important point is that </w:t>
      </w:r>
      <w:r w:rsidRPr="00BE570A">
        <w:rPr>
          <w:rStyle w:val="StyleUnderline"/>
        </w:rPr>
        <w:t>when criminal punishment or deportation is at stake, courts should not defer to an agency interpretation that infringes liberty more than the statute requires.</w:t>
      </w:r>
    </w:p>
    <w:p w14:paraId="6C567FF2" w14:textId="77777777" w:rsidR="0095149D" w:rsidRPr="0095149D" w:rsidRDefault="0095149D" w:rsidP="0095149D">
      <w:pPr>
        <w:rPr>
          <w:rStyle w:val="StyleUnderline"/>
          <w:sz w:val="16"/>
          <w:u w:val="none"/>
        </w:rPr>
      </w:pPr>
      <w:r w:rsidRPr="00BE570A">
        <w:rPr>
          <w:rStyle w:val="StyleUnderline"/>
        </w:rPr>
        <w:t>The combination of intra-statutory conflict and the rule of lenity should</w:t>
      </w:r>
      <w:r w:rsidRPr="00BE570A">
        <w:rPr>
          <w:sz w:val="16"/>
        </w:rPr>
        <w:t xml:space="preserve"> have made this an easy case. Congress has provided that Mr. Perez-Guzman, a refugee who faces the prospect of torture in his home country, both is and is not eligible for asylum. It is not plausible to </w:t>
      </w:r>
      <w:r w:rsidRPr="00BE570A">
        <w:rPr>
          <w:rStyle w:val="StyleUnderline"/>
        </w:rPr>
        <w:t>interpret Congress’s selfcontradiction as an intentional delegation to unelected bureaucrats</w:t>
      </w:r>
      <w:r w:rsidRPr="00BE570A">
        <w:rPr>
          <w:sz w:val="16"/>
        </w:rPr>
        <w:t xml:space="preserve">. Moreover, to recognize such an </w:t>
      </w:r>
      <w:r w:rsidRPr="00BE570A">
        <w:rPr>
          <w:rStyle w:val="StyleUnderline"/>
        </w:rPr>
        <w:t>implicit delegation would undermine the values lenity is supposed to protect</w:t>
      </w:r>
      <w:r w:rsidRPr="00BE570A">
        <w:rPr>
          <w:sz w:val="16"/>
        </w:rPr>
        <w:t>. In these circumstances a court should choose “the least liberty-infringing” of Congress’s conflicting commands, Esquivel-Quintana v. Lynch, 810 F.3d 1019, 1028 (6th Cir. 2016) (Sutton, J., concurring in part and dissenting in part), rev’d, 137 S. Ct. 1562 (2017), rather than deferring to the attorney general’s preference for a harsher rule.</w:t>
      </w:r>
    </w:p>
    <w:p w14:paraId="757AC93F" w14:textId="4701F4BC" w:rsidR="00621D20" w:rsidRDefault="00621D20" w:rsidP="00621D20">
      <w:pPr>
        <w:pStyle w:val="Heading4"/>
      </w:pPr>
      <w:r>
        <w:t>Yes, it does.</w:t>
      </w:r>
    </w:p>
    <w:p w14:paraId="02876AA1" w14:textId="77777777" w:rsidR="00621D20" w:rsidRPr="00E01499" w:rsidRDefault="00621D20" w:rsidP="00621D20">
      <w:r>
        <w:rPr>
          <w:rStyle w:val="Style13ptBold"/>
        </w:rPr>
        <w:t>Sharpless 17</w:t>
      </w:r>
      <w:r>
        <w:t xml:space="preserve"> – Rebecca Sharpless, Clinical Professor at University of Miami School of Law ("Zone of Nondeference: Chevron and Deportation for a Crime,” 9 Drexel L. Review 323, available online at https://drexel.edu/law/lawreview/issues/Archives/v9-2/sharpless/, accessed 6-25-2020) LR</w:t>
      </w:r>
    </w:p>
    <w:p w14:paraId="201255F7" w14:textId="77777777" w:rsidR="00621D20" w:rsidRPr="00C76CDC" w:rsidRDefault="00621D20" w:rsidP="00621D20">
      <w:pPr>
        <w:rPr>
          <w:sz w:val="16"/>
        </w:rPr>
      </w:pPr>
      <w:r w:rsidRPr="00C13355">
        <w:rPr>
          <w:sz w:val="16"/>
        </w:rPr>
        <w:t xml:space="preserve">This Article begins to develop </w:t>
      </w:r>
      <w:r w:rsidRPr="00C13355">
        <w:rPr>
          <w:rStyle w:val="StyleUnderline"/>
        </w:rPr>
        <w:t xml:space="preserve">a general jurisprudence of Chevron and deportation for a crime, arguing for an expansive principle of </w:t>
      </w:r>
      <w:r w:rsidRPr="00C13355">
        <w:rPr>
          <w:rStyle w:val="Emphasis"/>
        </w:rPr>
        <w:t>nondeference</w:t>
      </w:r>
      <w:r w:rsidRPr="00C13355">
        <w:rPr>
          <w:rStyle w:val="StyleUnderline"/>
        </w:rPr>
        <w:t xml:space="preserve"> in cases involving ambiguity in</w:t>
      </w:r>
      <w:r w:rsidRPr="00C13355">
        <w:rPr>
          <w:sz w:val="16"/>
        </w:rPr>
        <w:t xml:space="preserve"> the scope of </w:t>
      </w:r>
      <w:r w:rsidRPr="00C13355">
        <w:rPr>
          <w:rStyle w:val="StyleUnderline"/>
        </w:rPr>
        <w:t>crime-based removal statutes. The zone</w:t>
      </w:r>
      <w:r w:rsidRPr="00C13355">
        <w:rPr>
          <w:sz w:val="16"/>
        </w:rPr>
        <w:t xml:space="preserve"> of nondeference </w:t>
      </w:r>
      <w:r w:rsidRPr="00C13355">
        <w:rPr>
          <w:rStyle w:val="StyleUnderline"/>
        </w:rPr>
        <w:t>includes</w:t>
      </w:r>
      <w:r w:rsidRPr="00C13355">
        <w:rPr>
          <w:sz w:val="16"/>
        </w:rPr>
        <w:t xml:space="preserve"> not only aggravated felony provisions (</w:t>
      </w:r>
      <w:r w:rsidRPr="00C13355">
        <w:rPr>
          <w:rStyle w:val="Emphasis"/>
        </w:rPr>
        <w:t>hybrid statutes</w:t>
      </w:r>
      <w:r w:rsidRPr="00C13355">
        <w:rPr>
          <w:sz w:val="16"/>
        </w:rPr>
        <w:t xml:space="preserve">) but all removal grounds premised on a crime. </w:t>
      </w:r>
      <w:r w:rsidRPr="00C13355">
        <w:rPr>
          <w:rStyle w:val="StyleUnderline"/>
        </w:rPr>
        <w:t>The animating principles</w:t>
      </w:r>
      <w:r w:rsidRPr="00C13355">
        <w:rPr>
          <w:sz w:val="16"/>
        </w:rPr>
        <w:t xml:space="preserve"> of Chevron as well as the </w:t>
      </w:r>
      <w:r w:rsidRPr="00C13355">
        <w:rPr>
          <w:rStyle w:val="StyleUnderline"/>
        </w:rPr>
        <w:t>rationales</w:t>
      </w:r>
      <w:r w:rsidRPr="00C13355">
        <w:rPr>
          <w:sz w:val="16"/>
        </w:rPr>
        <w:t xml:space="preserve"> behind both the ban on deference to criminal prosecutors and the criminal and immigration </w:t>
      </w:r>
      <w:r w:rsidRPr="00C13355">
        <w:rPr>
          <w:rStyle w:val="Emphasis"/>
        </w:rPr>
        <w:t>rules of lenity</w:t>
      </w:r>
      <w:r w:rsidRPr="00C13355">
        <w:rPr>
          <w:sz w:val="16"/>
        </w:rPr>
        <w:t xml:space="preserve"> all point in the same direction: </w:t>
      </w:r>
      <w:r w:rsidRPr="00C13355">
        <w:rPr>
          <w:rStyle w:val="StyleUnderline"/>
        </w:rPr>
        <w:t>courts should not defer to the BIA or Attorney General’s interpretations of terms and phrases in crime-based removal grounds.</w:t>
      </w:r>
      <w:r w:rsidRPr="00C13355">
        <w:rPr>
          <w:sz w:val="16"/>
        </w:rPr>
        <w:t xml:space="preserve">37  </w:t>
      </w:r>
    </w:p>
    <w:p w14:paraId="7A78B667" w14:textId="77777777" w:rsidR="00621D20" w:rsidRPr="008C23AA" w:rsidRDefault="00621D20" w:rsidP="00621D20">
      <w:pPr>
        <w:rPr>
          <w:sz w:val="16"/>
        </w:rPr>
      </w:pPr>
      <w:r w:rsidRPr="008C23AA">
        <w:rPr>
          <w:sz w:val="16"/>
        </w:rPr>
        <w:t xml:space="preserve">The </w:t>
      </w:r>
      <w:r w:rsidRPr="008C23AA">
        <w:rPr>
          <w:rStyle w:val="StyleUnderline"/>
        </w:rPr>
        <w:t>principles</w:t>
      </w:r>
      <w:r w:rsidRPr="008C23AA">
        <w:rPr>
          <w:sz w:val="16"/>
        </w:rPr>
        <w:t xml:space="preserve"> discussed below sweep broadly and could </w:t>
      </w:r>
      <w:r w:rsidRPr="008C23AA">
        <w:rPr>
          <w:rStyle w:val="StyleUnderline"/>
        </w:rPr>
        <w:t xml:space="preserve">justify nondeference to agency adjudicative interpretations of </w:t>
      </w:r>
      <w:r w:rsidRPr="00C76CDC">
        <w:rPr>
          <w:rStyle w:val="Emphasis"/>
        </w:rPr>
        <w:t>any immigration statute referencing a crime</w:t>
      </w:r>
      <w:r w:rsidRPr="008C23AA">
        <w:rPr>
          <w:rStyle w:val="StyleUnderline"/>
        </w:rPr>
        <w:t xml:space="preserve"> or criminal law</w:t>
      </w:r>
      <w:r w:rsidRPr="008C23AA">
        <w:rPr>
          <w:sz w:val="16"/>
        </w:rPr>
        <w:t>, 38 not just crime-based removal grounds—</w:t>
      </w:r>
      <w:r w:rsidRPr="008C23AA">
        <w:rPr>
          <w:rStyle w:val="StyleUnderline"/>
        </w:rPr>
        <w:t>a conclusion that conflicts with longstanding Supreme Court precedent. In INS v. Aguirre-Aguirre</w:t>
      </w:r>
      <w:r w:rsidRPr="008C23AA">
        <w:rPr>
          <w:sz w:val="16"/>
        </w:rPr>
        <w:t xml:space="preserve">, the </w:t>
      </w:r>
      <w:r w:rsidRPr="008C23AA">
        <w:rPr>
          <w:rStyle w:val="StyleUnderline"/>
        </w:rPr>
        <w:t>Court considered whether it should defer to the BIA’s interpretation of</w:t>
      </w:r>
      <w:r w:rsidRPr="008C23AA">
        <w:rPr>
          <w:sz w:val="16"/>
        </w:rPr>
        <w:t xml:space="preserve"> the </w:t>
      </w:r>
      <w:r w:rsidRPr="008C23AA">
        <w:rPr>
          <w:rStyle w:val="StyleUnderline"/>
        </w:rPr>
        <w:t>phrase “serious nonpolitical crime.”</w:t>
      </w:r>
      <w:r w:rsidRPr="008C23AA">
        <w:rPr>
          <w:sz w:val="16"/>
        </w:rPr>
        <w:t xml:space="preserve">39 While </w:t>
      </w:r>
      <w:r w:rsidRPr="008C23AA">
        <w:rPr>
          <w:rStyle w:val="StyleUnderline"/>
        </w:rPr>
        <w:t>this type of crime</w:t>
      </w:r>
      <w:r w:rsidRPr="008C23AA">
        <w:rPr>
          <w:sz w:val="16"/>
        </w:rPr>
        <w:t xml:space="preserve"> does not trigger a ground of removal, it </w:t>
      </w:r>
      <w:r w:rsidRPr="008C23AA">
        <w:rPr>
          <w:rStyle w:val="StyleUnderline"/>
        </w:rPr>
        <w:t>bars a form of relief called withholding of removal, a protection for noncitizens who face deportation to</w:t>
      </w:r>
      <w:r w:rsidRPr="008C23AA">
        <w:rPr>
          <w:sz w:val="16"/>
        </w:rPr>
        <w:t xml:space="preserve"> countries </w:t>
      </w:r>
      <w:r w:rsidRPr="008C23AA">
        <w:rPr>
          <w:rStyle w:val="StyleUnderline"/>
        </w:rPr>
        <w:t>where they will</w:t>
      </w:r>
      <w:r w:rsidRPr="008C23AA">
        <w:rPr>
          <w:sz w:val="16"/>
        </w:rPr>
        <w:t xml:space="preserve"> likely </w:t>
      </w:r>
      <w:r w:rsidRPr="008C23AA">
        <w:rPr>
          <w:rStyle w:val="StyleUnderline"/>
        </w:rPr>
        <w:t>be persecuted</w:t>
      </w:r>
      <w:r w:rsidRPr="008C23AA">
        <w:rPr>
          <w:sz w:val="16"/>
        </w:rPr>
        <w:t xml:space="preserve">.40 </w:t>
      </w:r>
      <w:r w:rsidRPr="008C23AA">
        <w:rPr>
          <w:rStyle w:val="StyleUnderline"/>
        </w:rPr>
        <w:t xml:space="preserve">In </w:t>
      </w:r>
      <w:r w:rsidRPr="00C76CDC">
        <w:rPr>
          <w:rStyle w:val="Emphasis"/>
        </w:rPr>
        <w:t>holding that Chevron applied</w:t>
      </w:r>
      <w:r w:rsidRPr="008C23AA">
        <w:rPr>
          <w:rStyle w:val="StyleUnderline"/>
        </w:rPr>
        <w:t>, the Court cited the Attorney General’s authority to interpret the INA.</w:t>
      </w:r>
      <w:r w:rsidRPr="008C23AA">
        <w:rPr>
          <w:sz w:val="16"/>
        </w:rPr>
        <w:t xml:space="preserve">41 But </w:t>
      </w:r>
      <w:r w:rsidRPr="00C76CDC">
        <w:rPr>
          <w:rStyle w:val="StyleUnderline"/>
        </w:rPr>
        <w:t>the Court</w:t>
      </w:r>
      <w:r w:rsidRPr="008C23AA">
        <w:rPr>
          <w:rStyle w:val="StyleUnderline"/>
        </w:rPr>
        <w:t xml:space="preserve"> also emphasized</w:t>
      </w:r>
      <w:r w:rsidRPr="008C23AA">
        <w:rPr>
          <w:sz w:val="16"/>
        </w:rPr>
        <w:t xml:space="preserve"> two unique characteristics of the withholding statute. First, it pointed to statute’s language stating </w:t>
      </w:r>
      <w:r w:rsidRPr="008C23AA">
        <w:rPr>
          <w:rStyle w:val="StyleUnderline"/>
        </w:rPr>
        <w:t>that the Attorney General determines whether an applicant qualifies</w:t>
      </w:r>
      <w:r w:rsidRPr="008C23AA">
        <w:rPr>
          <w:sz w:val="16"/>
        </w:rPr>
        <w:t xml:space="preserve"> for withholding, </w:t>
      </w:r>
      <w:r w:rsidRPr="008C23AA">
        <w:rPr>
          <w:rStyle w:val="StyleUnderline"/>
        </w:rPr>
        <w:t>a specification that does not exist in all INA provisions</w:t>
      </w:r>
      <w:r w:rsidRPr="008C23AA">
        <w:rPr>
          <w:sz w:val="16"/>
        </w:rPr>
        <w:t xml:space="preserve">.42 </w:t>
      </w:r>
      <w:r w:rsidRPr="00C76CDC">
        <w:rPr>
          <w:sz w:val="16"/>
          <w:szCs w:val="16"/>
        </w:rPr>
        <w:t>Second, the Court found the “serious nonpolitical crime” determination to be “political,” stating that a “decision by the Attorney General to deem certain violent offenses committed in another country as political in nature . . . may affect our relations with that country or its neighbors.”43 The Court refused to “shoulder primary responsibility for</w:t>
      </w:r>
      <w:r w:rsidRPr="008C23AA">
        <w:rPr>
          <w:sz w:val="16"/>
        </w:rPr>
        <w:t xml:space="preserve"> assessing the likelihood and importance of such diplomatic repercussions.”44 While </w:t>
      </w:r>
      <w:r w:rsidRPr="008C23AA">
        <w:rPr>
          <w:rStyle w:val="StyleUnderline"/>
        </w:rPr>
        <w:t>Aguirre-Aguirre’s Chevron holding</w:t>
      </w:r>
      <w:r w:rsidRPr="008C23AA">
        <w:rPr>
          <w:sz w:val="16"/>
        </w:rPr>
        <w:t xml:space="preserve"> is arguably limited to its unique facts, the principles discussed below suggest that it </w:t>
      </w:r>
      <w:r w:rsidRPr="008C23AA">
        <w:rPr>
          <w:rStyle w:val="StyleUnderline"/>
        </w:rPr>
        <w:t xml:space="preserve">was </w:t>
      </w:r>
      <w:r w:rsidRPr="00C76CDC">
        <w:rPr>
          <w:rStyle w:val="Emphasis"/>
        </w:rPr>
        <w:t>wrongly decided</w:t>
      </w:r>
      <w:r w:rsidRPr="008C23AA">
        <w:rPr>
          <w:rStyle w:val="StyleUnderline"/>
        </w:rPr>
        <w:t xml:space="preserve"> because the statute at issue involved an analysis of criminal law.</w:t>
      </w:r>
      <w:r w:rsidRPr="008C23AA">
        <w:rPr>
          <w:sz w:val="16"/>
        </w:rPr>
        <w:t xml:space="preserve">45 This Article, however, saves for another day this analysis of Aguirre-Aguirre as well as the more general question of what limiting principles might adhere to the argument put forth below.  </w:t>
      </w:r>
    </w:p>
    <w:p w14:paraId="527D8E5C" w14:textId="77777777" w:rsidR="00621D20" w:rsidRPr="009C32AC" w:rsidRDefault="00621D20" w:rsidP="00621D20">
      <w:pPr>
        <w:pStyle w:val="Heading4"/>
      </w:pPr>
      <w:r w:rsidRPr="00757C43">
        <w:rPr>
          <w:i/>
          <w:iCs w:val="0"/>
        </w:rPr>
        <w:t>Chevron</w:t>
      </w:r>
      <w:r>
        <w:t xml:space="preserve"> empowers agencies to define </w:t>
      </w:r>
      <w:r w:rsidRPr="00757C43">
        <w:rPr>
          <w:u w:val="single"/>
        </w:rPr>
        <w:t>morality itself</w:t>
      </w:r>
      <w:r>
        <w:t>.</w:t>
      </w:r>
    </w:p>
    <w:p w14:paraId="35CB42B4" w14:textId="77777777" w:rsidR="00621D20" w:rsidRPr="009C32AC" w:rsidRDefault="00621D20" w:rsidP="00621D20">
      <w:r>
        <w:rPr>
          <w:rStyle w:val="Style13ptBold"/>
        </w:rPr>
        <w:t>Sharpless 17</w:t>
      </w:r>
      <w:r>
        <w:t xml:space="preserve"> – Rebecca Sharpless, Clinical Professor at University of Miami School of Law ("Zone of Nondeference: Chevron and Deportation for a Crime,” 9 Drexel L. Review 323, available online at https://drexel.edu/law/lawreview/issues/Archives/v9-2/sharpless/, accessed 6-25-2020) LR</w:t>
      </w:r>
    </w:p>
    <w:p w14:paraId="51CAC0B7" w14:textId="77777777" w:rsidR="00621D20" w:rsidRPr="00F8166B" w:rsidRDefault="00621D20" w:rsidP="00621D20">
      <w:pPr>
        <w:rPr>
          <w:rStyle w:val="StyleUnderline"/>
        </w:rPr>
      </w:pPr>
      <w:r w:rsidRPr="008C458C">
        <w:rPr>
          <w:rStyle w:val="StyleUnderline"/>
        </w:rPr>
        <w:t>Other rationales further support the conclusion that the judiciary should not defer to agency interpretation of ambiguity in criminal removal grounds, including</w:t>
      </w:r>
      <w:r w:rsidRPr="00F8166B">
        <w:rPr>
          <w:sz w:val="16"/>
        </w:rPr>
        <w:t xml:space="preserve"> the </w:t>
      </w:r>
      <w:r w:rsidRPr="008C458C">
        <w:rPr>
          <w:rStyle w:val="StyleUnderline"/>
        </w:rPr>
        <w:t>reasons</w:t>
      </w:r>
      <w:r w:rsidRPr="00F8166B">
        <w:rPr>
          <w:sz w:val="16"/>
        </w:rPr>
        <w:t xml:space="preserve"> for not deferring to prosecutors and </w:t>
      </w:r>
      <w:r w:rsidRPr="008C458C">
        <w:rPr>
          <w:rStyle w:val="StyleUnderline"/>
        </w:rPr>
        <w:t xml:space="preserve">for </w:t>
      </w:r>
      <w:r w:rsidRPr="008C458C">
        <w:rPr>
          <w:rStyle w:val="Emphasis"/>
        </w:rPr>
        <w:t>applying the rule of lenity</w:t>
      </w:r>
      <w:r w:rsidRPr="008C458C">
        <w:rPr>
          <w:rStyle w:val="StyleUnderline"/>
        </w:rPr>
        <w:t>. Courts do not defer to</w:t>
      </w:r>
      <w:r w:rsidRPr="00F8166B">
        <w:rPr>
          <w:sz w:val="16"/>
        </w:rPr>
        <w:t xml:space="preserve"> the </w:t>
      </w:r>
      <w:r w:rsidRPr="008C458C">
        <w:rPr>
          <w:rStyle w:val="StyleUnderline"/>
        </w:rPr>
        <w:t>prosecutors in criminal cases because they have institutional incentives to read statutes expansively.</w:t>
      </w:r>
      <w:r w:rsidRPr="00F8166B">
        <w:rPr>
          <w:sz w:val="16"/>
        </w:rPr>
        <w:t xml:space="preserve">154 </w:t>
      </w:r>
      <w:r w:rsidRPr="008C458C">
        <w:rPr>
          <w:rStyle w:val="StyleUnderline"/>
        </w:rPr>
        <w:t xml:space="preserve">The same concern about </w:t>
      </w:r>
      <w:r w:rsidRPr="002479E0">
        <w:rPr>
          <w:rStyle w:val="Emphasis"/>
        </w:rPr>
        <w:t>institutional overreach</w:t>
      </w:r>
      <w:r w:rsidRPr="00F8166B">
        <w:rPr>
          <w:rStyle w:val="StyleUnderline"/>
        </w:rPr>
        <w:t xml:space="preserve"> exists with the BIA and</w:t>
      </w:r>
      <w:r w:rsidRPr="00F8166B">
        <w:rPr>
          <w:sz w:val="16"/>
        </w:rPr>
        <w:t xml:space="preserve"> the </w:t>
      </w:r>
      <w:r w:rsidRPr="00F8166B">
        <w:rPr>
          <w:rStyle w:val="StyleUnderline"/>
        </w:rPr>
        <w:t>Attorney General.</w:t>
      </w:r>
      <w:r w:rsidRPr="00F8166B">
        <w:rPr>
          <w:sz w:val="16"/>
        </w:rPr>
        <w:t xml:space="preserve">155 Although Congress in 2002 removed immigration enforcement officials—including immigration court prosecutors—from </w:t>
      </w:r>
      <w:r w:rsidRPr="00F8166B">
        <w:rPr>
          <w:rStyle w:val="StyleUnderline"/>
        </w:rPr>
        <w:t>the Department of Justice and</w:t>
      </w:r>
      <w:r w:rsidRPr="00F8166B">
        <w:rPr>
          <w:sz w:val="16"/>
        </w:rPr>
        <w:t xml:space="preserve"> placed them in the newly created </w:t>
      </w:r>
      <w:r w:rsidRPr="00F8166B">
        <w:rPr>
          <w:rStyle w:val="StyleUnderline"/>
        </w:rPr>
        <w:t>Department of Homeland Security</w:t>
      </w:r>
      <w:r w:rsidRPr="00F8166B">
        <w:rPr>
          <w:sz w:val="16"/>
        </w:rPr>
        <w:t xml:space="preserve">, the two agencies </w:t>
      </w:r>
      <w:r w:rsidRPr="00F8166B">
        <w:rPr>
          <w:rStyle w:val="StyleUnderline"/>
        </w:rPr>
        <w:t xml:space="preserve">remain </w:t>
      </w:r>
      <w:r w:rsidRPr="002564D6">
        <w:rPr>
          <w:rStyle w:val="Emphasis"/>
        </w:rPr>
        <w:t>closely linked</w:t>
      </w:r>
      <w:r w:rsidRPr="00F8166B">
        <w:rPr>
          <w:rStyle w:val="StyleUnderline"/>
        </w:rPr>
        <w:t>.</w:t>
      </w:r>
      <w:r w:rsidRPr="00F8166B">
        <w:rPr>
          <w:sz w:val="16"/>
        </w:rPr>
        <w:t xml:space="preserve">156 </w:t>
      </w:r>
      <w:r w:rsidRPr="00F8166B">
        <w:rPr>
          <w:rStyle w:val="StyleUnderline"/>
        </w:rPr>
        <w:t>Lawyers from the Department of Justice represent the Department of Homeland Security before the U.S. courts of appeal.</w:t>
      </w:r>
      <w:r w:rsidRPr="00F8166B">
        <w:rPr>
          <w:sz w:val="16"/>
        </w:rPr>
        <w:t xml:space="preserve">157 </w:t>
      </w:r>
      <w:r w:rsidRPr="00F8166B">
        <w:rPr>
          <w:rStyle w:val="StyleUnderline"/>
        </w:rPr>
        <w:t xml:space="preserve">The two agencies </w:t>
      </w:r>
      <w:r w:rsidRPr="002564D6">
        <w:rPr>
          <w:rStyle w:val="Emphasis"/>
        </w:rPr>
        <w:t>share information</w:t>
      </w:r>
      <w:r w:rsidRPr="00F8166B">
        <w:rPr>
          <w:rStyle w:val="StyleUnderline"/>
        </w:rPr>
        <w:t xml:space="preserve"> through common databases, and officials</w:t>
      </w:r>
      <w:r w:rsidRPr="00F8166B">
        <w:rPr>
          <w:sz w:val="16"/>
        </w:rPr>
        <w:t xml:space="preserve"> in leadership positions </w:t>
      </w:r>
      <w:r w:rsidRPr="00F8166B">
        <w:rPr>
          <w:rStyle w:val="StyleUnderline"/>
        </w:rPr>
        <w:t>within both agencies meet frequently</w:t>
      </w:r>
      <w:r w:rsidRPr="00F8166B">
        <w:rPr>
          <w:sz w:val="16"/>
        </w:rPr>
        <w:t xml:space="preserve"> and have easy access to one another.158 </w:t>
      </w:r>
      <w:r w:rsidRPr="00F8166B">
        <w:rPr>
          <w:rStyle w:val="StyleUnderline"/>
        </w:rPr>
        <w:t>The Attorney General oversees both the BIA and</w:t>
      </w:r>
      <w:r w:rsidRPr="00F8166B">
        <w:rPr>
          <w:sz w:val="16"/>
        </w:rPr>
        <w:t xml:space="preserve"> the </w:t>
      </w:r>
      <w:r w:rsidRPr="00F8166B">
        <w:rPr>
          <w:rStyle w:val="StyleUnderline"/>
        </w:rPr>
        <w:t xml:space="preserve">prosecution of federal criminal law. To defer to the BIA and Attorney General’s interpretation of crime-based deportation grounds would be to defer to </w:t>
      </w:r>
      <w:r w:rsidRPr="002564D6">
        <w:rPr>
          <w:rStyle w:val="Emphasis"/>
        </w:rPr>
        <w:t>institutional actors</w:t>
      </w:r>
      <w:r w:rsidRPr="00F8166B">
        <w:rPr>
          <w:rStyle w:val="StyleUnderline"/>
        </w:rPr>
        <w:t xml:space="preserve"> that have </w:t>
      </w:r>
      <w:r w:rsidRPr="002564D6">
        <w:rPr>
          <w:rStyle w:val="Emphasis"/>
        </w:rPr>
        <w:t>incentive to read</w:t>
      </w:r>
      <w:r w:rsidRPr="00F8166B">
        <w:rPr>
          <w:rStyle w:val="StyleUnderline"/>
        </w:rPr>
        <w:t xml:space="preserve"> deportation grounds expansively </w:t>
      </w:r>
      <w:r w:rsidRPr="002564D6">
        <w:rPr>
          <w:rStyle w:val="Emphasis"/>
        </w:rPr>
        <w:t>in aid of immigration enforcement</w:t>
      </w:r>
      <w:r w:rsidRPr="00F8166B">
        <w:rPr>
          <w:rStyle w:val="StyleUnderline"/>
        </w:rPr>
        <w:t xml:space="preserve">. </w:t>
      </w:r>
    </w:p>
    <w:p w14:paraId="6A5017B3" w14:textId="77777777" w:rsidR="00621D20" w:rsidRPr="003531C0" w:rsidRDefault="00621D20" w:rsidP="00621D20">
      <w:pPr>
        <w:rPr>
          <w:sz w:val="16"/>
        </w:rPr>
      </w:pPr>
      <w:r w:rsidRPr="002564D6">
        <w:rPr>
          <w:rStyle w:val="StyleUnderline"/>
        </w:rPr>
        <w:t xml:space="preserve">The BIA and Attorney General should </w:t>
      </w:r>
      <w:r w:rsidRPr="00041333">
        <w:rPr>
          <w:rStyle w:val="Emphasis"/>
        </w:rPr>
        <w:t>not be empowered</w:t>
      </w:r>
      <w:r w:rsidRPr="002564D6">
        <w:rPr>
          <w:rStyle w:val="StyleUnderline"/>
        </w:rPr>
        <w:t xml:space="preserve"> to resolve statutory ambiguity regarding crime-based deportation for the further reason that they</w:t>
      </w:r>
      <w:r w:rsidRPr="003531C0">
        <w:rPr>
          <w:sz w:val="16"/>
        </w:rPr>
        <w:t xml:space="preserve">, like criminal prosecutors, </w:t>
      </w:r>
      <w:r w:rsidRPr="002564D6">
        <w:rPr>
          <w:rStyle w:val="StyleUnderline"/>
        </w:rPr>
        <w:t xml:space="preserve">are </w:t>
      </w:r>
      <w:r w:rsidRPr="00041333">
        <w:rPr>
          <w:rStyle w:val="Emphasis"/>
        </w:rPr>
        <w:t>not moral agents</w:t>
      </w:r>
      <w:r w:rsidRPr="002564D6">
        <w:rPr>
          <w:rStyle w:val="StyleUnderline"/>
        </w:rPr>
        <w:t xml:space="preserve"> of o</w:t>
      </w:r>
      <w:r w:rsidRPr="003531C0">
        <w:rPr>
          <w:rStyle w:val="StyleUnderline"/>
        </w:rPr>
        <w:t>ur nation. Because criminal law reflects the morality of our community, the power to define criminal terms should not lie with agency administrators.</w:t>
      </w:r>
      <w:r w:rsidRPr="003531C0">
        <w:rPr>
          <w:sz w:val="16"/>
        </w:rPr>
        <w:t xml:space="preserve"> As one commentator has observed, “[a]gencies may be experts in their spheres, but </w:t>
      </w:r>
      <w:r w:rsidRPr="003531C0">
        <w:rPr>
          <w:rStyle w:val="StyleUnderline"/>
        </w:rPr>
        <w:t>they are not the appropriate arbiters</w:t>
      </w:r>
      <w:r w:rsidRPr="003531C0">
        <w:rPr>
          <w:sz w:val="16"/>
        </w:rPr>
        <w:t xml:space="preserve"> of society’s moral center.”159 Agencies should not interpret the scope of an offense “because of the seriousness of criminal penalties, and because criminal punishment usually represents the moral condemnation of the community.”160 </w:t>
      </w:r>
    </w:p>
    <w:p w14:paraId="1DAA2B76" w14:textId="77777777" w:rsidR="00621D20" w:rsidRPr="003531C0" w:rsidRDefault="00621D20" w:rsidP="00621D20">
      <w:pPr>
        <w:rPr>
          <w:rStyle w:val="StyleUnderline"/>
          <w:sz w:val="16"/>
          <w:szCs w:val="16"/>
        </w:rPr>
      </w:pPr>
      <w:r w:rsidRPr="003531C0">
        <w:rPr>
          <w:sz w:val="16"/>
          <w:szCs w:val="16"/>
        </w:rPr>
        <w:t xml:space="preserve">Although Congress has delegated to the Attorney General the authority to designate new drugs on the federal drug schedules, this delegation is narrow and contingent on approval by the Secretary of Health and Human Services.161 Under the Controlled Substances Act, after complying with specified procedures, the Attorney General can add new drugs to any of the five schedules of controlled substances.162 Amendments to the drug schedule require scientific expertise in detecting and defining new types of controlled substances, not a sense of our nation’s moral compass. The Court has thus held that “allowing the Attorney General both to schedule a particular drug and to prosecute those who manufacture that drug” does not “violate[] the principle of separation of powers.”163 </w:t>
      </w:r>
    </w:p>
    <w:p w14:paraId="5DF75B6A" w14:textId="53E8D2DF" w:rsidR="00621D20" w:rsidRDefault="00621D20" w:rsidP="00621D20">
      <w:pPr>
        <w:rPr>
          <w:rStyle w:val="StyleUnderline"/>
        </w:rPr>
      </w:pPr>
      <w:r w:rsidRPr="003531C0">
        <w:rPr>
          <w:rStyle w:val="StyleUnderline"/>
        </w:rPr>
        <w:t>The lack of general delegation to the Department of Justice to define crimes supports the view that Congress has not delegated</w:t>
      </w:r>
      <w:r w:rsidRPr="003531C0">
        <w:rPr>
          <w:sz w:val="16"/>
        </w:rPr>
        <w:t xml:space="preserve"> to the agency </w:t>
      </w:r>
      <w:r w:rsidRPr="003531C0">
        <w:rPr>
          <w:rStyle w:val="StyleUnderline"/>
        </w:rPr>
        <w:t>the administration of deportation statutes that</w:t>
      </w:r>
      <w:r w:rsidRPr="003531C0">
        <w:rPr>
          <w:sz w:val="16"/>
        </w:rPr>
        <w:t xml:space="preserve"> incorporate, implicate, or otherwise </w:t>
      </w:r>
      <w:r w:rsidRPr="003531C0">
        <w:rPr>
          <w:rStyle w:val="StyleUnderline"/>
        </w:rPr>
        <w:t>involve criminal law. Crime-based removal statutes</w:t>
      </w:r>
      <w:r w:rsidRPr="003531C0">
        <w:rPr>
          <w:sz w:val="16"/>
        </w:rPr>
        <w:t>—like the crimes each provision references—</w:t>
      </w:r>
      <w:r w:rsidRPr="003531C0">
        <w:rPr>
          <w:rStyle w:val="StyleUnderline"/>
        </w:rPr>
        <w:t>express the morals of the community. Terms like “crime involving moral turpitude” illustrate the connection between removal statutes and morality.</w:t>
      </w:r>
      <w:r w:rsidRPr="003531C0">
        <w:rPr>
          <w:sz w:val="16"/>
        </w:rPr>
        <w:t xml:space="preserve">164 </w:t>
      </w:r>
      <w:r w:rsidRPr="003531C0">
        <w:rPr>
          <w:rStyle w:val="StyleUnderline"/>
        </w:rPr>
        <w:t xml:space="preserve">Like criminal law, </w:t>
      </w:r>
      <w:r w:rsidRPr="00041333">
        <w:rPr>
          <w:rStyle w:val="Emphasis"/>
        </w:rPr>
        <w:t>crime-based deportation law</w:t>
      </w:r>
      <w:r w:rsidRPr="003531C0">
        <w:rPr>
          <w:rStyle w:val="StyleUnderline"/>
        </w:rPr>
        <w:t xml:space="preserve"> is grounded in morality</w:t>
      </w:r>
      <w:r w:rsidRPr="003531C0">
        <w:rPr>
          <w:sz w:val="16"/>
        </w:rPr>
        <w:t>—</w:t>
      </w:r>
      <w:r w:rsidRPr="003531C0">
        <w:rPr>
          <w:rStyle w:val="StyleUnderline"/>
        </w:rPr>
        <w:t xml:space="preserve">something </w:t>
      </w:r>
      <w:r w:rsidRPr="00041333">
        <w:rPr>
          <w:rStyle w:val="Emphasis"/>
        </w:rPr>
        <w:t>best not left to agencies to define</w:t>
      </w:r>
      <w:r w:rsidRPr="003531C0">
        <w:rPr>
          <w:rStyle w:val="StyleUnderline"/>
        </w:rPr>
        <w:t xml:space="preserve">. </w:t>
      </w:r>
    </w:p>
    <w:p w14:paraId="4F43AC54" w14:textId="67C29F4D" w:rsidR="0095149D" w:rsidRDefault="0095149D" w:rsidP="0095149D">
      <w:pPr>
        <w:pStyle w:val="Heading4"/>
      </w:pPr>
      <w:r>
        <w:t>Lenity would protect immigrants in deportation cases.</w:t>
      </w:r>
    </w:p>
    <w:p w14:paraId="7236EB74" w14:textId="77777777" w:rsidR="0095149D" w:rsidRPr="005D30EE" w:rsidRDefault="0095149D" w:rsidP="0095149D">
      <w:r>
        <w:rPr>
          <w:rStyle w:val="Style13ptBold"/>
        </w:rPr>
        <w:t>Sharpless 17</w:t>
      </w:r>
      <w:r>
        <w:rPr>
          <w:rStyle w:val="Style13ptBold"/>
          <w:b w:val="0"/>
          <w:bCs w:val="0"/>
        </w:rPr>
        <w:t xml:space="preserve"> — </w:t>
      </w:r>
      <w:r w:rsidRPr="005D30EE">
        <w:t xml:space="preserve">Rebecca Sharpless </w:t>
      </w:r>
      <w:r>
        <w:t>is a Professor of Law, the founding director of the Immigration Clinic and teaches immigration law. She researches and writes in the areas of immigration law, progressive lawyering, and the intersection of immigration and criminal law. She got her JD from Harvard Law and M.Phil from Cambridge. (“Zone of Nondeference: Chevron and Deportation for a Crime” Drexel Law Review, vol. 9:323, 2017. https://repository.law.miami.edu/cgi/viewcontent.cgi?article=1496&amp;context=fac_articles)//JLPark</w:t>
      </w:r>
    </w:p>
    <w:p w14:paraId="3FF3B248" w14:textId="77777777" w:rsidR="0095149D" w:rsidRPr="001D794B" w:rsidRDefault="0095149D" w:rsidP="0095149D">
      <w:pPr>
        <w:rPr>
          <w:sz w:val="16"/>
          <w:szCs w:val="16"/>
        </w:rPr>
      </w:pPr>
      <w:r w:rsidRPr="001D794B">
        <w:rPr>
          <w:sz w:val="16"/>
          <w:szCs w:val="16"/>
        </w:rPr>
        <w:t>I. CHEVRON DEFERENCE</w:t>
      </w:r>
    </w:p>
    <w:p w14:paraId="030B58CA" w14:textId="77777777" w:rsidR="0095149D" w:rsidRPr="001D794B" w:rsidRDefault="0095149D" w:rsidP="0095149D">
      <w:pPr>
        <w:rPr>
          <w:sz w:val="16"/>
        </w:rPr>
      </w:pPr>
      <w:r w:rsidRPr="001D794B">
        <w:rPr>
          <w:rStyle w:val="StyleUnderline"/>
        </w:rPr>
        <w:t>Chevron is the</w:t>
      </w:r>
      <w:r w:rsidRPr="001D794B">
        <w:rPr>
          <w:sz w:val="16"/>
        </w:rPr>
        <w:t xml:space="preserve"> "</w:t>
      </w:r>
      <w:r w:rsidRPr="001D794B">
        <w:rPr>
          <w:rStyle w:val="StyleUnderline"/>
        </w:rPr>
        <w:t>undisputed starting point for any assessment</w:t>
      </w:r>
      <w:r w:rsidRPr="001D794B">
        <w:rPr>
          <w:sz w:val="16"/>
        </w:rPr>
        <w:t xml:space="preserve"> of the allocation of authority between federal courts and administrative agencies."" The case has been aptly described as a modem limitation on the Marbury v. Madison principle that the law is for the courts to decide.' By shifting interpretative authority from the courts to the executive branch, </w:t>
      </w:r>
      <w:r w:rsidRPr="001D794B">
        <w:rPr>
          <w:rStyle w:val="StyleUnderline"/>
        </w:rPr>
        <w:t>Chevron reallocates the division of powers in our tripartite government</w:t>
      </w:r>
      <w:r w:rsidRPr="001D794B">
        <w:rPr>
          <w:sz w:val="16"/>
        </w:rPr>
        <w:t>. 49</w:t>
      </w:r>
    </w:p>
    <w:p w14:paraId="6559EEAF" w14:textId="77777777" w:rsidR="0095149D" w:rsidRPr="001D794B" w:rsidRDefault="0095149D" w:rsidP="0095149D">
      <w:pPr>
        <w:rPr>
          <w:sz w:val="16"/>
          <w:szCs w:val="16"/>
        </w:rPr>
      </w:pPr>
      <w:r w:rsidRPr="001D794B">
        <w:rPr>
          <w:sz w:val="16"/>
          <w:szCs w:val="16"/>
        </w:rPr>
        <w:t>The Chevron framework involves a familiar two-step inquiry for courts reviewing agency interpretations of the statutes they are charged with administering." Courts first ask whether Congress has "directly spoken to the precise question at issue," such that the intent of Congress is unambiguous." If, after application of norms of statutory interpretation, the meaning of the statute is ambiguous, courts proceed to the second part of the inquiry. This step asks whether the agency's interpretation is reasonable. 52 An important threshold question is whether the Chevron framework even applies in the first place. Scholars have dubbed this inquiry "Chevron step zero."" Cass Sunstein argues that "well-established background principles operate to 'trump' Chevron."5 ' These rules include the canon to construe statutes to avoid serious constitutional issues and the presumption against the retroactive application of law.5 5</w:t>
      </w:r>
    </w:p>
    <w:p w14:paraId="46269D59" w14:textId="77777777" w:rsidR="0095149D" w:rsidRPr="001D794B" w:rsidRDefault="0095149D" w:rsidP="0095149D">
      <w:pPr>
        <w:rPr>
          <w:sz w:val="16"/>
          <w:szCs w:val="16"/>
        </w:rPr>
      </w:pPr>
      <w:r w:rsidRPr="001D794B">
        <w:rPr>
          <w:sz w:val="16"/>
          <w:szCs w:val="16"/>
        </w:rPr>
        <w:t>At issue in Chevron was the proper method for reviewing the Environmental Protection Agency's ("EPA") definition of the term "stationary source" under the Clean Air Act." The agency opted to interpret the term as encompassing an entire plant or factory, as opposed to each constitutive part generating pollution. Because the statute was ambiguous, the Court held that the EPA could define "stationary source" as it thought best, as long as it was reasonable. By ruling in favor of the EPA, the Court permitted the agency to enforce an expansive reading of the Clean Air Act's anti-pollution provisions.</w:t>
      </w:r>
    </w:p>
    <w:p w14:paraId="526F2DC8" w14:textId="77777777" w:rsidR="0095149D" w:rsidRPr="001D794B" w:rsidRDefault="0095149D" w:rsidP="0095149D">
      <w:pPr>
        <w:rPr>
          <w:sz w:val="16"/>
          <w:szCs w:val="16"/>
        </w:rPr>
      </w:pPr>
      <w:r w:rsidRPr="001D794B">
        <w:rPr>
          <w:sz w:val="16"/>
          <w:szCs w:val="16"/>
        </w:rPr>
        <w:t>Since the Supreme Court decided Chevron over twenty years ago, courts and scholars have analyzed its jurisprudential underpinnings, including concerns about expertise, political accountability, and delegation.59 The Court recognized that agencies might have more expertise with the statute they were entrusted to implement, such that Congress could have intended "that those with great expertise and charged with responsibility for administering the provision would be in a better position [than Congress itself] to do so."6 0 The Court also suggested that agencies are more politically accountable than the judiciary, noting that although "agencies are not directly accountable to the people, the Chief Executive is." 6 1 Settling statutory ambiguity, in this view, is akin to making policy, and the separation of powers requires that policy decisions fall within the democratically elected executive branch, not the judiciary.</w:t>
      </w:r>
    </w:p>
    <w:p w14:paraId="0E3C3251" w14:textId="77777777" w:rsidR="0095149D" w:rsidRPr="001D794B" w:rsidRDefault="0095149D" w:rsidP="0095149D">
      <w:pPr>
        <w:rPr>
          <w:sz w:val="16"/>
        </w:rPr>
      </w:pPr>
      <w:r w:rsidRPr="001D794B">
        <w:rPr>
          <w:sz w:val="16"/>
        </w:rPr>
        <w:t xml:space="preserve">More recently, cases and commentary have focused on the idea that Chevron deference is concerned with delegation.6 2 Courts should defer to agencies when Congress has instructed them to do so. When it leaves ambiguity in a statute, Congress delegates interpretive authority to agencies. 63 In United States v. Mead, when determining whether deference was appropriate, the Supreme Court asked whether the agency had issued the particular rule or adjudication "with the force of law."' In subsequent decisions, the Court interpreted Mead's delegation inquiry in ways that reflected a historical debate between Justice Breyer and Justice Scalia.65 Justice </w:t>
      </w:r>
      <w:r w:rsidRPr="001D794B">
        <w:rPr>
          <w:rStyle w:val="StyleUnderline"/>
        </w:rPr>
        <w:t>Scalia favored a bright line test for determining whether the Chevron framework applies</w:t>
      </w:r>
      <w:r w:rsidRPr="001D794B">
        <w:rPr>
          <w:sz w:val="16"/>
        </w:rPr>
        <w:t>, whereas Justice Breyer has espoused a multi-factor approach that is reminiscent of the pre-Chevron approach taken in Skidmore v. Swift &amp; Co. 6 6 Post-Mead, a key question is whether assessing delegation involves looking only at the source of the agency interpretation (e.g., a regulation or adjudication as opposed to policies set out in memoranda) or also at the nature of the interpretive question (e.g., whether it involves a major question or an everyday adjudication within the agency's expertise).67</w:t>
      </w:r>
    </w:p>
    <w:p w14:paraId="36630D0A" w14:textId="77777777" w:rsidR="0095149D" w:rsidRPr="00AB7666" w:rsidRDefault="0095149D" w:rsidP="0095149D">
      <w:pPr>
        <w:rPr>
          <w:sz w:val="16"/>
          <w:szCs w:val="16"/>
        </w:rPr>
      </w:pPr>
      <w:r w:rsidRPr="00AB7666">
        <w:rPr>
          <w:sz w:val="16"/>
          <w:szCs w:val="16"/>
        </w:rPr>
        <w:t>II. CRIMINAL LAW AND LENITY</w:t>
      </w:r>
    </w:p>
    <w:p w14:paraId="10F81AA4" w14:textId="77777777" w:rsidR="0095149D" w:rsidRPr="00AB7666" w:rsidRDefault="0095149D" w:rsidP="0095149D">
      <w:pPr>
        <w:rPr>
          <w:sz w:val="16"/>
        </w:rPr>
      </w:pPr>
      <w:r w:rsidRPr="00AB7666">
        <w:rPr>
          <w:sz w:val="16"/>
        </w:rPr>
        <w:t xml:space="preserve">Whatever the precise contours of Chevron's "domain," one established rule is that courts never defer to the Attorney General's interpretation of ambiguous criminal law statutes in individual criminal prosecutions.68 Underlying this prohibition is the constitutional concern that "the Due Process Clause limits the extent to which prosecutorial and other functions may be combined in a single actor."69 Sunstein calls "preposterous" the suggestion that courts defer to prosecutorial interpretations.70 "Such </w:t>
      </w:r>
      <w:r w:rsidRPr="001D794B">
        <w:rPr>
          <w:rStyle w:val="StyleUnderline"/>
        </w:rPr>
        <w:t>deference</w:t>
      </w:r>
      <w:r w:rsidRPr="00AB7666">
        <w:rPr>
          <w:sz w:val="16"/>
        </w:rPr>
        <w:t>," he warns, "</w:t>
      </w:r>
      <w:r w:rsidRPr="001D794B">
        <w:rPr>
          <w:rStyle w:val="StyleUnderline"/>
        </w:rPr>
        <w:t>would ensure the combination of prosecutorial power and adjudicatory power in a way that would violate established traditions and threaten liberty itself</w:t>
      </w:r>
      <w:r w:rsidRPr="00AB7666">
        <w:rPr>
          <w:sz w:val="16"/>
        </w:rPr>
        <w:t>."' Even those who favor Chevron deference to agencies tasked with administering civil statutes that have criminal application might agree that the judiciary should not defer to the Attorney General in his role as the country's prosecutor-in-chief.72</w:t>
      </w:r>
    </w:p>
    <w:p w14:paraId="1922CF89" w14:textId="77777777" w:rsidR="0095149D" w:rsidRPr="001D794B" w:rsidRDefault="0095149D" w:rsidP="0095149D">
      <w:pPr>
        <w:rPr>
          <w:sz w:val="16"/>
        </w:rPr>
      </w:pPr>
      <w:r w:rsidRPr="001D794B">
        <w:rPr>
          <w:sz w:val="16"/>
        </w:rPr>
        <w:t xml:space="preserve">The rule of </w:t>
      </w:r>
      <w:r w:rsidRPr="001D794B">
        <w:rPr>
          <w:rStyle w:val="StyleUnderline"/>
        </w:rPr>
        <w:t>lenity</w:t>
      </w:r>
      <w:r w:rsidRPr="001D794B">
        <w:rPr>
          <w:sz w:val="16"/>
        </w:rPr>
        <w:t xml:space="preserve">, not Chevron deference, </w:t>
      </w:r>
      <w:r w:rsidRPr="001D794B">
        <w:rPr>
          <w:rStyle w:val="StyleUnderline"/>
        </w:rPr>
        <w:t>governs the resolution of ambiguities in criminal law</w:t>
      </w:r>
      <w:r w:rsidRPr="001D794B">
        <w:rPr>
          <w:sz w:val="16"/>
        </w:rPr>
        <w:t xml:space="preserve">.73 Under the rule of lenity, ambiguities are construed in favor of the defendant.74 Justice </w:t>
      </w:r>
      <w:r w:rsidRPr="001D794B">
        <w:rPr>
          <w:rStyle w:val="StyleUnderline"/>
        </w:rPr>
        <w:t>Scalia famously argued that giving executive officials the power to</w:t>
      </w:r>
      <w:r w:rsidRPr="001D794B">
        <w:rPr>
          <w:sz w:val="16"/>
        </w:rPr>
        <w:t xml:space="preserve"> "</w:t>
      </w:r>
      <w:r w:rsidRPr="001D794B">
        <w:rPr>
          <w:rStyle w:val="StyleUnderline"/>
        </w:rPr>
        <w:t>create (and uncreate) new crimes at will, so long as they do not roam beyond ambiguities that the laws contain</w:t>
      </w:r>
      <w:r w:rsidRPr="001D794B">
        <w:rPr>
          <w:sz w:val="16"/>
        </w:rPr>
        <w:t xml:space="preserve">[,]" </w:t>
      </w:r>
      <w:r w:rsidRPr="001D794B">
        <w:rPr>
          <w:rStyle w:val="StyleUnderline"/>
        </w:rPr>
        <w:t>would convert the rule of lenity to a rule of "severity</w:t>
      </w:r>
      <w:r w:rsidRPr="001D794B">
        <w:rPr>
          <w:sz w:val="16"/>
        </w:rPr>
        <w:t xml:space="preserve">."' The concern is that prosecutors, in an effort to secure convictions, have incentive to adopt expansive interpretations of statutes.' Further grounding </w:t>
      </w:r>
      <w:r w:rsidRPr="001D794B">
        <w:rPr>
          <w:rStyle w:val="StyleUnderline"/>
        </w:rPr>
        <w:t>the rule of lenity is the due process requirement that people have "fair warning" of what qualifies as a crime and the idea that the government cannot strip away a person's liberty unless there is no doubt about what the law requires</w:t>
      </w:r>
      <w:r w:rsidRPr="001D794B">
        <w:rPr>
          <w:sz w:val="16"/>
        </w:rPr>
        <w:t>.' Legal scholars have commented on the tension between Chevron deference and the rule of lenity, particularly with respect to civil statutes with criminal application (hybrid statutes).78</w:t>
      </w:r>
    </w:p>
    <w:p w14:paraId="678078F5" w14:textId="77777777" w:rsidR="0095149D" w:rsidRPr="00AB7666" w:rsidRDefault="0095149D" w:rsidP="0095149D">
      <w:pPr>
        <w:rPr>
          <w:sz w:val="16"/>
        </w:rPr>
      </w:pPr>
      <w:r w:rsidRPr="001D794B">
        <w:rPr>
          <w:rStyle w:val="StyleUnderline"/>
        </w:rPr>
        <w:t>Criminal statutes "are for courts, not for the Government, to construe</w:t>
      </w:r>
      <w:r w:rsidRPr="00AB7666">
        <w:rPr>
          <w:sz w:val="16"/>
        </w:rPr>
        <w:t xml:space="preserve">."79 But whether Congress can delegate its authority to define crimes to executive branch officials is a different question. </w:t>
      </w:r>
      <w:r w:rsidRPr="00AB7666">
        <w:rPr>
          <w:rStyle w:val="StyleUnderline"/>
        </w:rPr>
        <w:t>Congress has empowered agencies to administer statutes that include criminal provisions</w:t>
      </w:r>
      <w:r w:rsidRPr="00AB7666">
        <w:rPr>
          <w:sz w:val="16"/>
        </w:rPr>
        <w:t>. As one commentator notes, "the broad authority given to administrative agencies to define the scope of criminal behavior belies any claim that Congress cannot delegate the power to define crimes."so For example, Congress has delegated to the Department of Justice the authority to modify the federal drug schedule.8 1 Thus, while there is broad agreement that courts do not defer to the interpretations of criminal prosecutors, the relationship between Chevron and delegated agency authority to define criminal offenses is less clear.</w:t>
      </w:r>
    </w:p>
    <w:p w14:paraId="46AD4611" w14:textId="77777777" w:rsidR="0095149D" w:rsidRPr="00AB7666" w:rsidRDefault="0095149D" w:rsidP="0095149D">
      <w:pPr>
        <w:rPr>
          <w:sz w:val="16"/>
          <w:szCs w:val="16"/>
        </w:rPr>
      </w:pPr>
      <w:r w:rsidRPr="00AB7666">
        <w:rPr>
          <w:sz w:val="16"/>
          <w:szCs w:val="16"/>
        </w:rPr>
        <w:t>III. IMMIGRATION LAW AND LENITY</w:t>
      </w:r>
    </w:p>
    <w:p w14:paraId="0065C5B5" w14:textId="77777777" w:rsidR="0095149D" w:rsidRPr="001373CD" w:rsidRDefault="0095149D" w:rsidP="0095149D">
      <w:pPr>
        <w:rPr>
          <w:sz w:val="16"/>
        </w:rPr>
      </w:pPr>
      <w:r w:rsidRPr="00AB7666">
        <w:rPr>
          <w:rStyle w:val="StyleUnderline"/>
        </w:rPr>
        <w:t>With</w:t>
      </w:r>
      <w:r w:rsidRPr="001373CD">
        <w:rPr>
          <w:sz w:val="16"/>
        </w:rPr>
        <w:t xml:space="preserve"> respect to </w:t>
      </w:r>
      <w:r w:rsidRPr="00AB7666">
        <w:rPr>
          <w:rStyle w:val="StyleUnderline"/>
        </w:rPr>
        <w:t>immigration law</w:t>
      </w:r>
      <w:r w:rsidRPr="001373CD">
        <w:rPr>
          <w:sz w:val="16"/>
        </w:rPr>
        <w:t xml:space="preserve">, </w:t>
      </w:r>
      <w:r w:rsidRPr="00AB7666">
        <w:rPr>
          <w:rStyle w:val="StyleUnderline"/>
        </w:rPr>
        <w:t>the</w:t>
      </w:r>
      <w:r w:rsidRPr="001373CD">
        <w:rPr>
          <w:sz w:val="16"/>
        </w:rPr>
        <w:t xml:space="preserve"> general </w:t>
      </w:r>
      <w:r w:rsidRPr="00AB7666">
        <w:rPr>
          <w:rStyle w:val="StyleUnderline"/>
        </w:rPr>
        <w:t>rule is</w:t>
      </w:r>
      <w:r w:rsidRPr="001373CD">
        <w:rPr>
          <w:sz w:val="16"/>
        </w:rPr>
        <w:t xml:space="preserve"> that the "</w:t>
      </w:r>
      <w:r w:rsidRPr="00AB7666">
        <w:rPr>
          <w:rStyle w:val="StyleUnderline"/>
        </w:rPr>
        <w:t>principles of Chevron</w:t>
      </w:r>
      <w:r w:rsidRPr="001373CD">
        <w:rPr>
          <w:sz w:val="16"/>
        </w:rPr>
        <w:t xml:space="preserve"> deference </w:t>
      </w:r>
      <w:r w:rsidRPr="00AB7666">
        <w:rPr>
          <w:rStyle w:val="StyleUnderline"/>
        </w:rPr>
        <w:t>are applicable</w:t>
      </w:r>
      <w:r w:rsidRPr="001373CD">
        <w:rPr>
          <w:sz w:val="16"/>
        </w:rPr>
        <w:t xml:space="preserve">."82 </w:t>
      </w:r>
      <w:r w:rsidRPr="00AB7666">
        <w:rPr>
          <w:rStyle w:val="StyleUnderline"/>
        </w:rPr>
        <w:t>Congress has granted the authority to interpret the INA to the Attorney General</w:t>
      </w:r>
      <w:r w:rsidRPr="001373CD">
        <w:rPr>
          <w:sz w:val="16"/>
        </w:rPr>
        <w:t xml:space="preserve">, </w:t>
      </w:r>
      <w:r w:rsidRPr="00AB7666">
        <w:rPr>
          <w:rStyle w:val="StyleUnderline"/>
        </w:rPr>
        <w:t>who has in turn delegated adjudicative authority to the BIA by regulation</w:t>
      </w:r>
      <w:r w:rsidRPr="001373CD">
        <w:rPr>
          <w:sz w:val="16"/>
        </w:rPr>
        <w:t xml:space="preserve">.83 Indeed, </w:t>
      </w:r>
      <w:r w:rsidRPr="00AB7666">
        <w:rPr>
          <w:rStyle w:val="StyleUnderline"/>
        </w:rPr>
        <w:t>the Supreme Court has historically applied a form of superdeference to immigration questions in light of the plenary power doctrine</w:t>
      </w:r>
      <w:r w:rsidRPr="001373CD">
        <w:rPr>
          <w:sz w:val="16"/>
        </w:rPr>
        <w:t>, which empowered Congress and the executive branch to act with unfettered authority in the area of immigration.84</w:t>
      </w:r>
    </w:p>
    <w:p w14:paraId="5B5E67D3" w14:textId="77777777" w:rsidR="0095149D" w:rsidRPr="00AB7666" w:rsidRDefault="0095149D" w:rsidP="0095149D">
      <w:pPr>
        <w:rPr>
          <w:sz w:val="16"/>
        </w:rPr>
      </w:pPr>
      <w:r w:rsidRPr="00AB7666">
        <w:rPr>
          <w:sz w:val="16"/>
        </w:rPr>
        <w:t>The story, however, is not so simple. Just as criminal law jurisprudence includes an interpretive rule of lenity, immigration law has a "longstanding principle of construing any lingering ambiguities in deportation statutes in favor of the alien."85 With origins in early deportation cases, this "</w:t>
      </w:r>
      <w:r w:rsidRPr="00AB7666">
        <w:rPr>
          <w:rStyle w:val="StyleUnderline"/>
        </w:rPr>
        <w:t>rule of immigration lenity</w:t>
      </w:r>
      <w:r w:rsidRPr="00AB7666">
        <w:rPr>
          <w:sz w:val="16"/>
        </w:rPr>
        <w:t xml:space="preserve">" </w:t>
      </w:r>
      <w:r w:rsidRPr="00AB7666">
        <w:rPr>
          <w:rStyle w:val="StyleUnderline"/>
        </w:rPr>
        <w:t>aims to protect noncitizens from deportation in cases where the meaning of a statutory provision is not clear</w:t>
      </w:r>
      <w:r w:rsidRPr="00AB7666">
        <w:rPr>
          <w:sz w:val="16"/>
        </w:rPr>
        <w:t xml:space="preserve">.86 The rule stems from the Court's longstanding recognition that "deportation is a drastic measure and at times the equivalent of banishment or exile."87 </w:t>
      </w:r>
      <w:r w:rsidRPr="00AB7666">
        <w:rPr>
          <w:rStyle w:val="StyleUnderline"/>
        </w:rPr>
        <w:t>The Court has not directly addressed the relationship between Chevron and</w:t>
      </w:r>
      <w:r w:rsidRPr="00AB7666">
        <w:rPr>
          <w:sz w:val="16"/>
        </w:rPr>
        <w:t xml:space="preserve"> the presumption in favor of </w:t>
      </w:r>
      <w:r w:rsidRPr="00AB7666">
        <w:rPr>
          <w:rStyle w:val="StyleUnderline"/>
        </w:rPr>
        <w:t>lenity</w:t>
      </w:r>
      <w:r w:rsidRPr="00AB7666">
        <w:rPr>
          <w:sz w:val="16"/>
        </w:rPr>
        <w:t>.88</w:t>
      </w:r>
    </w:p>
    <w:p w14:paraId="4FC1F6E6" w14:textId="77777777" w:rsidR="0095149D" w:rsidRPr="00AB7666" w:rsidRDefault="0095149D" w:rsidP="0095149D">
      <w:pPr>
        <w:rPr>
          <w:sz w:val="16"/>
        </w:rPr>
      </w:pPr>
      <w:r w:rsidRPr="00AB7666">
        <w:rPr>
          <w:rStyle w:val="StyleUnderline"/>
        </w:rPr>
        <w:t>Further complicating the Chevron/immigration law relationship is the reality that immigration law intertwines with criminal law</w:t>
      </w:r>
      <w:r w:rsidRPr="00AB7666">
        <w:rPr>
          <w:sz w:val="16"/>
        </w:rPr>
        <w:t>.8 9 As mentioned above, the controversy centers on whether courts defer to agency interpretations of terms defining the scope of a crime-based removal ground.90 The terms and phrases divide into four basic categories: (1) those involving interpretation of a term or phrase expressly defined in a federal criminal statute, like "crime of violence;" (2) those employing a general criminal law term, like "conviction," "burglary," or "theft;" (3) those describing a category of offenses, like "sexual abuse of a minor" or "crime involving moral turpitude;" and (4) those relating to statutory terms that have no distinct criminal law meaning, like "described in," or "relating to," or "involving." 91 While some of these statutory terms are part of the aggravated felony definition the designation that carries the most serious immigration consequences and also appears in federal criminal law - others are not.92</w:t>
      </w:r>
    </w:p>
    <w:p w14:paraId="5F29B756" w14:textId="77777777" w:rsidR="0095149D" w:rsidRPr="00CA0809" w:rsidRDefault="0095149D" w:rsidP="0095149D">
      <w:pPr>
        <w:rPr>
          <w:sz w:val="16"/>
          <w:szCs w:val="16"/>
        </w:rPr>
      </w:pPr>
      <w:r w:rsidRPr="00CA0809">
        <w:rPr>
          <w:sz w:val="16"/>
          <w:szCs w:val="16"/>
        </w:rPr>
        <w:t>As to the first category, cross-referenced terms, courts agree that Chevron has no bearing.93 The U.S. Attorney General has recognized that "courts do not afford Chevron deference to the Board's interpretation of a criminal provision incorporated by reference into the INA."94 "Incorporated," in this view, means expressly cross-referenced by statute number. The Supreme Court routinely reviews this type of case with no mention of Chevron deference. 95</w:t>
      </w:r>
    </w:p>
    <w:p w14:paraId="5E6B39A7" w14:textId="77777777" w:rsidR="0095149D" w:rsidRPr="00CA0809" w:rsidRDefault="0095149D" w:rsidP="0095149D">
      <w:pPr>
        <w:rPr>
          <w:sz w:val="16"/>
          <w:szCs w:val="16"/>
        </w:rPr>
      </w:pPr>
      <w:r w:rsidRPr="00CA0809">
        <w:rPr>
          <w:sz w:val="16"/>
          <w:szCs w:val="16"/>
        </w:rPr>
        <w:t>The same reasoning holds true for the second category -criminal terms for which there is no cross-referenced federal criminal definition. When faced with interpreting the term "burglary," for example, the Court in Taylor v. United States defined the term "generically" by surveying the laws of the states, federal law, and the Model Penal Code.96 The BIA and courts have imported this definition of burglary into immigration law.97</w:t>
      </w:r>
    </w:p>
    <w:p w14:paraId="528FAC96" w14:textId="77777777" w:rsidR="0095149D" w:rsidRPr="00CA0809" w:rsidRDefault="0095149D" w:rsidP="0095149D">
      <w:pPr>
        <w:rPr>
          <w:sz w:val="16"/>
          <w:szCs w:val="16"/>
        </w:rPr>
      </w:pPr>
      <w:r w:rsidRPr="00CA0809">
        <w:rPr>
          <w:sz w:val="16"/>
          <w:szCs w:val="16"/>
        </w:rPr>
        <w:t>Terms and phrases that describe a group of offenses or that have no settled meaning in criminal law are more controversial.9 8 EsquivelQuintana illustrates the controversy of this type of interpretive question, addressing the meaning of "sexual abuse of a minor" in the aggravated felony definition.9 9 Esquivel-Quintana argued, and the Court agreed, that the unambiguous meaning of "sexual abuse of a minor" emerges from the interpretive approach employed in Taylorsurveying federal law, state law, and the Model Penal Code.'00 The phrase "sexual abuse of a minor," in the Court's view, is a generic term like "burglary" in Taylor.' The Court rejected the government's contention that the phrase does not describe a generic crime but a category of offenses appropriate for Chevron deference.102</w:t>
      </w:r>
    </w:p>
    <w:p w14:paraId="6CDCC610" w14:textId="77777777" w:rsidR="0095149D" w:rsidRPr="00CA0809" w:rsidRDefault="0095149D" w:rsidP="0095149D">
      <w:pPr>
        <w:rPr>
          <w:sz w:val="16"/>
        </w:rPr>
      </w:pPr>
      <w:r w:rsidRPr="00CA0809">
        <w:rPr>
          <w:sz w:val="16"/>
        </w:rPr>
        <w:t xml:space="preserve">Esquivel-Quintana involved the aggravated felony definition, a hybrid statute. 103 But interpretive questions relating to non-aggravated felonies present an even closer question, as these grounds have no criminal law application. The Supreme Court has suggested -albeit briefly - that Chevron is relevant in such cases, at least with respect to statutory terms that have no distinct criminal law meaning (the fourth category above).1 " </w:t>
      </w:r>
      <w:r w:rsidRPr="00CA0809">
        <w:rPr>
          <w:rStyle w:val="StyleUnderline"/>
        </w:rPr>
        <w:t>In Mellouli v. Lynch</w:t>
      </w:r>
      <w:r w:rsidRPr="00CA0809">
        <w:rPr>
          <w:sz w:val="16"/>
        </w:rPr>
        <w:t xml:space="preserve">, </w:t>
      </w:r>
      <w:r w:rsidRPr="00CA0809">
        <w:rPr>
          <w:rStyle w:val="StyleUnderline"/>
        </w:rPr>
        <w:t>the Court interpreted the phrase "relating to"</w:t>
      </w:r>
      <w:r w:rsidRPr="00CA0809">
        <w:rPr>
          <w:sz w:val="16"/>
        </w:rPr>
        <w:t xml:space="preserve"> in the controlled substance criminal deportation ground.10 s At issue was whether a Kansas misdemeanor for possession of drug paraphernalia constituted a deportable drug offense under a provision that authorizes the removal of a noncitizen "convicted of a violation of ... any law or regulation of a State, the United States, or a foreign country relating to a controlled substance (as defined in [the federal Controlled Substances Act])."106 </w:t>
      </w:r>
      <w:r w:rsidRPr="00CA0809">
        <w:rPr>
          <w:rStyle w:val="StyleUnderline"/>
        </w:rPr>
        <w:t>The Court held that the</w:t>
      </w:r>
      <w:r w:rsidRPr="00CA0809">
        <w:rPr>
          <w:sz w:val="16"/>
        </w:rPr>
        <w:t xml:space="preserve"> Kansas paraphernalia </w:t>
      </w:r>
      <w:r w:rsidRPr="00CA0809">
        <w:rPr>
          <w:rStyle w:val="StyleUnderline"/>
        </w:rPr>
        <w:t>conviction was not a deportable offense because the</w:t>
      </w:r>
      <w:r w:rsidRPr="00CA0809">
        <w:rPr>
          <w:sz w:val="16"/>
        </w:rPr>
        <w:t xml:space="preserve"> Kansas drug </w:t>
      </w:r>
      <w:r w:rsidRPr="00CA0809">
        <w:rPr>
          <w:rStyle w:val="StyleUnderline"/>
        </w:rPr>
        <w:t>schedule was broader than the one described in the Controlled Substances Act</w:t>
      </w:r>
      <w:r w:rsidRPr="00CA0809">
        <w:rPr>
          <w:sz w:val="16"/>
        </w:rPr>
        <w:t xml:space="preserve">.107 The Court reasoned that the paraphernalia conviction did not necessarily "relate to" a federal controlled substance because it could have related to a substance criminalized by Kansas, but not federal, law.'"0 Characterizing the BIA's contrary interpretation as "ma[king] scant sense," </w:t>
      </w:r>
      <w:r w:rsidRPr="00CA0809">
        <w:rPr>
          <w:rStyle w:val="StyleUnderline"/>
        </w:rPr>
        <w:t>the Court found the agency was "owed no deference under the doctrine described in Chevron</w:t>
      </w:r>
      <w:r w:rsidRPr="00CA0809">
        <w:rPr>
          <w:sz w:val="16"/>
        </w:rPr>
        <w:t>."" The Court thus appeared to engage in a step two Chevron inquiry, rejecting the BIA's interpretation of an ambiguous statute as unreasonable. 11 0 The Court's brief reasoning did not reveal why it believed Chevron was relevant.111</w:t>
      </w:r>
    </w:p>
    <w:p w14:paraId="6CA75044" w14:textId="77777777" w:rsidR="0095149D" w:rsidRPr="00CA0809" w:rsidRDefault="0095149D" w:rsidP="0095149D">
      <w:pPr>
        <w:rPr>
          <w:sz w:val="16"/>
        </w:rPr>
      </w:pPr>
      <w:r w:rsidRPr="00CA0809">
        <w:rPr>
          <w:sz w:val="16"/>
        </w:rPr>
        <w:t xml:space="preserve">Apart from Mellouli, the Court has ignored Chevron when interpreting crime-based removal statutes. 12 In cases involving aggravated felony provisions, the Court has neither referred to Chevron nor deferred to the agency, even when Chevron was briefed by the parties. 113 </w:t>
      </w:r>
      <w:r w:rsidRPr="00CA0809">
        <w:rPr>
          <w:rStyle w:val="StyleUnderline"/>
        </w:rPr>
        <w:t>Lower courts</w:t>
      </w:r>
      <w:r w:rsidRPr="00CA0809">
        <w:rPr>
          <w:sz w:val="16"/>
        </w:rPr>
        <w:t>, in contrast,</w:t>
      </w:r>
      <w:r w:rsidRPr="00CA0809">
        <w:rPr>
          <w:rStyle w:val="StyleUnderline"/>
        </w:rPr>
        <w:t xml:space="preserve"> have often deferred to the agency's interpretations of aggravated felony provisions without first questioning whether deference is appropriate</w:t>
      </w:r>
      <w:r w:rsidRPr="00CA0809">
        <w:rPr>
          <w:sz w:val="16"/>
        </w:rPr>
        <w:t>. 114</w:t>
      </w:r>
    </w:p>
    <w:p w14:paraId="25EEA52E" w14:textId="27028AA4" w:rsidR="0095149D" w:rsidRDefault="0095149D" w:rsidP="00621D20">
      <w:pPr>
        <w:rPr>
          <w:sz w:val="16"/>
        </w:rPr>
      </w:pPr>
      <w:r w:rsidRPr="00CA0809">
        <w:rPr>
          <w:rStyle w:val="StyleUnderline"/>
        </w:rPr>
        <w:t>The Court has not</w:t>
      </w:r>
      <w:r w:rsidRPr="00CA0809">
        <w:rPr>
          <w:sz w:val="16"/>
        </w:rPr>
        <w:t xml:space="preserve"> yet </w:t>
      </w:r>
      <w:r w:rsidRPr="00CA0809">
        <w:rPr>
          <w:rStyle w:val="StyleUnderline"/>
        </w:rPr>
        <w:t>developed a jurisprudence</w:t>
      </w:r>
      <w:r w:rsidRPr="00CA0809">
        <w:rPr>
          <w:sz w:val="16"/>
        </w:rPr>
        <w:t xml:space="preserve"> addressing when, if ever, Chevron applies to interpretations of crime-based removal grounds. While there is general agreement that some ambiguity in the criminal grounds of deportation is for courts alone to settle, there is persistent confusion about which questions fall into this category. </w:t>
      </w:r>
      <w:r w:rsidRPr="00CA0809">
        <w:rPr>
          <w:rStyle w:val="StyleUnderline"/>
        </w:rPr>
        <w:t>The different types of terms and phrases needing interpretation - and the cross-cutting issue of whether Chevron applies to deportation statutes that have criminal application</w:t>
      </w:r>
      <w:r w:rsidRPr="00CA0809">
        <w:rPr>
          <w:sz w:val="16"/>
        </w:rPr>
        <w:t xml:space="preserve"> (e.g., the aggravated felony definition) - </w:t>
      </w:r>
      <w:r w:rsidRPr="00CA0809">
        <w:rPr>
          <w:rStyle w:val="StyleUnderline"/>
        </w:rPr>
        <w:t>complicate the question</w:t>
      </w:r>
      <w:r w:rsidRPr="00CA0809">
        <w:rPr>
          <w:sz w:val="16"/>
        </w:rPr>
        <w:t xml:space="preserve"> of whether Chevron applies in any given scenario. The Court is in sore need of guidance in the area of Chevron and deportation for a crime.</w:t>
      </w:r>
    </w:p>
    <w:p w14:paraId="7B5F5D93" w14:textId="0EDF560E" w:rsidR="0095149D" w:rsidRPr="00B8302B" w:rsidRDefault="0095149D" w:rsidP="0095149D">
      <w:pPr>
        <w:pStyle w:val="Heading4"/>
      </w:pPr>
      <w:r>
        <w:t>It solves asylum.</w:t>
      </w:r>
    </w:p>
    <w:p w14:paraId="1495DC72" w14:textId="77777777" w:rsidR="0095149D" w:rsidRDefault="0095149D" w:rsidP="0095149D">
      <w:r>
        <w:rPr>
          <w:rStyle w:val="Style13ptBold"/>
        </w:rPr>
        <w:t xml:space="preserve">Mezzina et al 17 </w:t>
      </w:r>
      <w:r>
        <w:rPr>
          <w:rStyle w:val="Style13ptBold"/>
          <w:b w:val="0"/>
          <w:bCs w:val="0"/>
        </w:rPr>
        <w:t xml:space="preserve">— </w:t>
      </w:r>
      <w:r>
        <w:t>Paul Alessio Mezzina is a partner at King &amp; Spalding and has a JD and AB from Harvard Law; Ilya Shapiro is the director of the Robert A. Levy Center for Constitutional Studies at the Cato Institute, publisher of the Cato Supreme Court Review, has a JD from the University of Chicago Law School, and an AB from Princeton; Trevor Burrus is a research fellow in the Cato Institute’s Robert A. Levy Center for Constitutional Studies, editor‐​in‐​chief of the Cato Supreme Court Review, holds a BA in philosophy from the University of Colorado, and a JD from the University of Denver Sturm College of Law. (“Perez‐​Guzman v. Sessions” Cato Institute, September 27, 2017. https://www.cato.org/publications/legal-briefs/perez-guzman-v-sessions)//JLPark</w:t>
      </w:r>
    </w:p>
    <w:p w14:paraId="278D8621" w14:textId="4AD6853E" w:rsidR="0095149D" w:rsidRDefault="0095149D" w:rsidP="00621D20">
      <w:pPr>
        <w:rPr>
          <w:sz w:val="16"/>
        </w:rPr>
      </w:pPr>
      <w:r w:rsidRPr="00036D1D">
        <w:rPr>
          <w:rStyle w:val="StyleUnderline"/>
        </w:rPr>
        <w:t>One federal statute says</w:t>
      </w:r>
      <w:r w:rsidRPr="00036D1D">
        <w:rPr>
          <w:sz w:val="16"/>
        </w:rPr>
        <w:t xml:space="preserve"> that Rony Estuardo Perez‐​</w:t>
      </w:r>
      <w:r w:rsidRPr="00036D1D">
        <w:rPr>
          <w:rStyle w:val="StyleUnderline"/>
        </w:rPr>
        <w:t>Guzman, who claims refugee status, isn’t eligible for asylum. Another</w:t>
      </w:r>
      <w:r w:rsidRPr="00036D1D">
        <w:rPr>
          <w:sz w:val="16"/>
        </w:rPr>
        <w:t xml:space="preserve"> one </w:t>
      </w:r>
      <w:r w:rsidRPr="00036D1D">
        <w:rPr>
          <w:rStyle w:val="StyleUnderline"/>
        </w:rPr>
        <w:t>says that he is</w:t>
      </w:r>
      <w:r w:rsidRPr="00036D1D">
        <w:rPr>
          <w:sz w:val="16"/>
        </w:rPr>
        <w:t xml:space="preserve">. Whose duty is it to reconcile this glaring legislative contradiction, and how should it be remedied? Mr. Perez‐​Guzman fled to the United States to escape violence and persecution in Guatemala. He was stopped by border patrol agents and deported, but reentered the United States because he still feared for his life. </w:t>
      </w:r>
      <w:r w:rsidRPr="00036D1D">
        <w:rPr>
          <w:rStyle w:val="StyleUnderline"/>
        </w:rPr>
        <w:t>The asylum statute</w:t>
      </w:r>
      <w:r w:rsidRPr="00036D1D">
        <w:rPr>
          <w:sz w:val="16"/>
        </w:rPr>
        <w:t xml:space="preserve"> (8 U.S.C. § 1158) </w:t>
      </w:r>
      <w:r w:rsidRPr="00036D1D">
        <w:rPr>
          <w:rStyle w:val="StyleUnderline"/>
        </w:rPr>
        <w:t>guarantees the right of “any alien … physically present in the U</w:t>
      </w:r>
      <w:r w:rsidRPr="00036D1D">
        <w:rPr>
          <w:sz w:val="16"/>
        </w:rPr>
        <w:t xml:space="preserve">nited </w:t>
      </w:r>
      <w:r w:rsidRPr="00036D1D">
        <w:rPr>
          <w:rStyle w:val="StyleUnderline"/>
        </w:rPr>
        <w:t>S</w:t>
      </w:r>
      <w:r w:rsidRPr="00036D1D">
        <w:rPr>
          <w:sz w:val="16"/>
        </w:rPr>
        <w:t xml:space="preserve">tates … </w:t>
      </w:r>
      <w:r w:rsidRPr="00036D1D">
        <w:rPr>
          <w:rStyle w:val="StyleUnderline"/>
        </w:rPr>
        <w:t>irrespective of such alien’s status</w:t>
      </w:r>
      <w:r w:rsidRPr="00036D1D">
        <w:rPr>
          <w:sz w:val="16"/>
        </w:rPr>
        <w:t xml:space="preserve">” </w:t>
      </w:r>
      <w:r w:rsidRPr="00036D1D">
        <w:rPr>
          <w:rStyle w:val="StyleUnderline"/>
        </w:rPr>
        <w:t>to apply for asylum. The reinstatement statute</w:t>
      </w:r>
      <w:r w:rsidRPr="00036D1D">
        <w:rPr>
          <w:sz w:val="16"/>
        </w:rPr>
        <w:t xml:space="preserve"> (8 U.S.C. § 1231) </w:t>
      </w:r>
      <w:r w:rsidRPr="00036D1D">
        <w:rPr>
          <w:rStyle w:val="StyleUnderline"/>
        </w:rPr>
        <w:t>states that an individual who has previously been removed from the U</w:t>
      </w:r>
      <w:r w:rsidRPr="00036D1D">
        <w:rPr>
          <w:sz w:val="16"/>
        </w:rPr>
        <w:t xml:space="preserve">nited </w:t>
      </w:r>
      <w:r w:rsidRPr="00036D1D">
        <w:rPr>
          <w:rStyle w:val="StyleUnderline"/>
        </w:rPr>
        <w:t>S</w:t>
      </w:r>
      <w:r w:rsidRPr="00036D1D">
        <w:rPr>
          <w:sz w:val="16"/>
        </w:rPr>
        <w:t>tates “</w:t>
      </w:r>
      <w:r w:rsidRPr="00036D1D">
        <w:rPr>
          <w:rStyle w:val="StyleUnderline"/>
        </w:rPr>
        <w:t>may not apply for any relief under this chapter</w:t>
      </w:r>
      <w:r w:rsidRPr="00036D1D">
        <w:rPr>
          <w:sz w:val="16"/>
        </w:rPr>
        <w:t xml:space="preserve">” (which includes asylum). </w:t>
      </w:r>
      <w:r w:rsidRPr="00036D1D">
        <w:rPr>
          <w:rStyle w:val="StyleUnderline"/>
        </w:rPr>
        <w:t>The U.S. Court of Appeals</w:t>
      </w:r>
      <w:r w:rsidRPr="00036D1D">
        <w:rPr>
          <w:sz w:val="16"/>
        </w:rPr>
        <w:t xml:space="preserve"> for the Ninth Circuit </w:t>
      </w:r>
      <w:r w:rsidRPr="00036D1D">
        <w:rPr>
          <w:rStyle w:val="StyleUnderline"/>
        </w:rPr>
        <w:t>held that the two statutes conflict</w:t>
      </w:r>
      <w:r w:rsidRPr="00036D1D">
        <w:rPr>
          <w:sz w:val="16"/>
        </w:rPr>
        <w:t xml:space="preserve"> — so far so good — and are therefore are ambiguous, which is where the judicial mischief starts. A finding of statutory ambiguity often leads courts to simply defer to administrative agency interpreting the statute, which here means the Justice Department refusal to let Perez‐​Guzman apply for asylum. Perez‐​Guzman has petitioned the Supreme Court to review his case. Cato has filed an amicus brief supporting that petition and challenging the lower‐​court holding that statutory conflict triggers Chevron deference (named after the 1984 Supreme Court case that created the doctrine). Chevron deference provides that courts must defer to administrative agency interpretations of the authority granted to them by Congress (1) where the intent of Congress is intentionally ambiguous and (2) where the interpretation is reasonable or permissible. The Court has curtailed Chevron by carving out important limitations, which mean that Chevron deference will not apply without an implicit congressional delegation for an agency to “fill in the gaps” in ambiguous statutory language. The notion that Congress intentionally drafts ambiguous language so an agency may interpret that language as it sees fit is itself suspect as a matter of the separation of powers: our Constitution doesn’t allow a delegation of legislative power to the executive. But the notion that Congress commits that same folly by drafting directly conflicting statutory language is ludicrous. The Administrative Procedure Act mandates that courts interpret statutory provisions and determine the applicability of agency actions; it attempts to reinforce the importance of the separation of powers. Chevron asks us to forget all about it. Expanding the doctrine further, to incorporate not just ambiguous statutes but conflicting ones will further erode the rule of law. </w:t>
      </w:r>
      <w:r w:rsidRPr="00036D1D">
        <w:rPr>
          <w:rStyle w:val="StyleUnderline"/>
        </w:rPr>
        <w:t>If the Court wants</w:t>
      </w:r>
      <w:r w:rsidRPr="00036D1D">
        <w:rPr>
          <w:sz w:val="16"/>
        </w:rPr>
        <w:t xml:space="preserve"> a way </w:t>
      </w:r>
      <w:r w:rsidRPr="00036D1D">
        <w:rPr>
          <w:rStyle w:val="StyleUnderline"/>
        </w:rPr>
        <w:t xml:space="preserve">to resolve these conflicting statutes, it should look to </w:t>
      </w:r>
      <w:r w:rsidRPr="00036D1D">
        <w:rPr>
          <w:sz w:val="16"/>
        </w:rPr>
        <w:t xml:space="preserve">the “rule of </w:t>
      </w:r>
      <w:r w:rsidRPr="00036D1D">
        <w:rPr>
          <w:rStyle w:val="StyleUnderline"/>
        </w:rPr>
        <w:t>lenity</w:t>
      </w:r>
      <w:r w:rsidRPr="00036D1D">
        <w:rPr>
          <w:sz w:val="16"/>
        </w:rPr>
        <w:t xml:space="preserve">.” It provides that in construing ambiguous criminal statutes, courts should resolve the ambiguity in favor of the defendant. </w:t>
      </w:r>
      <w:r w:rsidRPr="00036D1D">
        <w:rPr>
          <w:rStyle w:val="StyleUnderline"/>
        </w:rPr>
        <w:t>The rule is</w:t>
      </w:r>
      <w:r w:rsidRPr="00036D1D">
        <w:rPr>
          <w:sz w:val="16"/>
        </w:rPr>
        <w:t xml:space="preserve"> also </w:t>
      </w:r>
      <w:r w:rsidRPr="00036D1D">
        <w:rPr>
          <w:rStyle w:val="StyleUnderline"/>
        </w:rPr>
        <w:t>applied in deportation statutes. It reflects the fundamental principle that Congress must speak clearly if it wants to impose on an individual an especially severe deprivation of liberty</w:t>
      </w:r>
      <w:r w:rsidRPr="00036D1D">
        <w:rPr>
          <w:sz w:val="16"/>
        </w:rPr>
        <w:t xml:space="preserve"> — which deportation most assuredly is. When removal from the country is at stake, </w:t>
      </w:r>
      <w:r w:rsidRPr="00036D1D">
        <w:rPr>
          <w:rStyle w:val="StyleUnderline"/>
        </w:rPr>
        <w:t>courts shouldn’t defer to an agency interpretation that commands a greater infringement on liberty than a statute requires</w:t>
      </w:r>
      <w:r w:rsidRPr="00036D1D">
        <w:rPr>
          <w:sz w:val="16"/>
        </w:rPr>
        <w:t xml:space="preserve"> (however restrictive or expansive that statute may be). The Supreme Court should review Perez‐​Guzman v. Sessions, restore the balance of constitutional power, and reclaim the judiciary’s authority to say what the law is.</w:t>
      </w:r>
    </w:p>
    <w:p w14:paraId="1C677C91" w14:textId="05E96AFC" w:rsidR="00D91D7C" w:rsidRPr="00606403" w:rsidRDefault="00D91D7C" w:rsidP="00D91D7C">
      <w:pPr>
        <w:pStyle w:val="Heading4"/>
      </w:pPr>
      <w:r>
        <w:t>It would create a presumption towards physical liberty.</w:t>
      </w:r>
    </w:p>
    <w:p w14:paraId="49228DDC" w14:textId="77777777" w:rsidR="00D91D7C" w:rsidRPr="008B203E" w:rsidRDefault="00D91D7C" w:rsidP="00D91D7C">
      <w:r w:rsidRPr="00606403">
        <w:rPr>
          <w:rStyle w:val="Style13ptBold"/>
        </w:rPr>
        <w:t>Das 15</w:t>
      </w:r>
      <w:r>
        <w:t xml:space="preserve"> (Alina Das, Professor of Clinical Law at NYU School of Law and codirects Immigrant Rights Clinic, Unshackling Habeas Review, Vol90 No1, “Review: Chevron Deference and Statutory Interpretation in Immigration Detention Cases,” April 2015)</w:t>
      </w:r>
    </w:p>
    <w:p w14:paraId="4DA8F9D4" w14:textId="77777777" w:rsidR="00D91D7C" w:rsidRDefault="00D91D7C" w:rsidP="00D91D7C">
      <w:r w:rsidRPr="008B203E">
        <w:rPr>
          <w:rStyle w:val="StyleUnderline"/>
        </w:rPr>
        <w:t>Adopting a presumption in favor of physical liberty in the interpretation of detention statutes would</w:t>
      </w:r>
      <w:r>
        <w:t xml:space="preserve"> address these liberty and democratic norms. 320 Such a presumption would </w:t>
      </w:r>
      <w:r w:rsidRPr="008B203E">
        <w:rPr>
          <w:rStyle w:val="StyleUnderline"/>
        </w:rPr>
        <w:t>operate most effectively if it takes a form akin to the stronger forms of constitutional avoidance and the rule of lenity</w:t>
      </w:r>
      <w:r>
        <w:t xml:space="preserve">. In other words, </w:t>
      </w:r>
      <w:r w:rsidRPr="008B203E">
        <w:rPr>
          <w:rStyle w:val="Emphasis"/>
        </w:rPr>
        <w:t>ambiguities in immigration detention statutes should be construed to preserve physical liberty</w:t>
      </w:r>
      <w:r>
        <w:t>. Applying this presumption would give proper weight to the liberty interest that is implicated in immigration detention cases, while also resolving the tension that occurs when deference norms apply in the habeas context. Moreover, it would serve the purpose of nondelegation principles generally, ensuring careful deliberation by Congress in legislating immigration detention provisions. 321 For these reasons, a presumption in favor of liberty is fitting.</w:t>
      </w:r>
    </w:p>
    <w:p w14:paraId="668509BD" w14:textId="77777777" w:rsidR="00D91D7C" w:rsidRPr="008B203E" w:rsidRDefault="00D91D7C" w:rsidP="00D91D7C">
      <w:r>
        <w:t xml:space="preserve">Moreover, </w:t>
      </w:r>
      <w:r w:rsidRPr="008B203E">
        <w:rPr>
          <w:rStyle w:val="StyleUnderline"/>
        </w:rPr>
        <w:t>a presumption in favor of physical liberty enhances federal courts' ability to serve as a meaningful check on executive detention</w:t>
      </w:r>
      <w:r>
        <w:t xml:space="preserve">. Its applicability flows from some of the same principles that suggest that </w:t>
      </w:r>
      <w:r w:rsidRPr="008B203E">
        <w:rPr>
          <w:rStyle w:val="StyleUnderline"/>
        </w:rPr>
        <w:t>federal courts should not be forced to defer to the executive's view of the statute through Chevron</w:t>
      </w:r>
      <w:r>
        <w:t xml:space="preserve">. Furthermore, </w:t>
      </w:r>
      <w:r w:rsidRPr="008B203E">
        <w:rPr>
          <w:rStyle w:val="StyleUnderline"/>
        </w:rPr>
        <w:t>even within the Chevron framework, such a presumption would operate at step one, never proceeding to the second step of the analysis where deference is at play</w:t>
      </w:r>
      <w:r>
        <w:t xml:space="preserve">. Most importantly, </w:t>
      </w:r>
      <w:r w:rsidRPr="008B203E">
        <w:rPr>
          <w:rStyle w:val="StyleUnderline"/>
        </w:rPr>
        <w:t>it would bring the physical liberty interest to the forefront of statutory analysis in detention cases-a factor that has been woefully missing from recent federal court cases interpreting current immigration detention law.</w:t>
      </w:r>
    </w:p>
    <w:p w14:paraId="18D37BB1" w14:textId="77777777" w:rsidR="00D91D7C" w:rsidRDefault="00D91D7C" w:rsidP="00D91D7C">
      <w:r w:rsidRPr="008B203E">
        <w:rPr>
          <w:rStyle w:val="StyleUnderline"/>
        </w:rPr>
        <w:t>Federal courts serve an essential role in reviewing immigration detention challenges</w:t>
      </w:r>
      <w:r>
        <w:t xml:space="preserve">. </w:t>
      </w:r>
      <w:r w:rsidRPr="008B203E">
        <w:rPr>
          <w:rStyle w:val="StyleUnderline"/>
        </w:rPr>
        <w:t>Robust review safeguards longtime residents' freedom from unlawful physical confinement at the hands of the executive. As administrative agencies have begun to play an increasingly important role in the immigration detention context, one might assume that federal courts would respond with greater vigilance, not less</w:t>
      </w:r>
      <w:r>
        <w:t xml:space="preserve">. Yet </w:t>
      </w:r>
      <w:r w:rsidRPr="008B203E">
        <w:rPr>
          <w:rStyle w:val="StyleUnderline"/>
        </w:rPr>
        <w:t xml:space="preserve">through </w:t>
      </w:r>
      <w:r>
        <w:t xml:space="preserve">the application of </w:t>
      </w:r>
      <w:r w:rsidRPr="008B203E">
        <w:rPr>
          <w:rStyle w:val="StyleUnderline"/>
        </w:rPr>
        <w:t>Chevron deference, federal courts have subjugated themselves to the agency in reviewing the lawfulness of immigrants' detention</w:t>
      </w:r>
      <w:r>
        <w:t xml:space="preserve">. While in theory this application of Chevron is predicated on Congress's desire for the agency to play this heightened role, there are several reasons to question this assumption. </w:t>
      </w:r>
      <w:r w:rsidRPr="008B203E">
        <w:rPr>
          <w:rStyle w:val="StyleUnderline"/>
        </w:rPr>
        <w:t xml:space="preserve">An examination of the statutory scheme reveals little indication that Congress delegated-expressly or implicitly-its lawmaking power over detention to the BIA. </w:t>
      </w:r>
      <w:r>
        <w:t>Moreover</w:t>
      </w:r>
      <w:r w:rsidRPr="008B203E">
        <w:rPr>
          <w:rStyle w:val="StyleUnderline"/>
        </w:rPr>
        <w:t>, given the unique authority that Congress has in the area of detention, and the important role that federal courts have played as a check on that power through habeas corpus review, any strong application of deference to the agency proves disruptive to this careful balance</w:t>
      </w:r>
      <w:r>
        <w:t xml:space="preserve">. For these reasons, </w:t>
      </w:r>
      <w:r w:rsidRPr="008B203E">
        <w:rPr>
          <w:rStyle w:val="StyleUnderline"/>
        </w:rPr>
        <w:t>courts should not apply Chevron to statutory immigration detention challenges, and should instead review the meaning of the statutory provisions at issue de novo and without deference to the agency</w:t>
      </w:r>
      <w:r>
        <w:t xml:space="preserve">. At the same time, such </w:t>
      </w:r>
      <w:r w:rsidRPr="008B203E">
        <w:rPr>
          <w:rStyle w:val="StyleUnderline"/>
        </w:rPr>
        <w:t>statutory interpretation should include tools that properly account for the physical liberty interest at stake.</w:t>
      </w:r>
    </w:p>
    <w:p w14:paraId="22C28B52" w14:textId="328C6B81" w:rsidR="00D91D7C" w:rsidRPr="00D91D7C" w:rsidRDefault="00D91D7C" w:rsidP="00621D20">
      <w:r>
        <w:t xml:space="preserve">[Begin Footnote] 320 </w:t>
      </w:r>
      <w:r w:rsidRPr="008B203E">
        <w:rPr>
          <w:rStyle w:val="StyleUnderline"/>
        </w:rPr>
        <w:t>This rule would also align with international human rights law, which calls for a presumption against detention to ensure that immigration detention is used as a last resort</w:t>
      </w:r>
      <w:r>
        <w:t>. See Denise Gilman, Realizing Liberty: The Use of International Human Rights Law to Realign Immigration Detention in the United States, 36 FORDHAM INT'L L.J. 243, 267-79 (2013) (elaborating on the principles that circumscribe immigration detention under an international human rights framework). 321 See Sunstein, supra note 160, at 317 ("The nondelegation canons represent a salutary kind of democracy-forcing minimalism, designed to ensure that certain choices are made by an institution with a superior democratic pedigree."). [End footnote]</w:t>
      </w:r>
    </w:p>
    <w:p w14:paraId="6EBDEE83" w14:textId="548A71CE" w:rsidR="00621D20" w:rsidRDefault="00621D20" w:rsidP="00621D20">
      <w:pPr>
        <w:pStyle w:val="Heading3"/>
      </w:pPr>
      <w:r>
        <w:t>2AC – AT: INA Congressional Intent</w:t>
      </w:r>
    </w:p>
    <w:p w14:paraId="6CBAA917" w14:textId="77777777" w:rsidR="00621D20" w:rsidRPr="00372182" w:rsidRDefault="00621D20" w:rsidP="00621D20">
      <w:pPr>
        <w:pStyle w:val="Heading4"/>
      </w:pPr>
      <w:r>
        <w:t>Congress intended the judiciary, not the BIA, to interpret the INA.</w:t>
      </w:r>
    </w:p>
    <w:p w14:paraId="4FF5CC8B" w14:textId="77777777" w:rsidR="00621D20" w:rsidRDefault="00621D20" w:rsidP="00621D20">
      <w:r>
        <w:rPr>
          <w:rStyle w:val="Style13ptBold"/>
        </w:rPr>
        <w:t>Sharpless 17</w:t>
      </w:r>
      <w:r>
        <w:t xml:space="preserve"> – Rebecca Sharpless, Clinical Professor at University of Miami School of Law ("Zone of Nondeference: Chevron and Deportation for a Crime,” 9 Drexel L. Review 323, available online at https://drexel.edu/law/lawreview/issues/Archives/v9-2/sharpless/, accessed 6-25-2020) LR</w:t>
      </w:r>
    </w:p>
    <w:p w14:paraId="23B4CDA2" w14:textId="77777777" w:rsidR="00621D20" w:rsidRPr="00820560" w:rsidRDefault="00621D20" w:rsidP="00621D20">
      <w:pPr>
        <w:rPr>
          <w:sz w:val="16"/>
        </w:rPr>
      </w:pPr>
      <w:r w:rsidRPr="00C303AF">
        <w:rPr>
          <w:rStyle w:val="Emphasis"/>
        </w:rPr>
        <w:t>Congress intended</w:t>
      </w:r>
      <w:r w:rsidRPr="008742B9">
        <w:rPr>
          <w:rStyle w:val="StyleUnderline"/>
        </w:rPr>
        <w:t xml:space="preserve"> the </w:t>
      </w:r>
      <w:r w:rsidRPr="00C303AF">
        <w:rPr>
          <w:rStyle w:val="Emphasis"/>
        </w:rPr>
        <w:t>judiciary, not immigration agencies</w:t>
      </w:r>
      <w:r w:rsidRPr="008742B9">
        <w:rPr>
          <w:rStyle w:val="StyleUnderline"/>
        </w:rPr>
        <w:t>, to interpret ambiguity in crime-based removal statutes.</w:t>
      </w:r>
      <w:r w:rsidRPr="00820560">
        <w:rPr>
          <w:sz w:val="16"/>
        </w:rPr>
        <w:t xml:space="preserve"> Focusing on delegation as the touchstone for deference, the Supreme Court in </w:t>
      </w:r>
      <w:r w:rsidRPr="00820560">
        <w:rPr>
          <w:rStyle w:val="StyleUnderline"/>
        </w:rPr>
        <w:t>Mead framed the question as whether “the agency interpretation claiming deference was promulgated in the exercise of [the] authority</w:t>
      </w:r>
      <w:r w:rsidRPr="00820560">
        <w:rPr>
          <w:sz w:val="16"/>
        </w:rPr>
        <w:t xml:space="preserve">” to make rules carrying the force of law.143 </w:t>
      </w:r>
      <w:r w:rsidRPr="00820560">
        <w:rPr>
          <w:rStyle w:val="StyleUnderline"/>
        </w:rPr>
        <w:t>This delegation can be either express or implicit</w:t>
      </w:r>
      <w:r w:rsidRPr="00820560">
        <w:rPr>
          <w:sz w:val="16"/>
        </w:rPr>
        <w:t xml:space="preserve">, but it must be focused on the “particular statutory provision” at issue.144 </w:t>
      </w:r>
      <w:r w:rsidRPr="00820560">
        <w:rPr>
          <w:rStyle w:val="StyleUnderline"/>
        </w:rPr>
        <w:t>Because Congress gave the Attorney General</w:t>
      </w:r>
      <w:r w:rsidRPr="00820560">
        <w:rPr>
          <w:sz w:val="16"/>
        </w:rPr>
        <w:t xml:space="preserve"> (and, by extension, the BIA) </w:t>
      </w:r>
      <w:r w:rsidRPr="00820560">
        <w:rPr>
          <w:rStyle w:val="StyleUnderline"/>
        </w:rPr>
        <w:t>the authority to issue binding precedential adjudications, these</w:t>
      </w:r>
      <w:r w:rsidRPr="00820560">
        <w:rPr>
          <w:sz w:val="16"/>
        </w:rPr>
        <w:t xml:space="preserve"> decisions—whatever their content—</w:t>
      </w:r>
      <w:r w:rsidRPr="00820560">
        <w:rPr>
          <w:rStyle w:val="StyleUnderline"/>
        </w:rPr>
        <w:t>arguably satisfy Mead’s general force of law requirement</w:t>
      </w:r>
      <w:r w:rsidRPr="00820560">
        <w:rPr>
          <w:sz w:val="16"/>
        </w:rPr>
        <w:t xml:space="preserve">.145 </w:t>
      </w:r>
    </w:p>
    <w:p w14:paraId="6A419139" w14:textId="77777777" w:rsidR="00621D20" w:rsidRPr="00820560" w:rsidRDefault="00621D20" w:rsidP="00621D20">
      <w:pPr>
        <w:rPr>
          <w:rStyle w:val="StyleUnderline"/>
        </w:rPr>
      </w:pPr>
      <w:r w:rsidRPr="00820560">
        <w:rPr>
          <w:rStyle w:val="StyleUnderline"/>
        </w:rPr>
        <w:t xml:space="preserve">But satisfaction of Mead’s general “force of law” requirement does not end the delegation inquiry. Mead </w:t>
      </w:r>
      <w:r w:rsidRPr="00C303AF">
        <w:rPr>
          <w:rStyle w:val="Emphasis"/>
        </w:rPr>
        <w:t>further requires</w:t>
      </w:r>
      <w:r w:rsidRPr="00820560">
        <w:rPr>
          <w:rStyle w:val="StyleUnderline"/>
        </w:rPr>
        <w:t xml:space="preserve"> “inquiry into whether Congress intended the particular provision at issue to </w:t>
      </w:r>
      <w:r w:rsidRPr="00C303AF">
        <w:rPr>
          <w:rStyle w:val="Emphasis"/>
        </w:rPr>
        <w:t>fall within delegated interpretive authority</w:t>
      </w:r>
      <w:r w:rsidRPr="00820560">
        <w:rPr>
          <w:rStyle w:val="StyleUnderline"/>
        </w:rPr>
        <w:t>.”</w:t>
      </w:r>
      <w:r w:rsidRPr="00820560">
        <w:rPr>
          <w:sz w:val="16"/>
        </w:rPr>
        <w:t xml:space="preserve">146 </w:t>
      </w:r>
      <w:r w:rsidRPr="00820560">
        <w:rPr>
          <w:rStyle w:val="StyleUnderline"/>
        </w:rPr>
        <w:t>This</w:t>
      </w:r>
      <w:r w:rsidRPr="00820560">
        <w:rPr>
          <w:sz w:val="16"/>
        </w:rPr>
        <w:t xml:space="preserve"> particularized </w:t>
      </w:r>
      <w:r w:rsidRPr="00820560">
        <w:rPr>
          <w:rStyle w:val="StyleUnderline"/>
        </w:rPr>
        <w:t>approach to the delegation inquiry is consistent with Supreme Court practice in the area of crime-based removal.</w:t>
      </w:r>
      <w:r w:rsidRPr="00820560">
        <w:rPr>
          <w:sz w:val="16"/>
        </w:rPr>
        <w:t xml:space="preserve"> As discussed above, </w:t>
      </w:r>
      <w:r w:rsidRPr="00820560">
        <w:rPr>
          <w:rStyle w:val="StyleUnderline"/>
        </w:rPr>
        <w:t>when confronted by certain types of statutory ambiguity</w:t>
      </w:r>
      <w:r w:rsidRPr="00820560">
        <w:rPr>
          <w:sz w:val="16"/>
        </w:rPr>
        <w:t>—for example, ambiguity that relates to the categorical approach or the aggravated felony definition—</w:t>
      </w:r>
      <w:r w:rsidRPr="00820560">
        <w:rPr>
          <w:rStyle w:val="StyleUnderline"/>
        </w:rPr>
        <w:t>the Court has opted not to apply Chevron.</w:t>
      </w:r>
      <w:r w:rsidRPr="00820560">
        <w:rPr>
          <w:sz w:val="16"/>
        </w:rPr>
        <w:t xml:space="preserve">147 </w:t>
      </w:r>
      <w:r w:rsidRPr="00820560">
        <w:rPr>
          <w:rStyle w:val="StyleUnderline"/>
        </w:rPr>
        <w:t xml:space="preserve">These specific </w:t>
      </w:r>
      <w:r w:rsidRPr="00C303AF">
        <w:rPr>
          <w:rStyle w:val="Emphasis"/>
        </w:rPr>
        <w:t>refusals to defer co-exist</w:t>
      </w:r>
      <w:r w:rsidRPr="00820560">
        <w:rPr>
          <w:rStyle w:val="StyleUnderline"/>
        </w:rPr>
        <w:t xml:space="preserve"> with Congress’s general grant of authority to the Attorney General to interpret the INA through adjudications.</w:t>
      </w:r>
    </w:p>
    <w:p w14:paraId="706D1B95" w14:textId="77777777" w:rsidR="00621D20" w:rsidRPr="008B0CE1" w:rsidRDefault="00621D20" w:rsidP="00621D20">
      <w:pPr>
        <w:rPr>
          <w:sz w:val="16"/>
        </w:rPr>
      </w:pPr>
      <w:r w:rsidRPr="008B0CE1">
        <w:rPr>
          <w:sz w:val="16"/>
        </w:rPr>
        <w:t xml:space="preserve">In Barnhart v. Walton, a Justice Breyer opinion, the Court fashioned a controversial test for the Mead delegation inquiry.148 The Court instructed judges to evaluate “the interstitial nature of the legal question, the related expertise of the [a]gency, the importance of the question to administration of the statute, the complexity of that administration,” and whether the agency has given the question “careful consideration . . . over a long period of time.”149 This multi-factor test contrasts with the bright line rule favored by Justice Scalia, who read Chevron as establishing an “across-the-board” presumption of deference to agency action.150 But even Justice Scalia appears to have acknowledged that </w:t>
      </w:r>
      <w:r w:rsidRPr="008B0CE1">
        <w:rPr>
          <w:rStyle w:val="StyleUnderline"/>
        </w:rPr>
        <w:t xml:space="preserve">Chevron might </w:t>
      </w:r>
      <w:r w:rsidRPr="00C303AF">
        <w:rPr>
          <w:rStyle w:val="Emphasis"/>
        </w:rPr>
        <w:t>not apply</w:t>
      </w:r>
      <w:r w:rsidRPr="008B0CE1">
        <w:rPr>
          <w:rStyle w:val="StyleUnderline"/>
        </w:rPr>
        <w:t xml:space="preserve"> to questions outside of the agency’s “substantive field,” even if Mead’s general “force of law” requirement were satisfied.</w:t>
      </w:r>
      <w:r w:rsidRPr="008B0CE1">
        <w:rPr>
          <w:sz w:val="16"/>
        </w:rPr>
        <w:t xml:space="preserve">151  </w:t>
      </w:r>
    </w:p>
    <w:p w14:paraId="24C82834" w14:textId="77777777" w:rsidR="00621D20" w:rsidRDefault="00621D20" w:rsidP="00621D20">
      <w:pPr>
        <w:rPr>
          <w:sz w:val="16"/>
        </w:rPr>
      </w:pPr>
      <w:r w:rsidRPr="008B0CE1">
        <w:rPr>
          <w:sz w:val="16"/>
        </w:rPr>
        <w:t xml:space="preserve">While hardly a model of clarity, </w:t>
      </w:r>
      <w:r w:rsidRPr="008B0CE1">
        <w:rPr>
          <w:rStyle w:val="StyleUnderline"/>
        </w:rPr>
        <w:t>the Court’s Chevron jurisprudence</w:t>
      </w:r>
      <w:r w:rsidRPr="008B0CE1">
        <w:rPr>
          <w:sz w:val="16"/>
        </w:rPr>
        <w:t>—</w:t>
      </w:r>
      <w:r w:rsidRPr="008B0CE1">
        <w:rPr>
          <w:rStyle w:val="StyleUnderline"/>
        </w:rPr>
        <w:t>as well as its practice</w:t>
      </w:r>
      <w:r w:rsidRPr="008B0CE1">
        <w:rPr>
          <w:sz w:val="16"/>
        </w:rPr>
        <w:t>—</w:t>
      </w:r>
      <w:r w:rsidRPr="008B0CE1">
        <w:rPr>
          <w:rStyle w:val="StyleUnderline"/>
        </w:rPr>
        <w:t>permits factors</w:t>
      </w:r>
      <w:r w:rsidRPr="008B0CE1">
        <w:rPr>
          <w:sz w:val="16"/>
        </w:rPr>
        <w:t xml:space="preserve"> like institutional expertise </w:t>
      </w:r>
      <w:r w:rsidRPr="008B0CE1">
        <w:rPr>
          <w:rStyle w:val="StyleUnderline"/>
        </w:rPr>
        <w:t>to inform the delegation inquiry</w:t>
      </w:r>
      <w:r w:rsidRPr="008B0CE1">
        <w:rPr>
          <w:sz w:val="16"/>
        </w:rPr>
        <w:t xml:space="preserve">.152 </w:t>
      </w:r>
      <w:r w:rsidRPr="008B0CE1">
        <w:rPr>
          <w:rStyle w:val="StyleUnderline"/>
        </w:rPr>
        <w:t xml:space="preserve">If an ambiguous provision in the INA does not implicate agency expertise, courts </w:t>
      </w:r>
      <w:r w:rsidRPr="00C303AF">
        <w:rPr>
          <w:rStyle w:val="Emphasis"/>
        </w:rPr>
        <w:t>should not assume</w:t>
      </w:r>
      <w:r w:rsidRPr="008B0CE1">
        <w:rPr>
          <w:sz w:val="16"/>
        </w:rPr>
        <w:t xml:space="preserve"> that </w:t>
      </w:r>
      <w:r w:rsidRPr="00C303AF">
        <w:rPr>
          <w:rStyle w:val="Emphasis"/>
        </w:rPr>
        <w:t>Congress intended</w:t>
      </w:r>
      <w:r w:rsidRPr="008B0CE1">
        <w:rPr>
          <w:rStyle w:val="StyleUnderline"/>
        </w:rPr>
        <w:t xml:space="preserve"> to delegate interpretive authority.</w:t>
      </w:r>
      <w:r w:rsidRPr="008B0CE1">
        <w:rPr>
          <w:sz w:val="16"/>
        </w:rPr>
        <w:t xml:space="preserve"> As applied to interpretations of crime-based removal statutes, Mead’s “force of law” requirement, as elaborated by Barnhart, suggests </w:t>
      </w:r>
      <w:r w:rsidRPr="008B0CE1">
        <w:rPr>
          <w:rStyle w:val="StyleUnderline"/>
        </w:rPr>
        <w:t xml:space="preserve">that courts should not defer to agency interpretations </w:t>
      </w:r>
      <w:r w:rsidRPr="008B0CE1">
        <w:rPr>
          <w:sz w:val="16"/>
        </w:rPr>
        <w:t xml:space="preserve">of the scope of a removal statute </w:t>
      </w:r>
      <w:r w:rsidRPr="008B0CE1">
        <w:rPr>
          <w:rStyle w:val="StyleUnderline"/>
        </w:rPr>
        <w:t>when it involves</w:t>
      </w:r>
      <w:r w:rsidRPr="008B0CE1">
        <w:rPr>
          <w:sz w:val="16"/>
        </w:rPr>
        <w:t xml:space="preserve"> the “substantive field” of </w:t>
      </w:r>
      <w:r w:rsidRPr="008B0CE1">
        <w:rPr>
          <w:rStyle w:val="StyleUnderline"/>
        </w:rPr>
        <w:t>criminal law.</w:t>
      </w:r>
      <w:r w:rsidRPr="008B0CE1">
        <w:rPr>
          <w:sz w:val="16"/>
        </w:rPr>
        <w:t xml:space="preserve">153 </w:t>
      </w:r>
    </w:p>
    <w:p w14:paraId="2DBB1D25" w14:textId="77777777" w:rsidR="00621D20" w:rsidRDefault="00621D20" w:rsidP="00621D20">
      <w:pPr>
        <w:rPr>
          <w:b/>
          <w:bCs/>
        </w:rPr>
      </w:pPr>
      <w:r>
        <w:rPr>
          <w:b/>
          <w:bCs/>
        </w:rPr>
        <w:t>&lt;&lt;start footnote 153&gt;&gt;</w:t>
      </w:r>
    </w:p>
    <w:p w14:paraId="1D93622A" w14:textId="5E3CCC0B" w:rsidR="00621D20" w:rsidRDefault="00621D20" w:rsidP="00621D20">
      <w:pPr>
        <w:rPr>
          <w:sz w:val="16"/>
        </w:rPr>
      </w:pPr>
      <w:r w:rsidRPr="006C5520">
        <w:rPr>
          <w:sz w:val="16"/>
        </w:rPr>
        <w:t xml:space="preserve">153. </w:t>
      </w:r>
      <w:r w:rsidRPr="00096F24">
        <w:rPr>
          <w:rStyle w:val="StyleUnderline"/>
        </w:rPr>
        <w:t>Even if this reading</w:t>
      </w:r>
      <w:r w:rsidRPr="006C5520">
        <w:rPr>
          <w:sz w:val="16"/>
        </w:rPr>
        <w:t xml:space="preserve"> of Mead </w:t>
      </w:r>
      <w:r w:rsidRPr="00096F24">
        <w:rPr>
          <w:rStyle w:val="StyleUnderline"/>
        </w:rPr>
        <w:t xml:space="preserve">is overly broad, a zone of nondeference to crime-based deportation grounds </w:t>
      </w:r>
      <w:r w:rsidRPr="006C5520">
        <w:rPr>
          <w:rStyle w:val="Emphasis"/>
        </w:rPr>
        <w:t>undeniably exists</w:t>
      </w:r>
      <w:r w:rsidRPr="00096F24">
        <w:rPr>
          <w:rStyle w:val="StyleUnderline"/>
        </w:rPr>
        <w:t>.</w:t>
      </w:r>
      <w:r w:rsidRPr="006C5520">
        <w:rPr>
          <w:sz w:val="16"/>
        </w:rPr>
        <w:t xml:space="preserve"> </w:t>
      </w:r>
      <w:r w:rsidRPr="006C5520">
        <w:rPr>
          <w:rStyle w:val="StyleUnderline"/>
        </w:rPr>
        <w:t>Because the Supreme Court has declined to defer to at least some</w:t>
      </w:r>
      <w:r w:rsidRPr="006C5520">
        <w:rPr>
          <w:sz w:val="16"/>
        </w:rPr>
        <w:t xml:space="preserve"> precedential </w:t>
      </w:r>
      <w:r w:rsidRPr="006C5520">
        <w:rPr>
          <w:rStyle w:val="StyleUnderline"/>
        </w:rPr>
        <w:t>agency interpretations of the INA that incorporate a criminal provision, we know</w:t>
      </w:r>
      <w:r w:rsidRPr="006C5520">
        <w:rPr>
          <w:sz w:val="16"/>
        </w:rPr>
        <w:t xml:space="preserve"> that satisfaction of </w:t>
      </w:r>
      <w:r w:rsidRPr="006C5520">
        <w:rPr>
          <w:rStyle w:val="StyleUnderline"/>
        </w:rPr>
        <w:t>Mead’s general “force of law” requirement does not end the delegation inquiry.</w:t>
      </w:r>
      <w:r w:rsidRPr="006C5520">
        <w:rPr>
          <w:sz w:val="16"/>
        </w:rPr>
        <w:t xml:space="preserve"> See Guendelsberger, supra note 145, at 620–22. The question is not whether a zone of nondeference exists but what its contours are. </w:t>
      </w:r>
    </w:p>
    <w:p w14:paraId="5D6CA486" w14:textId="62E49327" w:rsidR="00621D20" w:rsidRDefault="00621D20" w:rsidP="00621D20">
      <w:pPr>
        <w:pStyle w:val="Heading3"/>
      </w:pPr>
      <w:r>
        <w:t>2AC – AT: BIA Expertise</w:t>
      </w:r>
    </w:p>
    <w:p w14:paraId="4ECB7F26" w14:textId="77777777" w:rsidR="00621D20" w:rsidRDefault="00621D20" w:rsidP="00621D20">
      <w:pPr>
        <w:pStyle w:val="Heading4"/>
      </w:pPr>
      <w:r>
        <w:t>The BIA lacks expertise in deportation cases.</w:t>
      </w:r>
    </w:p>
    <w:p w14:paraId="6FD9C56B" w14:textId="77777777" w:rsidR="00621D20" w:rsidRDefault="00621D20" w:rsidP="00621D20">
      <w:r>
        <w:rPr>
          <w:rStyle w:val="Style13ptBold"/>
        </w:rPr>
        <w:t>Sharpless 17</w:t>
      </w:r>
      <w:r>
        <w:t xml:space="preserve"> – Rebecca Sharpless, Clinical Professor at University of Miami School of Law ("Zone of Nondeference: Chevron and Deportation for a Crime,” 9 Drexel L. Review 323, available online at https://drexel.edu/law/lawreview/issues/Archives/v9-2/sharpless/, accessed 6-25-2020) LR</w:t>
      </w:r>
    </w:p>
    <w:p w14:paraId="10779A4D" w14:textId="77777777" w:rsidR="00621D20" w:rsidRPr="0029253B" w:rsidRDefault="00621D20" w:rsidP="00621D20">
      <w:pPr>
        <w:rPr>
          <w:sz w:val="16"/>
        </w:rPr>
      </w:pPr>
      <w:r w:rsidRPr="0058473D">
        <w:rPr>
          <w:rStyle w:val="StyleUnderline"/>
        </w:rPr>
        <w:t xml:space="preserve">The idea that agencies have more </w:t>
      </w:r>
      <w:r w:rsidRPr="0029253B">
        <w:rPr>
          <w:rStyle w:val="Emphasis"/>
        </w:rPr>
        <w:t>expertise</w:t>
      </w:r>
      <w:r w:rsidRPr="0058473D">
        <w:rPr>
          <w:rStyle w:val="StyleUnderline"/>
        </w:rPr>
        <w:t xml:space="preserve"> than the judiciary animates Chevron.</w:t>
      </w:r>
      <w:r w:rsidRPr="0029253B">
        <w:rPr>
          <w:sz w:val="16"/>
        </w:rPr>
        <w:t xml:space="preserve"> Congress often delegates to agencies when it is “struggling to figure out . . . [h]ow . . . [to] regulate things we don’t understand.”116 </w:t>
      </w:r>
      <w:r w:rsidRPr="0058473D">
        <w:rPr>
          <w:rStyle w:val="StyleUnderline"/>
        </w:rPr>
        <w:t>Where some agencies possess</w:t>
      </w:r>
      <w:r w:rsidRPr="0029253B">
        <w:rPr>
          <w:sz w:val="16"/>
        </w:rPr>
        <w:t xml:space="preserve"> scientific or other technical </w:t>
      </w:r>
      <w:r w:rsidRPr="0058473D">
        <w:rPr>
          <w:rStyle w:val="StyleUnderline"/>
        </w:rPr>
        <w:t>expertise, the BIA’s expertise lies in its experience interpreting the INA, a statute described as a “labyrinth.”</w:t>
      </w:r>
      <w:r w:rsidRPr="0029253B">
        <w:rPr>
          <w:sz w:val="16"/>
        </w:rPr>
        <w:t xml:space="preserve">117 </w:t>
      </w:r>
      <w:r w:rsidRPr="0058473D">
        <w:rPr>
          <w:rStyle w:val="StyleUnderline"/>
        </w:rPr>
        <w:t xml:space="preserve">But settling interpretive ambiguity in crime-based removal grounds </w:t>
      </w:r>
      <w:r w:rsidRPr="0029253B">
        <w:rPr>
          <w:rStyle w:val="Emphasis"/>
        </w:rPr>
        <w:t>requires expertise in criminal law</w:t>
      </w:r>
      <w:r w:rsidRPr="0058473D">
        <w:rPr>
          <w:rStyle w:val="StyleUnderline"/>
        </w:rPr>
        <w:t xml:space="preserve"> and general statutory construction, </w:t>
      </w:r>
      <w:r w:rsidRPr="0029253B">
        <w:rPr>
          <w:rStyle w:val="Emphasis"/>
        </w:rPr>
        <w:t>not the INA</w:t>
      </w:r>
      <w:r w:rsidRPr="0058473D">
        <w:rPr>
          <w:rStyle w:val="StyleUnderline"/>
        </w:rPr>
        <w:t>. Deciding whether</w:t>
      </w:r>
      <w:r w:rsidRPr="0029253B">
        <w:rPr>
          <w:sz w:val="16"/>
        </w:rPr>
        <w:t xml:space="preserve"> a </w:t>
      </w:r>
      <w:r w:rsidRPr="0058473D">
        <w:rPr>
          <w:rStyle w:val="StyleUnderline"/>
        </w:rPr>
        <w:t>conviction triggers deportation involves both an interpretation of the nature of the criminal conviction and the scope of the deportation ground. Both</w:t>
      </w:r>
      <w:r w:rsidRPr="0029253B">
        <w:rPr>
          <w:sz w:val="16"/>
        </w:rPr>
        <w:t xml:space="preserve"> inquiries straightforwardly </w:t>
      </w:r>
      <w:r w:rsidRPr="0058473D">
        <w:rPr>
          <w:rStyle w:val="StyleUnderline"/>
        </w:rPr>
        <w:t>involve criminal law. Deportation grounds contain criminal terms</w:t>
      </w:r>
      <w:r w:rsidRPr="0029253B">
        <w:rPr>
          <w:sz w:val="16"/>
        </w:rPr>
        <w:t xml:space="preserve"> and phrases, like “theft,” “burglary,” and “sexual abuse of a minor.”118 The phrase “moral turpitude,” for example, stems from early American defamation law, first appearing in immigration law in 1891.119 The term still appears in criminal law.120 </w:t>
      </w:r>
    </w:p>
    <w:p w14:paraId="57673C56" w14:textId="77777777" w:rsidR="00621D20" w:rsidRPr="0029253B" w:rsidRDefault="00621D20" w:rsidP="00621D20">
      <w:pPr>
        <w:rPr>
          <w:sz w:val="16"/>
        </w:rPr>
      </w:pPr>
      <w:r w:rsidRPr="0029253B">
        <w:rPr>
          <w:rStyle w:val="StyleUnderline"/>
        </w:rPr>
        <w:t>When determining</w:t>
      </w:r>
      <w:r w:rsidRPr="0029253B">
        <w:rPr>
          <w:sz w:val="16"/>
        </w:rPr>
        <w:t xml:space="preserve"> the </w:t>
      </w:r>
      <w:r w:rsidRPr="0029253B">
        <w:rPr>
          <w:rStyle w:val="StyleUnderline"/>
        </w:rPr>
        <w:t>scope</w:t>
      </w:r>
      <w:r w:rsidRPr="0029253B">
        <w:rPr>
          <w:sz w:val="16"/>
        </w:rPr>
        <w:t xml:space="preserve"> of a criminal removal ground, </w:t>
      </w:r>
      <w:r w:rsidRPr="0029253B">
        <w:rPr>
          <w:rStyle w:val="StyleUnderline"/>
        </w:rPr>
        <w:t>the BIA often looks to the corpus of criminal law or</w:t>
      </w:r>
      <w:r w:rsidRPr="0029253B">
        <w:rPr>
          <w:sz w:val="16"/>
        </w:rPr>
        <w:t xml:space="preserve"> to </w:t>
      </w:r>
      <w:r w:rsidRPr="0029253B">
        <w:rPr>
          <w:rStyle w:val="StyleUnderline"/>
        </w:rPr>
        <w:t>general definitions, such as</w:t>
      </w:r>
      <w:r w:rsidRPr="0029253B">
        <w:rPr>
          <w:sz w:val="16"/>
        </w:rPr>
        <w:t xml:space="preserve"> those in </w:t>
      </w:r>
      <w:r w:rsidRPr="0029253B">
        <w:rPr>
          <w:rStyle w:val="StyleUnderline"/>
        </w:rPr>
        <w:t>Black’s Law</w:t>
      </w:r>
      <w:r w:rsidRPr="0029253B">
        <w:rPr>
          <w:sz w:val="16"/>
        </w:rPr>
        <w:t xml:space="preserve"> Dictionary.121 The BIA’s precedential decision interpreting the scope of the “sexual abuse of a minor” aggravated felony definition—at issue in </w:t>
      </w:r>
      <w:r w:rsidRPr="0029253B">
        <w:rPr>
          <w:rStyle w:val="StyleUnderline"/>
        </w:rPr>
        <w:t>Esquivel-Quintana</w:t>
      </w:r>
      <w:r w:rsidRPr="0029253B">
        <w:rPr>
          <w:sz w:val="16"/>
        </w:rPr>
        <w:t>—</w:t>
      </w:r>
      <w:r w:rsidRPr="0029253B">
        <w:rPr>
          <w:rStyle w:val="StyleUnderline"/>
        </w:rPr>
        <w:t xml:space="preserve">illustrates how assessments of criminal law pervade interpretations of crime-based deportation provisions. </w:t>
      </w:r>
      <w:r w:rsidRPr="0029253B">
        <w:rPr>
          <w:sz w:val="16"/>
        </w:rPr>
        <w:t xml:space="preserve">In Matter of Rodriguez-Rodriguez, the BIA analyzed a Texas conviction for indecency with a child by exposure.122 Because the phrase “sexual abuse of a minor” is not defined by statute, the BIA turned to federal law, stating “[i]n determining whether a specific offense falls within a classification described in deportation or removal provisions in the [INA], we have looked to a federal definition.”123 The BIA reviewed both federal criminal law and a federal statute defining the rights of child victims and child witnesses. Under the former, the Texas conviction would not qualify, as it did not involve contact.124 Under the latter, the offense would be an aggravated felony.125 In choosing the latter, the BIA said that the victim protection “statute encompasses those crimes that can reasonably be considered sexual abuse of a minor” and cited to Black’s Law Dictionary.126 </w:t>
      </w:r>
    </w:p>
    <w:p w14:paraId="2E828A35" w14:textId="77777777" w:rsidR="00621D20" w:rsidRPr="0029253B" w:rsidRDefault="00621D20" w:rsidP="00621D20">
      <w:pPr>
        <w:rPr>
          <w:sz w:val="16"/>
        </w:rPr>
      </w:pPr>
      <w:r w:rsidRPr="0029253B">
        <w:rPr>
          <w:rStyle w:val="StyleUnderline"/>
        </w:rPr>
        <w:t>Even the interpretation of seemingly neutral terms</w:t>
      </w:r>
      <w:r w:rsidRPr="0029253B">
        <w:rPr>
          <w:sz w:val="16"/>
        </w:rPr>
        <w:t xml:space="preserve"> or phrases in crime-based deportation grounds—like “described in” or “relating to”— </w:t>
      </w:r>
      <w:r w:rsidRPr="0029253B">
        <w:rPr>
          <w:rStyle w:val="StyleUnderline"/>
        </w:rPr>
        <w:t>often require criminal law interpretations.</w:t>
      </w:r>
      <w:r w:rsidRPr="0029253B">
        <w:rPr>
          <w:sz w:val="16"/>
        </w:rPr>
        <w:t xml:space="preserve"> While these terms are not criminal in and of themselves, </w:t>
      </w:r>
      <w:r w:rsidRPr="0029253B">
        <w:rPr>
          <w:rStyle w:val="StyleUnderline"/>
        </w:rPr>
        <w:t>their meaning depends on</w:t>
      </w:r>
      <w:r w:rsidRPr="0029253B">
        <w:rPr>
          <w:sz w:val="16"/>
        </w:rPr>
        <w:t xml:space="preserve"> an assessment of </w:t>
      </w:r>
      <w:r w:rsidRPr="0029253B">
        <w:rPr>
          <w:rStyle w:val="StyleUnderline"/>
        </w:rPr>
        <w:t>how they relate to criminal terms</w:t>
      </w:r>
      <w:r w:rsidRPr="0029253B">
        <w:rPr>
          <w:sz w:val="16"/>
        </w:rPr>
        <w:t xml:space="preserve"> in the statutory deportation ground. In Matter of Valenzuela Gallardo, for example, the BIA considered whether a California conviction for being an accessory to a crime qualified as an aggravated felony as “an offense relating to obstruction of justice.”127 In holding that it did, the BIA looked to the federal criminal code defining the offense of accessory after the fact and found that the California statute was “closely analogous, if not functionally identical, to [the federal offense].”128 The </w:t>
      </w:r>
      <w:r w:rsidRPr="0029253B">
        <w:rPr>
          <w:rStyle w:val="StyleUnderline"/>
        </w:rPr>
        <w:t>BIA often relies on Black’s Law</w:t>
      </w:r>
      <w:r w:rsidRPr="0029253B">
        <w:rPr>
          <w:sz w:val="16"/>
        </w:rPr>
        <w:t xml:space="preserve"> Dictionary </w:t>
      </w:r>
      <w:r w:rsidRPr="0029253B">
        <w:rPr>
          <w:rStyle w:val="StyleUnderline"/>
        </w:rPr>
        <w:t>when interpreting statutory terms.</w:t>
      </w:r>
      <w:r w:rsidRPr="0029253B">
        <w:rPr>
          <w:sz w:val="16"/>
        </w:rPr>
        <w:t xml:space="preserve"> In Matter of Martinez Espinoza, for example, the BIA found that drug paraphernalia qualified as “a violation of . . . any law or regulation of a State, the United States, or a foreign country relating to a controlled substance (as defined in section 102 of the Controlled Substances Act (21 U.S.C. 802))[.]”129 In holding that the phrase “relating to” must be broadly construed to encompass drug paraphernalia convictions, </w:t>
      </w:r>
      <w:r w:rsidRPr="0029253B">
        <w:rPr>
          <w:rStyle w:val="StyleUnderline"/>
        </w:rPr>
        <w:t>the BIA primarily relied on the definition</w:t>
      </w:r>
      <w:r w:rsidRPr="0029253B">
        <w:rPr>
          <w:sz w:val="16"/>
        </w:rPr>
        <w:t xml:space="preserve"> of “relating to” in Black’s Law Dictionary—a source </w:t>
      </w:r>
      <w:r w:rsidRPr="0029253B">
        <w:rPr>
          <w:rStyle w:val="Emphasis"/>
        </w:rPr>
        <w:t>outside of the INA</w:t>
      </w:r>
      <w:r w:rsidRPr="0029253B">
        <w:rPr>
          <w:rStyle w:val="StyleUnderline"/>
        </w:rPr>
        <w:t>.1</w:t>
      </w:r>
      <w:r w:rsidRPr="0029253B">
        <w:rPr>
          <w:sz w:val="16"/>
        </w:rPr>
        <w:t xml:space="preserve">30 The BIA’s cramped reasoning stands in contrast to that of the Supreme Court, which overruled Matter of Martinez Espinoza in Mellouli v. Lynch.131 </w:t>
      </w:r>
      <w:r w:rsidRPr="0029253B">
        <w:rPr>
          <w:rStyle w:val="StyleUnderline"/>
        </w:rPr>
        <w:t>In Mellouli</w:t>
      </w:r>
      <w:r w:rsidRPr="0029253B">
        <w:rPr>
          <w:sz w:val="16"/>
        </w:rPr>
        <w:t xml:space="preserve">, the Court interpreted the meaning of “relating to” by looking not to the inherent meaning of the phrase, which was “‘broad’ and ‘indeterminate,’” but to what it meant in “context.”132 </w:t>
      </w:r>
      <w:r w:rsidRPr="0029253B">
        <w:rPr>
          <w:rStyle w:val="StyleUnderline"/>
        </w:rPr>
        <w:t>The Court emphasized the mixed immigration/criminal nature of the case</w:t>
      </w:r>
      <w:r w:rsidRPr="0029253B">
        <w:rPr>
          <w:sz w:val="16"/>
        </w:rPr>
        <w:t xml:space="preserve">, introducing it as involving “the interplay between several federal and state statutes.”133 Much of the Court’s decision applied the categorical approach, a methodology that the BIA now agrees lies within the province of federal courts, not the agency, to define.134 As discussed above, </w:t>
      </w:r>
      <w:r w:rsidRPr="0029253B">
        <w:rPr>
          <w:rStyle w:val="StyleUnderline"/>
        </w:rPr>
        <w:t>although the Court assumed the relevancy of Chevron, it quickly dismissed the BIA’s interpretation as unreasonable.</w:t>
      </w:r>
      <w:r w:rsidRPr="0029253B">
        <w:rPr>
          <w:sz w:val="16"/>
        </w:rPr>
        <w:t xml:space="preserve">135 </w:t>
      </w:r>
    </w:p>
    <w:p w14:paraId="75EE3746" w14:textId="71ACAE3E" w:rsidR="00621D20" w:rsidRDefault="00621D20" w:rsidP="00621D20">
      <w:pPr>
        <w:rPr>
          <w:rStyle w:val="StyleUnderline"/>
        </w:rPr>
      </w:pPr>
      <w:r w:rsidRPr="0029253B">
        <w:rPr>
          <w:rStyle w:val="StyleUnderline"/>
        </w:rPr>
        <w:t xml:space="preserve">The Court </w:t>
      </w:r>
      <w:r w:rsidRPr="0029253B">
        <w:rPr>
          <w:rStyle w:val="Emphasis"/>
        </w:rPr>
        <w:t>did not consider</w:t>
      </w:r>
      <w:r w:rsidRPr="0029253B">
        <w:rPr>
          <w:rStyle w:val="StyleUnderline"/>
        </w:rPr>
        <w:t xml:space="preserve"> whether there were </w:t>
      </w:r>
      <w:r w:rsidRPr="0029253B">
        <w:rPr>
          <w:rStyle w:val="Emphasis"/>
        </w:rPr>
        <w:t>reasons to find</w:t>
      </w:r>
      <w:r w:rsidRPr="0029253B">
        <w:rPr>
          <w:sz w:val="16"/>
        </w:rPr>
        <w:t xml:space="preserve"> the </w:t>
      </w:r>
      <w:r w:rsidRPr="0029253B">
        <w:rPr>
          <w:rStyle w:val="Emphasis"/>
        </w:rPr>
        <w:t>Chevron</w:t>
      </w:r>
      <w:r w:rsidRPr="0029253B">
        <w:rPr>
          <w:sz w:val="16"/>
        </w:rPr>
        <w:t xml:space="preserve"> framework </w:t>
      </w:r>
      <w:r w:rsidRPr="0029253B">
        <w:rPr>
          <w:rStyle w:val="StyleUnderline"/>
        </w:rPr>
        <w:t xml:space="preserve">wholly </w:t>
      </w:r>
      <w:r w:rsidRPr="0029253B">
        <w:rPr>
          <w:rStyle w:val="Emphasis"/>
        </w:rPr>
        <w:t>inapplicable</w:t>
      </w:r>
      <w:r w:rsidRPr="0029253B">
        <w:rPr>
          <w:rStyle w:val="StyleUnderline"/>
        </w:rPr>
        <w:t xml:space="preserve"> at step zero</w:t>
      </w:r>
      <w:r w:rsidRPr="0029253B">
        <w:rPr>
          <w:sz w:val="16"/>
        </w:rPr>
        <w:t xml:space="preserve">, as argued in this Article. </w:t>
      </w:r>
      <w:r w:rsidRPr="0029253B">
        <w:rPr>
          <w:rStyle w:val="StyleUnderline"/>
        </w:rPr>
        <w:t>Mellouli illustrates how the interpretation of crime-based deportation statutes, even when</w:t>
      </w:r>
      <w:r w:rsidRPr="0029253B">
        <w:rPr>
          <w:sz w:val="16"/>
        </w:rPr>
        <w:t xml:space="preserve"> the interpretation is </w:t>
      </w:r>
      <w:r w:rsidRPr="0029253B">
        <w:rPr>
          <w:rStyle w:val="StyleUnderline"/>
        </w:rPr>
        <w:t xml:space="preserve">of noncriminal terms, is inextricably </w:t>
      </w:r>
      <w:r w:rsidRPr="0029253B">
        <w:rPr>
          <w:rStyle w:val="Emphasis"/>
        </w:rPr>
        <w:t>intertwined with criminal law</w:t>
      </w:r>
      <w:r w:rsidRPr="0029253B">
        <w:rPr>
          <w:rStyle w:val="StyleUnderline"/>
        </w:rPr>
        <w:t xml:space="preserve"> and thus </w:t>
      </w:r>
      <w:r w:rsidRPr="0029253B">
        <w:rPr>
          <w:rStyle w:val="Emphasis"/>
        </w:rPr>
        <w:t>outside the agency’s expertise</w:t>
      </w:r>
      <w:r w:rsidRPr="0029253B">
        <w:rPr>
          <w:rStyle w:val="StyleUnderline"/>
        </w:rPr>
        <w:t xml:space="preserve">. </w:t>
      </w:r>
    </w:p>
    <w:p w14:paraId="08A57989" w14:textId="57C67C89" w:rsidR="00AB6353" w:rsidRPr="00AB6353" w:rsidRDefault="00AB6353" w:rsidP="00AB6353">
      <w:pPr>
        <w:pStyle w:val="Heading3"/>
      </w:pPr>
      <w:r w:rsidRPr="00AB6353">
        <w:t>2AC – AT: Deportations Key to Ag</w:t>
      </w:r>
    </w:p>
    <w:p w14:paraId="638C45A7" w14:textId="212DC2A1" w:rsidR="00AB6353" w:rsidRPr="00AB6353" w:rsidRDefault="00AB6353" w:rsidP="00AB6353">
      <w:pPr>
        <w:pStyle w:val="Heading4"/>
      </w:pPr>
      <w:r>
        <w:t xml:space="preserve">Deportations have a </w:t>
      </w:r>
      <w:r>
        <w:rPr>
          <w:u w:val="single"/>
        </w:rPr>
        <w:t>negative spillover effect</w:t>
      </w:r>
      <w:r>
        <w:t>.</w:t>
      </w:r>
    </w:p>
    <w:p w14:paraId="1758FBB3" w14:textId="77777777" w:rsidR="00AB6353" w:rsidRDefault="00AB6353" w:rsidP="00AB6353">
      <w:r>
        <w:rPr>
          <w:rStyle w:val="Style13ptBold"/>
        </w:rPr>
        <w:t>Hines and Peri 19</w:t>
      </w:r>
      <w:r>
        <w:t xml:space="preserve"> – Annie Laurie Hines, Pre-Doctoral Fellow in Aging and Health Economics at the National Bureau of Economic Research, and Giovanni Peri, Professor of Economics at the University of California, Davis and a Research Associate of the National Bureau of Economic Research, June ("Immigrants’ Deportations, Local Crime and Police Effectiveness," IZA Institute of Labor Economics, available online at http://ftp.iza.org/dp12413.pdf, accessed 6-30-2020) LR</w:t>
      </w:r>
    </w:p>
    <w:p w14:paraId="4BBCC84F" w14:textId="77777777" w:rsidR="00AB6353" w:rsidRPr="00403986" w:rsidRDefault="00AB6353" w:rsidP="00AB6353">
      <w:pPr>
        <w:rPr>
          <w:sz w:val="16"/>
        </w:rPr>
      </w:pPr>
      <w:r w:rsidRPr="00403986">
        <w:rPr>
          <w:sz w:val="16"/>
        </w:rPr>
        <w:t xml:space="preserve">While we do not find evidence for a significant impact of </w:t>
      </w:r>
      <w:r w:rsidRPr="00403986">
        <w:rPr>
          <w:rStyle w:val="StyleUnderline"/>
        </w:rPr>
        <w:t>deportations</w:t>
      </w:r>
      <w:r w:rsidRPr="00403986">
        <w:rPr>
          <w:sz w:val="16"/>
        </w:rPr>
        <w:t xml:space="preserve"> on crime rates, the main motivation for more aggressive immigration enforcement, such policies may </w:t>
      </w:r>
      <w:r w:rsidRPr="00403986">
        <w:rPr>
          <w:rStyle w:val="StyleUnderline"/>
        </w:rPr>
        <w:t>have</w:t>
      </w:r>
      <w:r w:rsidRPr="00403986">
        <w:rPr>
          <w:sz w:val="16"/>
        </w:rPr>
        <w:t xml:space="preserve"> unintended </w:t>
      </w:r>
      <w:r w:rsidRPr="00403986">
        <w:rPr>
          <w:rStyle w:val="StyleUnderline"/>
        </w:rPr>
        <w:t>consequences on local economies.</w:t>
      </w:r>
      <w:r w:rsidRPr="00403986">
        <w:rPr>
          <w:sz w:val="16"/>
        </w:rPr>
        <w:t xml:space="preserve"> The </w:t>
      </w:r>
      <w:r w:rsidRPr="00403986">
        <w:rPr>
          <w:rStyle w:val="StyleUnderline"/>
        </w:rPr>
        <w:t xml:space="preserve">removal of undocumented workers, or </w:t>
      </w:r>
      <w:r w:rsidRPr="00633647">
        <w:rPr>
          <w:rStyle w:val="Emphasis"/>
        </w:rPr>
        <w:t>fear generated by deportations</w:t>
      </w:r>
      <w:r w:rsidRPr="00403986">
        <w:rPr>
          <w:rStyle w:val="StyleUnderline"/>
        </w:rPr>
        <w:t xml:space="preserve"> in immigrant communities</w:t>
      </w:r>
      <w:r w:rsidRPr="00403986">
        <w:rPr>
          <w:sz w:val="16"/>
        </w:rPr>
        <w:t xml:space="preserve">, may </w:t>
      </w:r>
      <w:r w:rsidRPr="00633647">
        <w:rPr>
          <w:rStyle w:val="Emphasis"/>
        </w:rPr>
        <w:t>disrupt</w:t>
      </w:r>
      <w:r w:rsidRPr="00403986">
        <w:rPr>
          <w:sz w:val="16"/>
        </w:rPr>
        <w:t xml:space="preserve"> sectors such as </w:t>
      </w:r>
      <w:r w:rsidRPr="00633647">
        <w:rPr>
          <w:rStyle w:val="Emphasis"/>
        </w:rPr>
        <w:t>agriculture</w:t>
      </w:r>
      <w:r w:rsidRPr="00403986">
        <w:rPr>
          <w:sz w:val="16"/>
        </w:rPr>
        <w:t xml:space="preserve">, construction, and service </w:t>
      </w:r>
      <w:r w:rsidRPr="00403986">
        <w:rPr>
          <w:rStyle w:val="StyleUnderline"/>
        </w:rPr>
        <w:t>industries</w:t>
      </w:r>
      <w:r w:rsidRPr="00403986">
        <w:rPr>
          <w:sz w:val="16"/>
        </w:rPr>
        <w:t xml:space="preserve"> that </w:t>
      </w:r>
      <w:r w:rsidRPr="00403986">
        <w:rPr>
          <w:rStyle w:val="StyleUnderline"/>
        </w:rPr>
        <w:t>employ</w:t>
      </w:r>
      <w:r w:rsidRPr="00403986">
        <w:rPr>
          <w:sz w:val="16"/>
        </w:rPr>
        <w:t xml:space="preserve"> a </w:t>
      </w:r>
      <w:r w:rsidRPr="00403986">
        <w:rPr>
          <w:rStyle w:val="StyleUnderline"/>
        </w:rPr>
        <w:t>relatively large share of undocumented workers, reduce</w:t>
      </w:r>
      <w:r w:rsidRPr="00403986">
        <w:rPr>
          <w:sz w:val="16"/>
        </w:rPr>
        <w:t xml:space="preserve"> the </w:t>
      </w:r>
      <w:r w:rsidRPr="00403986">
        <w:rPr>
          <w:rStyle w:val="StyleUnderline"/>
        </w:rPr>
        <w:t>employment</w:t>
      </w:r>
      <w:r w:rsidRPr="00403986">
        <w:rPr>
          <w:sz w:val="16"/>
        </w:rPr>
        <w:t xml:space="preserve"> rate </w:t>
      </w:r>
      <w:r w:rsidRPr="00403986">
        <w:rPr>
          <w:rStyle w:val="StyleUnderline"/>
        </w:rPr>
        <w:t>of immigrant workers if undocumented employees are afraid</w:t>
      </w:r>
      <w:r w:rsidRPr="00403986">
        <w:rPr>
          <w:sz w:val="16"/>
        </w:rPr>
        <w:t xml:space="preserve"> to go </w:t>
      </w:r>
      <w:r w:rsidRPr="00403986">
        <w:rPr>
          <w:rStyle w:val="StyleUnderline"/>
        </w:rPr>
        <w:t>to work,</w:t>
      </w:r>
      <w:r w:rsidRPr="00403986">
        <w:rPr>
          <w:sz w:val="16"/>
        </w:rPr>
        <w:t xml:space="preserve"> and potentially </w:t>
      </w:r>
      <w:r w:rsidRPr="00403986">
        <w:rPr>
          <w:rStyle w:val="StyleUnderline"/>
        </w:rPr>
        <w:t xml:space="preserve">have </w:t>
      </w:r>
      <w:r w:rsidRPr="00633647">
        <w:rPr>
          <w:rStyle w:val="Emphasis"/>
        </w:rPr>
        <w:t>spillover effects</w:t>
      </w:r>
      <w:r w:rsidRPr="00403986">
        <w:rPr>
          <w:sz w:val="16"/>
        </w:rPr>
        <w:t xml:space="preserve"> that </w:t>
      </w:r>
      <w:r w:rsidRPr="00403986">
        <w:rPr>
          <w:rStyle w:val="StyleUnderline"/>
        </w:rPr>
        <w:t>reduce</w:t>
      </w:r>
      <w:r w:rsidRPr="00403986">
        <w:rPr>
          <w:sz w:val="16"/>
        </w:rPr>
        <w:t xml:space="preserve"> the </w:t>
      </w:r>
      <w:r w:rsidRPr="00403986">
        <w:rPr>
          <w:rStyle w:val="StyleUnderline"/>
        </w:rPr>
        <w:t>employment of native workers.</w:t>
      </w:r>
      <w:r w:rsidRPr="00403986">
        <w:rPr>
          <w:sz w:val="16"/>
        </w:rPr>
        <w:t xml:space="preserve"> On the other hand, if deportations remove criminals, then more aggressive enforcement could attract more firms and increase employment.</w:t>
      </w:r>
    </w:p>
    <w:p w14:paraId="245D6714" w14:textId="77777777" w:rsidR="00AB6353" w:rsidRPr="00853B95" w:rsidRDefault="00AB6353" w:rsidP="00AB6353">
      <w:pPr>
        <w:rPr>
          <w:sz w:val="16"/>
        </w:rPr>
      </w:pPr>
      <w:r w:rsidRPr="00853B95">
        <w:rPr>
          <w:sz w:val="16"/>
        </w:rPr>
        <w:t xml:space="preserve">Existing </w:t>
      </w:r>
      <w:r w:rsidRPr="00853B95">
        <w:rPr>
          <w:rStyle w:val="StyleUnderline"/>
        </w:rPr>
        <w:t xml:space="preserve">studies find </w:t>
      </w:r>
      <w:r w:rsidRPr="00633647">
        <w:rPr>
          <w:rStyle w:val="Emphasis"/>
        </w:rPr>
        <w:t>negative employment effects</w:t>
      </w:r>
      <w:r w:rsidRPr="00853B95">
        <w:rPr>
          <w:rStyle w:val="StyleUnderline"/>
        </w:rPr>
        <w:t xml:space="preserve"> of enforcement</w:t>
      </w:r>
      <w:r w:rsidRPr="00853B95">
        <w:rPr>
          <w:sz w:val="16"/>
        </w:rPr>
        <w:t xml:space="preserve"> (East et al., 2018), and we supplement our analysis of crime by considering whether deportations affect local firm creation and employment using a different identification strategy. Table 10 considers the </w:t>
      </w:r>
      <w:r w:rsidRPr="00853B95">
        <w:rPr>
          <w:rStyle w:val="StyleUnderline"/>
        </w:rPr>
        <w:t>impact of deportations</w:t>
      </w:r>
      <w:r w:rsidRPr="00853B95">
        <w:rPr>
          <w:sz w:val="16"/>
        </w:rPr>
        <w:t xml:space="preserve"> on the change in the number of firms relative to initial population in different sectors. We focus on industries that employ a larger share of low-skilled immigrants; </w:t>
      </w:r>
      <w:r w:rsidRPr="00853B95">
        <w:rPr>
          <w:rStyle w:val="StyleUnderline"/>
        </w:rPr>
        <w:t>specifically</w:t>
      </w:r>
      <w:r w:rsidRPr="00853B95">
        <w:rPr>
          <w:sz w:val="16"/>
        </w:rPr>
        <w:t xml:space="preserve">, we examine </w:t>
      </w:r>
      <w:r w:rsidRPr="00853B95">
        <w:rPr>
          <w:rStyle w:val="StyleUnderline"/>
        </w:rPr>
        <w:t>agriculture</w:t>
      </w:r>
      <w:r w:rsidRPr="00853B95">
        <w:rPr>
          <w:sz w:val="16"/>
        </w:rPr>
        <w:t xml:space="preserve"> (Panel A), construction and food services (Panel B), and building and landscape services (Panel C). Column (1) of Panel A </w:t>
      </w:r>
      <w:r w:rsidRPr="00853B95">
        <w:rPr>
          <w:rStyle w:val="StyleUnderline"/>
        </w:rPr>
        <w:t>shows a</w:t>
      </w:r>
      <w:r w:rsidRPr="00853B95">
        <w:rPr>
          <w:sz w:val="16"/>
        </w:rPr>
        <w:t xml:space="preserve"> possible </w:t>
      </w:r>
      <w:r w:rsidRPr="00853B95">
        <w:rPr>
          <w:rStyle w:val="StyleUnderline"/>
        </w:rPr>
        <w:t>negative effect of deportation on firm creation</w:t>
      </w:r>
      <w:r w:rsidRPr="00853B95">
        <w:rPr>
          <w:sz w:val="16"/>
        </w:rPr>
        <w:t xml:space="preserve"> in agriculture, but the coefficient becomes positive, smaller, and only marginally significant when we define agriculture according to a stricter definition that excludes fishing and hunting. The estimates for other industries are not statistically significant and do not show convincing evidence of either a positive or negative effect of deportations on firm creation.</w:t>
      </w:r>
    </w:p>
    <w:p w14:paraId="2E481EB8" w14:textId="77777777" w:rsidR="00AB6353" w:rsidRPr="00853B95" w:rsidRDefault="00AB6353" w:rsidP="00AB6353">
      <w:pPr>
        <w:rPr>
          <w:sz w:val="16"/>
        </w:rPr>
      </w:pPr>
      <w:r w:rsidRPr="00853B95">
        <w:rPr>
          <w:sz w:val="16"/>
        </w:rPr>
        <w:t xml:space="preserve">Table 11 analyzes the effect of deportations on the employment-to-population ratio for low-skilled workers and for low-skilled non-citizen workers. These estimates do not show any statistically significant effect of deportations on employment. While our analysis focuses on crime rather than the potential economic effects of enforcement, these </w:t>
      </w:r>
      <w:r w:rsidRPr="00853B95">
        <w:rPr>
          <w:rStyle w:val="StyleUnderline"/>
        </w:rPr>
        <w:t xml:space="preserve">estimates </w:t>
      </w:r>
      <w:r w:rsidRPr="00633647">
        <w:rPr>
          <w:rStyle w:val="Emphasis"/>
        </w:rPr>
        <w:t>do not show any support</w:t>
      </w:r>
      <w:r w:rsidRPr="00853B95">
        <w:rPr>
          <w:sz w:val="16"/>
        </w:rPr>
        <w:t xml:space="preserve"> for claims </w:t>
      </w:r>
      <w:r w:rsidRPr="00853B95">
        <w:rPr>
          <w:rStyle w:val="StyleUnderline"/>
        </w:rPr>
        <w:t xml:space="preserve">that </w:t>
      </w:r>
      <w:r w:rsidRPr="00633647">
        <w:rPr>
          <w:rStyle w:val="Emphasis"/>
        </w:rPr>
        <w:t>deporting</w:t>
      </w:r>
      <w:r w:rsidRPr="00853B95">
        <w:rPr>
          <w:rStyle w:val="StyleUnderline"/>
        </w:rPr>
        <w:t xml:space="preserve"> undocumented immigrants</w:t>
      </w:r>
      <w:r w:rsidRPr="00853B95">
        <w:rPr>
          <w:sz w:val="16"/>
        </w:rPr>
        <w:t xml:space="preserve"> will </w:t>
      </w:r>
      <w:r w:rsidRPr="00853B95">
        <w:rPr>
          <w:rStyle w:val="StyleUnderline"/>
        </w:rPr>
        <w:t>improve economic conditions or</w:t>
      </w:r>
      <w:r w:rsidRPr="00853B95">
        <w:rPr>
          <w:sz w:val="16"/>
        </w:rPr>
        <w:t xml:space="preserve"> provide </w:t>
      </w:r>
      <w:r w:rsidRPr="00853B95">
        <w:rPr>
          <w:rStyle w:val="StyleUnderline"/>
        </w:rPr>
        <w:t xml:space="preserve">work opportunities for natives. </w:t>
      </w:r>
      <w:r w:rsidRPr="00853B95">
        <w:rPr>
          <w:sz w:val="16"/>
        </w:rPr>
        <w:t xml:space="preserve">Ifft and Jodlowski (2016) find </w:t>
      </w:r>
      <w:r w:rsidRPr="00853B95">
        <w:rPr>
          <w:rStyle w:val="StyleUnderline"/>
        </w:rPr>
        <w:t xml:space="preserve">evidence of a </w:t>
      </w:r>
      <w:r w:rsidRPr="00633647">
        <w:rPr>
          <w:rStyle w:val="Emphasis"/>
        </w:rPr>
        <w:t>negative impact</w:t>
      </w:r>
      <w:r w:rsidRPr="00853B95">
        <w:rPr>
          <w:sz w:val="16"/>
        </w:rPr>
        <w:t xml:space="preserve"> of 287(g) agreements </w:t>
      </w:r>
      <w:r w:rsidRPr="00853B95">
        <w:rPr>
          <w:rStyle w:val="StyleUnderline"/>
        </w:rPr>
        <w:t xml:space="preserve">on </w:t>
      </w:r>
      <w:r w:rsidRPr="00633647">
        <w:rPr>
          <w:rStyle w:val="Emphasis"/>
        </w:rPr>
        <w:t>agricultural productivity</w:t>
      </w:r>
      <w:r w:rsidRPr="00853B95">
        <w:rPr>
          <w:rStyle w:val="StyleUnderline"/>
        </w:rPr>
        <w:t xml:space="preserve"> and firms.</w:t>
      </w:r>
      <w:r w:rsidRPr="00853B95">
        <w:rPr>
          <w:sz w:val="16"/>
        </w:rPr>
        <w:t xml:space="preserve"> While we find </w:t>
      </w:r>
      <w:r w:rsidRPr="00853B95">
        <w:rPr>
          <w:rStyle w:val="StyleUnderline"/>
        </w:rPr>
        <w:t>suggestive evidence</w:t>
      </w:r>
      <w:r w:rsidRPr="00853B95">
        <w:rPr>
          <w:sz w:val="16"/>
        </w:rPr>
        <w:t xml:space="preserve"> to </w:t>
      </w:r>
      <w:r w:rsidRPr="00853B95">
        <w:rPr>
          <w:rStyle w:val="StyleUnderline"/>
        </w:rPr>
        <w:t xml:space="preserve">confirm this negative effect on firm creation in the </w:t>
      </w:r>
      <w:r w:rsidRPr="00853B95">
        <w:rPr>
          <w:sz w:val="16"/>
        </w:rPr>
        <w:t xml:space="preserve">broadlydefined </w:t>
      </w:r>
      <w:r w:rsidRPr="00853B95">
        <w:rPr>
          <w:rStyle w:val="StyleUnderline"/>
        </w:rPr>
        <w:t>agricultural sector</w:t>
      </w:r>
      <w:r w:rsidRPr="00853B95">
        <w:rPr>
          <w:sz w:val="16"/>
        </w:rPr>
        <w:t>, we do not find this effect using a narrower definition, nor do we find significant effects in other sectors. We also do not find any significant effects on low-skilled employment.</w:t>
      </w:r>
    </w:p>
    <w:p w14:paraId="727DB087" w14:textId="2F21C840" w:rsidR="00AB6353" w:rsidRPr="00AB6353" w:rsidRDefault="00AB6353" w:rsidP="00AB6353">
      <w:pPr>
        <w:pStyle w:val="Heading4"/>
      </w:pPr>
      <w:r>
        <w:t xml:space="preserve">And cause </w:t>
      </w:r>
      <w:r>
        <w:rPr>
          <w:u w:val="single"/>
        </w:rPr>
        <w:t>labor shortages</w:t>
      </w:r>
      <w:r>
        <w:t>.</w:t>
      </w:r>
    </w:p>
    <w:p w14:paraId="5AEA2AF2" w14:textId="77777777" w:rsidR="00AB6353" w:rsidRDefault="00AB6353" w:rsidP="00AB6353">
      <w:r>
        <w:rPr>
          <w:rStyle w:val="Style13ptBold"/>
        </w:rPr>
        <w:t>Ifft and Jodlowski 16</w:t>
      </w:r>
      <w:r>
        <w:t xml:space="preserve"> – Jennifer Ifft, Assistant Professor in the Charles H. Dyson School of Applied Economics and Management at Cornell University, and Margaret Jodlowski, PhD Candidate in the the Charles H. Dyson School of Applied Economics and Management at Cornell University ("Is ICE Freezing US Agriculture? The Impact of Local Immigration Enforcement on Farm Profitability and Structure," AgEcon Search, available online at https://ageconsearch.umn.edu/record/235950/, accessed 7-2-2020) LR</w:t>
      </w:r>
    </w:p>
    <w:p w14:paraId="647E6226" w14:textId="77777777" w:rsidR="00AB6353" w:rsidRPr="00C16B90" w:rsidRDefault="00AB6353" w:rsidP="00AB6353">
      <w:pPr>
        <w:rPr>
          <w:rStyle w:val="StyleUnderline"/>
        </w:rPr>
      </w:pPr>
      <w:r w:rsidRPr="00C16B90">
        <w:rPr>
          <w:rStyle w:val="StyleUnderline"/>
        </w:rPr>
        <w:t>Approximately half of U.S. farm workers are</w:t>
      </w:r>
      <w:r w:rsidRPr="00C16B90">
        <w:rPr>
          <w:sz w:val="16"/>
        </w:rPr>
        <w:t xml:space="preserve"> estimated to be “</w:t>
      </w:r>
      <w:r w:rsidRPr="002A5A89">
        <w:rPr>
          <w:rStyle w:val="Emphasis"/>
        </w:rPr>
        <w:t>undocumented</w:t>
      </w:r>
      <w:r w:rsidRPr="00C16B90">
        <w:rPr>
          <w:sz w:val="16"/>
        </w:rPr>
        <w:t xml:space="preserve">”, </w:t>
      </w:r>
      <w:r w:rsidRPr="00C16B90">
        <w:rPr>
          <w:rStyle w:val="StyleUnderline"/>
        </w:rPr>
        <w:t>or lack legal status to work</w:t>
      </w:r>
      <w:r w:rsidRPr="00C16B90">
        <w:rPr>
          <w:sz w:val="16"/>
        </w:rPr>
        <w:t xml:space="preserve"> in the U.S. (Zahniser et al., 2012). </w:t>
      </w:r>
      <w:r w:rsidRPr="00C16B90">
        <w:rPr>
          <w:rStyle w:val="StyleUnderline"/>
        </w:rPr>
        <w:t xml:space="preserve">Increased </w:t>
      </w:r>
      <w:r w:rsidRPr="002A5A89">
        <w:rPr>
          <w:rStyle w:val="Emphasis"/>
        </w:rPr>
        <w:t>enforcement</w:t>
      </w:r>
      <w:r w:rsidRPr="00C16B90">
        <w:rPr>
          <w:rStyle w:val="StyleUnderline"/>
        </w:rPr>
        <w:t xml:space="preserve"> of existing immigration policy</w:t>
      </w:r>
      <w:r w:rsidRPr="00C16B90">
        <w:rPr>
          <w:sz w:val="16"/>
        </w:rPr>
        <w:t xml:space="preserve"> may </w:t>
      </w:r>
      <w:r w:rsidRPr="00C16B90">
        <w:rPr>
          <w:rStyle w:val="StyleUnderline"/>
        </w:rPr>
        <w:t xml:space="preserve">lead to </w:t>
      </w:r>
      <w:r w:rsidRPr="002A5A89">
        <w:rPr>
          <w:rStyle w:val="Emphasis"/>
        </w:rPr>
        <w:t>labor supply shortages for agriculture</w:t>
      </w:r>
      <w:r w:rsidRPr="00C16B90">
        <w:rPr>
          <w:sz w:val="16"/>
        </w:rPr>
        <w:t xml:space="preserve"> if alternative labor pools are not available at feasible wage levels. Likewise, if mechanization or substitution of capital is not feasible, </w:t>
      </w:r>
      <w:r w:rsidRPr="00C16B90">
        <w:rPr>
          <w:rStyle w:val="StyleUnderline"/>
        </w:rPr>
        <w:t>enhanced immigration enforcement</w:t>
      </w:r>
      <w:r w:rsidRPr="00C16B90">
        <w:rPr>
          <w:sz w:val="16"/>
        </w:rPr>
        <w:t xml:space="preserve"> may </w:t>
      </w:r>
      <w:r w:rsidRPr="00C16B90">
        <w:rPr>
          <w:rStyle w:val="StyleUnderline"/>
        </w:rPr>
        <w:t>threaten farms producing livestock or</w:t>
      </w:r>
      <w:r w:rsidRPr="00C16B90">
        <w:rPr>
          <w:sz w:val="16"/>
        </w:rPr>
        <w:t xml:space="preserve"> labor-intensive </w:t>
      </w:r>
      <w:r w:rsidRPr="00C16B90">
        <w:rPr>
          <w:rStyle w:val="StyleUnderline"/>
        </w:rPr>
        <w:t>crops across the U.S. While</w:t>
      </w:r>
      <w:r w:rsidRPr="00C16B90">
        <w:rPr>
          <w:sz w:val="16"/>
        </w:rPr>
        <w:t xml:space="preserve"> significant </w:t>
      </w:r>
      <w:r w:rsidRPr="00C16B90">
        <w:rPr>
          <w:rStyle w:val="StyleUnderline"/>
        </w:rPr>
        <w:t>mechanization</w:t>
      </w:r>
      <w:r w:rsidRPr="00C16B90">
        <w:rPr>
          <w:sz w:val="16"/>
        </w:rPr>
        <w:t xml:space="preserve"> of U.S. agriculture </w:t>
      </w:r>
      <w:r w:rsidRPr="00C16B90">
        <w:rPr>
          <w:rStyle w:val="StyleUnderline"/>
        </w:rPr>
        <w:t>has occurred</w:t>
      </w:r>
      <w:r w:rsidRPr="00C16B90">
        <w:rPr>
          <w:sz w:val="16"/>
        </w:rPr>
        <w:t xml:space="preserve"> over several decades, </w:t>
      </w:r>
      <w:r w:rsidRPr="00C16B90">
        <w:rPr>
          <w:rStyle w:val="StyleUnderline"/>
        </w:rPr>
        <w:t>many</w:t>
      </w:r>
      <w:r w:rsidRPr="00C16B90">
        <w:rPr>
          <w:sz w:val="16"/>
        </w:rPr>
        <w:t xml:space="preserve"> types of fruit, vegetable, livestock, greenhouse, and nursery </w:t>
      </w:r>
      <w:r w:rsidRPr="00C16B90">
        <w:rPr>
          <w:rStyle w:val="StyleUnderline"/>
        </w:rPr>
        <w:t>specializations still rely on hired labor</w:t>
      </w:r>
      <w:r w:rsidRPr="00C16B90">
        <w:rPr>
          <w:sz w:val="16"/>
        </w:rPr>
        <w:t xml:space="preserve"> to perform complicated or delicate tasks. While labor expenses are only 17 percent of cash expenses for the U.S. farm sector, this share approaches 40 percent for more labor-intensive specializations(Zahniser et al., 2012). There are localized shortages of farm labor across the U.S., and Hertz and Zahniser (2013) identified several counties with wage growth of over 40 percent where agricultural employment had fallen. </w:t>
      </w:r>
      <w:r w:rsidRPr="00C16B90">
        <w:rPr>
          <w:rStyle w:val="StyleUnderline"/>
        </w:rPr>
        <w:t>A simulation analysis of</w:t>
      </w:r>
      <w:r w:rsidRPr="00C16B90">
        <w:rPr>
          <w:sz w:val="16"/>
        </w:rPr>
        <w:t xml:space="preserve"> an improved temporary guest worker program or </w:t>
      </w:r>
      <w:r w:rsidRPr="002A5A89">
        <w:rPr>
          <w:rStyle w:val="StyleUnderline"/>
        </w:rPr>
        <w:t>a</w:t>
      </w:r>
      <w:r w:rsidRPr="002A5A89">
        <w:rPr>
          <w:sz w:val="16"/>
          <w:szCs w:val="16"/>
        </w:rPr>
        <w:t xml:space="preserve"> large </w:t>
      </w:r>
      <w:r w:rsidRPr="00C16B90">
        <w:rPr>
          <w:rStyle w:val="StyleUnderline"/>
        </w:rPr>
        <w:t>decline in</w:t>
      </w:r>
      <w:r w:rsidRPr="00C16B90">
        <w:rPr>
          <w:sz w:val="16"/>
        </w:rPr>
        <w:t xml:space="preserve"> the number of </w:t>
      </w:r>
      <w:r w:rsidRPr="00C16B90">
        <w:rPr>
          <w:rStyle w:val="StyleUnderline"/>
        </w:rPr>
        <w:t>undocumented workers found a</w:t>
      </w:r>
      <w:r w:rsidRPr="00C16B90">
        <w:rPr>
          <w:sz w:val="16"/>
        </w:rPr>
        <w:t xml:space="preserve"> 1-2 percent increase in the </w:t>
      </w:r>
      <w:r w:rsidRPr="002A5A89">
        <w:rPr>
          <w:rStyle w:val="StyleUnderline"/>
        </w:rPr>
        <w:t>output</w:t>
      </w:r>
      <w:r w:rsidRPr="00C16B90">
        <w:rPr>
          <w:sz w:val="16"/>
        </w:rPr>
        <w:t xml:space="preserve"> of labor-intensive agricultural sectors and 2-5 percent </w:t>
      </w:r>
      <w:r w:rsidRPr="002A5A89">
        <w:rPr>
          <w:rStyle w:val="Emphasis"/>
        </w:rPr>
        <w:t>decline</w:t>
      </w:r>
      <w:r w:rsidRPr="00C16B90">
        <w:rPr>
          <w:sz w:val="16"/>
        </w:rPr>
        <w:t xml:space="preserve">, respectively (Zahniser et al., 2012). These hypothetical estimates indicate that </w:t>
      </w:r>
      <w:r w:rsidRPr="00C16B90">
        <w:rPr>
          <w:rStyle w:val="StyleUnderline"/>
        </w:rPr>
        <w:t>immigration policies</w:t>
      </w:r>
      <w:r w:rsidRPr="00C16B90">
        <w:rPr>
          <w:sz w:val="16"/>
        </w:rPr>
        <w:t xml:space="preserve"> can </w:t>
      </w:r>
      <w:r w:rsidRPr="00C16B90">
        <w:rPr>
          <w:rStyle w:val="StyleUnderline"/>
        </w:rPr>
        <w:t>have a</w:t>
      </w:r>
      <w:r w:rsidRPr="00C16B90">
        <w:rPr>
          <w:sz w:val="16"/>
        </w:rPr>
        <w:t xml:space="preserve"> economically </w:t>
      </w:r>
      <w:r w:rsidRPr="00C16B90">
        <w:rPr>
          <w:rStyle w:val="StyleUnderline"/>
        </w:rPr>
        <w:t>meaningful impact on the farm sector.</w:t>
      </w:r>
    </w:p>
    <w:p w14:paraId="05720BB1" w14:textId="1FE31D9A" w:rsidR="00AB6353" w:rsidRDefault="00AB6353" w:rsidP="00AB6353">
      <w:pPr>
        <w:pStyle w:val="Heading4"/>
      </w:pPr>
      <w:r>
        <w:t xml:space="preserve">With short-term </w:t>
      </w:r>
      <w:r w:rsidRPr="00AB6353">
        <w:rPr>
          <w:u w:val="single"/>
        </w:rPr>
        <w:t>losses</w:t>
      </w:r>
      <w:r>
        <w:t xml:space="preserve"> and long-term </w:t>
      </w:r>
      <w:r w:rsidRPr="00AB6353">
        <w:rPr>
          <w:u w:val="single"/>
        </w:rPr>
        <w:t>spirals</w:t>
      </w:r>
      <w:r>
        <w:t>.</w:t>
      </w:r>
    </w:p>
    <w:p w14:paraId="03372A78" w14:textId="77777777" w:rsidR="00AB6353" w:rsidRDefault="00AB6353" w:rsidP="00AB6353">
      <w:r>
        <w:rPr>
          <w:rStyle w:val="Style13ptBold"/>
        </w:rPr>
        <w:t>Ifft and Jodlowski 16</w:t>
      </w:r>
      <w:r>
        <w:t xml:space="preserve"> – Jennifer Ifft, Assistant Professor in the Charles H. Dyson School of Applied Economics and Management at Cornell University, and Margaret Jodlowski, PhD Candidate in the the Charles H. Dyson School of Applied Economics and Management at Cornell University ("Is ICE Freezing US Agriculture? The Impact of Local Immigration Enforcement on Farm Profitability and Structure," AgEcon Search, available online at https://ageconsearch.umn.edu/record/235950/, accessed 7-3-2020) LR</w:t>
      </w:r>
    </w:p>
    <w:p w14:paraId="7664F4AA" w14:textId="77777777" w:rsidR="00AB6353" w:rsidRPr="00FA68B1" w:rsidRDefault="00AB6353" w:rsidP="00AB6353">
      <w:pPr>
        <w:rPr>
          <w:rStyle w:val="StyleUnderline"/>
        </w:rPr>
      </w:pPr>
      <w:r w:rsidRPr="00FA68B1">
        <w:rPr>
          <w:sz w:val="16"/>
        </w:rPr>
        <w:t xml:space="preserve">While this analysis does not indicate the same level of spillovers and coefficients are difficult to interpret, the direction of coefficients and levels of statistical significance for 287(g) counties reported in Table 11 are consistent with those reported in Table 5. </w:t>
      </w:r>
      <w:r w:rsidRPr="00FA68B1">
        <w:rPr>
          <w:rStyle w:val="StyleUnderline"/>
        </w:rPr>
        <w:t>For all</w:t>
      </w:r>
      <w:r w:rsidRPr="00FA68B1">
        <w:rPr>
          <w:sz w:val="16"/>
        </w:rPr>
        <w:t xml:space="preserve"> of the </w:t>
      </w:r>
      <w:r w:rsidRPr="00FA68B1">
        <w:rPr>
          <w:rStyle w:val="StyleUnderline"/>
        </w:rPr>
        <w:t>outcomes</w:t>
      </w:r>
      <w:r w:rsidRPr="00FA68B1">
        <w:rPr>
          <w:sz w:val="16"/>
        </w:rPr>
        <w:t xml:space="preserve"> considered using Census data (Table 12), </w:t>
      </w:r>
      <w:r w:rsidRPr="00FA68B1">
        <w:rPr>
          <w:rStyle w:val="StyleUnderline"/>
        </w:rPr>
        <w:t>the effect of</w:t>
      </w:r>
      <w:r w:rsidRPr="00FA68B1">
        <w:rPr>
          <w:sz w:val="16"/>
        </w:rPr>
        <w:t xml:space="preserve"> an additional </w:t>
      </w:r>
      <w:r w:rsidRPr="00FA68B1">
        <w:rPr>
          <w:rStyle w:val="StyleUnderline"/>
        </w:rPr>
        <w:t>departure is larger than</w:t>
      </w:r>
      <w:r w:rsidRPr="00FA68B1">
        <w:rPr>
          <w:sz w:val="16"/>
        </w:rPr>
        <w:t xml:space="preserve"> the effect of an </w:t>
      </w:r>
      <w:r w:rsidRPr="00FA68B1">
        <w:rPr>
          <w:rStyle w:val="StyleUnderline"/>
        </w:rPr>
        <w:t>additional identification. This is</w:t>
      </w:r>
      <w:r w:rsidRPr="00FA68B1">
        <w:rPr>
          <w:sz w:val="16"/>
        </w:rPr>
        <w:t xml:space="preserve"> likely </w:t>
      </w:r>
      <w:r w:rsidRPr="00FA68B1">
        <w:rPr>
          <w:rStyle w:val="StyleUnderline"/>
        </w:rPr>
        <w:t xml:space="preserve">due to </w:t>
      </w:r>
      <w:r w:rsidRPr="00111F7A">
        <w:rPr>
          <w:rStyle w:val="Emphasis"/>
        </w:rPr>
        <w:t>deportation</w:t>
      </w:r>
      <w:r w:rsidRPr="00FA68B1">
        <w:rPr>
          <w:rStyle w:val="StyleUnderline"/>
        </w:rPr>
        <w:t xml:space="preserve"> being a </w:t>
      </w:r>
      <w:r w:rsidRPr="00111F7A">
        <w:rPr>
          <w:rStyle w:val="Emphasis"/>
        </w:rPr>
        <w:t>stronger</w:t>
      </w:r>
      <w:r w:rsidRPr="00FA68B1">
        <w:rPr>
          <w:sz w:val="16"/>
        </w:rPr>
        <w:t xml:space="preserve"> anti-immigration </w:t>
      </w:r>
      <w:r w:rsidRPr="00FA68B1">
        <w:rPr>
          <w:rStyle w:val="StyleUnderline"/>
        </w:rPr>
        <w:t>measure</w:t>
      </w:r>
      <w:r w:rsidRPr="00FA68B1">
        <w:rPr>
          <w:sz w:val="16"/>
        </w:rPr>
        <w:t xml:space="preserve"> than identification. At the county level, we find that </w:t>
      </w:r>
      <w:r w:rsidRPr="00FA68B1">
        <w:rPr>
          <w:rStyle w:val="StyleUnderline"/>
        </w:rPr>
        <w:t>every alien deported</w:t>
      </w:r>
      <w:r w:rsidRPr="00FA68B1">
        <w:rPr>
          <w:sz w:val="16"/>
        </w:rPr>
        <w:t xml:space="preserve"> in a county with 287(g) </w:t>
      </w:r>
      <w:r w:rsidRPr="00FA68B1">
        <w:rPr>
          <w:rStyle w:val="StyleUnderline"/>
        </w:rPr>
        <w:t>increases fuel expenses by $3,500. Machinery value per operation declines by $102 for each</w:t>
      </w:r>
      <w:r w:rsidRPr="00FA68B1">
        <w:rPr>
          <w:sz w:val="16"/>
        </w:rPr>
        <w:t xml:space="preserve"> alien </w:t>
      </w:r>
      <w:r w:rsidRPr="00FA68B1">
        <w:rPr>
          <w:rStyle w:val="StyleUnderline"/>
        </w:rPr>
        <w:t>departed. Asset values per operation decline</w:t>
      </w:r>
      <w:r w:rsidRPr="00FA68B1">
        <w:rPr>
          <w:sz w:val="16"/>
        </w:rPr>
        <w:t xml:space="preserve"> by $821 per alien identified and </w:t>
      </w:r>
      <w:r w:rsidRPr="00FA68B1">
        <w:rPr>
          <w:rStyle w:val="StyleUnderline"/>
        </w:rPr>
        <w:t>by more than $1,200 per alien departed.</w:t>
      </w:r>
      <w:r w:rsidRPr="00FA68B1">
        <w:rPr>
          <w:sz w:val="16"/>
        </w:rPr>
        <w:t xml:space="preserve"> While the coefficients are difficult to interpret given the lack of data on total undocumented population or farm workers, </w:t>
      </w:r>
      <w:r w:rsidRPr="00FA68B1">
        <w:rPr>
          <w:rStyle w:val="StyleUnderline"/>
        </w:rPr>
        <w:t>these results highlight</w:t>
      </w:r>
      <w:r w:rsidRPr="00FA68B1">
        <w:rPr>
          <w:sz w:val="16"/>
        </w:rPr>
        <w:t xml:space="preserve"> the </w:t>
      </w:r>
      <w:r w:rsidRPr="00111F7A">
        <w:rPr>
          <w:rStyle w:val="Emphasis"/>
        </w:rPr>
        <w:t>scope of damages</w:t>
      </w:r>
      <w:r w:rsidRPr="00FA68B1">
        <w:rPr>
          <w:rStyle w:val="StyleUnderline"/>
        </w:rPr>
        <w:t xml:space="preserve"> to farm operations</w:t>
      </w:r>
      <w:r w:rsidRPr="00FA68B1">
        <w:rPr>
          <w:sz w:val="16"/>
        </w:rPr>
        <w:t xml:space="preserve"> in counties with more robust anti-immigrant action. </w:t>
      </w:r>
      <w:r w:rsidRPr="00FA68B1">
        <w:rPr>
          <w:rStyle w:val="StyleUnderline"/>
        </w:rPr>
        <w:t>Farms</w:t>
      </w:r>
      <w:r w:rsidRPr="00FA68B1">
        <w:rPr>
          <w:sz w:val="16"/>
        </w:rPr>
        <w:t xml:space="preserve"> are </w:t>
      </w:r>
      <w:r w:rsidRPr="00FA68B1">
        <w:rPr>
          <w:rStyle w:val="StyleUnderline"/>
        </w:rPr>
        <w:t xml:space="preserve">not only suffering </w:t>
      </w:r>
      <w:r w:rsidRPr="00111F7A">
        <w:rPr>
          <w:rStyle w:val="Emphasis"/>
        </w:rPr>
        <w:t>short term losses</w:t>
      </w:r>
      <w:r w:rsidRPr="00FA68B1">
        <w:rPr>
          <w:rStyle w:val="StyleUnderline"/>
        </w:rPr>
        <w:t xml:space="preserve"> through increased daily operations expenses</w:t>
      </w:r>
      <w:r w:rsidRPr="00FA68B1">
        <w:rPr>
          <w:sz w:val="16"/>
        </w:rPr>
        <w:t xml:space="preserve"> like fuel costs, they are </w:t>
      </w:r>
      <w:r w:rsidRPr="00FA68B1">
        <w:rPr>
          <w:rStyle w:val="StyleUnderline"/>
        </w:rPr>
        <w:t>experiencing</w:t>
      </w:r>
      <w:r w:rsidRPr="00FA68B1">
        <w:rPr>
          <w:sz w:val="16"/>
        </w:rPr>
        <w:t xml:space="preserve"> an </w:t>
      </w:r>
      <w:r w:rsidRPr="00FA68B1">
        <w:rPr>
          <w:rStyle w:val="StyleUnderline"/>
        </w:rPr>
        <w:t>environment</w:t>
      </w:r>
      <w:r w:rsidRPr="00FA68B1">
        <w:rPr>
          <w:sz w:val="16"/>
        </w:rPr>
        <w:t xml:space="preserve"> that is </w:t>
      </w:r>
      <w:r w:rsidRPr="00111F7A">
        <w:rPr>
          <w:rStyle w:val="Emphasis"/>
        </w:rPr>
        <w:t>negatively affecting</w:t>
      </w:r>
      <w:r w:rsidRPr="00FA68B1">
        <w:rPr>
          <w:rStyle w:val="StyleUnderline"/>
        </w:rPr>
        <w:t xml:space="preserve"> their </w:t>
      </w:r>
      <w:r w:rsidRPr="00111F7A">
        <w:rPr>
          <w:rStyle w:val="Emphasis"/>
        </w:rPr>
        <w:t>long-term investments and profitability</w:t>
      </w:r>
      <w:r w:rsidRPr="00FA68B1">
        <w:rPr>
          <w:rStyle w:val="StyleUnderline"/>
        </w:rPr>
        <w:t>.</w:t>
      </w:r>
    </w:p>
    <w:p w14:paraId="1A0B0B02" w14:textId="62429E6B" w:rsidR="00AB6353" w:rsidRDefault="00AB6353" w:rsidP="00AB6353">
      <w:pPr>
        <w:rPr>
          <w:sz w:val="16"/>
        </w:rPr>
      </w:pPr>
      <w:r w:rsidRPr="00053CA5">
        <w:rPr>
          <w:sz w:val="16"/>
        </w:rPr>
        <w:t xml:space="preserve">The implied </w:t>
      </w:r>
      <w:r w:rsidRPr="00053CA5">
        <w:rPr>
          <w:rStyle w:val="Emphasis"/>
        </w:rPr>
        <w:t>magnitude</w:t>
      </w:r>
      <w:r w:rsidRPr="00053CA5">
        <w:rPr>
          <w:rStyle w:val="StyleUnderline"/>
        </w:rPr>
        <w:t xml:space="preserve"> of farm-level impacts </w:t>
      </w:r>
      <w:r w:rsidRPr="00053CA5">
        <w:rPr>
          <w:rStyle w:val="Emphasis"/>
        </w:rPr>
        <w:t>is large</w:t>
      </w:r>
      <w:r w:rsidRPr="00053CA5">
        <w:rPr>
          <w:sz w:val="16"/>
        </w:rPr>
        <w:t xml:space="preserve">: for example, an </w:t>
      </w:r>
      <w:r w:rsidRPr="00053CA5">
        <w:rPr>
          <w:rStyle w:val="StyleUnderline"/>
        </w:rPr>
        <w:t>increase in labor expenses</w:t>
      </w:r>
      <w:r w:rsidRPr="00053CA5">
        <w:rPr>
          <w:sz w:val="16"/>
        </w:rPr>
        <w:t xml:space="preserve"> of </w:t>
      </w:r>
      <w:r w:rsidRPr="00053CA5">
        <w:rPr>
          <w:rStyle w:val="StyleUnderline"/>
        </w:rPr>
        <w:t>over $250,000</w:t>
      </w:r>
      <w:r w:rsidRPr="00053CA5">
        <w:rPr>
          <w:sz w:val="16"/>
        </w:rPr>
        <w:t xml:space="preserve">, as reported in Table 5. To better understand the underlying farm-level heterogeneity driving these results, we run our analysis (1) using natural log of the dependent variables; (2) excluding farms with total net worth greater than $5,000,000; (3) excluding farms with net worth per acre operated over $100,000. We report these results in Tables 13, 14, and 15, respectively. We find some evidence that results are driven by changes occurring on large farms, which is expected given that such farms are more likely to use hired labor. When farms with net worth greater than $5 million are excluded, the only measure that has a statistically significant effect from 287(g) is vegetable acres. These results suggest that </w:t>
      </w:r>
      <w:r w:rsidRPr="00053CA5">
        <w:rPr>
          <w:rStyle w:val="StyleUnderline"/>
        </w:rPr>
        <w:t>large farms</w:t>
      </w:r>
      <w:r w:rsidRPr="00053CA5">
        <w:rPr>
          <w:sz w:val="16"/>
        </w:rPr>
        <w:t xml:space="preserve">, which use more hired labor, </w:t>
      </w:r>
      <w:r w:rsidRPr="00053CA5">
        <w:rPr>
          <w:rStyle w:val="StyleUnderline"/>
        </w:rPr>
        <w:t xml:space="preserve">are </w:t>
      </w:r>
      <w:r w:rsidRPr="00053CA5">
        <w:rPr>
          <w:rStyle w:val="Emphasis"/>
        </w:rPr>
        <w:t>disproportionately affected</w:t>
      </w:r>
      <w:r w:rsidRPr="00053CA5">
        <w:rPr>
          <w:sz w:val="16"/>
        </w:rPr>
        <w:t xml:space="preserve"> by 287(g). However, when we exclude farms with high net worth per acre from our analysis (Table 15), the main results persist in terms of both magnitude and statistical significance, except for a counter-intuitive result for real estate value per acre operated. This may be due to changes in both reported acres operated and real estate value. The results are generally relatively smaller but still statistically significant and large in an absolute sense. Overall, we do find consistent results across these specifications. Results using the natural log of the dependent variables are largely not statistically significant in this specification, although almost always in the same direction as the main specification. These weak results may be due to lower levels of variation in an already-small treatment group.</w:t>
      </w:r>
    </w:p>
    <w:p w14:paraId="185D73CF" w14:textId="4B11FA00" w:rsidR="005E5433" w:rsidRPr="007C6F40" w:rsidRDefault="005E5433" w:rsidP="005E5433">
      <w:pPr>
        <w:pStyle w:val="Heading4"/>
      </w:pPr>
      <w:r>
        <w:t xml:space="preserve">Deportation creates an </w:t>
      </w:r>
      <w:r>
        <w:rPr>
          <w:u w:val="single"/>
        </w:rPr>
        <w:t>ag disaster</w:t>
      </w:r>
      <w:r>
        <w:t>.</w:t>
      </w:r>
    </w:p>
    <w:p w14:paraId="54307AE1" w14:textId="61D745B9" w:rsidR="005E5433" w:rsidRPr="007C6F40" w:rsidRDefault="005E5433" w:rsidP="005E5433">
      <w:r w:rsidRPr="007C6F40">
        <w:t xml:space="preserve">Chip </w:t>
      </w:r>
      <w:r w:rsidRPr="007C6F40">
        <w:rPr>
          <w:rStyle w:val="Style13ptBold"/>
        </w:rPr>
        <w:t>Carter 17</w:t>
      </w:r>
      <w:r w:rsidRPr="007C6F40">
        <w:t xml:space="preserve"> </w:t>
      </w:r>
      <w:r>
        <w:t>(</w:t>
      </w:r>
      <w:r w:rsidRPr="007C6F40">
        <w:t>8-3-2017, "Trump and Immigration: Agriculture Friend or Foe?", Southeast Produce Weekly, https://southeastproduceweekly.com/2017/08/03/trump-immigration-agriculture-friend-foe/, accessed: 6-24-2020)//yeed</w:t>
      </w:r>
    </w:p>
    <w:p w14:paraId="30C44A0F" w14:textId="3B354E52" w:rsidR="005E5433" w:rsidRPr="005E5433" w:rsidRDefault="005E5433" w:rsidP="00AB6353">
      <w:r w:rsidRPr="007C6F40">
        <w:t xml:space="preserve">An overwhelmingly conservative industry like produce and agriculture in general has found itself on a precarious moral perch in recent years. No one wants to break the law. But </w:t>
      </w:r>
      <w:r w:rsidRPr="007C6F40">
        <w:rPr>
          <w:rStyle w:val="Emphasis"/>
        </w:rPr>
        <w:t>no one wants to see crops rot</w:t>
      </w:r>
      <w:r w:rsidRPr="007C6F40">
        <w:rPr>
          <w:rStyle w:val="StyleUnderline"/>
        </w:rPr>
        <w:t xml:space="preserve"> in the field for lack of labor either</w:t>
      </w:r>
      <w:r w:rsidRPr="007C6F40">
        <w:rPr>
          <w:sz w:val="12"/>
        </w:rPr>
        <w:t xml:space="preserve"> </w:t>
      </w:r>
      <w:r w:rsidRPr="007C6F40">
        <w:t xml:space="preserve">The industry and society at-large have turned a blind eye to the practice of hiring illegal immigrants to do the jobs that Americans simply will not do. </w:t>
      </w:r>
      <w:r w:rsidRPr="007C6F40">
        <w:rPr>
          <w:rStyle w:val="StyleUnderline"/>
        </w:rPr>
        <w:t>For at least the last 30 years most of our domestic crops have been tended and harvested by foreign workers</w:t>
      </w:r>
      <w:r w:rsidRPr="007C6F40">
        <w:t xml:space="preserve">, </w:t>
      </w:r>
      <w:r w:rsidRPr="007C6F40">
        <w:rPr>
          <w:rStyle w:val="StyleUnderline"/>
        </w:rPr>
        <w:t>working in this country either under the cumbersome – but legal – H2-A visa program or as illegal immigrant labor.</w:t>
      </w:r>
      <w:r w:rsidRPr="007C6F40">
        <w:rPr>
          <w:sz w:val="12"/>
          <w:u w:val="single"/>
        </w:rPr>
        <w:t xml:space="preserve"> </w:t>
      </w:r>
      <w:r w:rsidRPr="007C6F40">
        <w:t>Now the same conservative industry that overwhelmingly supported Donald Trump in his bid for the presidency is beginning to wonder if they put a friend or foe in The White House?</w:t>
      </w:r>
      <w:r w:rsidRPr="007C6F40">
        <w:rPr>
          <w:sz w:val="12"/>
        </w:rPr>
        <w:t xml:space="preserve"> </w:t>
      </w:r>
      <w:r w:rsidRPr="007C6F40">
        <w:t xml:space="preserve">It’s a double-edged sword. </w:t>
      </w:r>
      <w:r w:rsidRPr="007C6F40">
        <w:rPr>
          <w:rStyle w:val="StyleUnderline"/>
        </w:rPr>
        <w:t>Trump’s</w:t>
      </w:r>
      <w:r w:rsidRPr="007C6F40">
        <w:t xml:space="preserve"> economic policies bode well for agriculture and all industries. But his </w:t>
      </w:r>
      <w:r w:rsidRPr="007C6F40">
        <w:rPr>
          <w:rStyle w:val="StyleUnderline"/>
        </w:rPr>
        <w:t>anti-immigrant stance threatens</w:t>
      </w:r>
      <w:r w:rsidRPr="007C6F40">
        <w:t xml:space="preserve"> the not-so-secret </w:t>
      </w:r>
      <w:r w:rsidRPr="007C6F40">
        <w:rPr>
          <w:rStyle w:val="StyleUnderline"/>
        </w:rPr>
        <w:t>mechanism that literally drives the produce industry</w:t>
      </w:r>
      <w:r w:rsidRPr="007C6F40">
        <w:t>.</w:t>
      </w:r>
      <w:r w:rsidRPr="007C6F40">
        <w:rPr>
          <w:sz w:val="12"/>
        </w:rPr>
        <w:t xml:space="preserve"> </w:t>
      </w:r>
      <w:r w:rsidRPr="007C6F40">
        <w:t>An already bad situation will no doubt get worse, according to Dr. Stephen Devadoss of the Department of Agricultural and Applied Economics at Texas Tech University University and Dr. Jeff Luckstead of the Department of Agricultural Economics and Agribusiness at the University of Arkansas, who presented a paper on the topic “Effects of U.S. Policies on Illegal Immigration” at this week’s 2017 Agricultural &amp; Applied Economics Association Annual Meeting in Chicago.</w:t>
      </w:r>
      <w:r w:rsidRPr="007C6F40">
        <w:rPr>
          <w:sz w:val="12"/>
        </w:rPr>
        <w:t xml:space="preserve"> </w:t>
      </w:r>
      <w:r w:rsidRPr="007C6F40">
        <w:t xml:space="preserve">The Pew Research Center estimates there were </w:t>
      </w:r>
      <w:r w:rsidRPr="007C6F40">
        <w:rPr>
          <w:rStyle w:val="StyleUnderline"/>
        </w:rPr>
        <w:t>11.3 million undocumented workers in the U.S. in 2015</w:t>
      </w:r>
      <w:r w:rsidRPr="007C6F40">
        <w:t xml:space="preserve">, and people in the agriculture industry are particularly concerned about how </w:t>
      </w:r>
      <w:r w:rsidRPr="007C6F40">
        <w:rPr>
          <w:rStyle w:val="StyleUnderline"/>
        </w:rPr>
        <w:t>new legislation will impact the potential labor pool</w:t>
      </w:r>
      <w:r w:rsidRPr="007C6F40">
        <w:t>.</w:t>
      </w:r>
      <w:r w:rsidRPr="007C6F40">
        <w:rPr>
          <w:sz w:val="12"/>
        </w:rPr>
        <w:t xml:space="preserve"> </w:t>
      </w:r>
      <w:r w:rsidRPr="007C6F40">
        <w:t>“</w:t>
      </w:r>
      <w:r w:rsidRPr="007C6F40">
        <w:rPr>
          <w:rStyle w:val="StyleUnderline"/>
        </w:rPr>
        <w:t>There is a huge shortage of labor and tightening border control and increasing deportation is making it harder for vegetable and fruit growers to find workers</w:t>
      </w:r>
      <w:r w:rsidRPr="007C6F40">
        <w:t>,” Devadoss says. “Building a wall won’t help farmers.”</w:t>
      </w:r>
      <w:r w:rsidRPr="007C6F40">
        <w:rPr>
          <w:sz w:val="12"/>
        </w:rPr>
        <w:t xml:space="preserve"> </w:t>
      </w:r>
      <w:r w:rsidRPr="007C6F40">
        <w:t>There is no speculation in Devadoss’ work. His conclusions are all evidence-based. And his conclusions point to the probability of an agricultural labor gap as the available work force shrinks while automation races to provide solutions for specialty crops in the same way it has for commodity agriculture.</w:t>
      </w:r>
      <w:r w:rsidRPr="007C6F40">
        <w:rPr>
          <w:sz w:val="12"/>
        </w:rPr>
        <w:t xml:space="preserve"> </w:t>
      </w:r>
      <w:r w:rsidRPr="007C6F40">
        <w:t>“What we found is there will be a negative effect because these policies don’t provide any solutions to what farmers are currently facing,” Devadoss says. “</w:t>
      </w:r>
      <w:r w:rsidRPr="007C6F40">
        <w:rPr>
          <w:rStyle w:val="StyleUnderline"/>
        </w:rPr>
        <w:t>There is already a labor shortfall and consequently farmers can’t do basic operations, including harvesting</w:t>
      </w:r>
      <w:r w:rsidRPr="007C6F40">
        <w:t>.”</w:t>
      </w:r>
      <w:r w:rsidRPr="007C6F40">
        <w:rPr>
          <w:sz w:val="12"/>
        </w:rPr>
        <w:t xml:space="preserve"> </w:t>
      </w:r>
      <w:r w:rsidRPr="007C6F40">
        <w:t xml:space="preserve">Some parts of the country have watched helplessly over the last decade while as much as </w:t>
      </w:r>
      <w:r w:rsidRPr="007C6F40">
        <w:rPr>
          <w:rStyle w:val="Emphasis"/>
        </w:rPr>
        <w:t xml:space="preserve">20 percent of fruit and vegetable crops has gone unharvested. </w:t>
      </w:r>
      <w:r w:rsidRPr="007C6F40">
        <w:t>In Georgia, famously,</w:t>
      </w:r>
      <w:r w:rsidRPr="007C6F40">
        <w:rPr>
          <w:rStyle w:val="StyleUnderline"/>
        </w:rPr>
        <w:t xml:space="preserve"> the economy took a $500 million hit in 2011 as crops rotted in the field with no one to pick them when the state adopted stringent anti-immigrant legislation</w:t>
      </w:r>
      <w:r w:rsidRPr="007C6F40">
        <w:t xml:space="preserve"> (that it shortly abandoned in the wake of </w:t>
      </w:r>
      <w:r w:rsidRPr="007C6F40">
        <w:rPr>
          <w:rStyle w:val="Emphasis"/>
        </w:rPr>
        <w:t>the agricultural disaster</w:t>
      </w:r>
      <w:r w:rsidRPr="007C6F40">
        <w:t>).</w:t>
      </w:r>
      <w:r w:rsidRPr="007C6F40">
        <w:rPr>
          <w:sz w:val="12"/>
        </w:rPr>
        <w:t xml:space="preserve"> </w:t>
      </w:r>
      <w:r w:rsidRPr="007C6F40">
        <w:t xml:space="preserve">Devadoss says </w:t>
      </w:r>
      <w:r w:rsidRPr="007C6F40">
        <w:rPr>
          <w:rStyle w:val="StyleUnderline"/>
        </w:rPr>
        <w:t>farmers are already having a tough enough time harvesting</w:t>
      </w:r>
      <w:r w:rsidRPr="007C6F40">
        <w:t xml:space="preserve"> crops; the </w:t>
      </w:r>
      <w:r w:rsidRPr="007C6F40">
        <w:rPr>
          <w:rStyle w:val="StyleUnderline"/>
        </w:rPr>
        <w:t>Trump</w:t>
      </w:r>
      <w:r w:rsidRPr="007C6F40">
        <w:t xml:space="preserve"> </w:t>
      </w:r>
      <w:r w:rsidRPr="007C6F40">
        <w:rPr>
          <w:rStyle w:val="StyleUnderline"/>
        </w:rPr>
        <w:t>crackdown</w:t>
      </w:r>
      <w:r w:rsidRPr="007C6F40">
        <w:t xml:space="preserve"> </w:t>
      </w:r>
      <w:r w:rsidRPr="007C6F40">
        <w:rPr>
          <w:rStyle w:val="StyleUnderline"/>
        </w:rPr>
        <w:t>on</w:t>
      </w:r>
      <w:r w:rsidRPr="007C6F40">
        <w:t xml:space="preserve"> illegal </w:t>
      </w:r>
      <w:r w:rsidRPr="007C6F40">
        <w:rPr>
          <w:rStyle w:val="StyleUnderline"/>
        </w:rPr>
        <w:t>immigration</w:t>
      </w:r>
      <w:r w:rsidRPr="007C6F40">
        <w:t xml:space="preserve"> </w:t>
      </w:r>
      <w:r w:rsidRPr="007C6F40">
        <w:rPr>
          <w:rStyle w:val="StyleUnderline"/>
        </w:rPr>
        <w:t>is “bad news</w:t>
      </w:r>
      <w:r w:rsidRPr="007C6F40">
        <w:t xml:space="preserve"> for farmers.” If current policies remain in motion, </w:t>
      </w:r>
      <w:r w:rsidRPr="007C6F40">
        <w:rPr>
          <w:rStyle w:val="StyleUnderline"/>
        </w:rPr>
        <w:t>the industry can expect an overall crop reduction of 5%-6%</w:t>
      </w:r>
      <w:r w:rsidRPr="007C6F40">
        <w:t>, he says.</w:t>
      </w:r>
      <w:r w:rsidRPr="007C6F40">
        <w:rPr>
          <w:sz w:val="12"/>
        </w:rPr>
        <w:t xml:space="preserve"> </w:t>
      </w:r>
      <w:r w:rsidRPr="007C6F40">
        <w:t xml:space="preserve">On the surface that may not sound like much. But according to USDA, </w:t>
      </w:r>
      <w:r w:rsidRPr="007C6F40">
        <w:rPr>
          <w:rStyle w:val="StyleUnderline"/>
        </w:rPr>
        <w:t>the overall value of crop production in 2017 is projected to be $176.8 billion</w:t>
      </w:r>
      <w:r w:rsidRPr="007C6F40">
        <w:t xml:space="preserve">. In recent years, </w:t>
      </w:r>
      <w:r w:rsidRPr="007C6F40">
        <w:rPr>
          <w:rStyle w:val="StyleUnderline"/>
        </w:rPr>
        <w:t>specialty crops have grown to account for 30%-40% of the total value of U.S. crops</w:t>
      </w:r>
      <w:r w:rsidRPr="007C6F40">
        <w:t xml:space="preserve">. Meaning </w:t>
      </w:r>
      <w:r w:rsidRPr="007C6F40">
        <w:rPr>
          <w:rStyle w:val="StyleUnderline"/>
        </w:rPr>
        <w:t>a harvest reduction of 5%-6% would cost fruit and vegetable growers between $3 billion and $4 billion annually.</w:t>
      </w:r>
      <w:r w:rsidRPr="007C6F40">
        <w:rPr>
          <w:sz w:val="12"/>
        </w:rPr>
        <w:t xml:space="preserve"> </w:t>
      </w:r>
      <w:r w:rsidRPr="007C6F40">
        <w:t xml:space="preserve">Devadoss told SPW in a recent exclusive interview that </w:t>
      </w:r>
      <w:r w:rsidRPr="007C6F40">
        <w:rPr>
          <w:rStyle w:val="StyleUnderline"/>
        </w:rPr>
        <w:t>the Trump administration from February to May deported illegal immigrants at a much higher rate than the previous administration.</w:t>
      </w:r>
      <w:r w:rsidRPr="007C6F40">
        <w:rPr>
          <w:sz w:val="12"/>
        </w:rPr>
        <w:t xml:space="preserve"> </w:t>
      </w:r>
      <w:r w:rsidRPr="007C6F40">
        <w:t xml:space="preserve">Syracuse University research shows a backlog of 610,000 illegal immigration cases on U.S. court dockets. </w:t>
      </w:r>
      <w:r w:rsidRPr="007C6F40">
        <w:rPr>
          <w:rStyle w:val="StyleUnderline"/>
        </w:rPr>
        <w:t>The Trump administration is seeking to expedite at least a portion of those</w:t>
      </w:r>
      <w:r w:rsidRPr="007C6F40">
        <w:t xml:space="preserve">. And </w:t>
      </w:r>
      <w:r w:rsidRPr="007C6F40">
        <w:rPr>
          <w:rStyle w:val="StyleUnderline"/>
        </w:rPr>
        <w:t>the administration has broadly hinted it would like to deport more illegal immigrants than any previous administration</w:t>
      </w:r>
      <w:r w:rsidRPr="007C6F40">
        <w:t>.</w:t>
      </w:r>
      <w:r w:rsidRPr="007C6F40">
        <w:rPr>
          <w:sz w:val="12"/>
        </w:rPr>
        <w:t xml:space="preserve"> </w:t>
      </w:r>
      <w:r w:rsidRPr="007C6F40">
        <w:t>“Since the day of my election, we’ve already cut illegal immigration at the southern border by 61 percent, think of that, 61 percent, and we haven’t started,” Trump said at a March 20 rally in Kentucky, a statement political watchdog organization PolitiFact labeled “mostly true”.</w:t>
      </w:r>
      <w:r w:rsidRPr="007C6F40">
        <w:rPr>
          <w:sz w:val="12"/>
        </w:rPr>
        <w:t xml:space="preserve"> </w:t>
      </w:r>
      <w:r w:rsidRPr="007C6F40">
        <w:t xml:space="preserve">Yet when it comes to specialty crop agricultural labor programs, “There is no discussion whatsoever, nothing has been talked about, including the H2-A program – they’re more into building a wall,” Devadoss says. “Our findings clearly suggest that we need to really streamline the visa program so it won’t be a cumbersome deal for farmers to find these workers. But unless the [industry] can take it upon themselves to find a solution, </w:t>
      </w:r>
      <w:r w:rsidRPr="007C6F40">
        <w:rPr>
          <w:rStyle w:val="StyleUnderline"/>
        </w:rPr>
        <w:t>the situation is going to be very, very difficult for farmers.”</w:t>
      </w:r>
      <w:r w:rsidRPr="007C6F40">
        <w:rPr>
          <w:sz w:val="12"/>
        </w:rPr>
        <w:t xml:space="preserve"> </w:t>
      </w:r>
      <w:r w:rsidRPr="007C6F40">
        <w:t xml:space="preserve">While officials are “wasting time and money” on a wall, </w:t>
      </w:r>
      <w:r w:rsidRPr="007C6F40">
        <w:rPr>
          <w:rStyle w:val="StyleUnderline"/>
        </w:rPr>
        <w:t>the most immediately impactful and “best solution is to make the guest worker program more accessible and fixing the program so farmers can find workers.”</w:t>
      </w:r>
      <w:r w:rsidRPr="007C6F40">
        <w:rPr>
          <w:sz w:val="12"/>
        </w:rPr>
        <w:t xml:space="preserve"> </w:t>
      </w:r>
      <w:r w:rsidRPr="007C6F40">
        <w:t>Devadoss is not at all certain that will happen. “This administration is totally out of touch with reality,” he says.</w:t>
      </w:r>
      <w:r w:rsidRPr="007C6F40">
        <w:rPr>
          <w:sz w:val="12"/>
        </w:rPr>
        <w:t xml:space="preserve"> </w:t>
      </w:r>
      <w:r w:rsidRPr="007C6F40">
        <w:t>There has actually been reverse migration of Mexican nationals back to their home country from America in recent years. There are still illegal immigrants coming into America via Mexico, most of them from Central and South America – but a wall is not going to stop them.</w:t>
      </w:r>
      <w:r w:rsidRPr="007C6F40">
        <w:rPr>
          <w:sz w:val="12"/>
        </w:rPr>
        <w:t xml:space="preserve"> </w:t>
      </w:r>
      <w:r w:rsidRPr="007C6F40">
        <w:t>“You are building a wall for 200 miles, that’s not easy — I’m from Texas,” Devadoss reminds. It’s a simple matter “to climb over or dig a tunnel underneath and come through. [And illegal immigrants] from Asia come in planes.”</w:t>
      </w:r>
      <w:r w:rsidRPr="007C6F40">
        <w:rPr>
          <w:sz w:val="12"/>
        </w:rPr>
        <w:t xml:space="preserve"> </w:t>
      </w:r>
      <w:r w:rsidRPr="007C6F40">
        <w:t>Devadoss says the idea of a wall is pure posturing. In reality, there are more significant issues than deportation of immigrants facing the agriculture industry long-range. Most new immigrants, legal or not, have no desire to work in agriculture. Those who do “stick around maybe three years. Most of them would rather have other work than work on the farm.”</w:t>
      </w:r>
      <w:r w:rsidRPr="007C6F40">
        <w:rPr>
          <w:sz w:val="12"/>
        </w:rPr>
        <w:t xml:space="preserve"> </w:t>
      </w:r>
      <w:r w:rsidRPr="007C6F40">
        <w:t>Now the U.S. is seeing “some farms and companies move down south to Mexico and buy land there and export the products back to the U.S.” Meaning Mexican nationals have opportunities at home without considering a trip across the border to find work. “The Mexican economy is not good but it is improving,” Devadoss says. “People are getting educations and moving to big cities and trying to find work there – do they want to work 12 hours a day for minimum wage [on U.S. farms]?”</w:t>
      </w:r>
      <w:r w:rsidRPr="007C6F40">
        <w:rPr>
          <w:sz w:val="12"/>
        </w:rPr>
        <w:t xml:space="preserve"> </w:t>
      </w:r>
      <w:r w:rsidRPr="007C6F40">
        <w:t xml:space="preserve">In a worse-gets-worse scenario, </w:t>
      </w:r>
      <w:r w:rsidRPr="007C6F40">
        <w:rPr>
          <w:rStyle w:val="StyleUnderline"/>
        </w:rPr>
        <w:t>the more agricultural product imported into the U.S. in the short-term, the more that will be imported long-term. Further governmental dallying will give Mexican growers a chance to “whittle away at existing markets,” Devadoss says.</w:t>
      </w:r>
      <w:r w:rsidRPr="007C6F40">
        <w:rPr>
          <w:sz w:val="12"/>
        </w:rPr>
        <w:t xml:space="preserve"> </w:t>
      </w:r>
      <w:r w:rsidRPr="007C6F40">
        <w:t xml:space="preserve">“They [the administration] do not have a very clear picture of the shortfalls in many areas where fruits and vegetable are grown, particularly in the West and Florida. They do not have first-hand experience with these operations. </w:t>
      </w:r>
      <w:r w:rsidRPr="007C6F40">
        <w:rPr>
          <w:rStyle w:val="StyleUnderline"/>
        </w:rPr>
        <w:t>There’s a big gap in what farmers are facing and what the Trump administration is coming through with for policies.”</w:t>
      </w:r>
      <w:r w:rsidRPr="007C6F40">
        <w:rPr>
          <w:sz w:val="12"/>
        </w:rPr>
        <w:t xml:space="preserve"> </w:t>
      </w:r>
      <w:r w:rsidRPr="007C6F40">
        <w:t xml:space="preserve">In part that’s because the actual numbers of people employed in agriculture are small by Washington standards. But Devadoss is quick to note that while </w:t>
      </w:r>
      <w:r w:rsidRPr="007C6F40">
        <w:rPr>
          <w:rStyle w:val="StyleUnderline"/>
        </w:rPr>
        <w:t>ag</w:t>
      </w:r>
      <w:r w:rsidRPr="007C6F40">
        <w:t xml:space="preserve"> </w:t>
      </w:r>
      <w:r w:rsidRPr="007C6F40">
        <w:rPr>
          <w:rStyle w:val="StyleUnderline"/>
        </w:rPr>
        <w:t>laborers, especially illegal immigrants</w:t>
      </w:r>
      <w:r w:rsidRPr="007C6F40">
        <w:t xml:space="preserve">, represent “a tiny portion of the total working population, they </w:t>
      </w:r>
      <w:r w:rsidRPr="007C6F40">
        <w:rPr>
          <w:rStyle w:val="StyleUnderline"/>
        </w:rPr>
        <w:t>have a very big impact</w:t>
      </w:r>
      <w:r w:rsidRPr="007C6F40">
        <w:t>.”</w:t>
      </w:r>
      <w:r w:rsidRPr="007C6F40">
        <w:rPr>
          <w:sz w:val="12"/>
        </w:rPr>
        <w:t xml:space="preserve"> </w:t>
      </w:r>
      <w:r w:rsidRPr="007C6F40">
        <w:t>The only way to solve the problem short-term is to improve the guest worker program.</w:t>
      </w:r>
      <w:r w:rsidRPr="007C6F40">
        <w:rPr>
          <w:sz w:val="12"/>
        </w:rPr>
        <w:t xml:space="preserve"> </w:t>
      </w:r>
      <w:r w:rsidRPr="007C6F40">
        <w:t>In the long run, automation and mechanization will provide the answers for agricultural labor woes. But</w:t>
      </w:r>
      <w:r w:rsidRPr="007C6F40">
        <w:rPr>
          <w:rStyle w:val="StyleUnderline"/>
        </w:rPr>
        <w:t xml:space="preserve"> Devadoss doubts that robotics will be able to offer a solution without some kind of labor gap in the interim.</w:t>
      </w:r>
      <w:r w:rsidRPr="007C6F40">
        <w:rPr>
          <w:sz w:val="12"/>
        </w:rPr>
        <w:t xml:space="preserve"> </w:t>
      </w:r>
      <w:r w:rsidRPr="007C6F40">
        <w:t>Legal workers like these H2-A visa employees harvesting blueberries in central Florida earlier this year can fill the gap, provided the system is made less cumbersome</w:t>
      </w:r>
      <w:r w:rsidRPr="007C6F40">
        <w:rPr>
          <w:sz w:val="12"/>
        </w:rPr>
        <w:t xml:space="preserve"> </w:t>
      </w:r>
      <w:r w:rsidRPr="007C6F40">
        <w:t xml:space="preserve">An already short labor force and the government’s official stance on immigration in combination are “setting up for a crisis. It’s a very difficult time for farmers. Yes we are heading for a gap – </w:t>
      </w:r>
      <w:r w:rsidRPr="007C6F40">
        <w:rPr>
          <w:rStyle w:val="StyleUnderline"/>
        </w:rPr>
        <w:t>automation</w:t>
      </w:r>
      <w:r w:rsidRPr="007C6F40">
        <w:t xml:space="preserve"> </w:t>
      </w:r>
      <w:r w:rsidRPr="007C6F40">
        <w:rPr>
          <w:rStyle w:val="StyleUnderline"/>
        </w:rPr>
        <w:t>is</w:t>
      </w:r>
      <w:r w:rsidRPr="007C6F40">
        <w:t xml:space="preserve"> not going to come through [in time], it’s </w:t>
      </w:r>
      <w:r w:rsidRPr="007C6F40">
        <w:rPr>
          <w:rStyle w:val="StyleUnderline"/>
        </w:rPr>
        <w:t>going to take several years</w:t>
      </w:r>
      <w:r w:rsidRPr="007C6F40">
        <w:t>, not next month, and this problem is going to persist.”</w:t>
      </w:r>
      <w:r w:rsidRPr="007C6F40">
        <w:rPr>
          <w:sz w:val="12"/>
        </w:rPr>
        <w:t xml:space="preserve"> </w:t>
      </w:r>
      <w:r w:rsidRPr="007C6F40">
        <w:t xml:space="preserve">“The growers need to form an organization and approach the current administration” as a whole. While United Fresh represents the industry in DC, more voices are needed to let Washington know that current </w:t>
      </w:r>
      <w:r w:rsidRPr="007C6F40">
        <w:rPr>
          <w:rStyle w:val="StyleUnderline"/>
        </w:rPr>
        <w:t>policies are “not in the interest of labor-intensive agriculture.”</w:t>
      </w:r>
      <w:r w:rsidRPr="007C6F40">
        <w:rPr>
          <w:sz w:val="12"/>
        </w:rPr>
        <w:t xml:space="preserve"> </w:t>
      </w:r>
      <w:r w:rsidRPr="007C6F40">
        <w:t xml:space="preserve">More likely, Devadoss expects continued frustration for farmers. “Very clearly nothing is going to be solved, farmers are going to be left with the same labor problems, and the best they can do is minimize reliance on workers and focus more on automation,” he says. </w:t>
      </w:r>
      <w:r w:rsidRPr="007C6F40">
        <w:rPr>
          <w:rStyle w:val="StyleUnderline"/>
        </w:rPr>
        <w:t>“If they don’t do that, the next five to 10 years will bring the same problems we’ve seen for the past 12-15 years.”</w:t>
      </w:r>
      <w:r w:rsidRPr="007C6F40">
        <w:rPr>
          <w:sz w:val="12"/>
        </w:rPr>
        <w:t xml:space="preserve"> </w:t>
      </w:r>
      <w:r w:rsidRPr="007C6F40">
        <w:t>As labor shortages continue to accrue, reports of crop losses are becoming more and more common.</w:t>
      </w:r>
      <w:r w:rsidRPr="007C6F40">
        <w:rPr>
          <w:sz w:val="12"/>
        </w:rPr>
        <w:t xml:space="preserve"> </w:t>
      </w:r>
      <w:r w:rsidRPr="007C6F40">
        <w:t>“Particularly in the West there are reports that 5% to 20% of the crops are not harvested. It’s a really big loss to these farmers. I</w:t>
      </w:r>
      <w:r w:rsidRPr="007C6F40">
        <w:rPr>
          <w:rStyle w:val="Emphasis"/>
        </w:rPr>
        <w:t>f you reach 30% loss, I don’t know if you can recover from that for next year.”</w:t>
      </w:r>
    </w:p>
    <w:p w14:paraId="7D736402" w14:textId="1ACC050D" w:rsidR="0047362D" w:rsidRDefault="0047362D" w:rsidP="00AB6353">
      <w:pPr>
        <w:pStyle w:val="Heading3"/>
      </w:pPr>
      <w:r>
        <w:t>2AC – AT: Deportations Torture</w:t>
      </w:r>
    </w:p>
    <w:p w14:paraId="0241C1D0" w14:textId="3B0A90D8" w:rsidR="0047362D" w:rsidRDefault="0047362D" w:rsidP="0047362D">
      <w:pPr>
        <w:pStyle w:val="Heading4"/>
      </w:pPr>
      <w:r>
        <w:t>Narrow definitions of torture ensure immigrants are deported to countries where they will be tortured.</w:t>
      </w:r>
    </w:p>
    <w:p w14:paraId="6159583F" w14:textId="77777777" w:rsidR="0047362D" w:rsidRPr="00E671F3" w:rsidRDefault="0047362D" w:rsidP="0047362D">
      <w:r w:rsidRPr="00302315">
        <w:rPr>
          <w:rStyle w:val="Style13ptBold"/>
        </w:rPr>
        <w:t>Scharf 13</w:t>
      </w:r>
      <w:r>
        <w:t xml:space="preserve"> (Irene Scharf, Professor of Law at the University of Massachusetts School of Law, Rutgers Law Review, Vol66 No1, P2-4 “Un-Torturing the Definition of Torture and Employing the Rule of Immigration Lenity,” Fall 2013)</w:t>
      </w:r>
    </w:p>
    <w:p w14:paraId="3B9B5562" w14:textId="77777777" w:rsidR="0047362D" w:rsidRDefault="0047362D" w:rsidP="0047362D">
      <w:r>
        <w:t xml:space="preserve">It is no small irony that </w:t>
      </w:r>
      <w:r w:rsidRPr="00D74DC8">
        <w:rPr>
          <w:rStyle w:val="StyleUnderline"/>
        </w:rPr>
        <w:t>the United Nations Convention Against Torture and Other Cruel, Inhuman or Degrading Treatment or Punishment (</w:t>
      </w:r>
      <w:r>
        <w:t xml:space="preserve">"CAT" or "the Convention"),' </w:t>
      </w:r>
      <w:r w:rsidRPr="00D74DC8">
        <w:rPr>
          <w:rStyle w:val="StyleUnderline"/>
        </w:rPr>
        <w:t xml:space="preserve">whose primary purpose is to protect potential torture victims from deportation to countries where they are likely to be tortured, defines torture in such a narrow way that </w:t>
      </w:r>
      <w:r w:rsidRPr="00D74DC8">
        <w:rPr>
          <w:rStyle w:val="Emphasis"/>
        </w:rPr>
        <w:t>victims are unlikely</w:t>
      </w:r>
      <w:r w:rsidRPr="00D74DC8">
        <w:rPr>
          <w:rStyle w:val="StyleUnderline"/>
        </w:rPr>
        <w:t xml:space="preserve"> to gain the protection promised.</w:t>
      </w:r>
      <w:r>
        <w:t>2</w:t>
      </w:r>
    </w:p>
    <w:p w14:paraId="51276B0A" w14:textId="77777777" w:rsidR="0047362D" w:rsidRDefault="0047362D" w:rsidP="0047362D">
      <w:r>
        <w:t xml:space="preserve">The expressed goals of the international human rights instrument created under the auspices of </w:t>
      </w:r>
      <w:r w:rsidRPr="00D74DC8">
        <w:rPr>
          <w:rStyle w:val="StyleUnderline"/>
        </w:rPr>
        <w:t>CATS adopted by twenty states in 1984 but not enacted in the United States until 1999,4 were to criminalize torture and prevent the return of anyone to countries where they were likely to be tortured</w:t>
      </w:r>
      <w:r>
        <w:t xml:space="preserve"> by those acting officially. </w:t>
      </w:r>
      <w:r w:rsidRPr="00D74DC8">
        <w:rPr>
          <w:rStyle w:val="StyleUnderline"/>
        </w:rPr>
        <w:t>The United States</w:t>
      </w:r>
      <w:r>
        <w:t xml:space="preserve">, however, </w:t>
      </w:r>
      <w:r w:rsidRPr="00D74DC8">
        <w:rPr>
          <w:rStyle w:val="StyleUnderline"/>
        </w:rPr>
        <w:t>had a competing motivation-to prevent its government officials from being prosecuted under CAT. Thus, the United States interpreted the definition of torture differently from the more than 153 other signatories, by adding a requirement that torture be "specifically intended."</w:t>
      </w:r>
      <w:r>
        <w:t xml:space="preserve">5 Moreover, </w:t>
      </w:r>
      <w:r w:rsidRPr="00D74DC8">
        <w:rPr>
          <w:rStyle w:val="StyleUnderline"/>
        </w:rPr>
        <w:t>the Board of Immigration Appeals (BIA)</w:t>
      </w:r>
      <w:r>
        <w:t>6 and several federal courts have interpreted the specific intent requirement even more narrowly than initially intended.7</w:t>
      </w:r>
    </w:p>
    <w:p w14:paraId="704241AF" w14:textId="77777777" w:rsidR="0047362D" w:rsidRDefault="0047362D" w:rsidP="0047362D">
      <w:r>
        <w:t>[Begin footnote] 1. Convention Against Torture and Other Cruel, Inhuman or Degrading Treatment or Punishment, adopted and opened for signature Dec. 10, 1984, S. TREATY Doc. No. 100-20 (1988), 1465 U.N.T.S, 85 [hereinafter CAT]. 2. Id. at art. 1, para. 1, art. 3, para. 1. 3. See id. at art. 1. 4. As the Convention was not self-executing, see MESSAGE FROM THE PRESIDENT OF THE UNITED STATES TRANSMITTING THE CONVENTION AGAINST TORTURE AND OTHER CRUEL, INHUMAN OR DEGRADING TREATMENT OR PUNISHMENT, S. TREATY Doc. No. 100-20, at 2 (1988) [hereinafter MESSAGE TRANSMITTING CAT], following the Senate's consent, implementing regulations were authorized through the Foreign Affairs Reform and Restructuring Act of 1998 ("FARRA"). Pub. L. No. 105-277, § 2242, 112 Stat. 2681-822 (1998) (codified in scattered sections of 22 U.S.C.). 5. See 136 CONG. REc. S17486, S17491-92 (daily ed. Oct. 27, 1990) [hereinafter CAT Ratification] (resolution expressing that the Senate's advice and consent that CAT be ratified is subject to the understanding "that, in order to constitute torture, an act must be specifically intended to inflict severe physcial [sic] or mental pain or suffering"); see also Convention Against Torture and Other Cruel, Inhuman or Degrading Treatment or Punishment, UNITED NATIONS TREATY COLLECTION, https://treaties.un.org/Pages/ViewDetails.aspx?src-TREATY&amp;mtdsg-no=IV9&amp;chapter-4&amp;lang-en#top (last visited Mar. 2, 2014) [hereinafter CAT-UNTC Websitel. 6. The agency is made up of attorneys appointed by the Attorney General. 8 C.F.R. § 1003.1(a)(1) (2009) [hereinafter BIA]. The purpose of the BIA is to "function as an appellate body charged with the review of . .. administrative adjudications under the Act." Id. § 1003.1(d)(1). The members of the board "shall exercise their independent judgment and discretion in considering and determining the cases coming before the Board." Id. § 1003.1(d)(2). Generally, appeals from rulings of an Immigration Judge in the Executive Office of Immigration Review ("EOIR") are heard by the BIA. Id. § 1003.1(b)(1)-(b)(3). Subsequent appeals are heard in the federal courts. See The U.S. Dep't of Justice, Board of Immigration Appeals, JUSTICE.GOV, (Nov. 2011), http://www.justice.gov/eoirfbiainfo.htm ("Most BIA decisions are subject to judicial review in the federal courts."). [End footnote]</w:t>
      </w:r>
    </w:p>
    <w:p w14:paraId="38DEDBB9" w14:textId="77777777" w:rsidR="0047362D" w:rsidRDefault="0047362D" w:rsidP="0047362D">
      <w:r>
        <w:t>Currently</w:t>
      </w:r>
      <w:r w:rsidRPr="00E671F3">
        <w:rPr>
          <w:rStyle w:val="StyleUnderline"/>
        </w:rPr>
        <w:t>, a noncitizen in the United States with a criminal conviction who fears being tortured if deported usually has only one option, that of Convention protection, even for a crime that may not seem particularly serious</w:t>
      </w:r>
      <w:r>
        <w:t xml:space="preserve">.8 </w:t>
      </w:r>
      <w:r w:rsidRPr="00E671F3">
        <w:rPr>
          <w:rStyle w:val="StyleUnderline"/>
        </w:rPr>
        <w:t>The rule applies even to long-standing lawful permanent residents</w:t>
      </w:r>
      <w:r>
        <w:t xml:space="preserve"> ("LPRs"),9 such as </w:t>
      </w:r>
      <w:r w:rsidRPr="00E671F3">
        <w:rPr>
          <w:rStyle w:val="StyleUnderline"/>
        </w:rPr>
        <w:t>the noncitizen in Dalegrand v. Attorney</w:t>
      </w:r>
      <w:r>
        <w:t xml:space="preserve"> General. o Mr. Dalegrand, </w:t>
      </w:r>
      <w:r w:rsidRPr="00E671F3">
        <w:rPr>
          <w:rStyle w:val="StyleUnderline"/>
        </w:rPr>
        <w:t>a native of Haiti, had a psychotic condition that was controlled through medication</w:t>
      </w:r>
      <w:r>
        <w:t xml:space="preserve">."1 </w:t>
      </w:r>
      <w:r w:rsidRPr="00E671F3">
        <w:rPr>
          <w:rStyle w:val="StyleUnderline"/>
        </w:rPr>
        <w:t>His application for CAT relief described his fears that, as a criminal deportee in Haiti, he would be subject to indefinite detention and denied access to his medication.</w:t>
      </w:r>
      <w:r>
        <w:t xml:space="preserve">12 His lawyers argued that </w:t>
      </w:r>
      <w:r w:rsidRPr="00E671F3">
        <w:rPr>
          <w:rStyle w:val="StyleUnderline"/>
        </w:rPr>
        <w:t xml:space="preserve">without medication he would suffer a mental breakdown, which would offer his jailers justification to </w:t>
      </w:r>
      <w:r w:rsidRPr="00E671F3">
        <w:rPr>
          <w:rStyle w:val="Emphasis"/>
        </w:rPr>
        <w:t>beat him with "fists, sticks, and belts,"</w:t>
      </w:r>
      <w:r w:rsidRPr="00E671F3">
        <w:rPr>
          <w:rStyle w:val="StyleUnderline"/>
        </w:rPr>
        <w:t xml:space="preserve">13 or even to torture him "by </w:t>
      </w:r>
      <w:r w:rsidRPr="00E671F3">
        <w:rPr>
          <w:rStyle w:val="Emphasis"/>
        </w:rPr>
        <w:t>electric shock</w:t>
      </w:r>
      <w:r w:rsidRPr="00E671F3">
        <w:rPr>
          <w:rStyle w:val="StyleUnderline"/>
        </w:rPr>
        <w:t>" and "[</w:t>
      </w:r>
      <w:r w:rsidRPr="00E671F3">
        <w:rPr>
          <w:rStyle w:val="Emphasis"/>
        </w:rPr>
        <w:t>burn him</w:t>
      </w:r>
      <w:r w:rsidRPr="00E671F3">
        <w:rPr>
          <w:rStyle w:val="StyleUnderline"/>
        </w:rPr>
        <w:t>] with cigarettes, [</w:t>
      </w:r>
      <w:r w:rsidRPr="00E671F3">
        <w:rPr>
          <w:rStyle w:val="Emphasis"/>
        </w:rPr>
        <w:t>choke him</w:t>
      </w:r>
      <w:r w:rsidRPr="00E671F3">
        <w:rPr>
          <w:rStyle w:val="StyleUnderline"/>
        </w:rPr>
        <w:t>], or ... [</w:t>
      </w:r>
      <w:r w:rsidRPr="00E671F3">
        <w:rPr>
          <w:rStyle w:val="Emphasis"/>
        </w:rPr>
        <w:t>box him] in the ears</w:t>
      </w:r>
      <w:r>
        <w:t xml:space="preserve">."14 </w:t>
      </w:r>
      <w:r w:rsidRPr="00E671F3">
        <w:rPr>
          <w:rStyle w:val="StyleUnderline"/>
        </w:rPr>
        <w:t>The BIA found that his fears</w:t>
      </w:r>
      <w:r>
        <w:t xml:space="preserve">, while substantiated, </w:t>
      </w:r>
      <w:r w:rsidRPr="00E671F3">
        <w:rPr>
          <w:rStyle w:val="Emphasis"/>
        </w:rPr>
        <w:t>did not justify CAT protection</w:t>
      </w:r>
      <w:r>
        <w:t xml:space="preserve">.15 </w:t>
      </w:r>
      <w:r w:rsidRPr="00E671F3">
        <w:rPr>
          <w:rStyle w:val="StyleUnderline"/>
        </w:rPr>
        <w:t xml:space="preserve">In the BIA's narrow view of torture, Dalegrand </w:t>
      </w:r>
      <w:r w:rsidRPr="00E671F3">
        <w:rPr>
          <w:rStyle w:val="Emphasis"/>
        </w:rPr>
        <w:t>could not prove that his likely torturer "specifically intended" to torture</w:t>
      </w:r>
      <w:r w:rsidRPr="00E671F3">
        <w:rPr>
          <w:rStyle w:val="StyleUnderline"/>
        </w:rPr>
        <w:t xml:space="preserve"> him</w:t>
      </w:r>
      <w:r>
        <w:t>; rather, these conditions of confinement would be considered merely a byproduct of detention in the jails of an impoverished nation. 16</w:t>
      </w:r>
    </w:p>
    <w:p w14:paraId="58A01981" w14:textId="77777777" w:rsidR="0047362D" w:rsidRDefault="0047362D" w:rsidP="0047362D">
      <w:r>
        <w:t>[Begin footnote] 7. See, e.g., United States v. Neiswender, 590 F.2d 1269, 1273 (4th Cir. 1979); United States v. Twine, 853 F.2d 676, 679-80 (9th Cir. 1988); Callahan v. A.E.V., Inc., 182 F.2d 237, 261 n.15 (3d Cir. 1999); United States v. Blair, 54 F.3d 639, 642-43 (10th Cir. 1995). 8. Asylum is the typical relief requested for those fearing persecution following deportation. Several types of convictions prevent such applications, including those for "aggravated felon[ies]," 8 U.S.C. § 1101(a)(43) (2012), which have burgeoned into a broad category of offenses. See 8 U.S.C. § 1158(b)(2) (2012). 9. Legal permanent resident is the status given an immigrant who is "lawfully accorded the privilege of residing permanently in the United States." 8 U.S.C. § 1101(a)(20) (2012). 10. 288 F. App'x. 838, 839 (3d Cir. 2008). 11. Brief for International Law &amp; Criminal Law Professors et al. as Amicus Curiae Supporting Petitioner at 5-6, Dalegrand v. Mukasey, No. 06-4766 (3d Cir. Nov. 20, 2007) [hereinafter Dalegrand Brief]. 12. Id. at 6 (citing Francois v. Ashcroft (Francois 1), 343 F. Supp. 2d 327, 329 (D.N.J. 2004) (citing State Department country reports), aff'd sub nom., Francois v. Gonzales (Francois II), 448 F.3d 645 (3d Cir. 2006)). 13. Id. 14. Id. at 6 (citing Auguste v. Ridge, 395 F.3d 123, 129 (3d Cir. 2005) (citing State Department country reports)). 15. See Dalegrand, 288 F. App'x at 839-40. 16. See id. at 840-41. The court, in this unpublished opinion, cited Pierre v Attorney General of the United States, 528 F.3d 180 (3d Cir. 2008), to support its reasoning. [End footnote]</w:t>
      </w:r>
    </w:p>
    <w:p w14:paraId="10FF46C7" w14:textId="77777777" w:rsidR="0047362D" w:rsidRPr="00E671F3" w:rsidRDefault="0047362D" w:rsidP="0047362D">
      <w:pPr>
        <w:rPr>
          <w:rStyle w:val="StyleUnderline"/>
        </w:rPr>
      </w:pPr>
      <w:r>
        <w:t xml:space="preserve">Situations such as Dalegrand's suggest not only the need to address the inconsistency in the U.S. courts' interpretation of the Convention,17 but also to advance alternative legal theories to address these shortcomings. This essay seeks to do both. In the first three sections, I examine the background of the Convention in the context of international human rights instruments (Section I); the context for a critique of the CAT's definition of torture, given the legislative history of the Convention and an existing statute that could aid in correcting the misinterpretation adversely affecting CAT enforcement (Section II); and the adverse international implications of the United States' restrictive meaning of torture (Section III). In a concluding section (TV), </w:t>
      </w:r>
      <w:r w:rsidRPr="00E671F3">
        <w:rPr>
          <w:rStyle w:val="StyleUnderline"/>
        </w:rPr>
        <w:t>I offer possible solutions to the problem, invoking a robust principle of Immigration Lenity to prevent the return of potential torture victims to countries where</w:t>
      </w:r>
      <w:r>
        <w:t xml:space="preserve"> </w:t>
      </w:r>
      <w:r w:rsidRPr="00E671F3">
        <w:rPr>
          <w:rStyle w:val="StyleUnderline"/>
        </w:rPr>
        <w:t>they are likely to suffer torture.</w:t>
      </w:r>
    </w:p>
    <w:p w14:paraId="2C4AFCC3" w14:textId="1F638B4F" w:rsidR="0047362D" w:rsidRDefault="0047362D" w:rsidP="0047362D">
      <w:pPr>
        <w:pStyle w:val="Heading4"/>
      </w:pPr>
      <w:r>
        <w:t>Lenity solves torture deportations.</w:t>
      </w:r>
    </w:p>
    <w:p w14:paraId="53CF8EB8" w14:textId="77777777" w:rsidR="0047362D" w:rsidRPr="00D81B07" w:rsidRDefault="0047362D" w:rsidP="0047362D">
      <w:r w:rsidRPr="00302315">
        <w:rPr>
          <w:rStyle w:val="Style13ptBold"/>
        </w:rPr>
        <w:t>Scharf 13</w:t>
      </w:r>
      <w:r>
        <w:t xml:space="preserve"> (Irene Scharf, Professor of Law at the University of Massachusetts School of Law, Rutgers Law Review, Vol66 No1, P25-27“Un-Torturing the Definition of Torture and Employing the Rule of Immigration Lenity,” Fall 2013)]</w:t>
      </w:r>
    </w:p>
    <w:p w14:paraId="5CA3066E" w14:textId="77777777" w:rsidR="0047362D" w:rsidRDefault="0047362D" w:rsidP="0047362D">
      <w:r>
        <w:t xml:space="preserve">Finally, to address the difficulties faced by potential torture victims because of this narrow definition, </w:t>
      </w:r>
      <w:r w:rsidRPr="00D81B07">
        <w:rPr>
          <w:rStyle w:val="StyleUnderline"/>
        </w:rPr>
        <w:t>the principle of Immigration Lenity should be employed liberally to promote the humanitarian principles that the United States professes underlie its participation in the Convention</w:t>
      </w:r>
      <w:r>
        <w:t>. Thus</w:t>
      </w:r>
      <w:r w:rsidRPr="00D81B07">
        <w:rPr>
          <w:rStyle w:val="StyleUnderline"/>
        </w:rPr>
        <w:t>, in cases in which respondents would otherwise be denied Convention relief because of the specific intent requirement, Immigration Lenity can prevent refoulement for potential victims of the worst punishment, torture</w:t>
      </w:r>
      <w:r>
        <w:t>. 135</w:t>
      </w:r>
    </w:p>
    <w:p w14:paraId="753A7EC7" w14:textId="77777777" w:rsidR="0047362D" w:rsidRDefault="0047362D" w:rsidP="0047362D">
      <w:r>
        <w:t xml:space="preserve">The rule of lenity derives from criminal law. It is an "ancient canon of statutory construction which directs that ambiguities in penal statutes be construed in favor of the defendant."136 In an early Supreme Court case, Chief Justice Marshall remarked that [t]he rule that penal laws are to be construed strictly, is perhaps not much less old than construction itself. It is founded on the tenderness of the law for the rights of individuals; and on the plain principle that the power of punishment is vested in the legislative, not in the judicial department. </w:t>
      </w:r>
      <w:r w:rsidRPr="00D81B07">
        <w:rPr>
          <w:rStyle w:val="StyleUnderline"/>
        </w:rPr>
        <w:t>It is the legislature, not the Court, which is to define a crime, and ordain its punishment</w:t>
      </w:r>
      <w:r>
        <w:t xml:space="preserve">. </w:t>
      </w:r>
      <w:r w:rsidRPr="00D81B07">
        <w:rPr>
          <w:rStyle w:val="StyleUnderline"/>
        </w:rPr>
        <w:t>... Where there is no ambiguity in the words, there is no room for construction</w:t>
      </w:r>
      <w:r>
        <w:t>. The case must be a strong one indeed, which would justify a Court in departing from the plain meaning of words, especially in a penal act, in search of an intention which the words themselves did not suggest.137</w:t>
      </w:r>
    </w:p>
    <w:p w14:paraId="601E89CF" w14:textId="77777777" w:rsidR="0047362D" w:rsidRDefault="0047362D" w:rsidP="0047362D">
      <w:r>
        <w:t>[Begin footnote]</w:t>
      </w:r>
    </w:p>
    <w:p w14:paraId="0E99AB3C" w14:textId="77777777" w:rsidR="0047362D" w:rsidRDefault="0047362D" w:rsidP="0047362D">
      <w:r>
        <w:t xml:space="preserve">132. Mascia, supra note 17, at 289, 310-13; see also Bell &amp; Dona, supra note 17, at 707, 726-29 (positing that </w:t>
      </w:r>
      <w:r w:rsidRPr="00D81B07">
        <w:rPr>
          <w:rStyle w:val="StyleUnderline"/>
        </w:rPr>
        <w:t>CAT requires merely "a knowledge mens rea" by the perpetrators</w:t>
      </w:r>
      <w:r>
        <w:t>). 133. Mascia, supra note 17, at 311 (internal footnote omitted). 134. See Mascia, supra note 17, at 312-13. 135. The impulse that we impose a broader use of Immigration Lenity resembles Professor Musalo's proposal in her 1994 piece, Irreconcilable Differences?, supra note 38, at 1235-36, when she suggested that the intent requirement of Zacarias in the refugee context "be eliminated and replaced with a more flexible analysis, consistent with the language and purpose of the Refugee Act and with international practice, as recommended by the UNHCR." Id. 136. Brian G. Slocum, The Immigration Rule of Lenity and Chevron Deference, 17 GEO. IMMIGR. L.J. 515, 516 (2003) [hereinafter Slocum, Lenity and Chevron Deference] (citing United States v. Wiltberger, 18 U.S. 76, 95 (1820)).</w:t>
      </w:r>
    </w:p>
    <w:p w14:paraId="384AD8E4" w14:textId="77777777" w:rsidR="0047362D" w:rsidRDefault="0047362D" w:rsidP="0047362D">
      <w:r>
        <w:t>[End footnote]</w:t>
      </w:r>
    </w:p>
    <w:p w14:paraId="2A6F703B" w14:textId="77777777" w:rsidR="0047362D" w:rsidRDefault="0047362D" w:rsidP="0047362D">
      <w:r>
        <w:t>As the Court explained at a later date, "[</w:t>
      </w:r>
      <w:r w:rsidRPr="00D81B07">
        <w:rPr>
          <w:rStyle w:val="StyleUnderline"/>
        </w:rPr>
        <w:t>t]his policy of lenity means that the Court will not interpret a federal criminal statute so as to increase the penalty that it places on an individual when such an interpretation can be based on no more than a guess as to what Congress intended</w:t>
      </w:r>
      <w:r>
        <w:t xml:space="preserve">."138 However, </w:t>
      </w:r>
      <w:r w:rsidRPr="00D81B07">
        <w:rPr>
          <w:rStyle w:val="StyleUnderline"/>
        </w:rPr>
        <w:t>lenity is "not invoked by a grammatical possibility</w:t>
      </w:r>
      <w:r>
        <w:t>"139 and "</w:t>
      </w:r>
      <w:r w:rsidRPr="00D81B07">
        <w:rPr>
          <w:rStyle w:val="StyleUnderline"/>
        </w:rPr>
        <w:t>applies only if, 'after seizing everything from which aid can be derived,' we can make no more than a guess as to what Congress intended.</w:t>
      </w:r>
      <w:r>
        <w:t xml:space="preserve">"140 Lastly, we are cautioned that "[a] statute is not "'ambiguous" for purposes of lenity [merely] because' there is 'a division of judicial authority' over its proper construction."141 </w:t>
      </w:r>
    </w:p>
    <w:p w14:paraId="10315344" w14:textId="77777777" w:rsidR="0047362D" w:rsidRDefault="0047362D" w:rsidP="0047362D">
      <w:r w:rsidRPr="00D81B07">
        <w:rPr>
          <w:rStyle w:val="StyleUnderline"/>
        </w:rPr>
        <w:t>Proper occasions for invoking Immigration Lenity are sometimes unclear</w:t>
      </w:r>
      <w:r>
        <w:t xml:space="preserve">.142 </w:t>
      </w:r>
      <w:r w:rsidRPr="00D81B07">
        <w:rPr>
          <w:rStyle w:val="StyleUnderline"/>
        </w:rPr>
        <w:t>One such occasion is for ambiguous provisions, such as sentencing requirements</w:t>
      </w:r>
      <w:r>
        <w:t xml:space="preserve">. 143 For example, a 2001 Ninth Circuit case, </w:t>
      </w:r>
      <w:r w:rsidRPr="00D81B07">
        <w:rPr>
          <w:rStyle w:val="StyleUnderline"/>
        </w:rPr>
        <w:t>Lara-Ruiz v. INS,144 cited an earlier Supreme Court case that discussed criminal lenity, supporting its use as it "directs us to read 'ambiguous' statutory provisions narrowly in favor of the alien in deportation proceedings."145 In refusing to apply lenity in the case in question though, the court noted that it "applies only when 'a reasonable doubt persists about a statute's intended scope even after resort to the language and structure, legislative history, and motivating policies of the statute."</w:t>
      </w:r>
      <w:r>
        <w:t xml:space="preserve">'146 Thus, </w:t>
      </w:r>
      <w:r w:rsidRPr="00D81B07">
        <w:rPr>
          <w:rStyle w:val="StyleUnderline"/>
        </w:rPr>
        <w:t>the court found that lenity was not warranted because the statute's intended scope was clear</w:t>
      </w:r>
      <w:r>
        <w:t xml:space="preserve">, as the phrase "sexual abuse of a minor" in the deportation statute incorporated the conduct at issue.147 In another case, involving a criminal conviction for counterfeiting securities in interstate commerce, </w:t>
      </w:r>
      <w:r w:rsidRPr="00D81B07">
        <w:rPr>
          <w:rStyle w:val="StyleUnderline"/>
        </w:rPr>
        <w:t>the Court reiterated, "the 'touchstone' of lenity 'is statutory ambiguity."</w:t>
      </w:r>
      <w:r>
        <w:t xml:space="preserve">'148 </w:t>
      </w:r>
    </w:p>
    <w:p w14:paraId="4F540449" w14:textId="77777777" w:rsidR="0047362D" w:rsidRDefault="0047362D" w:rsidP="0047362D">
      <w:r>
        <w:t xml:space="preserve">[Begin footnote] </w:t>
      </w:r>
    </w:p>
    <w:p w14:paraId="65354147" w14:textId="77777777" w:rsidR="0047362D" w:rsidRDefault="0047362D" w:rsidP="0047362D">
      <w:r>
        <w:t>137. Wiltberger, 18 U.S. at 95-96. 138. Ladner v. United States, 358 U.S. 169, 178 (1958). 139. Caron v. United States, 524 U.S. 308, 316 (1998). 140. Reno v. Koray, 515 U.S. 50, 65 (1995) (citing Smith v. United States, 508 U.S. 223, 239 (1993); Ladner, 358 U.S. at 178) (involving appeal from prisoner denied credit toward sentence for time spent at community treatment center while on bail). 141. See Koray, 515 U.S. at 64-65 (citing Moskal v. United States, 498 U.S. 103, 108 (1990)). 142. See, e.g., United States v. Lazaro-Guadarrama, 71 F.3d 1419, 1421 (8th Cir. 1995) (describing "the term involving in the sentencing guideline" as being "capable of a broad interpretation"). 143. Id. 144. 241 F..3d 934, 942 (7th Cir. 2001). 145. Id. 146. Id. (citing Moskal, 498 U.S. at 108).</w:t>
      </w:r>
    </w:p>
    <w:p w14:paraId="47163C0D" w14:textId="77777777" w:rsidR="0047362D" w:rsidRDefault="0047362D" w:rsidP="0047362D">
      <w:r>
        <w:t>[End footnote]</w:t>
      </w:r>
    </w:p>
    <w:p w14:paraId="1FEA801E" w14:textId="77777777" w:rsidR="0047362D" w:rsidRPr="0047362D" w:rsidRDefault="0047362D" w:rsidP="0047362D"/>
    <w:p w14:paraId="3FF716EE" w14:textId="0D9D235F" w:rsidR="000B26B7" w:rsidRDefault="000B26B7" w:rsidP="00AB6353">
      <w:pPr>
        <w:pStyle w:val="Heading3"/>
      </w:pPr>
      <w:r>
        <w:t xml:space="preserve">2AC – AT: </w:t>
      </w:r>
      <w:r w:rsidR="00C7688D">
        <w:t xml:space="preserve">No </w:t>
      </w:r>
      <w:r>
        <w:t>Migration Wars</w:t>
      </w:r>
    </w:p>
    <w:p w14:paraId="0D7702A9" w14:textId="77777777" w:rsidR="000B26B7" w:rsidRPr="00924299" w:rsidRDefault="000B26B7" w:rsidP="000B26B7">
      <w:pPr>
        <w:pStyle w:val="Heading4"/>
      </w:pPr>
      <w:r>
        <w:t>Forced migration morphs decision calculus and immigration strategy which escalates into war</w:t>
      </w:r>
    </w:p>
    <w:p w14:paraId="29ADBED9" w14:textId="77777777" w:rsidR="000B26B7" w:rsidRPr="00371EF4" w:rsidRDefault="000B26B7" w:rsidP="000B26B7">
      <w:pPr>
        <w:rPr>
          <w:rStyle w:val="Style13ptBold"/>
          <w:b w:val="0"/>
          <w:bCs w:val="0"/>
        </w:rPr>
      </w:pPr>
      <w:r>
        <w:rPr>
          <w:rStyle w:val="Style13ptBold"/>
        </w:rPr>
        <w:t xml:space="preserve">Howard 17 </w:t>
      </w:r>
      <w:r>
        <w:rPr>
          <w:rStyle w:val="Style13ptBold"/>
          <w:b w:val="0"/>
          <w:bCs w:val="0"/>
        </w:rPr>
        <w:t xml:space="preserve">— </w:t>
      </w:r>
      <w:r w:rsidRPr="00371EF4">
        <w:t>Roger is a freelance journalist and author. His articles have appeared in the Guardian, Times, Daily Telegraph, Daily Mail, Daily Express, Independent on Sunday, Wall Street Journal, Spectator, New Statesman, International Herald Tribune, Jane's Intelligence Review along with other newspapers and journal</w:t>
      </w:r>
      <w:r>
        <w:t>. (“Migration Will Drive the Next Wave of World Wars” The National Interest, December 20, 2017. https://nationalinterest.org/feature/migration-will-drive-the-next-wave-world-wars-23737?page=0%2C2)//JLPark</w:t>
      </w:r>
    </w:p>
    <w:p w14:paraId="097F602E" w14:textId="77777777" w:rsidR="000B26B7" w:rsidRPr="00194777" w:rsidRDefault="000B26B7" w:rsidP="000B26B7">
      <w:pPr>
        <w:rPr>
          <w:sz w:val="14"/>
        </w:rPr>
      </w:pPr>
      <w:r w:rsidRPr="00194777">
        <w:rPr>
          <w:sz w:val="14"/>
        </w:rPr>
        <w:t xml:space="preserve">Today, not only does war continue to cause mass migration, but </w:t>
      </w:r>
      <w:r w:rsidRPr="00371EF4">
        <w:rPr>
          <w:rStyle w:val="Emphasis"/>
        </w:rPr>
        <w:t>migration can itself become a cause of war</w:t>
      </w:r>
      <w:r w:rsidRPr="00194777">
        <w:rPr>
          <w:sz w:val="14"/>
        </w:rPr>
        <w:t>.</w:t>
      </w:r>
    </w:p>
    <w:p w14:paraId="769973EA" w14:textId="77777777" w:rsidR="000B26B7" w:rsidRPr="00194777" w:rsidRDefault="000B26B7" w:rsidP="000B26B7">
      <w:pPr>
        <w:rPr>
          <w:sz w:val="14"/>
        </w:rPr>
      </w:pPr>
      <w:r w:rsidRPr="00CF5DB6">
        <w:rPr>
          <w:rStyle w:val="StyleUnderline"/>
        </w:rPr>
        <w:t>MASS MIGRATION</w:t>
      </w:r>
      <w:r w:rsidRPr="00194777">
        <w:rPr>
          <w:sz w:val="14"/>
        </w:rPr>
        <w:t xml:space="preserve">, on the sustained and massive scale that western Europe continues to experience, </w:t>
      </w:r>
      <w:r w:rsidRPr="009411BD">
        <w:rPr>
          <w:rStyle w:val="Emphasis"/>
        </w:rPr>
        <w:t>creates tensions not only within states but also between them</w:t>
      </w:r>
      <w:r w:rsidRPr="00194777">
        <w:rPr>
          <w:sz w:val="14"/>
        </w:rPr>
        <w:t xml:space="preserve">. </w:t>
      </w:r>
      <w:r w:rsidRPr="00CF5DB6">
        <w:rPr>
          <w:rStyle w:val="StyleUnderline"/>
        </w:rPr>
        <w:t>These tensions will</w:t>
      </w:r>
      <w:r w:rsidRPr="00194777">
        <w:rPr>
          <w:sz w:val="14"/>
        </w:rPr>
        <w:t xml:space="preserve"> sometimes </w:t>
      </w:r>
      <w:r w:rsidRPr="00CF5DB6">
        <w:rPr>
          <w:rStyle w:val="StyleUnderline"/>
        </w:rPr>
        <w:t>erupt into open conflict</w:t>
      </w:r>
      <w:r w:rsidRPr="00194777">
        <w:rPr>
          <w:sz w:val="14"/>
        </w:rPr>
        <w:t>; already a new age of “Migration Wars” has begun.</w:t>
      </w:r>
    </w:p>
    <w:p w14:paraId="7800C27A" w14:textId="77777777" w:rsidR="000B26B7" w:rsidRPr="002C3AA5" w:rsidRDefault="000B26B7" w:rsidP="000B26B7">
      <w:pPr>
        <w:rPr>
          <w:rStyle w:val="StyleUnderline"/>
        </w:rPr>
      </w:pPr>
      <w:r w:rsidRPr="002C3AA5">
        <w:rPr>
          <w:sz w:val="14"/>
        </w:rPr>
        <w:t xml:space="preserve">This represents a curious inversion. Across the centuries, war has been a major, and often the main, driving force behind mass migration. Most obviously, an indeterminable number of civilians was forced to flee the fighting that raged in Europe and elsewhere during the Second World War, while the ongoing civil war in Syria has created perhaps 5.3 million refugees, in addition to many others who are “internally displaced.” Today, however, </w:t>
      </w:r>
      <w:r w:rsidRPr="002C3AA5">
        <w:rPr>
          <w:rStyle w:val="StyleUnderline"/>
        </w:rPr>
        <w:t>not only does war continue to cause mass migration, but it can itself become a cause of war.</w:t>
      </w:r>
    </w:p>
    <w:p w14:paraId="5031C6DE" w14:textId="77777777" w:rsidR="000B26B7" w:rsidRPr="002C3AA5" w:rsidRDefault="000B26B7" w:rsidP="000B26B7">
      <w:pPr>
        <w:rPr>
          <w:sz w:val="14"/>
        </w:rPr>
      </w:pPr>
      <w:r w:rsidRPr="002C3AA5">
        <w:rPr>
          <w:rStyle w:val="StyleUnderline"/>
        </w:rPr>
        <w:t>This is the case because</w:t>
      </w:r>
      <w:r w:rsidRPr="002C3AA5">
        <w:rPr>
          <w:sz w:val="14"/>
        </w:rPr>
        <w:t xml:space="preserve"> of </w:t>
      </w:r>
      <w:r w:rsidRPr="002C3AA5">
        <w:rPr>
          <w:rStyle w:val="StyleUnderline"/>
        </w:rPr>
        <w:t>the sheer scale of the</w:t>
      </w:r>
      <w:r w:rsidRPr="002C3AA5">
        <w:rPr>
          <w:sz w:val="14"/>
        </w:rPr>
        <w:t xml:space="preserve"> current </w:t>
      </w:r>
      <w:r w:rsidRPr="002C3AA5">
        <w:rPr>
          <w:rStyle w:val="StyleUnderline"/>
        </w:rPr>
        <w:t>migrant crisis</w:t>
      </w:r>
      <w:r w:rsidRPr="002C3AA5">
        <w:rPr>
          <w:sz w:val="14"/>
        </w:rPr>
        <w:t xml:space="preserve">. The UNHCR estimates that there are </w:t>
      </w:r>
      <w:r w:rsidRPr="002C3AA5">
        <w:rPr>
          <w:rStyle w:val="StyleUnderline"/>
        </w:rPr>
        <w:t>around 65.6 million “forcibly displaced” people in the world</w:t>
      </w:r>
      <w:r w:rsidRPr="002C3AA5">
        <w:rPr>
          <w:sz w:val="14"/>
        </w:rPr>
        <w:t>. Most of these are internally displaced within their own countries, but around 22.5 million are refugees from their native lands. Huge numbers of people have fled from countries (“of departure”), notably Syria, to start new lives in the West, risking their lives by undertaking often extremely hazardous journeys across the Mediterranean or overland through countries (“of transit”) such as Turkey and Greece: in the first seven months of 2017 alone, 115,109 migrants succeeded in crossing the Mediterranean. And the total number of asylum applications to western Europe jumped considerably in 2014–15, from 0.6 million to 1.4 million, falling slightly to 1.3 million in 2016, while many other migrants, unquantifiable in number, have illicitly reached Western territory without formally requesting asylum.</w:t>
      </w:r>
    </w:p>
    <w:p w14:paraId="20A718EE" w14:textId="77777777" w:rsidR="000B26B7" w:rsidRPr="00F5603D" w:rsidRDefault="000B26B7" w:rsidP="000B26B7">
      <w:pPr>
        <w:rPr>
          <w:sz w:val="12"/>
          <w:szCs w:val="12"/>
        </w:rPr>
      </w:pPr>
      <w:r w:rsidRPr="00F5603D">
        <w:rPr>
          <w:sz w:val="12"/>
          <w:szCs w:val="12"/>
        </w:rPr>
        <w:t>Parts of the world besides western Europe are also affected: since August 2017, for example, around half a million Rohingya people have fled violence and persecution in their native Myanmar for the relative sanctuary of neighboring states, notably Bangladesh, Thailand, Indonesia and Malaysia. Above all, in sub-Saharan Africa millions are fleeing poverty from the landlocked states of the Sahel and heading for the relative prosperity of West Africa: around one fifth of Côte d’Ivoire’s population, for example, comprises people who were born elsewhere.</w:t>
      </w:r>
    </w:p>
    <w:p w14:paraId="4574139D" w14:textId="77777777" w:rsidR="000B26B7" w:rsidRPr="00F5603D" w:rsidRDefault="000B26B7" w:rsidP="000B26B7">
      <w:pPr>
        <w:rPr>
          <w:sz w:val="12"/>
          <w:szCs w:val="12"/>
        </w:rPr>
      </w:pPr>
      <w:r w:rsidRPr="00F5603D">
        <w:rPr>
          <w:sz w:val="12"/>
          <w:szCs w:val="12"/>
        </w:rPr>
        <w:t>The sheer vastness of this contemporary refugee crisis does not represent any increase in the number of wars and conflicts, although it is arguable that, because of the proliferation of small arms in recent decades, this is one cause: in a speech in 2000, for example, UN secretary-general Kofi Annan warned that the bloodshed created by small arms and light weapons meant that “they could well be described as ‘weapons of mass destruction.’” But more important is the proliferation of economic migration, as increasing numbers flee poverty at home. The causes of this may be varied—some blame overpopulation, or the destructive impact of climate change upon food sources—but one driving force is the heightened awareness that many refugees have. Because of images broadcast on satellite television, mobile phones and the internet, they are aware, in a way earlier generations were not, of the relative material comfort the developed world can offer. This is probably the reason why some relatively affluent African countries, such as Senegal, also have high outflows of migrants.</w:t>
      </w:r>
    </w:p>
    <w:p w14:paraId="11214DDF" w14:textId="77777777" w:rsidR="000B26B7" w:rsidRPr="00F5603D" w:rsidRDefault="000B26B7" w:rsidP="000B26B7">
      <w:pPr>
        <w:rPr>
          <w:sz w:val="12"/>
          <w:szCs w:val="12"/>
        </w:rPr>
      </w:pPr>
      <w:r w:rsidRPr="00F5603D">
        <w:rPr>
          <w:sz w:val="12"/>
          <w:szCs w:val="12"/>
        </w:rPr>
        <w:t>Another difference lies in the proliferation of criminal gangs that, in return for exploitative fees, organize and finance their journeys. Such trafficking gangs are prevalent in two major hubs of migrant movement: Thailand, which is a transit point for Rohingya refugees, and Libya.</w:t>
      </w:r>
    </w:p>
    <w:p w14:paraId="45B523B3" w14:textId="77777777" w:rsidR="000B26B7" w:rsidRPr="00F5603D" w:rsidRDefault="000B26B7" w:rsidP="000B26B7">
      <w:pPr>
        <w:rPr>
          <w:sz w:val="12"/>
          <w:szCs w:val="12"/>
        </w:rPr>
      </w:pPr>
      <w:r w:rsidRPr="00F5603D">
        <w:rPr>
          <w:sz w:val="12"/>
          <w:szCs w:val="12"/>
        </w:rPr>
        <w:t>Whatever the causes, this major movement of people has now acquired its own momentum. Because so many refugees have reached the shores and borders of, in particular, western Europe, and because so much media attention has focused on this new phenomenon, an idea has taken hold in the minds of many people who would never otherwise have contemplated undertaking the hazardous crossing of the Mediterranean Sea or overland journey through Central Asia or the Balkans: that it is possible to start a new life in distant but affluent countries. This has been accentuated by the decision of the German government, taken in 2015, to open its borders to around one million refugees. In other words, many of the millions who have fled to Europe in the past few years have climbed on a bandwagon, following what they have seen others do rather than what they have been forced, by adverse circumstance, to undertake. Despite the determined efforts of Western governments to stop them, there is no reason they will not continue trying to do so.</w:t>
      </w:r>
    </w:p>
    <w:p w14:paraId="51277300" w14:textId="77777777" w:rsidR="000B26B7" w:rsidRPr="00916F04" w:rsidRDefault="000B26B7" w:rsidP="000B26B7">
      <w:pPr>
        <w:rPr>
          <w:sz w:val="12"/>
        </w:rPr>
      </w:pPr>
      <w:r w:rsidRPr="00916F04">
        <w:rPr>
          <w:sz w:val="12"/>
        </w:rPr>
        <w:t xml:space="preserve">SUCH </w:t>
      </w:r>
      <w:r w:rsidRPr="00F5603D">
        <w:rPr>
          <w:rStyle w:val="StyleUnderline"/>
        </w:rPr>
        <w:t>A vast migrant flow, or even its mere threat, will tempt Western governments to intervene in foreign lands</w:t>
      </w:r>
      <w:r w:rsidRPr="00916F04">
        <w:rPr>
          <w:sz w:val="12"/>
        </w:rPr>
        <w:t xml:space="preserve">—either countries of departure or transit countries, such as Libya—in a bid </w:t>
      </w:r>
      <w:r w:rsidRPr="00F5603D">
        <w:rPr>
          <w:rStyle w:val="StyleUnderline"/>
        </w:rPr>
        <w:t>to curb those flows</w:t>
      </w:r>
      <w:r w:rsidRPr="00916F04">
        <w:rPr>
          <w:sz w:val="12"/>
        </w:rPr>
        <w:t xml:space="preserve">. This, of course, is nothing new. One country always has an interest and motive to intervene in the affairs of another if it is being affected by a flow of refugees from that country; this was true, to take </w:t>
      </w:r>
      <w:r w:rsidRPr="00F5603D">
        <w:rPr>
          <w:rStyle w:val="StyleUnderline"/>
        </w:rPr>
        <w:t>one</w:t>
      </w:r>
      <w:r w:rsidRPr="00916F04">
        <w:rPr>
          <w:sz w:val="12"/>
        </w:rPr>
        <w:t xml:space="preserve"> obvious </w:t>
      </w:r>
      <w:r w:rsidRPr="00F5603D">
        <w:rPr>
          <w:rStyle w:val="StyleUnderline"/>
        </w:rPr>
        <w:t>example</w:t>
      </w:r>
      <w:r w:rsidRPr="00916F04">
        <w:rPr>
          <w:sz w:val="12"/>
        </w:rPr>
        <w:t xml:space="preserve">, of </w:t>
      </w:r>
      <w:r w:rsidRPr="009411BD">
        <w:rPr>
          <w:rStyle w:val="Emphasis"/>
        </w:rPr>
        <w:t>Western involvement in the Balkan Wars</w:t>
      </w:r>
      <w:r w:rsidRPr="00916F04">
        <w:rPr>
          <w:sz w:val="12"/>
        </w:rPr>
        <w:t xml:space="preserve"> of the early- to mid-1990s. But the advent of sustained mass migration, from so many different venues and across so many different routes and borders, is a new phenomenon that is prompting changes of strategic direction in Western capitals.</w:t>
      </w:r>
    </w:p>
    <w:p w14:paraId="7173B332" w14:textId="77777777" w:rsidR="000B26B7" w:rsidRPr="00916F04" w:rsidRDefault="000B26B7" w:rsidP="000B26B7">
      <w:pPr>
        <w:rPr>
          <w:sz w:val="12"/>
        </w:rPr>
      </w:pPr>
      <w:r w:rsidRPr="00916F04">
        <w:rPr>
          <w:sz w:val="12"/>
        </w:rPr>
        <w:t>Such “</w:t>
      </w:r>
      <w:r w:rsidRPr="00916F04">
        <w:rPr>
          <w:rStyle w:val="StyleUnderline"/>
        </w:rPr>
        <w:t>migration interventionism</w:t>
      </w:r>
      <w:r w:rsidRPr="00916F04">
        <w:rPr>
          <w:sz w:val="12"/>
        </w:rPr>
        <w:t xml:space="preserve">” could of course be entirely peaceful—such as the provision of foreign aid, for example, to specific programs and initiatives that are designed to reduce the level of migration. But it could also </w:t>
      </w:r>
      <w:r w:rsidRPr="00916F04">
        <w:rPr>
          <w:rStyle w:val="StyleUnderline"/>
        </w:rPr>
        <w:t>take</w:t>
      </w:r>
      <w:r w:rsidRPr="00916F04">
        <w:rPr>
          <w:sz w:val="12"/>
        </w:rPr>
        <w:t xml:space="preserve"> more </w:t>
      </w:r>
      <w:r w:rsidRPr="00916F04">
        <w:rPr>
          <w:rStyle w:val="StyleUnderline"/>
        </w:rPr>
        <w:t xml:space="preserve">ambitious, </w:t>
      </w:r>
      <w:r w:rsidRPr="009411BD">
        <w:rPr>
          <w:rStyle w:val="Emphasis"/>
        </w:rPr>
        <w:t>militaristic forms, such as troop deployments</w:t>
      </w:r>
      <w:r w:rsidRPr="00916F04">
        <w:rPr>
          <w:rStyle w:val="StyleUnderline"/>
        </w:rPr>
        <w:t xml:space="preserve"> to stabilize foreign countries, or regions</w:t>
      </w:r>
      <w:r w:rsidRPr="00916F04">
        <w:rPr>
          <w:sz w:val="12"/>
        </w:rPr>
        <w:t xml:space="preserve"> within them, that are experiencing, or could potentially experience, a significant outflow of population. </w:t>
      </w:r>
      <w:r w:rsidRPr="00916F04">
        <w:rPr>
          <w:rStyle w:val="StyleUnderline"/>
        </w:rPr>
        <w:t>This would not only reduce or eliminate any incentive for putative migrants to leave, but also allow those foreign governments to deport and return existing migrants to a “safe country”</w:t>
      </w:r>
      <w:r w:rsidRPr="00916F04">
        <w:rPr>
          <w:sz w:val="12"/>
        </w:rPr>
        <w:t>: many international and domestic laws (Article 16a of German Basic Law is an example) prohibit the deportation of a refugee to a country that is not “safe.” However, the legal and practical difficulties of deporting migrants may mean that “migration interventionism” will, in the years ahead, be undertaken more as a preventive exercise—to prevent any possible outflow—than a reactive one.</w:t>
      </w:r>
    </w:p>
    <w:p w14:paraId="7EAE6A17" w14:textId="77777777" w:rsidR="000B26B7" w:rsidRPr="00916F04" w:rsidRDefault="000B26B7" w:rsidP="000B26B7">
      <w:pPr>
        <w:rPr>
          <w:sz w:val="12"/>
        </w:rPr>
      </w:pPr>
      <w:r w:rsidRPr="00916F04">
        <w:rPr>
          <w:sz w:val="12"/>
        </w:rPr>
        <w:t>The</w:t>
      </w:r>
      <w:r w:rsidRPr="00916F04">
        <w:rPr>
          <w:rStyle w:val="StyleUnderline"/>
        </w:rPr>
        <w:t xml:space="preserve"> emergence of migration interventionism</w:t>
      </w:r>
      <w:r w:rsidRPr="00916F04">
        <w:rPr>
          <w:sz w:val="12"/>
        </w:rPr>
        <w:t xml:space="preserve"> became clear at the Munich Security Conference in February 2017, when the UK defense secretary, Sir Michael Fallon, justified the ongoing, if limited, </w:t>
      </w:r>
      <w:r w:rsidRPr="00916F04">
        <w:rPr>
          <w:rStyle w:val="StyleUnderline"/>
        </w:rPr>
        <w:t>British presence in Afghanistan</w:t>
      </w:r>
      <w:r w:rsidRPr="00916F04">
        <w:rPr>
          <w:sz w:val="12"/>
        </w:rPr>
        <w:t xml:space="preserve"> on the grounds that the collapse of the country would lead to a massive refugee crisis. “We here will feel the consequences, very directly,” he claimed. “There could be three to four million young Afghan men sent out by their villages to migrate westwards, and they are heading here.” This was a new justification for the allied presence in Afghanistan, which had previously been rationalized on a number of other grounds, varying from combating terrorists who presented a threat to the West to preventing the flow of narcotics and establishing democracy and human rights.</w:t>
      </w:r>
    </w:p>
    <w:p w14:paraId="0428E7F9" w14:textId="77777777" w:rsidR="000B26B7" w:rsidRPr="00916F04" w:rsidRDefault="000B26B7" w:rsidP="000B26B7">
      <w:pPr>
        <w:rPr>
          <w:sz w:val="12"/>
        </w:rPr>
      </w:pPr>
      <w:r w:rsidRPr="00916F04">
        <w:rPr>
          <w:sz w:val="12"/>
        </w:rPr>
        <w:t xml:space="preserve">It is possible that any future </w:t>
      </w:r>
      <w:r w:rsidRPr="00916F04">
        <w:rPr>
          <w:rStyle w:val="StyleUnderline"/>
        </w:rPr>
        <w:t>Chinese military intervention in North Korea</w:t>
      </w:r>
      <w:r w:rsidRPr="00916F04">
        <w:rPr>
          <w:sz w:val="12"/>
        </w:rPr>
        <w:t xml:space="preserve">, </w:t>
      </w:r>
      <w:r w:rsidRPr="00916F04">
        <w:rPr>
          <w:rStyle w:val="StyleUnderline"/>
        </w:rPr>
        <w:t>in a bid to resolve</w:t>
      </w:r>
      <w:r w:rsidRPr="00916F04">
        <w:rPr>
          <w:sz w:val="12"/>
        </w:rPr>
        <w:t xml:space="preserve"> the ongoing deadlock surrounding Kim Jong-un’s </w:t>
      </w:r>
      <w:r w:rsidRPr="00916F04">
        <w:rPr>
          <w:rStyle w:val="StyleUnderline"/>
        </w:rPr>
        <w:t>nuclear provocation</w:t>
      </w:r>
      <w:r w:rsidRPr="00916F04">
        <w:rPr>
          <w:sz w:val="12"/>
        </w:rPr>
        <w:t xml:space="preserve">, </w:t>
      </w:r>
      <w:r w:rsidRPr="00916F04">
        <w:rPr>
          <w:rStyle w:val="StyleUnderline"/>
        </w:rPr>
        <w:t>could</w:t>
      </w:r>
      <w:r w:rsidRPr="00916F04">
        <w:rPr>
          <w:sz w:val="12"/>
        </w:rPr>
        <w:t xml:space="preserve"> also </w:t>
      </w:r>
      <w:r w:rsidRPr="00916F04">
        <w:rPr>
          <w:rStyle w:val="StyleUnderline"/>
        </w:rPr>
        <w:t>become a kind of migration interventionism</w:t>
      </w:r>
      <w:r w:rsidRPr="00916F04">
        <w:rPr>
          <w:sz w:val="12"/>
        </w:rPr>
        <w:t>. Any conflict between North Korea and the United States, or perhaps merely heightened risk of such a conflict, would provoke a huge exodus of North Korean refugees over the northern border, overwhelming Chinese resources.</w:t>
      </w:r>
    </w:p>
    <w:p w14:paraId="3057F96D" w14:textId="77777777" w:rsidR="000B26B7" w:rsidRPr="00916F04" w:rsidRDefault="000B26B7" w:rsidP="000B26B7">
      <w:pPr>
        <w:rPr>
          <w:sz w:val="12"/>
        </w:rPr>
      </w:pPr>
      <w:r w:rsidRPr="00916F04">
        <w:rPr>
          <w:rStyle w:val="StyleUnderline"/>
        </w:rPr>
        <w:t>Instead of committing their own troops</w:t>
      </w:r>
      <w:r w:rsidRPr="00916F04">
        <w:rPr>
          <w:sz w:val="12"/>
        </w:rPr>
        <w:t xml:space="preserve"> overseas in order to prevent or reduce migration into their territory, governments can also </w:t>
      </w:r>
      <w:r w:rsidRPr="00916F04">
        <w:rPr>
          <w:rStyle w:val="StyleUnderline"/>
        </w:rPr>
        <w:t>sponsor foreign armies to act on their behalf</w:t>
      </w:r>
      <w:r w:rsidRPr="00916F04">
        <w:rPr>
          <w:sz w:val="12"/>
        </w:rPr>
        <w:t xml:space="preserve">. An example is the G5 Sahel Joint Force, which the French government, supported by other Western countries, began to establish in the Sahel in the course of 2017. Comprising five thousand soldiers drawn from the armies of Burkina Faso, Mali, Mauritania, Niger and Chad, the force is funded by the EU, whose leaders regard it partly as an anti-insurgent force, but also as a means of reducing the flow of migrants. “Our support will be an important contribution to the efforts to counter terrorism in the Sahel region, as well as irregular migration from West Africa to Europe,” the Danish minister for foreign affairs, Anders Samuelsen, has said. The force is also sanctioned by UN Security Council Resolution 2359, which points to the “serious challenges posed by . . . the smuggling of migrants [and] trafficking in persons” from the Sahel. </w:t>
      </w:r>
      <w:r w:rsidRPr="00916F04">
        <w:rPr>
          <w:rStyle w:val="StyleUnderline"/>
        </w:rPr>
        <w:t>In the future, such a force could also guard any Western nationals who are posted on foreign soil in order to process asylum claims</w:t>
      </w:r>
      <w:r w:rsidRPr="00916F04">
        <w:rPr>
          <w:sz w:val="12"/>
        </w:rPr>
        <w:t>. (It was just such a proposal that the French president, Emmanuel Macron, appeared to make in the summer of 2017 when he said France could establish processing “hotspots” in Libya—which, since the overthrow of Muammar el-Qaddafi in 2011, has been a major departure point for millions of refugees.)</w:t>
      </w:r>
    </w:p>
    <w:p w14:paraId="3A088664" w14:textId="77777777" w:rsidR="000B26B7" w:rsidRPr="00916F04" w:rsidRDefault="000B26B7" w:rsidP="000B26B7">
      <w:pPr>
        <w:rPr>
          <w:rStyle w:val="StyleUnderline"/>
        </w:rPr>
      </w:pPr>
      <w:r w:rsidRPr="00916F04">
        <w:rPr>
          <w:rStyle w:val="StyleUnderline"/>
        </w:rPr>
        <w:t>Countries that</w:t>
      </w:r>
      <w:r w:rsidRPr="00916F04">
        <w:rPr>
          <w:sz w:val="12"/>
        </w:rPr>
        <w:t xml:space="preserve"> are </w:t>
      </w:r>
      <w:r w:rsidRPr="00916F04">
        <w:rPr>
          <w:rStyle w:val="StyleUnderline"/>
        </w:rPr>
        <w:t>seek</w:t>
      </w:r>
      <w:r w:rsidRPr="00916F04">
        <w:rPr>
          <w:sz w:val="12"/>
        </w:rPr>
        <w:t xml:space="preserve">ing </w:t>
      </w:r>
      <w:r w:rsidRPr="00916F04">
        <w:rPr>
          <w:rStyle w:val="StyleUnderline"/>
        </w:rPr>
        <w:t>to stem the migrant flow</w:t>
      </w:r>
      <w:r w:rsidRPr="00916F04">
        <w:rPr>
          <w:sz w:val="12"/>
        </w:rPr>
        <w:t xml:space="preserve"> into their own territory </w:t>
      </w:r>
      <w:r w:rsidRPr="00916F04">
        <w:rPr>
          <w:rStyle w:val="StyleUnderline"/>
        </w:rPr>
        <w:t>are</w:t>
      </w:r>
      <w:r w:rsidRPr="00916F04">
        <w:rPr>
          <w:sz w:val="12"/>
        </w:rPr>
        <w:t xml:space="preserve"> also </w:t>
      </w:r>
      <w:r w:rsidRPr="00916F04">
        <w:rPr>
          <w:rStyle w:val="StyleUnderline"/>
        </w:rPr>
        <w:t xml:space="preserve">increasingly </w:t>
      </w:r>
      <w:r w:rsidRPr="009411BD">
        <w:rPr>
          <w:rStyle w:val="Emphasis"/>
        </w:rPr>
        <w:t>diverting their existing military resources</w:t>
      </w:r>
      <w:r w:rsidRPr="00916F04">
        <w:rPr>
          <w:sz w:val="12"/>
        </w:rPr>
        <w:t xml:space="preserve">, not just </w:t>
      </w:r>
      <w:r w:rsidRPr="00916F04">
        <w:rPr>
          <w:rStyle w:val="StyleUnderline"/>
        </w:rPr>
        <w:t>within</w:t>
      </w:r>
      <w:r w:rsidRPr="00916F04">
        <w:rPr>
          <w:sz w:val="12"/>
        </w:rPr>
        <w:t xml:space="preserve"> departure </w:t>
      </w:r>
      <w:r w:rsidRPr="00916F04">
        <w:rPr>
          <w:rStyle w:val="StyleUnderline"/>
        </w:rPr>
        <w:t>states</w:t>
      </w:r>
      <w:r w:rsidRPr="00916F04">
        <w:rPr>
          <w:sz w:val="12"/>
        </w:rPr>
        <w:t xml:space="preserve">, but </w:t>
      </w:r>
      <w:r w:rsidRPr="00916F04">
        <w:rPr>
          <w:rStyle w:val="StyleUnderline"/>
        </w:rPr>
        <w:t>also outside</w:t>
      </w:r>
      <w:r w:rsidRPr="00916F04">
        <w:rPr>
          <w:sz w:val="12"/>
        </w:rPr>
        <w:t xml:space="preserve"> their </w:t>
      </w:r>
      <w:r w:rsidRPr="00916F04">
        <w:rPr>
          <w:rStyle w:val="StyleUnderline"/>
        </w:rPr>
        <w:t>borders</w:t>
      </w:r>
      <w:r w:rsidRPr="00916F04">
        <w:rPr>
          <w:sz w:val="12"/>
        </w:rPr>
        <w:t xml:space="preserve">. In the summer of 2015, for example, the EU began EUNAVFOR MED, a naval operation in the Mediterranean Sea that was intended to end human smuggling from Libya by seizing or destroying some of the boats that the gangs were using. Under its mandate, this €12 million operation involved “boarding, searching, seizing and diverting” smugglers’ boats, and wherever possible, efforts to “dispose” of those vessels. “This important transition,” as an EU official argued, “will </w:t>
      </w:r>
      <w:r w:rsidRPr="00916F04">
        <w:rPr>
          <w:rStyle w:val="StyleUnderline"/>
        </w:rPr>
        <w:t>enable</w:t>
      </w:r>
      <w:r w:rsidRPr="00916F04">
        <w:rPr>
          <w:sz w:val="12"/>
        </w:rPr>
        <w:t xml:space="preserve"> the EU </w:t>
      </w:r>
      <w:r w:rsidRPr="00916F04">
        <w:rPr>
          <w:rStyle w:val="StyleUnderline"/>
        </w:rPr>
        <w:t>naval operation</w:t>
      </w:r>
      <w:r w:rsidRPr="00916F04">
        <w:rPr>
          <w:sz w:val="12"/>
        </w:rPr>
        <w:t xml:space="preserve"> against human smugglers and traffickers in the Mediterranean to conduct boarding, search, seizure and diversion on the high seas of vessels suspected of being used for human smuggling or trafficking, within international law.” </w:t>
      </w:r>
      <w:r w:rsidRPr="00916F04">
        <w:rPr>
          <w:rStyle w:val="StyleUnderline"/>
        </w:rPr>
        <w:t>Vessels, drones and aircraft</w:t>
      </w:r>
      <w:r w:rsidRPr="00916F04">
        <w:rPr>
          <w:sz w:val="12"/>
        </w:rPr>
        <w:t xml:space="preserve"> drawn from at least ten member states formed part of what the EU’s foreign-policy chief, Federica Mogherini, called </w:t>
      </w:r>
      <w:r w:rsidRPr="00916F04">
        <w:rPr>
          <w:rStyle w:val="StyleUnderline"/>
        </w:rPr>
        <w:t>a “holistic” approach to the migrant crisis.</w:t>
      </w:r>
    </w:p>
    <w:p w14:paraId="74188237" w14:textId="77777777" w:rsidR="000B26B7" w:rsidRPr="00E546E7" w:rsidRDefault="000B26B7" w:rsidP="000B26B7">
      <w:pPr>
        <w:rPr>
          <w:sz w:val="12"/>
        </w:rPr>
      </w:pPr>
      <w:r w:rsidRPr="00E546E7">
        <w:rPr>
          <w:sz w:val="12"/>
        </w:rPr>
        <w:t xml:space="preserve">Such </w:t>
      </w:r>
      <w:r w:rsidRPr="00E546E7">
        <w:rPr>
          <w:rStyle w:val="StyleUnderline"/>
        </w:rPr>
        <w:t xml:space="preserve">operations </w:t>
      </w:r>
      <w:r w:rsidRPr="009411BD">
        <w:rPr>
          <w:rStyle w:val="Emphasis"/>
        </w:rPr>
        <w:t>raise the prospect of confrontation and military clashes</w:t>
      </w:r>
      <w:r w:rsidRPr="00E546E7">
        <w:rPr>
          <w:rStyle w:val="StyleUnderline"/>
        </w:rPr>
        <w:t xml:space="preserve"> between recipient states and countries of departure and transit</w:t>
      </w:r>
      <w:r w:rsidRPr="00E546E7">
        <w:rPr>
          <w:sz w:val="12"/>
        </w:rPr>
        <w:t>. When the Italian government sent two patrol ships close to the Libyan coast in August 2017, for example, Gen. Khalifa Haftar, the ruler of a large swath of Libya, threatened to attack them if they entered Libyan waters to search and destroy refugee boats: “Commander-in-Chief of the armed forces, Field Marshal Khalifa Haftar, issues orders to the Libyan naval bases in Tobruk, Benghazi, Ras Lanuf and Tripoli to confront any marine unit that enters the Libyan waters without the permission of the army,” a statement from the Libyan National Army proclaimed. His warning reflected a growing popular anger among Libyans against Italian interference in their domestic affairs.</w:t>
      </w:r>
    </w:p>
    <w:p w14:paraId="6B487AA7" w14:textId="77777777" w:rsidR="000B26B7" w:rsidRPr="00E546E7" w:rsidRDefault="000B26B7" w:rsidP="000B26B7">
      <w:pPr>
        <w:rPr>
          <w:sz w:val="12"/>
        </w:rPr>
      </w:pPr>
      <w:r w:rsidRPr="00E546E7">
        <w:rPr>
          <w:sz w:val="12"/>
        </w:rPr>
        <w:t xml:space="preserve">Such </w:t>
      </w:r>
      <w:r w:rsidRPr="00E546E7">
        <w:rPr>
          <w:rStyle w:val="StyleUnderline"/>
        </w:rPr>
        <w:t>clashes may be more likely if</w:t>
      </w:r>
      <w:r w:rsidRPr="00E546E7">
        <w:rPr>
          <w:sz w:val="12"/>
        </w:rPr>
        <w:t xml:space="preserve"> a foreign </w:t>
      </w:r>
      <w:r w:rsidRPr="00E546E7">
        <w:rPr>
          <w:rStyle w:val="StyleUnderline"/>
        </w:rPr>
        <w:t>government threatens</w:t>
      </w:r>
      <w:r w:rsidRPr="00E546E7">
        <w:rPr>
          <w:sz w:val="12"/>
        </w:rPr>
        <w:t xml:space="preserve"> to exploit or manipulate a refugee crisis in a bid to extort concessions from other countries toward which those migrants are likely to head. This appears to have been true of the Libyan government under the rule of Qaddafi. Addressing a gathering in Rome in August 2010, Qaddafi had claimed that unless he was given large sums of money, Europe would experience the “advance of millions of immigrants” that would transform it into “another Africa.” He had added that “tomorrow Europe might no longer be European and even black as there are millions who want to come in,” and alleged that “we don’t know if Europe will remain an advanced and united continent or if it will be destroyed, as happened with the barbarian invasions.” Demanding a payment of €5 billion to prevent this from happening, his comments were condemned as “unacceptable blackmail” by Italian parliamentarians. In the context of these remarks, it is possible that the Anglo-French attack on Libya in 2011 was the first migration war of the contemporary age: this may explain why, from the onset of the crisis, in March 2011, the French president, Nicolas Sarkozy, and the British leader, David Cameron, sought to oust Qaddafi from power and ignored his offers of peace talks.</w:t>
      </w:r>
    </w:p>
    <w:p w14:paraId="5696507A" w14:textId="77777777" w:rsidR="000B26B7" w:rsidRPr="00E546E7" w:rsidRDefault="000B26B7" w:rsidP="000B26B7">
      <w:pPr>
        <w:rPr>
          <w:sz w:val="10"/>
          <w:szCs w:val="10"/>
        </w:rPr>
      </w:pPr>
      <w:r w:rsidRPr="00E546E7">
        <w:rPr>
          <w:sz w:val="10"/>
          <w:szCs w:val="10"/>
        </w:rPr>
        <w:t>Turkey, which is the host of over three million refugees, has made similar sallies at political blackmail in recent years against the European Union: in March 2017, Turkey’s President Recep Tayyip Erdoğan threatened to tear up a key migrant deal with the EU, in apparent retaliation for a ban placed by the German and Dutch governments on political rallies by his followers living in those countries. Istanbul had already struck a hard bargain when negotiating the deal, which came into effect in March 2016, having demanded in return a $3.3 billion aid package and new negotiations on its membership in the European Union. Should other states use similar tactics against more powerful ones in the future, they may risk provoking armed attack.</w:t>
      </w:r>
    </w:p>
    <w:p w14:paraId="5F9A433E" w14:textId="77777777" w:rsidR="000B26B7" w:rsidRPr="00E546E7" w:rsidRDefault="000B26B7" w:rsidP="000B26B7">
      <w:pPr>
        <w:rPr>
          <w:sz w:val="10"/>
          <w:szCs w:val="10"/>
        </w:rPr>
      </w:pPr>
      <w:r w:rsidRPr="00E546E7">
        <w:rPr>
          <w:sz w:val="10"/>
          <w:szCs w:val="10"/>
        </w:rPr>
        <w:t>BESIDES FOREIGN intervention in countries of departure, or armed clashes with governments that seek to manipulate migration, the world will witness other types of migration wars. In particular, foreign powers may deliberately create, or exacerbate, a refugee crisis in another country in order to divert the resources of the countries where those refugees are likely to go. Of course, innocent civilians have always been deliberately targeted in times of war: during World War Two, the Allied bombing campaign was designed to undermine German civilians’ morale and shorten the war. However, deliberate attempts to drive civilians out of a country, in a bid to weaken a third party, have historically been much less common. Such a scenario is more likely to happen today for the simple reason that a sustained mass migration of people is already under way. This means that a government or militia has more opportunities to manipulate the phenomenon, because it is easier to accentuate any such movement than to create one; it is also less likely to risk international condemnation by observers who cannot so easily blame foreign intervention.</w:t>
      </w:r>
    </w:p>
    <w:p w14:paraId="3C128315" w14:textId="77777777" w:rsidR="000B26B7" w:rsidRPr="00E546E7" w:rsidRDefault="000B26B7" w:rsidP="000B26B7">
      <w:pPr>
        <w:rPr>
          <w:sz w:val="10"/>
          <w:szCs w:val="10"/>
        </w:rPr>
      </w:pPr>
      <w:r w:rsidRPr="00E546E7">
        <w:rPr>
          <w:sz w:val="10"/>
          <w:szCs w:val="10"/>
        </w:rPr>
        <w:t>An example is the post-2011 Syrian refugee crisis. In March 2016, several months after Russia had openly intervened in the conflict on the side of President Bashar al-Assad, Gen. Philip Breedlove—the Supreme Allied Commander Europe and head of U.S. European Command—claimed that Vladimir Putin and Assad had “weaponized” migration through a campaign of bombardment against civilian centers. Their agenda, he continued, was to undermine NATO and western Europe: “Together, Russia and the Assad regime are deliberately weaponizing migration in an attempt to overwhelm European structures and break European resolve,” General Breedlove told the Senate Armed Services Committee. In particular, Russia’s indiscriminate use of weapons, such as barrel bombs, seemed to have “no other purpose” other than to get civilians “on the road.”</w:t>
      </w:r>
    </w:p>
    <w:p w14:paraId="2D3B8323" w14:textId="77777777" w:rsidR="000B26B7" w:rsidRPr="00E546E7" w:rsidRDefault="000B26B7" w:rsidP="000B26B7">
      <w:pPr>
        <w:rPr>
          <w:sz w:val="10"/>
          <w:szCs w:val="10"/>
        </w:rPr>
      </w:pPr>
      <w:r w:rsidRPr="00E546E7">
        <w:rPr>
          <w:sz w:val="10"/>
          <w:szCs w:val="10"/>
        </w:rPr>
        <w:t>It is also likely that the Islamic State (ISIS) has deliberately created or accentuated the flow of refugees from Iraq and Syria. Its shocking acts of cruelty, such as the beheading of captives, and the careful propagation of such images on the Internet, had a clear rationale: to strike fear into the hearts of civilians and force them to flee. Its advances during 2014–16 led to the displacement of three million in Iraq, with far more internally displaced—more than 1.5 million in the Kurdish region alone.</w:t>
      </w:r>
    </w:p>
    <w:p w14:paraId="5F22ACA1" w14:textId="77777777" w:rsidR="000B26B7" w:rsidRPr="00E546E7" w:rsidRDefault="000B26B7" w:rsidP="000B26B7">
      <w:pPr>
        <w:rPr>
          <w:sz w:val="10"/>
          <w:szCs w:val="10"/>
        </w:rPr>
      </w:pPr>
      <w:r w:rsidRPr="00E546E7">
        <w:rPr>
          <w:sz w:val="10"/>
          <w:szCs w:val="10"/>
        </w:rPr>
        <w:t>ISIS calculated that this would not only clear a path for its own foot soldiers, but also overwhelm the resources of neighboring and perhaps pro-Western regimes, such as Lebanon and Jordan, while adding to the flow of refugees into western Europe. In the long term, this would probably be seen as a way of “Islamizing” the West—increasing the numerical presence of Muslims—but most obviously, in the short and medium terms, it was a means of infiltrating Europe with sympathizers: there have been numerous attacks across Europe, including Paris, Nice, Manchester, London and Berlin, by ISIS-linked insurgents. And in December 2016, Europol published a report that pointed out another danger: “A real and imminent danger is the possibility of elements of the [Sunni Muslim] Syrian refugee diaspora becoming vulnerable to radicalization once in Europe and being specifically targeted by Islamic extremist recruiters,” argued the authors of “Changes in Modus Operandi of Islamic State Revisited.”</w:t>
      </w:r>
    </w:p>
    <w:p w14:paraId="5045914D" w14:textId="77777777" w:rsidR="000B26B7" w:rsidRPr="00E546E7" w:rsidRDefault="000B26B7" w:rsidP="000B26B7">
      <w:pPr>
        <w:rPr>
          <w:sz w:val="10"/>
          <w:szCs w:val="10"/>
        </w:rPr>
      </w:pPr>
      <w:r w:rsidRPr="00E546E7">
        <w:rPr>
          <w:sz w:val="10"/>
          <w:szCs w:val="10"/>
        </w:rPr>
        <w:t>However, it is also possible that Islamic State had another motive. Instead of deliberately creating a flow of refugees in order to carry out attacks or overwhelm its enemies’ resources, it may have been trying to provoke them to undertake a “migration intervention.” Its motive for doing this would have been either to spark a confrontation with other regional actors or to tie down foreign troops in a protracted insurgency and steadily drain its resources. For example, if NATO had undertaken a large-scale deployment into parts of Syria to fight ISIS, then its presence would have sparked a conflict not just with President Assad but also with his chief supporter, Russia. Alternatively, NATO troops would have faced sustained casualties from a protracted insurgency, comparable to the conflict that they (and the Russians) fought in Afghanistan as well as the experiences of the United States in Vietnam in the 1960s, and Israel in Lebanon in the 1990s.</w:t>
      </w:r>
    </w:p>
    <w:p w14:paraId="17E417A2" w14:textId="77777777" w:rsidR="000B26B7" w:rsidRPr="00E546E7" w:rsidRDefault="000B26B7" w:rsidP="000B26B7">
      <w:pPr>
        <w:rPr>
          <w:rStyle w:val="StyleUnderline"/>
        </w:rPr>
      </w:pPr>
      <w:r w:rsidRPr="009411BD">
        <w:rPr>
          <w:sz w:val="12"/>
        </w:rPr>
        <w:t xml:space="preserve">THE ADVENT of sustained </w:t>
      </w:r>
      <w:r w:rsidRPr="009411BD">
        <w:rPr>
          <w:rStyle w:val="StyleUnderline"/>
          <w:sz w:val="12"/>
          <w:u w:val="none"/>
        </w:rPr>
        <w:t>mass</w:t>
      </w:r>
      <w:r w:rsidRPr="00E546E7">
        <w:rPr>
          <w:rStyle w:val="StyleUnderline"/>
        </w:rPr>
        <w:t xml:space="preserve"> migration could also trigger conflict if a country tried to forcibly return or expel some or all of its new arrivals</w:t>
      </w:r>
      <w:r w:rsidRPr="009411BD">
        <w:rPr>
          <w:sz w:val="12"/>
        </w:rPr>
        <w:t xml:space="preserve">. </w:t>
      </w:r>
      <w:r w:rsidRPr="00E546E7">
        <w:rPr>
          <w:rStyle w:val="StyleUnderline"/>
        </w:rPr>
        <w:t>This scenario is</w:t>
      </w:r>
      <w:r w:rsidRPr="009411BD">
        <w:rPr>
          <w:sz w:val="12"/>
        </w:rPr>
        <w:t xml:space="preserve">, of course, also </w:t>
      </w:r>
      <w:r w:rsidRPr="00E546E7">
        <w:rPr>
          <w:rStyle w:val="StyleUnderline"/>
        </w:rPr>
        <w:t>a recipe for civil unrest</w:t>
      </w:r>
      <w:r w:rsidRPr="009411BD">
        <w:rPr>
          <w:sz w:val="12"/>
        </w:rPr>
        <w:t xml:space="preserve">. The migrants themselves may resist: such violence broke out at Calais in northern France in the fall of 2016, for example, when the French riot police forcibly removed thousands of refugees from a camp known as “The Jungle.” However, </w:t>
      </w:r>
      <w:r w:rsidRPr="009411BD">
        <w:rPr>
          <w:rStyle w:val="Emphasis"/>
        </w:rPr>
        <w:t>violence could also break out between neighboring states</w:t>
      </w:r>
      <w:r w:rsidRPr="00E546E7">
        <w:rPr>
          <w:rStyle w:val="StyleUnderline"/>
        </w:rPr>
        <w:t>, for instance if one tried to drive refugees away from its own territory onto the soil of the other; or if it closed its own border to stop a column of refugees crossing its own borders, thereby forcing them to move into, or remain within, another country.</w:t>
      </w:r>
    </w:p>
    <w:p w14:paraId="246B6178" w14:textId="77777777" w:rsidR="000B26B7" w:rsidRPr="00DB6C42" w:rsidRDefault="000B26B7" w:rsidP="000B26B7">
      <w:pPr>
        <w:rPr>
          <w:sz w:val="12"/>
        </w:rPr>
      </w:pPr>
      <w:r w:rsidRPr="00DB6C42">
        <w:rPr>
          <w:sz w:val="12"/>
        </w:rPr>
        <w:t xml:space="preserve">This scenario is already causing political conflict within the EU, as the Polish and Hungarian governments continue to resist demands for a quota of refugees that other member states, notably Italy, Germany and France, are already hosting. However, </w:t>
      </w:r>
      <w:r w:rsidRPr="00E546E7">
        <w:rPr>
          <w:rStyle w:val="StyleUnderline"/>
        </w:rPr>
        <w:t>it could</w:t>
      </w:r>
      <w:r w:rsidRPr="00DB6C42">
        <w:rPr>
          <w:sz w:val="12"/>
        </w:rPr>
        <w:t xml:space="preserve"> in some circumstances </w:t>
      </w:r>
      <w:r w:rsidRPr="00E546E7">
        <w:rPr>
          <w:rStyle w:val="StyleUnderline"/>
        </w:rPr>
        <w:t>spark military confrontation</w:t>
      </w:r>
      <w:r w:rsidRPr="00DB6C42">
        <w:rPr>
          <w:sz w:val="12"/>
        </w:rPr>
        <w:t xml:space="preserve">—for example, </w:t>
      </w:r>
      <w:r w:rsidRPr="00E546E7">
        <w:rPr>
          <w:rStyle w:val="StyleUnderline"/>
        </w:rPr>
        <w:t>between countries that already have unstable and tense relations</w:t>
      </w:r>
      <w:r w:rsidRPr="00DB6C42">
        <w:rPr>
          <w:sz w:val="12"/>
        </w:rPr>
        <w:t xml:space="preserve">, </w:t>
      </w:r>
      <w:r w:rsidRPr="00E546E7">
        <w:rPr>
          <w:rStyle w:val="StyleUnderline"/>
        </w:rPr>
        <w:t xml:space="preserve">or even when countries of destination are severely overstretched by the strains of coping with a large influx of people. This nearly happened in </w:t>
      </w:r>
      <w:r w:rsidRPr="00DB6C42">
        <w:rPr>
          <w:sz w:val="12"/>
        </w:rPr>
        <w:t xml:space="preserve">Southeast </w:t>
      </w:r>
      <w:r w:rsidRPr="00E546E7">
        <w:rPr>
          <w:rStyle w:val="StyleUnderline"/>
        </w:rPr>
        <w:t>Asia</w:t>
      </w:r>
      <w:r w:rsidRPr="00DB6C42">
        <w:rPr>
          <w:sz w:val="12"/>
        </w:rPr>
        <w:t xml:space="preserve"> in the late 1980s, </w:t>
      </w:r>
      <w:r w:rsidRPr="00E546E7">
        <w:rPr>
          <w:rStyle w:val="StyleUnderline"/>
        </w:rPr>
        <w:t>when</w:t>
      </w:r>
      <w:r w:rsidRPr="00DB6C42">
        <w:rPr>
          <w:sz w:val="12"/>
        </w:rPr>
        <w:t xml:space="preserve"> a huge exodus of civilians from Vietnam, Laos and Cambodia threatened to overwhelm neighboring countries—Hong Kong, Malaysia, Thailand, the Philippines and Indonesia—which, in return, used </w:t>
      </w:r>
      <w:r w:rsidRPr="00E546E7">
        <w:rPr>
          <w:rStyle w:val="StyleUnderline"/>
        </w:rPr>
        <w:t>naval and police boats and helicopters to push back refugees</w:t>
      </w:r>
      <w:r w:rsidRPr="00DB6C42">
        <w:rPr>
          <w:sz w:val="12"/>
        </w:rPr>
        <w:t xml:space="preserve"> away from their coasts. The prime minister of Malaysia, Mahathir Mohamad, admitted, “All we are doing is </w:t>
      </w:r>
      <w:r w:rsidRPr="00DB6C42">
        <w:rPr>
          <w:rStyle w:val="StyleUnderline"/>
        </w:rPr>
        <w:t xml:space="preserve">preventing foreign vessels from entering </w:t>
      </w:r>
      <w:r w:rsidRPr="00DB6C42">
        <w:rPr>
          <w:sz w:val="12"/>
        </w:rPr>
        <w:t>our</w:t>
      </w:r>
      <w:r w:rsidRPr="00DB6C42">
        <w:rPr>
          <w:rStyle w:val="StyleUnderline"/>
        </w:rPr>
        <w:t xml:space="preserve"> waters</w:t>
      </w:r>
      <w:r w:rsidRPr="00DB6C42">
        <w:rPr>
          <w:sz w:val="12"/>
        </w:rPr>
        <w:t>.”</w:t>
      </w:r>
    </w:p>
    <w:p w14:paraId="4686F43D" w14:textId="77777777" w:rsidR="000B26B7" w:rsidRPr="00DB6C42" w:rsidRDefault="000B26B7" w:rsidP="000B26B7">
      <w:pPr>
        <w:rPr>
          <w:sz w:val="12"/>
        </w:rPr>
      </w:pPr>
      <w:r w:rsidRPr="00DB6C42">
        <w:rPr>
          <w:rStyle w:val="StyleUnderline"/>
        </w:rPr>
        <w:t>Another variety of migration wars will break out when migrants</w:t>
      </w:r>
      <w:r w:rsidRPr="00DB6C42">
        <w:rPr>
          <w:sz w:val="12"/>
        </w:rPr>
        <w:t xml:space="preserve"> </w:t>
      </w:r>
      <w:r w:rsidRPr="00DB6C42">
        <w:rPr>
          <w:rStyle w:val="StyleUnderline"/>
        </w:rPr>
        <w:t>from one country will be</w:t>
      </w:r>
      <w:r w:rsidRPr="00DB6C42">
        <w:rPr>
          <w:sz w:val="12"/>
        </w:rPr>
        <w:t xml:space="preserve"> pursued and </w:t>
      </w:r>
      <w:r w:rsidRPr="00DB6C42">
        <w:rPr>
          <w:rStyle w:val="StyleUnderline"/>
        </w:rPr>
        <w:t>persecuted by militias</w:t>
      </w:r>
      <w:r w:rsidRPr="00DB6C42">
        <w:rPr>
          <w:sz w:val="12"/>
        </w:rPr>
        <w:t>—</w:t>
      </w:r>
      <w:r w:rsidRPr="00DB6C42">
        <w:rPr>
          <w:rStyle w:val="StyleUnderline"/>
        </w:rPr>
        <w:t xml:space="preserve">or </w:t>
      </w:r>
      <w:r w:rsidRPr="00DB6C42">
        <w:rPr>
          <w:sz w:val="12"/>
        </w:rPr>
        <w:t xml:space="preserve">perhaps by </w:t>
      </w:r>
      <w:r w:rsidRPr="00DB6C42">
        <w:rPr>
          <w:rStyle w:val="StyleUnderline"/>
        </w:rPr>
        <w:t>government forces</w:t>
      </w:r>
      <w:r w:rsidRPr="00DB6C42">
        <w:rPr>
          <w:sz w:val="12"/>
        </w:rPr>
        <w:t xml:space="preserve">—based in their countries of origin. This may be because, for example, those soldiers seek to take revenge, or to destroy a political cause that the refugees are seen to represent. </w:t>
      </w:r>
      <w:r w:rsidRPr="00DB6C42">
        <w:rPr>
          <w:rStyle w:val="StyleUnderline"/>
        </w:rPr>
        <w:t>Such</w:t>
      </w:r>
      <w:r w:rsidRPr="00DB6C42">
        <w:rPr>
          <w:sz w:val="12"/>
        </w:rPr>
        <w:t xml:space="preserve"> cross-border </w:t>
      </w:r>
      <w:r w:rsidRPr="00DB6C42">
        <w:rPr>
          <w:rStyle w:val="StyleUnderline"/>
        </w:rPr>
        <w:t>attacks would then trigger conflict</w:t>
      </w:r>
      <w:r w:rsidRPr="00DB6C42">
        <w:rPr>
          <w:sz w:val="12"/>
        </w:rPr>
        <w:t xml:space="preserve"> with the host country in which those migrants have taken refuge. Such a scenario took place in Zaire (now the Democratic Republic of Congo) in the mid-1990s, as Rwandan troops crossed the border, killing thousands of Hutu refugees who had fled there. This provoked resistance from the Zairean army, whose leader was broadly sympathetic to the Hutu cause. More recently, in September 2017, there were also reports that Myanmar helicopters had crossed into Bangladeshi airspace in hot pursuit of Rohingya refugees.</w:t>
      </w:r>
    </w:p>
    <w:p w14:paraId="4254921D" w14:textId="77777777" w:rsidR="000B26B7" w:rsidRPr="00DB6C42" w:rsidRDefault="000B26B7" w:rsidP="000B26B7">
      <w:pPr>
        <w:rPr>
          <w:sz w:val="12"/>
          <w:szCs w:val="12"/>
        </w:rPr>
      </w:pPr>
      <w:r w:rsidRPr="00DB6C42">
        <w:rPr>
          <w:sz w:val="12"/>
          <w:szCs w:val="12"/>
        </w:rPr>
        <w:t>But because of the vociferous international condemnation it inevitably provokes, this type of conflict is only likely to occur in relatively obscure parts of the world, and at moments when events elsewhere distract international attention. Otherwise, a more likely outcome is an intelligence-led war against elements within a refugee population, comparable to Soviet spies assassinating émigrés during the Cold War.</w:t>
      </w:r>
    </w:p>
    <w:p w14:paraId="41764717" w14:textId="77777777" w:rsidR="000B26B7" w:rsidRPr="00DB6C42" w:rsidRDefault="000B26B7" w:rsidP="000B26B7">
      <w:pPr>
        <w:rPr>
          <w:sz w:val="12"/>
        </w:rPr>
      </w:pPr>
      <w:r w:rsidRPr="00DB6C42">
        <w:rPr>
          <w:sz w:val="12"/>
        </w:rPr>
        <w:t xml:space="preserve">Tension might also arise if one country demands the repatriation of any number of its civilians who have fled for the sanctuary of another. Such tensions are nothing new, and have previously arisen not only between countries of origin and destination but, on occasion, with third parties too. After the 1848 revolutions in Europe, for example, the fate of Hungarian and Polish exiles, whom the Russian government wanted to extradite from Turkey, became a cause célèbre in Britain. However, such </w:t>
      </w:r>
      <w:r w:rsidRPr="00924299">
        <w:rPr>
          <w:rStyle w:val="Emphasis"/>
        </w:rPr>
        <w:t>international tensions are likely to become more</w:t>
      </w:r>
      <w:r w:rsidRPr="00DB6C42">
        <w:rPr>
          <w:sz w:val="12"/>
        </w:rPr>
        <w:t xml:space="preserve"> frequent in the years ahead and may </w:t>
      </w:r>
      <w:r w:rsidRPr="00924299">
        <w:rPr>
          <w:rStyle w:val="Emphasis"/>
        </w:rPr>
        <w:t>conceivably erupt into confrontation</w:t>
      </w:r>
      <w:r w:rsidRPr="00DB6C42">
        <w:rPr>
          <w:sz w:val="12"/>
        </w:rPr>
        <w:t>. The most obvious single example was the American invasion of Afghanistan in 2001, after the Taliban regime refused to hand over its “guest,” Osama bin Laden.</w:t>
      </w:r>
    </w:p>
    <w:p w14:paraId="71920E0D" w14:textId="77777777" w:rsidR="000B26B7" w:rsidRPr="00DB6C42" w:rsidRDefault="000B26B7" w:rsidP="000B26B7">
      <w:pPr>
        <w:rPr>
          <w:sz w:val="10"/>
          <w:szCs w:val="10"/>
        </w:rPr>
      </w:pPr>
      <w:r w:rsidRPr="00DB6C42">
        <w:rPr>
          <w:sz w:val="10"/>
          <w:szCs w:val="10"/>
        </w:rPr>
        <w:t>There may also be occasional circumstances in which mass migration will prompt states not to fight against each other, but to join forces and wage a collective war against innocent refugees. During the Rohingya migrant crisis of August and September 2017, for example, Sheikh Hasina’s secular Awami League government in Bangladesh proposed joint military operations with Myanmar against Rohingya insurgents. But such a campaign—where innocents are extremely difficult to distinguish from militants—could easily spiral into a wider war against all Rohingya refugees.</w:t>
      </w:r>
    </w:p>
    <w:p w14:paraId="0B31FA9E" w14:textId="77777777" w:rsidR="000B26B7" w:rsidRPr="009411BD" w:rsidRDefault="000B26B7" w:rsidP="000B26B7">
      <w:pPr>
        <w:rPr>
          <w:sz w:val="10"/>
          <w:szCs w:val="10"/>
        </w:rPr>
      </w:pPr>
      <w:r w:rsidRPr="009411BD">
        <w:rPr>
          <w:sz w:val="10"/>
          <w:szCs w:val="10"/>
        </w:rPr>
        <w:t>Finally, the phenomenon of mass migration may spark armed clashes between states and activists that act—or claim to act—either on behalf of migrants or, in some cases, to defend their own homeland from migrants. In the summer of 2017, for example, a far-right German group, “Defend Europe,” sent a vessel into the Mediterranean to confront refugee boats and send them “back to Africa.” Such clashes, which could also erupt between activists, are of course not likely to be sustained or large-scale, but could be brief and bloody. The violence at Calais in 2016 was orchestrated by activists who confronted the police, while in August 2017 the Libyan authorities expressly warned ngos that had been helping some refugee boats in crossing the Mediterranean to steer clear of its territorial waters. The low-level clashes that could erupt between states and activists are exemplified by the tension between the French government and Greenpeace in the 1970s and 1980s over the issue of nuclear testing in the South Pacific. French warships harassed Greenpeace vessels, and on occasion used violence: French commandos stormed aboard Vega in 1973, for example, to seize its equipment and, in a notorious case in July 1985, used explosives to sink the Rainbow Warrior.</w:t>
      </w:r>
    </w:p>
    <w:p w14:paraId="17683679" w14:textId="77777777" w:rsidR="000B26B7" w:rsidRPr="009411BD" w:rsidRDefault="000B26B7" w:rsidP="000B26B7">
      <w:pPr>
        <w:rPr>
          <w:sz w:val="12"/>
        </w:rPr>
      </w:pPr>
      <w:r w:rsidRPr="009411BD">
        <w:rPr>
          <w:sz w:val="12"/>
        </w:rPr>
        <w:t xml:space="preserve">However, such </w:t>
      </w:r>
      <w:r w:rsidRPr="009411BD">
        <w:rPr>
          <w:rStyle w:val="StyleUnderline"/>
        </w:rPr>
        <w:t>low-level clashes could also spark a more serious type of confrontation if, in the process, one government is deemed responsible</w:t>
      </w:r>
      <w:r w:rsidRPr="009411BD">
        <w:rPr>
          <w:sz w:val="12"/>
        </w:rPr>
        <w:t xml:space="preserve"> for injuring or killing foreign nationals. </w:t>
      </w:r>
      <w:r w:rsidRPr="009411BD">
        <w:rPr>
          <w:rStyle w:val="StyleUnderline"/>
        </w:rPr>
        <w:t>This would certainly create very serious political tension</w:t>
      </w:r>
      <w:r w:rsidRPr="009411BD">
        <w:rPr>
          <w:sz w:val="12"/>
        </w:rPr>
        <w:t xml:space="preserve">, just as the Rainbow Warrior incident provoked a loud chorus of excoriation from across the world, particularly from the two governments that represented the Dutch-Portuguese activist who was killed in the bombing. Another example was the tension between Tel Aviv and Ankara that followed Israel’s attack on the “Gaza Peace Flotilla” in May 2010, which led to the deaths of ten activists. However, it could in some circumstances also </w:t>
      </w:r>
      <w:r w:rsidRPr="009411BD">
        <w:rPr>
          <w:rStyle w:val="StyleUnderline"/>
        </w:rPr>
        <w:t>trigger war</w:t>
      </w:r>
      <w:r w:rsidRPr="009411BD">
        <w:rPr>
          <w:sz w:val="12"/>
        </w:rPr>
        <w:t>, just as in August 1998, the death of eleven Iranian diplomats in Afghanistan came perilously close to sparking a full-scale conflict between Iran and the Taliban.</w:t>
      </w:r>
    </w:p>
    <w:p w14:paraId="0AF5A992" w14:textId="2687B981" w:rsidR="000B26B7" w:rsidRPr="000B26B7" w:rsidRDefault="000B26B7" w:rsidP="000B26B7">
      <w:pPr>
        <w:rPr>
          <w:u w:val="single"/>
        </w:rPr>
      </w:pPr>
      <w:r w:rsidRPr="009411BD">
        <w:rPr>
          <w:sz w:val="12"/>
        </w:rPr>
        <w:t xml:space="preserve">The new </w:t>
      </w:r>
      <w:r w:rsidRPr="009411BD">
        <w:rPr>
          <w:rStyle w:val="StyleUnderline"/>
        </w:rPr>
        <w:t>migration</w:t>
      </w:r>
      <w:r w:rsidRPr="009411BD">
        <w:rPr>
          <w:sz w:val="12"/>
        </w:rPr>
        <w:t xml:space="preserve"> phenomenon, in other words, is not just a humanitarian tragedy, but it also </w:t>
      </w:r>
      <w:r w:rsidRPr="00924299">
        <w:rPr>
          <w:rStyle w:val="Emphasis"/>
        </w:rPr>
        <w:t>threatens to destabilize whole regions of the world</w:t>
      </w:r>
      <w:r w:rsidRPr="009411BD">
        <w:rPr>
          <w:sz w:val="12"/>
        </w:rPr>
        <w:t xml:space="preserve"> in far-reaching ways. This means that it is imperative for every country—in the developing as well as the developed world—not just to manage the flow of people, but to tackle the causes of the migration problem at their source. More attention must focus on the phenomenon’s root causes, whether it is attributed to war, corruption or population growth. The ongoing situation in Myanmar, where discrimination against Rohingya remains institutionalized, also illustrates the dangers of injustice. More radical, drastic solutions will need to be considered. The consequences of inaction will be profound for all; </w:t>
      </w:r>
      <w:r w:rsidRPr="009411BD">
        <w:rPr>
          <w:rStyle w:val="StyleUnderline"/>
        </w:rPr>
        <w:t xml:space="preserve">the new age of </w:t>
      </w:r>
      <w:r w:rsidRPr="00924299">
        <w:rPr>
          <w:rStyle w:val="Emphasis"/>
        </w:rPr>
        <w:t>migration wars has already begun</w:t>
      </w:r>
      <w:r w:rsidRPr="009411BD">
        <w:rPr>
          <w:rStyle w:val="StyleUnderline"/>
        </w:rPr>
        <w:t>.</w:t>
      </w:r>
    </w:p>
    <w:p w14:paraId="400CE3B0" w14:textId="7D3D9E84" w:rsidR="00C3543B" w:rsidRDefault="00C3543B" w:rsidP="00AB6353">
      <w:pPr>
        <w:pStyle w:val="Heading3"/>
      </w:pPr>
      <w:r>
        <w:t>2AC – AT: Deportations Good for LA</w:t>
      </w:r>
    </w:p>
    <w:p w14:paraId="780FF9CC" w14:textId="65D5DE1C" w:rsidR="000B26B7" w:rsidRDefault="000B26B7" w:rsidP="000B26B7">
      <w:pPr>
        <w:pStyle w:val="Heading4"/>
      </w:pPr>
      <w:r>
        <w:t>Deportations devastate Latin American efforts and spread COVID to the region — countries can’t deny deportees.</w:t>
      </w:r>
    </w:p>
    <w:p w14:paraId="17EF007F" w14:textId="77777777" w:rsidR="000B26B7" w:rsidRPr="00C5148E" w:rsidRDefault="000B26B7" w:rsidP="000B26B7">
      <w:pPr>
        <w:rPr>
          <w:rStyle w:val="Style13ptBold"/>
          <w:b w:val="0"/>
          <w:bCs w:val="0"/>
        </w:rPr>
      </w:pPr>
      <w:r>
        <w:rPr>
          <w:rStyle w:val="Style13ptBold"/>
        </w:rPr>
        <w:t>del Bosque and Macdonald 6/26</w:t>
      </w:r>
      <w:r>
        <w:rPr>
          <w:rStyle w:val="Style13ptBold"/>
          <w:b w:val="0"/>
          <w:bCs w:val="0"/>
        </w:rPr>
        <w:t xml:space="preserve"> — </w:t>
      </w:r>
      <w:r w:rsidRPr="00C5148E">
        <w:t>Melissa del Bosque is a Lannan reporting fellow with The Investigative Fund at The Nation Institute. She has written about the U.S.-Mexico border since 1998.</w:t>
      </w:r>
      <w:r>
        <w:t xml:space="preserve"> Isabel Macdonald is a freelance journalist and media scholar whose writing on media and politics has appeared in The Guardian, The Nation, Extra, HuffPost, AlterNet, Z Magazine, the Toronto Star, and the Montreal Gazette. She was formerly communications director at Fairness &amp; Accuracy in Reporting and has appeared on outlets ranging from CNN to Fox News. She has an M.A. from York University (Toronto) and a Ph.D. from Concordia University (Montreal). (“EXPORTING THE VIRUS” The Intercept, June 26, 2020. https://theintercept.com/2020/06/26/coronavirus-ice-detention-deportation-haiti-guatemala/)//JLPark</w:t>
      </w:r>
    </w:p>
    <w:p w14:paraId="46F2C581" w14:textId="77777777" w:rsidR="000B26B7" w:rsidRPr="0049390E" w:rsidRDefault="000B26B7" w:rsidP="000B26B7">
      <w:pPr>
        <w:rPr>
          <w:rStyle w:val="StyleUnderline"/>
        </w:rPr>
      </w:pPr>
      <w:r w:rsidRPr="0049390E">
        <w:rPr>
          <w:sz w:val="14"/>
        </w:rPr>
        <w:t xml:space="preserve">New cases of the coronavirus are rapidly rising in most of Latin America. Some government officials complain that instead of helping the region fight the pandemic, </w:t>
      </w:r>
      <w:r w:rsidRPr="00187F3A">
        <w:rPr>
          <w:rStyle w:val="StyleUnderline"/>
        </w:rPr>
        <w:t>the U.S. is</w:t>
      </w:r>
      <w:r w:rsidRPr="0049390E">
        <w:rPr>
          <w:sz w:val="14"/>
        </w:rPr>
        <w:t xml:space="preserve"> only </w:t>
      </w:r>
      <w:r w:rsidRPr="00187F3A">
        <w:rPr>
          <w:rStyle w:val="StyleUnderline"/>
        </w:rPr>
        <w:t>fanning the flames of contagion</w:t>
      </w:r>
      <w:r w:rsidRPr="0049390E">
        <w:rPr>
          <w:sz w:val="14"/>
        </w:rPr>
        <w:t xml:space="preserve">. Interviews with people detained by ICE and government and public health officials in Haiti and Guatemala make clear the repercussions of hard-line immigration enforcement at any cost. Most imminent are the public health concerns, as </w:t>
      </w:r>
      <w:r w:rsidRPr="00187F3A">
        <w:rPr>
          <w:rStyle w:val="StyleUnderline"/>
        </w:rPr>
        <w:t>the U.S. fails to consistently test for Covid-19 infections among those it plans to deport</w:t>
      </w:r>
      <w:r w:rsidRPr="0049390E">
        <w:rPr>
          <w:sz w:val="14"/>
        </w:rPr>
        <w:t xml:space="preserve">. Beyond that, reporting in receiving countries reveals that returning migrants have become targets for blame, while limited public health systems struggle to cope with the crisis. Finally, </w:t>
      </w:r>
      <w:r w:rsidRPr="0049390E">
        <w:rPr>
          <w:rStyle w:val="StyleUnderline"/>
        </w:rPr>
        <w:t>there are growing diplomatic consequences, as the U.S. pushes allied nations to allow the deportation flights to land.</w:t>
      </w:r>
    </w:p>
    <w:p w14:paraId="6A8FB6A2" w14:textId="77777777" w:rsidR="000B26B7" w:rsidRPr="00DD75E0" w:rsidRDefault="000B26B7" w:rsidP="000B26B7">
      <w:pPr>
        <w:rPr>
          <w:sz w:val="14"/>
        </w:rPr>
      </w:pPr>
      <w:r w:rsidRPr="00DD75E0">
        <w:rPr>
          <w:sz w:val="14"/>
        </w:rPr>
        <w:t xml:space="preserve">In response, leaders like Haitian Foreign Affairs Minister Claude Joseph have repeatedly pleaded with the U.S. government to suspend the flights. “I have many times over the phone tried to convince our American friends,” Joseph told the Miami Herald. U.S. Congress members and medical organizations have also petitioned the Trump administration to issue a moratorium, with groups like Doctors Without Borders warning that a major outbreak will be “catastrophic” for countries with “fragile health systems.” But while </w:t>
      </w:r>
      <w:r w:rsidRPr="00DD75E0">
        <w:rPr>
          <w:rStyle w:val="StyleUnderline"/>
        </w:rPr>
        <w:t>the Trump administration</w:t>
      </w:r>
      <w:r w:rsidRPr="00DD75E0">
        <w:rPr>
          <w:sz w:val="14"/>
        </w:rPr>
        <w:t xml:space="preserve"> has invoked the pandemic to justify new restrictions on immigration, it </w:t>
      </w:r>
      <w:r w:rsidRPr="00DD75E0">
        <w:rPr>
          <w:rStyle w:val="StyleUnderline"/>
        </w:rPr>
        <w:t>has continued to forge ahead with deportations, creating a petri dish for the virus in crowded immigration detention facilities and then exporting it overseas</w:t>
      </w:r>
      <w:r w:rsidRPr="00DD75E0">
        <w:rPr>
          <w:sz w:val="14"/>
        </w:rPr>
        <w:t>.</w:t>
      </w:r>
    </w:p>
    <w:p w14:paraId="265E5DB6" w14:textId="77777777" w:rsidR="000B26B7" w:rsidRPr="00DD75E0" w:rsidRDefault="000B26B7" w:rsidP="000B26B7">
      <w:pPr>
        <w:rPr>
          <w:sz w:val="14"/>
          <w:szCs w:val="14"/>
        </w:rPr>
      </w:pPr>
      <w:r w:rsidRPr="00DD75E0">
        <w:rPr>
          <w:sz w:val="14"/>
          <w:szCs w:val="14"/>
        </w:rPr>
        <w:t>Flight Risk</w:t>
      </w:r>
    </w:p>
    <w:p w14:paraId="0D3DE86F" w14:textId="77777777" w:rsidR="000B26B7" w:rsidRPr="00DD75E0" w:rsidRDefault="000B26B7" w:rsidP="000B26B7">
      <w:pPr>
        <w:rPr>
          <w:sz w:val="14"/>
        </w:rPr>
      </w:pPr>
      <w:r w:rsidRPr="00DD75E0">
        <w:rPr>
          <w:sz w:val="14"/>
        </w:rPr>
        <w:t xml:space="preserve">From the early days of the pandemic, the U.S. paid little heed to public health guidance when it came to detained immigrants, and detention centers have become hot spots for the illness. </w:t>
      </w:r>
      <w:r w:rsidRPr="00DD75E0">
        <w:rPr>
          <w:rStyle w:val="StyleUnderline"/>
        </w:rPr>
        <w:t>ICE updates its numbers irregularly</w:t>
      </w:r>
      <w:r w:rsidRPr="00DD75E0">
        <w:rPr>
          <w:sz w:val="14"/>
        </w:rPr>
        <w:t xml:space="preserve">, but as of June 19, it had tested 8,858 detainees; as of June 25, 2,521 were reported positive for the virus. An epidemiological model, funded by the </w:t>
      </w:r>
      <w:r w:rsidRPr="00DD75E0">
        <w:rPr>
          <w:rStyle w:val="StyleUnderline"/>
        </w:rPr>
        <w:t>National Institute of General Medical Sciences, estimated</w:t>
      </w:r>
      <w:r w:rsidRPr="00DD75E0">
        <w:rPr>
          <w:sz w:val="14"/>
        </w:rPr>
        <w:t xml:space="preserve"> from ICE’s existing data that at least </w:t>
      </w:r>
      <w:r w:rsidRPr="00DD75E0">
        <w:rPr>
          <w:rStyle w:val="StyleUnderline"/>
        </w:rPr>
        <w:t>72 percent of the population in detention could</w:t>
      </w:r>
      <w:r w:rsidRPr="00DD75E0">
        <w:rPr>
          <w:sz w:val="14"/>
        </w:rPr>
        <w:t xml:space="preserve"> potentially </w:t>
      </w:r>
      <w:r w:rsidRPr="00DD75E0">
        <w:rPr>
          <w:rStyle w:val="StyleUnderline"/>
        </w:rPr>
        <w:t>become infected</w:t>
      </w:r>
      <w:r w:rsidRPr="00DD75E0">
        <w:rPr>
          <w:sz w:val="14"/>
        </w:rPr>
        <w:t xml:space="preserve">. </w:t>
      </w:r>
      <w:r w:rsidRPr="00DD75E0">
        <w:rPr>
          <w:rStyle w:val="StyleUnderline"/>
        </w:rPr>
        <w:t>Yet ICE has continued to detain immigrants, then deport them, and has even recently expanded its flights to include Liberia and India, where health officials confirmed that 22 people had tested positive for Cov</w:t>
      </w:r>
      <w:r w:rsidRPr="00DD75E0">
        <w:rPr>
          <w:sz w:val="14"/>
        </w:rPr>
        <w:t>id-19 after landing on May 19.</w:t>
      </w:r>
    </w:p>
    <w:p w14:paraId="1B0AB195" w14:textId="77777777" w:rsidR="000B26B7" w:rsidRPr="00DD75E0" w:rsidRDefault="000B26B7" w:rsidP="000B26B7">
      <w:pPr>
        <w:rPr>
          <w:sz w:val="14"/>
        </w:rPr>
      </w:pPr>
      <w:r w:rsidRPr="00DD75E0">
        <w:rPr>
          <w:rStyle w:val="StyleUnderline"/>
        </w:rPr>
        <w:t>Central America’s Northern Triangle</w:t>
      </w:r>
      <w:r w:rsidRPr="00DD75E0">
        <w:rPr>
          <w:sz w:val="14"/>
        </w:rPr>
        <w:t xml:space="preserve">, however, </w:t>
      </w:r>
      <w:r w:rsidRPr="00DD75E0">
        <w:rPr>
          <w:rStyle w:val="StyleUnderline"/>
        </w:rPr>
        <w:t>has received the majority of flights</w:t>
      </w:r>
      <w:r w:rsidRPr="00DD75E0">
        <w:rPr>
          <w:sz w:val="14"/>
        </w:rPr>
        <w:t>, since many of the migrants arriving at the U.S.’s southern border in recent years have been from El Salvador, Honduras, and Guatemala. Of 351 likely deportation flights between February 3 and June 24, according to CEPR, 240 went to the Northern Triangle. Guatemala was the top recipient with 100 flights.</w:t>
      </w:r>
    </w:p>
    <w:p w14:paraId="044B7102" w14:textId="77777777" w:rsidR="000B26B7" w:rsidRPr="00DD75E0" w:rsidRDefault="000B26B7" w:rsidP="000B26B7">
      <w:pPr>
        <w:rPr>
          <w:sz w:val="14"/>
        </w:rPr>
      </w:pPr>
      <w:r w:rsidRPr="00DD75E0">
        <w:rPr>
          <w:sz w:val="14"/>
        </w:rPr>
        <w:t xml:space="preserve">After dozens of returnees tested positive in March and April, Guatemala refused to accept any more flights until </w:t>
      </w:r>
      <w:r w:rsidRPr="00DD75E0">
        <w:rPr>
          <w:rStyle w:val="StyleUnderline"/>
        </w:rPr>
        <w:t>the U.S. agreed to certify</w:t>
      </w:r>
      <w:r w:rsidRPr="00DD75E0">
        <w:rPr>
          <w:sz w:val="14"/>
        </w:rPr>
        <w:t xml:space="preserve"> that each person had tested negative before departure. After the U.S. agreed, flights resumed in May, </w:t>
      </w:r>
      <w:r w:rsidRPr="00DD75E0">
        <w:rPr>
          <w:rStyle w:val="StyleUnderline"/>
        </w:rPr>
        <w:t>but shortly thereafter, another person tested positive</w:t>
      </w:r>
      <w:r w:rsidRPr="00DD75E0">
        <w:rPr>
          <w:sz w:val="14"/>
        </w:rPr>
        <w:t xml:space="preserve"> after landing in Guatemala City, casting doubt on the reliability of that testing. ICE did not respond to The Intercept’s repeated requests for information on testing, including its testing protocol agreement with Guatemala.</w:t>
      </w:r>
    </w:p>
    <w:p w14:paraId="5D3AFEF7" w14:textId="77777777" w:rsidR="000B26B7" w:rsidRPr="00DD75E0" w:rsidRDefault="000B26B7" w:rsidP="000B26B7">
      <w:pPr>
        <w:rPr>
          <w:sz w:val="14"/>
          <w:szCs w:val="14"/>
        </w:rPr>
      </w:pPr>
      <w:r w:rsidRPr="00DD75E0">
        <w:rPr>
          <w:sz w:val="14"/>
        </w:rPr>
        <w:t>The country’s new president, Alejandro Giammattei, a physician and conservative, was notably livid during a May 21 online event hosted by the Atlantic Council. The previous month, Guatemala’s public health ministry had reported that nearly 20 percent of the country’s Covid-19 cases had come from U.S. deportation flights. “Our hospitals have limited capacity, but now we have to treat these patients infected with a disease that didn’t originate here,” he said. “</w:t>
      </w:r>
      <w:r w:rsidRPr="00DD75E0">
        <w:rPr>
          <w:rStyle w:val="StyleUnderline"/>
        </w:rPr>
        <w:t xml:space="preserve">This creates </w:t>
      </w:r>
      <w:r w:rsidRPr="00DD75E0">
        <w:rPr>
          <w:sz w:val="14"/>
        </w:rPr>
        <w:t xml:space="preserve">such </w:t>
      </w:r>
      <w:r w:rsidRPr="00DD75E0">
        <w:rPr>
          <w:rStyle w:val="StyleUnderline"/>
        </w:rPr>
        <w:t>a burden</w:t>
      </w:r>
      <w:r w:rsidRPr="00DD75E0">
        <w:rPr>
          <w:sz w:val="14"/>
        </w:rPr>
        <w:t xml:space="preserve"> for us. … </w:t>
      </w:r>
      <w:r w:rsidRPr="00DD75E0">
        <w:rPr>
          <w:rStyle w:val="StyleUnderline"/>
        </w:rPr>
        <w:t>Guatemala is an ally of the U</w:t>
      </w:r>
      <w:r w:rsidRPr="00DD75E0">
        <w:rPr>
          <w:sz w:val="14"/>
        </w:rPr>
        <w:t xml:space="preserve">nited </w:t>
      </w:r>
      <w:r w:rsidRPr="00DD75E0">
        <w:rPr>
          <w:rStyle w:val="StyleUnderline"/>
        </w:rPr>
        <w:t>S</w:t>
      </w:r>
      <w:r w:rsidRPr="00DD75E0">
        <w:rPr>
          <w:sz w:val="14"/>
        </w:rPr>
        <w:t xml:space="preserve">tates, </w:t>
      </w:r>
      <w:r w:rsidRPr="00DD75E0">
        <w:rPr>
          <w:rStyle w:val="StyleUnderline"/>
        </w:rPr>
        <w:t>but</w:t>
      </w:r>
      <w:r w:rsidRPr="00DD75E0">
        <w:rPr>
          <w:sz w:val="14"/>
        </w:rPr>
        <w:t xml:space="preserve"> I </w:t>
      </w:r>
      <w:r w:rsidRPr="00DD75E0">
        <w:rPr>
          <w:rStyle w:val="StyleUnderline"/>
        </w:rPr>
        <w:t>don’t believe the U.S. is an ally to Guatemala</w:t>
      </w:r>
      <w:r w:rsidRPr="00DD75E0">
        <w:rPr>
          <w:sz w:val="14"/>
        </w:rPr>
        <w:t xml:space="preserve">, </w:t>
      </w:r>
      <w:r w:rsidRPr="00DD75E0">
        <w:rPr>
          <w:sz w:val="14"/>
          <w:szCs w:val="14"/>
        </w:rPr>
        <w:t>because they don’t treat us like one.”</w:t>
      </w:r>
    </w:p>
    <w:p w14:paraId="3B542E23" w14:textId="77777777" w:rsidR="000B26B7" w:rsidRPr="00DD75E0" w:rsidRDefault="000B26B7" w:rsidP="000B26B7">
      <w:pPr>
        <w:rPr>
          <w:sz w:val="12"/>
          <w:szCs w:val="12"/>
        </w:rPr>
      </w:pPr>
      <w:r w:rsidRPr="00DD75E0">
        <w:rPr>
          <w:sz w:val="12"/>
          <w:szCs w:val="12"/>
        </w:rPr>
        <w:t>“They’re capturing migrants in the United States, then putting them in detention where they get infected, and sending them back to us,” said Dr. Lucrecia Hernández Mack, a physician and member of the Guatemalan Congress. “And our hospitals can barely cope from day to day, let alone with the situation we are in now.”</w:t>
      </w:r>
    </w:p>
    <w:p w14:paraId="277AB77A" w14:textId="77777777" w:rsidR="000B26B7" w:rsidRPr="00DD75E0" w:rsidRDefault="000B26B7" w:rsidP="000B26B7">
      <w:pPr>
        <w:rPr>
          <w:sz w:val="12"/>
          <w:szCs w:val="12"/>
        </w:rPr>
      </w:pPr>
      <w:r w:rsidRPr="00DD75E0">
        <w:rPr>
          <w:sz w:val="12"/>
          <w:szCs w:val="12"/>
        </w:rPr>
        <w:t>The Stewart Detention Center is seen through the front gate, Friday, Nov. 15, 2019, in Lumpkin, Ga. The rural town is about 140 miles southwest of Atlanta and next to the Georgia-Alabama state line. The town’s 1,172 residents are outnumbered by the roughly 1,650 male detainees that U.S. Immigration and Customs Enforcement said were being held in the detention center in late November. (AP Photo/David Goldman)The Stewart Detention Center is seen through the front gate on Nov. 15, 2019, in Lumpkin, Ga. Photo: David Goldman/AP</w:t>
      </w:r>
    </w:p>
    <w:p w14:paraId="29DD9718" w14:textId="77777777" w:rsidR="000B26B7" w:rsidRPr="00DD75E0" w:rsidRDefault="000B26B7" w:rsidP="000B26B7">
      <w:pPr>
        <w:rPr>
          <w:rStyle w:val="Emphasis"/>
        </w:rPr>
      </w:pPr>
      <w:r w:rsidRPr="00DD75E0">
        <w:rPr>
          <w:rStyle w:val="Emphasis"/>
        </w:rPr>
        <w:t>Questionable Assurances</w:t>
      </w:r>
    </w:p>
    <w:p w14:paraId="34FA2A0B" w14:textId="77777777" w:rsidR="000B26B7" w:rsidRPr="00DD75E0" w:rsidRDefault="000B26B7" w:rsidP="000B26B7">
      <w:pPr>
        <w:rPr>
          <w:sz w:val="14"/>
        </w:rPr>
      </w:pPr>
      <w:r w:rsidRPr="00DD75E0">
        <w:rPr>
          <w:rStyle w:val="StyleUnderline"/>
        </w:rPr>
        <w:t>ICE claims that it follows the Centers for Disease Control and Prevention’s guidelines</w:t>
      </w:r>
      <w:r w:rsidRPr="00DD75E0">
        <w:rPr>
          <w:sz w:val="14"/>
        </w:rPr>
        <w:t xml:space="preserve"> to prevent the spread of Covid-19. Yet while the CDC has emphasized the need for social distancing and warned that any form of travel risks spreading the virus, Jude said he was transferred to multiple detention centers in March and early April, traveling hundreds of miles on crowded buses before testing positive later that month. Even after he tested positive, he said, ICE kept putting him on buses with other detainees rather than isolating him until he recovered.</w:t>
      </w:r>
    </w:p>
    <w:p w14:paraId="7C2BB5EB" w14:textId="77777777" w:rsidR="000B26B7" w:rsidRPr="00DD75E0" w:rsidRDefault="000B26B7" w:rsidP="000B26B7">
      <w:pPr>
        <w:rPr>
          <w:sz w:val="12"/>
          <w:szCs w:val="12"/>
        </w:rPr>
      </w:pPr>
      <w:r w:rsidRPr="00DD75E0">
        <w:rPr>
          <w:sz w:val="12"/>
          <w:szCs w:val="12"/>
        </w:rPr>
        <w:t>In March, Jude was shuffled to various facilities in Georgia, including the Irwin County Detention Center, the Folkston ICE Processing Center, and the Stewart Detention Center. From there, Jude said, he was placed on a packed bus with others from Haiti, Guatemala, and Mexico and sent to an ICE staging facility at the Alexandria airport in Louisiana to await deportation.</w:t>
      </w:r>
    </w:p>
    <w:p w14:paraId="33EEF4FA" w14:textId="77777777" w:rsidR="000B26B7" w:rsidRPr="00DD75E0" w:rsidRDefault="000B26B7" w:rsidP="000B26B7">
      <w:pPr>
        <w:rPr>
          <w:sz w:val="12"/>
          <w:szCs w:val="12"/>
        </w:rPr>
      </w:pPr>
      <w:r w:rsidRPr="00DD75E0">
        <w:rPr>
          <w:sz w:val="12"/>
          <w:szCs w:val="12"/>
        </w:rPr>
        <w:t>At the airport, he was held in a room with about 60 other Haitian immigrants. Among them was Stanley, 25, who like other detained or recently deported immigrants cited in this article is being identified by a pseudonym. Stanley told The Intercept that he’d been transferred from the Glades County Detention Center in Florida, where he said several detainees were sick with fevers and having difficulty breathing. Sixty-six detainees at Glades have since tested positive for Covid-19, according to ICE.</w:t>
      </w:r>
    </w:p>
    <w:p w14:paraId="7138F75B" w14:textId="77777777" w:rsidR="000B26B7" w:rsidRPr="00DD75E0" w:rsidRDefault="000B26B7" w:rsidP="000B26B7">
      <w:pPr>
        <w:rPr>
          <w:sz w:val="12"/>
          <w:szCs w:val="12"/>
        </w:rPr>
      </w:pPr>
      <w:r w:rsidRPr="00DD75E0">
        <w:rPr>
          <w:sz w:val="12"/>
          <w:szCs w:val="12"/>
        </w:rPr>
        <w:t>On April 7, after nearly a week at the airport, Jude and Stanley said they were preparing to be deported to Port-au-Prince when they were pulled from the flight at the last minute, along with about two dozen other Haitians. At least three individuals who remained on the flight tested positive for Covid-19 after landing in Haiti, according to the country’s Ministry of Public Health. A week after the flight, 13 staff members at the Alexandria facility also tested positive for the virus.</w:t>
      </w:r>
    </w:p>
    <w:p w14:paraId="31764469" w14:textId="77777777" w:rsidR="000B26B7" w:rsidRPr="00DD75E0" w:rsidRDefault="000B26B7" w:rsidP="000B26B7">
      <w:pPr>
        <w:rPr>
          <w:sz w:val="12"/>
          <w:szCs w:val="12"/>
        </w:rPr>
      </w:pPr>
      <w:r w:rsidRPr="00DD75E0">
        <w:rPr>
          <w:sz w:val="12"/>
          <w:szCs w:val="12"/>
        </w:rPr>
        <w:t>Jude and Stanley were transferred to the nearby Pine Prairie ICE Processing Center, where according to Stanley, they were put in a cell with others who’d been detained with them at the airport. Jude, Stanley, and four of their cellmates told The Intercept that they came down with fevers and body aches soon afterward. One man, 34-year-old Daniel, said he was so sick he couldn’t walk. “I couldn’t even move,” he said. “I had to get wheelchaired to a vehicle and wheelchaired to the hospital.” All six men said they tested positive for the virus at Pine Prairie in April. ICE has reported 30 confirmed cases at the facility.</w:t>
      </w:r>
    </w:p>
    <w:p w14:paraId="212B4EC8" w14:textId="77777777" w:rsidR="000B26B7" w:rsidRPr="00DD75E0" w:rsidRDefault="000B26B7" w:rsidP="000B26B7">
      <w:pPr>
        <w:rPr>
          <w:sz w:val="12"/>
          <w:szCs w:val="12"/>
        </w:rPr>
      </w:pPr>
      <w:r w:rsidRPr="00DD75E0">
        <w:rPr>
          <w:sz w:val="12"/>
          <w:szCs w:val="12"/>
        </w:rPr>
        <w:t>GEO Group, the private prison company that runs both the Alexandria and Pine Prairie facilities, declined to comment for this article. ICE did not respond to The Intercept’s requests for comment, nor did the Glades County Detention Center.</w:t>
      </w:r>
    </w:p>
    <w:p w14:paraId="157A11F2" w14:textId="77777777" w:rsidR="000B26B7" w:rsidRPr="00DD75E0" w:rsidRDefault="000B26B7" w:rsidP="000B26B7">
      <w:pPr>
        <w:rPr>
          <w:sz w:val="12"/>
          <w:szCs w:val="12"/>
        </w:rPr>
      </w:pPr>
      <w:r w:rsidRPr="00DD75E0">
        <w:rPr>
          <w:sz w:val="12"/>
          <w:szCs w:val="12"/>
        </w:rPr>
        <w:t>Henry Lucero, the executive associate director of ICE’s Enforcement and Removal Operations, told a Senate Judiciary Committee panel in June that due to a lack of testing kits, ICE doesn’t always test people before moving them from one detention facility to another, nor does it test everyone it returns on deportation flights. Lucero said the agency had acquired “2,000 testing kits from the Department of Health and Human Services” and “is slated to receive an additional 2,000 tests per month from HHS for the foreseeable future.” HHS did not respond to repeated requests from The Intercept for information about the shortage of tests.</w:t>
      </w:r>
    </w:p>
    <w:p w14:paraId="070F28BD" w14:textId="77777777" w:rsidR="000B26B7" w:rsidRPr="00DD75E0" w:rsidRDefault="000B26B7" w:rsidP="000B26B7">
      <w:pPr>
        <w:rPr>
          <w:sz w:val="12"/>
          <w:szCs w:val="12"/>
        </w:rPr>
      </w:pPr>
      <w:r w:rsidRPr="00DD75E0">
        <w:rPr>
          <w:sz w:val="12"/>
          <w:szCs w:val="12"/>
        </w:rPr>
        <w:t>Even after he tested positive, Jude said, ICE kept putting him on buses with other detainees rather than isolating him until he recovered.</w:t>
      </w:r>
    </w:p>
    <w:p w14:paraId="6B9A9A7F" w14:textId="77777777" w:rsidR="000B26B7" w:rsidRPr="00DD75E0" w:rsidRDefault="000B26B7" w:rsidP="000B26B7">
      <w:pPr>
        <w:rPr>
          <w:sz w:val="14"/>
        </w:rPr>
      </w:pPr>
      <w:r w:rsidRPr="00DD75E0">
        <w:rPr>
          <w:rStyle w:val="StyleUnderline"/>
        </w:rPr>
        <w:t>With limited testing, the agency can’t accurately gauge how extensively the virus has spread among detainees</w:t>
      </w:r>
      <w:r w:rsidRPr="00DD75E0">
        <w:rPr>
          <w:sz w:val="14"/>
        </w:rPr>
        <w:t>, said Dr. Joseph Shin, co-medical director of the Weill Cornell Center for Human Rights in New York. “It’s like rolling the dice,” he said. “They may not be symptomatic, but you don’t know if they are infected, or that they’re going to be symptomatic and they’re just in an incubation period.” Also problematic is the decision to blindly move detainees multiple times. “It flies in the face of our general principles of social distancing and minimizing the movement of people,” Shin said. “We’ve seen how quickly this virus can leap to individuals in congregate settings, and that includes the staff, and also can follow these people out into the community to seed further infections.”</w:t>
      </w:r>
    </w:p>
    <w:p w14:paraId="2525F10D" w14:textId="77777777" w:rsidR="000B26B7" w:rsidRPr="00AD1EE5" w:rsidRDefault="000B26B7" w:rsidP="000B26B7">
      <w:pPr>
        <w:rPr>
          <w:sz w:val="12"/>
          <w:szCs w:val="12"/>
        </w:rPr>
      </w:pPr>
      <w:r w:rsidRPr="00AD1EE5">
        <w:rPr>
          <w:sz w:val="12"/>
          <w:szCs w:val="12"/>
        </w:rPr>
        <w:t>During his testimony, Lucero conceded that his agency knew some deportees had tested positive after arriving in their home countries on U.S. flights. “We are aware of reports,” he testified. “But there were no known positives that were removed actively with Covid-19.” Before someone boards a flight, agents look for symptoms such as cough or fever, Lucero said, adding that they also randomly test a subset of detainees regardless of their symptoms.</w:t>
      </w:r>
    </w:p>
    <w:p w14:paraId="3B9D3D64" w14:textId="77777777" w:rsidR="000B26B7" w:rsidRPr="00AD1EE5" w:rsidRDefault="000B26B7" w:rsidP="000B26B7">
      <w:pPr>
        <w:rPr>
          <w:sz w:val="12"/>
          <w:szCs w:val="12"/>
        </w:rPr>
      </w:pPr>
      <w:r w:rsidRPr="00AD1EE5">
        <w:rPr>
          <w:sz w:val="12"/>
          <w:szCs w:val="12"/>
        </w:rPr>
        <w:t>In negotiations with U.S. diplomatic staff, governments like Haiti’s have received additional assurances. “The American government assured the Haitian government that the people who would be deported in the month of May had not been exposed to the virus,” a spokesperson for Haiti’s foreign ministry told The Intercept. The U.S. Embassy in Haiti declined to comment.</w:t>
      </w:r>
    </w:p>
    <w:p w14:paraId="1A48EB9D" w14:textId="77777777" w:rsidR="000B26B7" w:rsidRPr="00AD1EE5" w:rsidRDefault="000B26B7" w:rsidP="000B26B7">
      <w:pPr>
        <w:rPr>
          <w:sz w:val="12"/>
          <w:szCs w:val="12"/>
        </w:rPr>
      </w:pPr>
      <w:r w:rsidRPr="00AD1EE5">
        <w:rPr>
          <w:sz w:val="12"/>
          <w:szCs w:val="12"/>
        </w:rPr>
        <w:t>Because of the high risk at sites like detention centers, the United Nations has recommended that individuals who test positive for Covid-19 in such facilities be quarantined in isolation from the general population until they have tested negative on two subsequent tests. Jude, Stanley, and Daniel said the medical staff at Pine Prairie initially told them that they would not be removed from quarantine until they had tested negative twice. Stanley said they were tested regularly using a cotton swab inserted deep into their nasal cavities. The tests caused so much pain and discomfort that some of the detainees began to object. “Every 24 hours, they kept coming to pressure us to take the test,” said Stanley. “They just come every day saying, OK, you guys gotta take a test.”</w:t>
      </w:r>
    </w:p>
    <w:p w14:paraId="7A83A80B" w14:textId="77777777" w:rsidR="000B26B7" w:rsidRPr="00AD1EE5" w:rsidRDefault="000B26B7" w:rsidP="000B26B7">
      <w:pPr>
        <w:rPr>
          <w:sz w:val="12"/>
          <w:szCs w:val="12"/>
        </w:rPr>
      </w:pPr>
      <w:r w:rsidRPr="00AD1EE5">
        <w:rPr>
          <w:sz w:val="12"/>
          <w:szCs w:val="12"/>
        </w:rPr>
        <w:t>Altogether, Jude said he was tested six times at Pine Prairie. Each time, he was told the results were still positive, he said. But just a day after he received the results of his sixth test, Jude said staff told him to “pack up” because ICE planned to deport him the next morning. He was listed as a passenger on a May 11 flight to Port-au-Prince, according to a flight manifest obtained by The Intercept.</w:t>
      </w:r>
    </w:p>
    <w:p w14:paraId="27D2AF2D" w14:textId="77777777" w:rsidR="000B26B7" w:rsidRPr="00AD1EE5" w:rsidRDefault="000B26B7" w:rsidP="000B26B7">
      <w:pPr>
        <w:rPr>
          <w:sz w:val="12"/>
          <w:szCs w:val="12"/>
        </w:rPr>
      </w:pPr>
      <w:r w:rsidRPr="00AD1EE5">
        <w:rPr>
          <w:sz w:val="12"/>
          <w:szCs w:val="12"/>
        </w:rPr>
        <w:t>Once again, Jude and Stanley were transported to ICE’s holding facility at the Alexandria airport. “We were shackled up,” said Stanley. “With everybody else, to get ready for the flight.”</w:t>
      </w:r>
    </w:p>
    <w:p w14:paraId="58970A84" w14:textId="77777777" w:rsidR="000B26B7" w:rsidRPr="00AD1EE5" w:rsidRDefault="000B26B7" w:rsidP="000B26B7">
      <w:pPr>
        <w:rPr>
          <w:sz w:val="12"/>
          <w:szCs w:val="12"/>
        </w:rPr>
      </w:pPr>
      <w:r w:rsidRPr="00AD1EE5">
        <w:rPr>
          <w:sz w:val="12"/>
          <w:szCs w:val="12"/>
        </w:rPr>
        <w:t>But, after public outcry, the two men were pulled from the flight a second time. Prior to their departure, another detainee, Stephane Etienne, had spoken to immigration advocates and the media about his own recent positive test results. He said he knew of others on the flight manifest who had also tested positive.</w:t>
      </w:r>
    </w:p>
    <w:p w14:paraId="357B5A7F" w14:textId="77777777" w:rsidR="000B26B7" w:rsidRPr="00AD1EE5" w:rsidRDefault="000B26B7" w:rsidP="000B26B7">
      <w:pPr>
        <w:rPr>
          <w:sz w:val="12"/>
          <w:szCs w:val="12"/>
        </w:rPr>
      </w:pPr>
      <w:r w:rsidRPr="00AD1EE5">
        <w:rPr>
          <w:sz w:val="12"/>
          <w:szCs w:val="12"/>
        </w:rPr>
        <w:t>The men gained only a short reprieve. Two weeks later, Jude, Stanley, and Daniel were all deported. Two other Haitian immigrants who told The Intercept that they had tested positive at Pine Prairie were deported as well. Jude said he was still reporting symptoms of Covid-19 at the time. As the Miami Herald reported, immigrant rights advocates said they knew of eight Haitians deported on May 26 who had previously tested positive. Yet Daniel told The Intercept that there were actually nine of them on the plane — that he knew of — who had been in quarantine after testing positive at Pine Prairie.</w:t>
      </w:r>
    </w:p>
    <w:p w14:paraId="584B8D3B" w14:textId="77777777" w:rsidR="000B26B7" w:rsidRPr="00AD1EE5" w:rsidRDefault="000B26B7" w:rsidP="000B26B7">
      <w:pPr>
        <w:rPr>
          <w:sz w:val="12"/>
          <w:szCs w:val="12"/>
        </w:rPr>
      </w:pPr>
      <w:r w:rsidRPr="00AD1EE5">
        <w:rPr>
          <w:sz w:val="12"/>
          <w:szCs w:val="12"/>
        </w:rPr>
        <w:t>When the buses arrived at the airport, Jude and Daniel said they each once again had a swab jabbed up their noses. This time, they were given a “rapid test,” according to interviews and the Miami Herald. As Lucero mentioned during his testimony, ICE had recently bought 10 Covid-19 rapid-testing machines manufactured by Abbott Laboratories, which Trump has touted in press briefings. The Abbott ID NOW test, run on a machine about the size of a toaster, typically produces a result within 15 minutes. The machines are currently being used under an emergency authorization issued by the government, but the test’s accuracy is still being questioned by the U.S. Food and Drug Administration. In May, the FDA issued an advisory warning that the rapid test could yield “potential inaccurate results.” The FDA stated that it is working with Abbott to alert the public that “any negative test results that are not consistent with a patient’s clinical signs and symptoms … should be confirmed with another test.”</w:t>
      </w:r>
    </w:p>
    <w:p w14:paraId="6575FB21" w14:textId="77777777" w:rsidR="000B26B7" w:rsidRPr="00AD1EE5" w:rsidRDefault="000B26B7" w:rsidP="000B26B7">
      <w:pPr>
        <w:rPr>
          <w:sz w:val="12"/>
          <w:szCs w:val="12"/>
        </w:rPr>
      </w:pPr>
      <w:r w:rsidRPr="00AD1EE5">
        <w:rPr>
          <w:sz w:val="12"/>
          <w:szCs w:val="12"/>
        </w:rPr>
        <w:t>After testing negative with the rapid test, Jude and Daniel said they were told that they’d been cleared to travel. They were among 30 Haitians ICE deported on May 26. As the Department of Homeland Security later acknowledged, only 16 of these deportees were even given a rapid test for Covid-19 before they were deported.</w:t>
      </w:r>
    </w:p>
    <w:p w14:paraId="7A301400" w14:textId="77777777" w:rsidR="000B26B7" w:rsidRPr="00AD1EE5" w:rsidRDefault="000B26B7" w:rsidP="000B26B7">
      <w:pPr>
        <w:rPr>
          <w:sz w:val="12"/>
          <w:szCs w:val="12"/>
        </w:rPr>
      </w:pPr>
      <w:r w:rsidRPr="00AD1EE5">
        <w:rPr>
          <w:sz w:val="12"/>
          <w:szCs w:val="12"/>
        </w:rPr>
        <w:t>An immigration official uses a protective face mask as a preventive measure against the new coronavirus, COVID-19, upon the arrival of Guatemalan migrants deported from the United States, at the Air Force base in Guatemala City, on March 12, 2020. (Photo by Johan ORDONEZ / AFP) (Photo by JOHAN ORDONEZ/AFP via Getty Images)An immigration official uses a protective face mask as a preventive measure against the coronavirus upon the arrival of Guatemalan migrants deported from the U.S. at the Air Force base in Guatemala City on March 12, 2020. Photo: Johan Ordonez/AFP via Getty Images</w:t>
      </w:r>
    </w:p>
    <w:p w14:paraId="217C3D3C" w14:textId="77777777" w:rsidR="000B26B7" w:rsidRPr="00AD1EE5" w:rsidRDefault="000B26B7" w:rsidP="000B26B7">
      <w:pPr>
        <w:rPr>
          <w:sz w:val="12"/>
          <w:szCs w:val="12"/>
        </w:rPr>
      </w:pPr>
      <w:r w:rsidRPr="00AD1EE5">
        <w:rPr>
          <w:sz w:val="12"/>
          <w:szCs w:val="12"/>
        </w:rPr>
        <w:t>Stigma Upon Return</w:t>
      </w:r>
    </w:p>
    <w:p w14:paraId="3645FCBE" w14:textId="77777777" w:rsidR="000B26B7" w:rsidRPr="00AD1EE5" w:rsidRDefault="000B26B7" w:rsidP="000B26B7">
      <w:pPr>
        <w:rPr>
          <w:sz w:val="12"/>
          <w:szCs w:val="12"/>
        </w:rPr>
      </w:pPr>
      <w:r w:rsidRPr="00AD1EE5">
        <w:rPr>
          <w:sz w:val="12"/>
          <w:szCs w:val="12"/>
        </w:rPr>
        <w:t>Returning migrants not only suffer from the physical effects of the virus but also become targets for blame in their home countries.</w:t>
      </w:r>
    </w:p>
    <w:p w14:paraId="35FDC59D" w14:textId="77777777" w:rsidR="000B26B7" w:rsidRPr="00AD1EE5" w:rsidRDefault="000B26B7" w:rsidP="000B26B7">
      <w:pPr>
        <w:rPr>
          <w:sz w:val="12"/>
          <w:szCs w:val="12"/>
        </w:rPr>
      </w:pPr>
      <w:r w:rsidRPr="00AD1EE5">
        <w:rPr>
          <w:sz w:val="12"/>
          <w:szCs w:val="12"/>
        </w:rPr>
        <w:t>At La Aurora International Airport in Guatemala City, where deportation flights land, officials don’t have enough tests to be able to test each returning migrant. Instead they are checked for any visible signs of illness such as fever and cough, said Hernández Mack, who has been monitoring the government’s response to the pandemic. “They take their temperature and give them a quick physical evaluation,” she said.</w:t>
      </w:r>
    </w:p>
    <w:p w14:paraId="6392E18A" w14:textId="77777777" w:rsidR="000B26B7" w:rsidRPr="00AD1EE5" w:rsidRDefault="000B26B7" w:rsidP="000B26B7">
      <w:pPr>
        <w:rPr>
          <w:sz w:val="12"/>
          <w:szCs w:val="12"/>
        </w:rPr>
      </w:pPr>
      <w:r w:rsidRPr="00AD1EE5">
        <w:rPr>
          <w:sz w:val="12"/>
          <w:szCs w:val="12"/>
        </w:rPr>
        <w:t>Initially, in March, deportees were sent to a cordoned-off wing of the airport, where a few bare mattresses lay on the floor, and there was little access to food or water, according to Hernández Mack and local news reports. The conditions were so dismal that many walked out, taking a bus or hitching rides home, inadvertently infecting relatives and others along the way.</w:t>
      </w:r>
    </w:p>
    <w:p w14:paraId="14E34C3E" w14:textId="77777777" w:rsidR="000B26B7" w:rsidRPr="00AD1EE5" w:rsidRDefault="000B26B7" w:rsidP="000B26B7">
      <w:pPr>
        <w:rPr>
          <w:sz w:val="12"/>
          <w:szCs w:val="12"/>
        </w:rPr>
      </w:pPr>
      <w:r w:rsidRPr="00AD1EE5">
        <w:rPr>
          <w:sz w:val="12"/>
          <w:szCs w:val="12"/>
        </w:rPr>
        <w:t>Buses carrying migrants have been barred from entering towns, and some returnees have been expelled from their communities because of fear of contagion.</w:t>
      </w:r>
    </w:p>
    <w:p w14:paraId="6EF0A995" w14:textId="77777777" w:rsidR="000B26B7" w:rsidRPr="00AD1EE5" w:rsidRDefault="000B26B7" w:rsidP="000B26B7">
      <w:pPr>
        <w:rPr>
          <w:sz w:val="12"/>
          <w:szCs w:val="12"/>
        </w:rPr>
      </w:pPr>
      <w:r w:rsidRPr="00AD1EE5">
        <w:rPr>
          <w:sz w:val="12"/>
          <w:szCs w:val="12"/>
        </w:rPr>
        <w:t>By June 25, Guatemala had 14,819 confirmed cases and 601 deaths, but the real toll is likely much higher, said Hernández Mack, who is also Guatemala’s former minister of public health. Infections are being spurred even higher by Mexico deporting thousands more people over its southern border with Guatemala. “No one is receiving them or evaluating them,” Hernández Mack said. “They don’t get the test, so we don’t know if they are positive, and they are returning to their communities not knowing they are contagious and could infect their families. … We have a very precarious health system, which is starting to collapse.” Doctors and nurses have protested conditions, according to local news reports, demanding more protective gear and equipment, and the director of the nation’s primary hospital treating coronavirus patients recently tested positive.</w:t>
      </w:r>
    </w:p>
    <w:p w14:paraId="21A6A8C6" w14:textId="77777777" w:rsidR="000B26B7" w:rsidRPr="00AD1EE5" w:rsidRDefault="000B26B7" w:rsidP="000B26B7">
      <w:pPr>
        <w:rPr>
          <w:sz w:val="12"/>
          <w:szCs w:val="12"/>
        </w:rPr>
      </w:pPr>
      <w:r w:rsidRPr="00AD1EE5">
        <w:rPr>
          <w:sz w:val="12"/>
          <w:szCs w:val="12"/>
        </w:rPr>
        <w:t>To address the growing need, Hernández Mack said the government has created a makeshift hospital in an industrial park in Guatemala City where returning migrants with mild symptoms are now quarantined. The more serious cases are sent to a hospital in the city, but as of mid-May, it had already been overwhelmed, she said.</w:t>
      </w:r>
    </w:p>
    <w:p w14:paraId="11A58049" w14:textId="77777777" w:rsidR="000B26B7" w:rsidRPr="00AD1EE5" w:rsidRDefault="000B26B7" w:rsidP="000B26B7">
      <w:pPr>
        <w:rPr>
          <w:sz w:val="12"/>
          <w:szCs w:val="12"/>
        </w:rPr>
      </w:pPr>
      <w:r w:rsidRPr="00AD1EE5">
        <w:rPr>
          <w:sz w:val="12"/>
          <w:szCs w:val="12"/>
        </w:rPr>
        <w:t>Much of Guatemala is rural and mountainous, with few health services and largely cut off from the nation’s wealthier capital. In some communities, recently deported migrants are being singled out. Since March, Giammattei’s administration has publicized the idea that migrants are bringing Covid-19 with them from the U.S., while at the same time, his administration has failed to create an effective educational campaign about how people can prevent the spread of the virus. Both elements of that approach have helped sow panic and the persecution of returning migrants, Hernández Mack said. “There are communities who have rejected them not knowing whether they are infected or not,” she said. “They don’t let them enter or reunite with their families, because of the stigma.”</w:t>
      </w:r>
    </w:p>
    <w:p w14:paraId="15372785" w14:textId="77777777" w:rsidR="000B26B7" w:rsidRPr="00AD1EE5" w:rsidRDefault="000B26B7" w:rsidP="000B26B7">
      <w:pPr>
        <w:rPr>
          <w:sz w:val="12"/>
          <w:szCs w:val="12"/>
        </w:rPr>
      </w:pPr>
      <w:r w:rsidRPr="00AD1EE5">
        <w:rPr>
          <w:sz w:val="12"/>
          <w:szCs w:val="12"/>
        </w:rPr>
        <w:t>Buses carrying migrants have been barred from entering towns, and some returnees have been expelled from their communities because of fear of contagion. In Escuintla, on the southern coast of Guatemala, one family’s home was surrounded by a mob of angry neighbors who demanded that they leave after one of them tested positive for the virus and the family was placed under quarantine, said Renzo Rosal, a political analyst in Guatemala City. “The police arrived and barely saved them,” he said. “People are scared.”</w:t>
      </w:r>
    </w:p>
    <w:p w14:paraId="7FF3D93A" w14:textId="77777777" w:rsidR="000B26B7" w:rsidRPr="00AD1EE5" w:rsidRDefault="000B26B7" w:rsidP="000B26B7">
      <w:pPr>
        <w:rPr>
          <w:sz w:val="12"/>
          <w:szCs w:val="12"/>
        </w:rPr>
      </w:pPr>
      <w:r w:rsidRPr="00AD1EE5">
        <w:rPr>
          <w:sz w:val="12"/>
          <w:szCs w:val="12"/>
        </w:rPr>
        <w:t>A Cautionary Example</w:t>
      </w:r>
    </w:p>
    <w:p w14:paraId="48E183F3" w14:textId="77777777" w:rsidR="000B26B7" w:rsidRPr="00AD1EE5" w:rsidRDefault="000B26B7" w:rsidP="000B26B7">
      <w:pPr>
        <w:rPr>
          <w:sz w:val="14"/>
        </w:rPr>
      </w:pPr>
      <w:r w:rsidRPr="00AD1EE5">
        <w:rPr>
          <w:rStyle w:val="StyleUnderline"/>
        </w:rPr>
        <w:t>Exporting the virus to the very allies the U</w:t>
      </w:r>
      <w:r w:rsidRPr="00AD1EE5">
        <w:rPr>
          <w:sz w:val="14"/>
        </w:rPr>
        <w:t xml:space="preserve">nited </w:t>
      </w:r>
      <w:r w:rsidRPr="00AD1EE5">
        <w:rPr>
          <w:rStyle w:val="StyleUnderline"/>
        </w:rPr>
        <w:t>S</w:t>
      </w:r>
      <w:r w:rsidRPr="00AD1EE5">
        <w:rPr>
          <w:sz w:val="14"/>
        </w:rPr>
        <w:t xml:space="preserve">tates </w:t>
      </w:r>
      <w:r w:rsidRPr="00AD1EE5">
        <w:rPr>
          <w:rStyle w:val="StyleUnderline"/>
        </w:rPr>
        <w:t>needs to curb immigration to its southern border is fostering resentment</w:t>
      </w:r>
      <w:r w:rsidRPr="00AD1EE5">
        <w:rPr>
          <w:sz w:val="14"/>
        </w:rPr>
        <w:t xml:space="preserve"> as these leaders are forced to beg State Department and Homeland Security officials not to send their citizens back if they are sick.</w:t>
      </w:r>
    </w:p>
    <w:p w14:paraId="0E8FE11D" w14:textId="77777777" w:rsidR="000B26B7" w:rsidRPr="00AD1EE5" w:rsidRDefault="000B26B7" w:rsidP="000B26B7">
      <w:pPr>
        <w:rPr>
          <w:sz w:val="14"/>
          <w:szCs w:val="14"/>
        </w:rPr>
      </w:pPr>
      <w:r w:rsidRPr="00AD1EE5">
        <w:rPr>
          <w:sz w:val="14"/>
          <w:szCs w:val="14"/>
        </w:rPr>
        <w:t>In Haiti, calls for a ban on flights increased in April, when three Haitians tested positive for Covid-19 after disembarking in the Haitian capital. In an open letter to Haitian President Jovenel Moïse, 14 civil society groups urged his government to negotiate a moratorium suspending all deportations from the U.S. during the pandemic. A committee of leading Haitian doctors and scientists also recommended a moratorium. Guatemala has gone a step further, repeatedly suspending the flights only to lift the moratoriums under pressure from the United States.</w:t>
      </w:r>
    </w:p>
    <w:p w14:paraId="40BBD539" w14:textId="77777777" w:rsidR="000B26B7" w:rsidRPr="00AD1EE5" w:rsidRDefault="000B26B7" w:rsidP="000B26B7">
      <w:pPr>
        <w:rPr>
          <w:sz w:val="14"/>
          <w:szCs w:val="12"/>
        </w:rPr>
      </w:pPr>
      <w:r w:rsidRPr="00AD1EE5">
        <w:rPr>
          <w:sz w:val="14"/>
        </w:rPr>
        <w:t xml:space="preserve">Before and during the pandemic, </w:t>
      </w:r>
      <w:r w:rsidRPr="00AD1EE5">
        <w:rPr>
          <w:rStyle w:val="StyleUnderline"/>
        </w:rPr>
        <w:t>Trump</w:t>
      </w:r>
      <w:r w:rsidRPr="00AD1EE5">
        <w:rPr>
          <w:sz w:val="14"/>
        </w:rPr>
        <w:t xml:space="preserve"> administration officials </w:t>
      </w:r>
      <w:r w:rsidRPr="00AD1EE5">
        <w:rPr>
          <w:rStyle w:val="StyleUnderline"/>
        </w:rPr>
        <w:t>have threatened that any country that refuses to accept</w:t>
      </w:r>
      <w:r w:rsidRPr="00AD1EE5">
        <w:rPr>
          <w:sz w:val="14"/>
        </w:rPr>
        <w:t xml:space="preserve"> the </w:t>
      </w:r>
      <w:r w:rsidRPr="00AD1EE5">
        <w:rPr>
          <w:rStyle w:val="StyleUnderline"/>
        </w:rPr>
        <w:t>deportation</w:t>
      </w:r>
      <w:r w:rsidRPr="00AD1EE5">
        <w:rPr>
          <w:sz w:val="14"/>
        </w:rPr>
        <w:t xml:space="preserve"> flights </w:t>
      </w:r>
      <w:r w:rsidRPr="00AD1EE5">
        <w:rPr>
          <w:rStyle w:val="StyleUnderline"/>
        </w:rPr>
        <w:t>could face</w:t>
      </w:r>
      <w:r w:rsidRPr="00AD1EE5">
        <w:rPr>
          <w:sz w:val="14"/>
        </w:rPr>
        <w:t xml:space="preserve"> consequences, including trade tariffs and hits to visas and humanitarian aid. In late March, a senior DHS official speaking on background told reporters in a teleconference that it was “not an acceptable position to the government of the United States that any country in the world whose citizens illegally entered our country would not take those citizens back under virtually any circumstances.” The official added, “There’s simply no defense of that </w:t>
      </w:r>
      <w:r w:rsidRPr="00AD1EE5">
        <w:rPr>
          <w:sz w:val="14"/>
          <w:szCs w:val="12"/>
        </w:rPr>
        <w:t>position, and we feel very, very strongly about that, and we intend to act accordingly if the needs arise in the future.”</w:t>
      </w:r>
    </w:p>
    <w:p w14:paraId="00EFD4B0" w14:textId="77777777" w:rsidR="000B26B7" w:rsidRPr="00AD1EE5" w:rsidRDefault="000B26B7" w:rsidP="000B26B7">
      <w:pPr>
        <w:rPr>
          <w:sz w:val="12"/>
          <w:szCs w:val="12"/>
        </w:rPr>
      </w:pPr>
      <w:r w:rsidRPr="00AD1EE5">
        <w:rPr>
          <w:sz w:val="12"/>
          <w:szCs w:val="12"/>
        </w:rPr>
        <w:t>Trump administration officials have threatened that any country that refuses to accept the deportation flights could face consequences.</w:t>
      </w:r>
    </w:p>
    <w:p w14:paraId="0BBF0369" w14:textId="77777777" w:rsidR="000B26B7" w:rsidRPr="00AD1EE5" w:rsidRDefault="000B26B7" w:rsidP="000B26B7">
      <w:pPr>
        <w:rPr>
          <w:sz w:val="12"/>
          <w:szCs w:val="12"/>
        </w:rPr>
      </w:pPr>
      <w:r w:rsidRPr="00AD1EE5">
        <w:rPr>
          <w:sz w:val="12"/>
          <w:szCs w:val="12"/>
        </w:rPr>
        <w:t>For Haiti and others dependent on U.S. foreign aid, Guatemala has served as a cautionary example. The country was the first to demand that the U.S. no longer return deportees who were positive for Covid-19, while neighboring El Salvador and Honduras have allowed the deportations to continue and been largely compliant. In April, Guatemala was conspicuously absent from any mention as Trump praised Honduras and El Salvador for their help in curbing migration, saying that the U.S. would be sending both countries desperately needed ventilators. Guatemala didn’t fail to notice the slight. “We’ve seen how they’ve assisted other countries with ventilators,” Giammattei said during his Atlantic Council appearance. “We don’t feel very grateful for the way we have been treated.”</w:t>
      </w:r>
    </w:p>
    <w:p w14:paraId="39F291B6" w14:textId="77777777" w:rsidR="000B26B7" w:rsidRPr="00AD1EE5" w:rsidRDefault="000B26B7" w:rsidP="000B26B7">
      <w:pPr>
        <w:rPr>
          <w:sz w:val="12"/>
          <w:szCs w:val="12"/>
        </w:rPr>
      </w:pPr>
      <w:r w:rsidRPr="00AD1EE5">
        <w:rPr>
          <w:sz w:val="12"/>
          <w:szCs w:val="12"/>
        </w:rPr>
        <w:t>At least one U.S. official denied that Guatemala was suffering reprisals for being the first to publicly protest the flights. State Department official Michael Kozak said during a teleconference call that there wasn’t any “hard linkage” between cooperation on removals and ventilators. “It’s not that we haven’t had a cooperative relationship with them,” he said of Guatemala. “It’s just they’ve run into some snags and we’re working through that with them.”</w:t>
      </w:r>
    </w:p>
    <w:p w14:paraId="29CCCBCC" w14:textId="77777777" w:rsidR="000B26B7" w:rsidRPr="00AD1EE5" w:rsidRDefault="000B26B7" w:rsidP="000B26B7">
      <w:pPr>
        <w:rPr>
          <w:sz w:val="12"/>
          <w:szCs w:val="12"/>
        </w:rPr>
      </w:pPr>
      <w:r w:rsidRPr="00AD1EE5">
        <w:rPr>
          <w:sz w:val="12"/>
          <w:szCs w:val="12"/>
        </w:rPr>
        <w:t>But the perception from within the country is otherwise, said a retired Guatemalan diplomat, who asked to remain anonymous because he’s not authorized to speak for the current government. “It is my understanding that we are being punished,” he said. “The administration has already said it would withhold visas for Guatemalan citizens, including businesspeople and government officials, so it’s a serious challenge for a country like Guatemala that is close to the U.S., and it’s a threat that is taken seriously.”</w:t>
      </w:r>
    </w:p>
    <w:p w14:paraId="30B316A5" w14:textId="77777777" w:rsidR="000B26B7" w:rsidRPr="00AD1EE5" w:rsidRDefault="000B26B7" w:rsidP="000B26B7">
      <w:pPr>
        <w:rPr>
          <w:sz w:val="12"/>
          <w:szCs w:val="12"/>
        </w:rPr>
      </w:pPr>
      <w:r w:rsidRPr="00AD1EE5">
        <w:rPr>
          <w:sz w:val="12"/>
          <w:szCs w:val="12"/>
        </w:rPr>
        <w:t>Municipal firefighters transfer a patient with symptoms related to novel coronavirus (COVID-19), outside of the Hospital General de Enfermedades (General Hospital for Diseases), in Guatemala City on June 12, 2020. - As of June 12, 2020 Guatemala reported more than 8,600 infections and 351 deaths. (Photo by Johan ORDONEZ / AFP) (Photo by JOHAN ORDONEZ/AFP via Getty Images)Municipal firefighters transfer a patient with coronavirus symptoms outside of the Hospital General de Enfermedades in Guatemala City on June 12, 2020. Photo: Johan Ordonez/AFP via Getty Images</w:t>
      </w:r>
    </w:p>
    <w:p w14:paraId="617880FF" w14:textId="77777777" w:rsidR="000B26B7" w:rsidRDefault="000B26B7" w:rsidP="000B26B7">
      <w:r>
        <w:t>“Anything Else Is Irrelevant”</w:t>
      </w:r>
    </w:p>
    <w:p w14:paraId="66F9944C" w14:textId="77777777" w:rsidR="000B26B7" w:rsidRPr="00AD1EE5" w:rsidRDefault="000B26B7" w:rsidP="000B26B7">
      <w:pPr>
        <w:rPr>
          <w:sz w:val="14"/>
        </w:rPr>
      </w:pPr>
      <w:r w:rsidRPr="00AD1EE5">
        <w:rPr>
          <w:sz w:val="14"/>
        </w:rPr>
        <w:t xml:space="preserve">Since Jude was deported, cases in Haiti have more than quadrupled, from less than 1,100 in late May to more than 5,400. A </w:t>
      </w:r>
      <w:r w:rsidRPr="00AD1EE5">
        <w:rPr>
          <w:rStyle w:val="StyleUnderline"/>
        </w:rPr>
        <w:t>Haiti</w:t>
      </w:r>
      <w:r w:rsidRPr="00AD1EE5">
        <w:rPr>
          <w:sz w:val="14"/>
        </w:rPr>
        <w:t xml:space="preserve">an civil servant involved in the country’s Covid-19 response efforts, who did not wish to be identified because he fears reprisals, told The Intercept that he fears that “we’re </w:t>
      </w:r>
      <w:r w:rsidRPr="00AD1EE5">
        <w:rPr>
          <w:rStyle w:val="StyleUnderline"/>
        </w:rPr>
        <w:t>sitting on a ticking time bomb</w:t>
      </w:r>
      <w:r w:rsidRPr="00AD1EE5">
        <w:rPr>
          <w:sz w:val="14"/>
        </w:rPr>
        <w:t xml:space="preserve">.” </w:t>
      </w:r>
      <w:r w:rsidRPr="00AD1EE5">
        <w:rPr>
          <w:rStyle w:val="StyleUnderline"/>
        </w:rPr>
        <w:t>The pandemic is hitting at the same time as a deepening political and economic crisis</w:t>
      </w:r>
      <w:r w:rsidRPr="00AD1EE5">
        <w:rPr>
          <w:sz w:val="14"/>
        </w:rPr>
        <w:t>, and the head of the Pan American Health Organization recently warned that “</w:t>
      </w:r>
      <w:r w:rsidRPr="00AD1EE5">
        <w:rPr>
          <w:rStyle w:val="StyleUnderline"/>
        </w:rPr>
        <w:t>there is real danger of a large-scale outbreak followed by a humanitarian crisis in Haiti</w:t>
      </w:r>
      <w:r w:rsidRPr="00AD1EE5">
        <w:rPr>
          <w:sz w:val="14"/>
        </w:rPr>
        <w:t>.”</w:t>
      </w:r>
    </w:p>
    <w:p w14:paraId="0FBB0366" w14:textId="77777777" w:rsidR="000B26B7" w:rsidRPr="00AD1EE5" w:rsidRDefault="000B26B7" w:rsidP="000B26B7">
      <w:pPr>
        <w:rPr>
          <w:sz w:val="14"/>
        </w:rPr>
      </w:pPr>
      <w:r w:rsidRPr="00AD1EE5">
        <w:rPr>
          <w:rStyle w:val="StyleUnderline"/>
        </w:rPr>
        <w:t>Deportations from the U.S. are exacerbating these issues. Honduras, which has received the second-highest number of flights after Guatemala</w:t>
      </w:r>
      <w:r w:rsidRPr="00AD1EE5">
        <w:rPr>
          <w:sz w:val="14"/>
        </w:rPr>
        <w:t xml:space="preserve">, has confirmed more than 14,500 cases and 417 deaths, while in El Salvador, at least 5,300 cases and 126 deaths have been reported. </w:t>
      </w:r>
      <w:r w:rsidRPr="00AD1EE5">
        <w:rPr>
          <w:rStyle w:val="StyleUnderline"/>
        </w:rPr>
        <w:t>Several likely deportation flights from the U.S. have also touched down in some of the hardest-hit countries, including Brazil</w:t>
      </w:r>
      <w:r w:rsidRPr="00AD1EE5">
        <w:rPr>
          <w:sz w:val="14"/>
        </w:rPr>
        <w:t xml:space="preserve">, now second in the world for infections; </w:t>
      </w:r>
      <w:r w:rsidRPr="00AD1EE5">
        <w:rPr>
          <w:rStyle w:val="StyleUnderline"/>
        </w:rPr>
        <w:t>Ecuador</w:t>
      </w:r>
      <w:r w:rsidRPr="00AD1EE5">
        <w:rPr>
          <w:sz w:val="14"/>
        </w:rPr>
        <w:t xml:space="preserve">, which has one of the highest fatality rates in </w:t>
      </w:r>
      <w:r w:rsidRPr="00AD1EE5">
        <w:rPr>
          <w:rStyle w:val="StyleUnderline"/>
        </w:rPr>
        <w:t>Latin America</w:t>
      </w:r>
      <w:r w:rsidRPr="00AD1EE5">
        <w:rPr>
          <w:sz w:val="14"/>
        </w:rPr>
        <w:t xml:space="preserve">; </w:t>
      </w:r>
      <w:r w:rsidRPr="00AD1EE5">
        <w:rPr>
          <w:rStyle w:val="StyleUnderline"/>
        </w:rPr>
        <w:t>and the Dominican Republic</w:t>
      </w:r>
      <w:r w:rsidRPr="00AD1EE5">
        <w:rPr>
          <w:sz w:val="14"/>
        </w:rPr>
        <w:t>, which has more Covid-19 infections than any other Caribbean country.</w:t>
      </w:r>
    </w:p>
    <w:p w14:paraId="147E2717" w14:textId="77777777" w:rsidR="000B26B7" w:rsidRPr="00AD1EE5" w:rsidRDefault="000B26B7" w:rsidP="000B26B7">
      <w:pPr>
        <w:rPr>
          <w:sz w:val="12"/>
          <w:szCs w:val="12"/>
        </w:rPr>
      </w:pPr>
      <w:r w:rsidRPr="00AD1EE5">
        <w:rPr>
          <w:sz w:val="12"/>
          <w:szCs w:val="12"/>
        </w:rPr>
        <w:t>The situation is also dire in Guatemala, where infections outpace neighboring El Salvador and Honduras. Paulina Lopes, a Mayan community health organizer in the city of Santa Cruz del Quiche in the western highlands, said many in Indigenous Mayan communities are not reporting to the authorities when they’re sick. Lopes said that she’s also heard that some who are critically ill are dying at home because they fear having their community cordoned off by the military if an outbreak is reported. In much of rural Guatemala, hospitals are more like ill-equipped health centers, Lopes said, and “don’t have the equipment or capacity to receive people. Even when there’s no pandemic, they still don’t treat people.”</w:t>
      </w:r>
    </w:p>
    <w:p w14:paraId="46AE5853" w14:textId="77777777" w:rsidR="000B26B7" w:rsidRPr="00AD1EE5" w:rsidRDefault="000B26B7" w:rsidP="000B26B7">
      <w:pPr>
        <w:rPr>
          <w:sz w:val="12"/>
          <w:szCs w:val="12"/>
        </w:rPr>
      </w:pPr>
      <w:r w:rsidRPr="00AD1EE5">
        <w:rPr>
          <w:sz w:val="12"/>
          <w:szCs w:val="12"/>
        </w:rPr>
        <w:t>A strict lockdown enforced by the military and police in Indigenous communities has also increased hunger and malnutrition, already a problem in the long-suffering region wracked by drought and climate change. “They have locked us up in our homes, and there is no work,” said Lopes. “People can’t go to their land to collect or cultivate their food.” Since the lockdown began in mid-March, families suffering from hunger have descended from the mountains, waving white flags to signify that they are starving. They now line the streets of towns and the sides of highways asking for help. “I have never seen something like this in my life,” Lopes said. “Every day it is very tense, very difficult.”</w:t>
      </w:r>
    </w:p>
    <w:p w14:paraId="297F401F" w14:textId="77777777" w:rsidR="000B26B7" w:rsidRPr="00AD1EE5" w:rsidRDefault="000B26B7" w:rsidP="000B26B7">
      <w:pPr>
        <w:rPr>
          <w:sz w:val="12"/>
          <w:szCs w:val="12"/>
        </w:rPr>
      </w:pPr>
      <w:r w:rsidRPr="00AD1EE5">
        <w:rPr>
          <w:sz w:val="12"/>
          <w:szCs w:val="12"/>
        </w:rPr>
        <w:t>Families can’t afford food, let alone face masks or hand sanitizer, she said. “It is a total lie that the government is helping the rural areas. They say they’ve sent supplies, but it’s a lie. The help hasn’t arrived in our communities.”</w:t>
      </w:r>
    </w:p>
    <w:p w14:paraId="11CBA22E" w14:textId="77777777" w:rsidR="000B26B7" w:rsidRPr="00AD1EE5" w:rsidRDefault="000B26B7" w:rsidP="000B26B7">
      <w:pPr>
        <w:rPr>
          <w:sz w:val="12"/>
          <w:szCs w:val="12"/>
        </w:rPr>
      </w:pPr>
      <w:r w:rsidRPr="00AD1EE5">
        <w:rPr>
          <w:sz w:val="12"/>
          <w:szCs w:val="12"/>
        </w:rPr>
        <w:t>Guatemala was already reeling after Trump cut foreign aid to the country in 2019, because he claimed that it wasn’t doing enough to prevent migration to the United States. The rate of malnutrition in Indigenous communities is close to 65 percent. Programs run by Mercy Corps, Save the Children, and other nonprofits that provided food assistance were discontinued due to lack of funding. A longtime U.S. congressional staffer who specializes in Latin American policy, who asked not to be named since he fears reprisal, said that aid to the Northern Triangle had been provided in a bipartisan manner for decades until the Trump administration ended it. Cutting foreign aid was an “incredibly counterproductive move, because this funding was addressing the root causes of migration,” he said. “And stopping people from making the dangerous trek in the first place.”</w:t>
      </w:r>
    </w:p>
    <w:p w14:paraId="4C198C09" w14:textId="77777777" w:rsidR="000B26B7" w:rsidRPr="00AD1EE5" w:rsidRDefault="000B26B7" w:rsidP="000B26B7">
      <w:pPr>
        <w:rPr>
          <w:sz w:val="12"/>
          <w:szCs w:val="12"/>
        </w:rPr>
      </w:pPr>
      <w:r w:rsidRPr="00AD1EE5">
        <w:rPr>
          <w:sz w:val="12"/>
          <w:szCs w:val="12"/>
        </w:rPr>
        <w:t>It would be difficult to find many in the State Department, he said, who thought cutting the funding was good policy. “I mean, this is coming directly from the top,” he said. “This was, you know, a typical tweet by Trump and then the State Department has to go into full gear and figure out what to do next.”</w:t>
      </w:r>
    </w:p>
    <w:p w14:paraId="0B1E207F" w14:textId="77777777" w:rsidR="000B26B7" w:rsidRDefault="000B26B7" w:rsidP="000B26B7">
      <w:r>
        <w:t>“</w:t>
      </w:r>
      <w:r w:rsidRPr="00AD1EE5">
        <w:rPr>
          <w:rStyle w:val="StyleUnderline"/>
        </w:rPr>
        <w:t>The only thing this administration cares about is, Are they taking our deportees? And will they work with us in enforcing draconian immigration policies</w:t>
      </w:r>
      <w:r>
        <w:t>?”</w:t>
      </w:r>
    </w:p>
    <w:p w14:paraId="1DD158D8" w14:textId="77777777" w:rsidR="000B26B7" w:rsidRPr="000B26B7" w:rsidRDefault="000B26B7" w:rsidP="000B26B7">
      <w:pPr>
        <w:rPr>
          <w:sz w:val="16"/>
        </w:rPr>
      </w:pPr>
      <w:r w:rsidRPr="000B26B7">
        <w:rPr>
          <w:sz w:val="16"/>
        </w:rPr>
        <w:t>Even when Trump announced in October that he would restore some funding, the congressional aide said, much of it was to be earmarked for law enforcement rather than development and food security. “They would argue that the security funding is needed to stem the migration, but I think that’s ludicrous,” he said. “I mean it’s one piece of the puzzle, but if you don’t have a food secure western highland region in Guatemala and people are starving, then they’re going to migrate. You need both pieces.”</w:t>
      </w:r>
    </w:p>
    <w:p w14:paraId="034A0C7F" w14:textId="77777777" w:rsidR="000B26B7" w:rsidRPr="000B26B7" w:rsidRDefault="000B26B7" w:rsidP="000B26B7">
      <w:pPr>
        <w:rPr>
          <w:sz w:val="16"/>
        </w:rPr>
      </w:pPr>
      <w:r w:rsidRPr="000B26B7">
        <w:rPr>
          <w:sz w:val="16"/>
        </w:rPr>
        <w:t xml:space="preserve">But </w:t>
      </w:r>
      <w:r w:rsidRPr="00AD1EE5">
        <w:rPr>
          <w:rStyle w:val="Emphasis"/>
        </w:rPr>
        <w:t>migration trumps everything</w:t>
      </w:r>
      <w:r w:rsidRPr="000B26B7">
        <w:rPr>
          <w:sz w:val="16"/>
        </w:rPr>
        <w:t xml:space="preserve"> in this administration, he said, including growing concerns about leaders in the region exploiting the pandemic to consolidate power. The Trump administration has stood by without protest while “President Bukele is becoming increasingly authoritarian,” he said of El Salvador’s new president, Nayib Bukele, who has given the police broad authority to use deadly force and arrest anyone violating quarantine. Bukele also ordered hundreds of prisoners stripped to their underwear and packed tightly together in a prison patio as a show of force against gang leaders. The U.S. administration didn’t speak up either, he said, when Honduran President Juan Orlando Hernández, who is being investigated for drug trafficking by the U.S. Justice Department, ended his country’s anti-corruption commission in January. And it remained silent last September when Guatemala dissolved its own U.N.-backed anti-corruption commission.</w:t>
      </w:r>
    </w:p>
    <w:p w14:paraId="4ACE1630" w14:textId="77777777" w:rsidR="000B26B7" w:rsidRPr="00AD1EE5" w:rsidRDefault="000B26B7" w:rsidP="000B26B7">
      <w:pPr>
        <w:rPr>
          <w:sz w:val="12"/>
          <w:szCs w:val="12"/>
        </w:rPr>
      </w:pPr>
      <w:r w:rsidRPr="00AD1EE5">
        <w:rPr>
          <w:sz w:val="12"/>
          <w:szCs w:val="12"/>
        </w:rPr>
        <w:t>“The only thing this administration cares about is, Are they taking our deportees? And will they work with us in enforcing draconian immigration policies? Anything else is irrelevant,” he said.</w:t>
      </w:r>
    </w:p>
    <w:p w14:paraId="5F36162A" w14:textId="77777777" w:rsidR="000B26B7" w:rsidRPr="00AD1EE5" w:rsidRDefault="000B26B7" w:rsidP="000B26B7">
      <w:pPr>
        <w:rPr>
          <w:rStyle w:val="StyleUnderline"/>
        </w:rPr>
      </w:pPr>
      <w:r w:rsidRPr="00AD1EE5">
        <w:rPr>
          <w:rStyle w:val="StyleUnderline"/>
        </w:rPr>
        <w:t>Everything the administration is doing now</w:t>
      </w:r>
      <w:r w:rsidRPr="00AD1EE5">
        <w:rPr>
          <w:sz w:val="14"/>
        </w:rPr>
        <w:t xml:space="preserve">, from cutting aid to </w:t>
      </w:r>
      <w:r w:rsidRPr="00AD1EE5">
        <w:rPr>
          <w:rStyle w:val="StyleUnderline"/>
        </w:rPr>
        <w:t>deporting people infected with the coronavirus</w:t>
      </w:r>
      <w:r w:rsidRPr="00AD1EE5">
        <w:rPr>
          <w:sz w:val="14"/>
        </w:rPr>
        <w:t xml:space="preserve"> and paying no heed to growing corruption, </w:t>
      </w:r>
      <w:r w:rsidRPr="00AD1EE5">
        <w:rPr>
          <w:rStyle w:val="StyleUnderline"/>
        </w:rPr>
        <w:t>will only further destabilize the region</w:t>
      </w:r>
      <w:r w:rsidRPr="00AD1EE5">
        <w:rPr>
          <w:sz w:val="14"/>
        </w:rPr>
        <w:t>. “</w:t>
      </w:r>
      <w:r w:rsidRPr="00AD1EE5">
        <w:rPr>
          <w:rStyle w:val="StyleUnderline"/>
        </w:rPr>
        <w:t>You might not see it today because of the pandemic or because of current immigration</w:t>
      </w:r>
      <w:r w:rsidRPr="00AD1EE5">
        <w:rPr>
          <w:sz w:val="14"/>
        </w:rPr>
        <w:t xml:space="preserve"> policies,” he said. </w:t>
      </w:r>
      <w:r w:rsidRPr="00AD1EE5">
        <w:rPr>
          <w:rStyle w:val="StyleUnderline"/>
        </w:rPr>
        <w:t>But abandoning Central America will have long-term consequences. “There will be more children, more families who are going to take the dangerous journey north.”</w:t>
      </w:r>
    </w:p>
    <w:p w14:paraId="38FD3B39" w14:textId="77777777" w:rsidR="000B26B7" w:rsidRPr="00AD1EE5" w:rsidRDefault="000B26B7" w:rsidP="000B26B7">
      <w:pPr>
        <w:rPr>
          <w:sz w:val="14"/>
        </w:rPr>
      </w:pPr>
      <w:r w:rsidRPr="00AD1EE5">
        <w:rPr>
          <w:sz w:val="14"/>
        </w:rPr>
        <w:t xml:space="preserve">Rosal, the political commentator from </w:t>
      </w:r>
      <w:r w:rsidRPr="00AD1EE5">
        <w:rPr>
          <w:rStyle w:val="StyleUnderline"/>
        </w:rPr>
        <w:t>Guatemala</w:t>
      </w:r>
      <w:r w:rsidRPr="00AD1EE5">
        <w:rPr>
          <w:sz w:val="14"/>
        </w:rPr>
        <w:t xml:space="preserve"> City, said that ultimately his country, like so many others, believes that it has little choice but to acquiesce to the demands of its more powerful benefactor to the north. “We </w:t>
      </w:r>
      <w:r w:rsidRPr="00AD1EE5">
        <w:rPr>
          <w:rStyle w:val="StyleUnderline"/>
        </w:rPr>
        <w:t>can neither afford to accept the flights nor reject them</w:t>
      </w:r>
      <w:r w:rsidRPr="00AD1EE5">
        <w:rPr>
          <w:sz w:val="14"/>
        </w:rPr>
        <w:t>,” he said. “</w:t>
      </w:r>
      <w:r w:rsidRPr="00AD1EE5">
        <w:rPr>
          <w:rStyle w:val="StyleUnderline"/>
        </w:rPr>
        <w:t>Either way, we lose</w:t>
      </w:r>
      <w:r w:rsidRPr="00AD1EE5">
        <w:rPr>
          <w:sz w:val="14"/>
        </w:rPr>
        <w:t>.”</w:t>
      </w:r>
    </w:p>
    <w:p w14:paraId="626057FD" w14:textId="77777777" w:rsidR="00C3543B" w:rsidRPr="00C3543B" w:rsidRDefault="00C3543B" w:rsidP="00C3543B"/>
    <w:p w14:paraId="0C78011A" w14:textId="27D30921" w:rsidR="00C3543B" w:rsidRPr="00CF0A60" w:rsidRDefault="00C3543B" w:rsidP="00C3543B">
      <w:pPr>
        <w:pStyle w:val="Heading4"/>
      </w:pPr>
      <w:r>
        <w:t>Deportations destabilize Latin America.</w:t>
      </w:r>
    </w:p>
    <w:p w14:paraId="72CEF88A" w14:textId="77777777" w:rsidR="00C3543B" w:rsidRDefault="00C3543B" w:rsidP="00C3543B">
      <w:r>
        <w:rPr>
          <w:rStyle w:val="Style13ptBold"/>
        </w:rPr>
        <w:t>KBI 20</w:t>
      </w:r>
      <w:r>
        <w:t xml:space="preserve"> – Kino Border Initiative, binational nonprofit organization that works in the area of migration, June 16</w:t>
      </w:r>
      <w:r w:rsidRPr="00150633">
        <w:rPr>
          <w:vertAlign w:val="superscript"/>
        </w:rPr>
        <w:t>th</w:t>
      </w:r>
      <w:r>
        <w:t xml:space="preserve"> ("Deportations in the Time of Covid," Kino Border Initiative, available online at https://www.kinoborderinitiative.org/deportations-in-the-time-of-covid/, accessed 7-3-2020) LR</w:t>
      </w:r>
    </w:p>
    <w:p w14:paraId="0921CBE2" w14:textId="77777777" w:rsidR="00C3543B" w:rsidRDefault="00C3543B" w:rsidP="00C3543B">
      <w:pPr>
        <w:rPr>
          <w:sz w:val="16"/>
        </w:rPr>
      </w:pPr>
      <w:r w:rsidRPr="0052481B">
        <w:rPr>
          <w:sz w:val="16"/>
        </w:rPr>
        <w:t xml:space="preserve">The Trump administration’s misguided motives surrounding immigration and public health are evident when examining the alarming data surrounding deportations during the coronavirus pandemic. </w:t>
      </w:r>
      <w:r w:rsidRPr="0052481B">
        <w:rPr>
          <w:rStyle w:val="StyleUnderline"/>
        </w:rPr>
        <w:t xml:space="preserve">Since the start of the pandemic, hundreds of </w:t>
      </w:r>
      <w:r w:rsidRPr="00B579B3">
        <w:rPr>
          <w:rStyle w:val="Emphasis"/>
        </w:rPr>
        <w:t>deportation flights</w:t>
      </w:r>
      <w:r w:rsidRPr="0052481B">
        <w:rPr>
          <w:rStyle w:val="StyleUnderline"/>
        </w:rPr>
        <w:t xml:space="preserve"> from the U.S. to at least 11 Latin American countries have occurred. Most of these countries do not have the health-care infrastructure to adequately treat the virus already present within their countries, much less the increased infections</w:t>
      </w:r>
      <w:r w:rsidRPr="0052481B">
        <w:rPr>
          <w:sz w:val="16"/>
        </w:rPr>
        <w:t xml:space="preserve"> that results </w:t>
      </w:r>
      <w:r w:rsidRPr="0052481B">
        <w:rPr>
          <w:rStyle w:val="StyleUnderline"/>
        </w:rPr>
        <w:t>from hundreds of people being removed from the United States</w:t>
      </w:r>
      <w:r w:rsidRPr="0052481B">
        <w:rPr>
          <w:sz w:val="16"/>
        </w:rPr>
        <w:t xml:space="preserve">, the country with the highest number of infections worldwide. Moreover, </w:t>
      </w:r>
      <w:r w:rsidRPr="0052481B">
        <w:rPr>
          <w:rStyle w:val="StyleUnderline"/>
        </w:rPr>
        <w:t>the conditions that</w:t>
      </w:r>
      <w:r w:rsidRPr="0052481B">
        <w:rPr>
          <w:sz w:val="16"/>
        </w:rPr>
        <w:t xml:space="preserve"> many </w:t>
      </w:r>
      <w:r w:rsidRPr="0052481B">
        <w:rPr>
          <w:rStyle w:val="StyleUnderline"/>
        </w:rPr>
        <w:t>people are being deported from tend to be</w:t>
      </w:r>
      <w:r w:rsidRPr="0052481B">
        <w:rPr>
          <w:sz w:val="16"/>
        </w:rPr>
        <w:t xml:space="preserve"> places such as </w:t>
      </w:r>
      <w:r w:rsidRPr="0052481B">
        <w:rPr>
          <w:rStyle w:val="StyleUnderline"/>
        </w:rPr>
        <w:t xml:space="preserve">detention centers where rates of </w:t>
      </w:r>
      <w:r w:rsidRPr="00B579B3">
        <w:rPr>
          <w:rStyle w:val="Emphasis"/>
        </w:rPr>
        <w:t>infection are widespread</w:t>
      </w:r>
      <w:r w:rsidRPr="0052481B">
        <w:rPr>
          <w:sz w:val="16"/>
        </w:rPr>
        <w:t xml:space="preserve"> due to an appalling lack of official measures taken to address the presence of the virus. Finally, placing </w:t>
      </w:r>
      <w:r w:rsidRPr="0052481B">
        <w:rPr>
          <w:rStyle w:val="StyleUnderline"/>
        </w:rPr>
        <w:t>people in close quarters for hours on end during deportation flights creates another condition where the virus can spread</w:t>
      </w:r>
      <w:r w:rsidRPr="0052481B">
        <w:rPr>
          <w:sz w:val="16"/>
        </w:rPr>
        <w:t>—</w:t>
      </w:r>
      <w:r w:rsidRPr="0052481B">
        <w:rPr>
          <w:rStyle w:val="StyleUnderline"/>
        </w:rPr>
        <w:t>to</w:t>
      </w:r>
      <w:r w:rsidRPr="0052481B">
        <w:rPr>
          <w:sz w:val="16"/>
        </w:rPr>
        <w:t xml:space="preserve"> the </w:t>
      </w:r>
      <w:r w:rsidRPr="0052481B">
        <w:rPr>
          <w:rStyle w:val="StyleUnderline"/>
        </w:rPr>
        <w:t>migrants being deported</w:t>
      </w:r>
      <w:r w:rsidRPr="0052481B">
        <w:rPr>
          <w:sz w:val="16"/>
        </w:rPr>
        <w:t xml:space="preserve"> on the flight; to the </w:t>
      </w:r>
      <w:r w:rsidRPr="0052481B">
        <w:rPr>
          <w:rStyle w:val="StyleUnderline"/>
        </w:rPr>
        <w:t>family, friends, and communities</w:t>
      </w:r>
      <w:r w:rsidRPr="0052481B">
        <w:rPr>
          <w:sz w:val="16"/>
        </w:rPr>
        <w:t xml:space="preserve"> they will interact with upon returning; </w:t>
      </w:r>
      <w:r w:rsidRPr="0052481B">
        <w:rPr>
          <w:rStyle w:val="StyleUnderline"/>
        </w:rPr>
        <w:t>and</w:t>
      </w:r>
      <w:r w:rsidRPr="0052481B">
        <w:rPr>
          <w:sz w:val="16"/>
        </w:rPr>
        <w:t xml:space="preserve"> to the U.S.-based </w:t>
      </w:r>
      <w:r w:rsidRPr="0052481B">
        <w:rPr>
          <w:rStyle w:val="StyleUnderline"/>
        </w:rPr>
        <w:t>agents</w:t>
      </w:r>
      <w:r w:rsidRPr="0052481B">
        <w:rPr>
          <w:sz w:val="16"/>
        </w:rPr>
        <w:t xml:space="preserve"> who staff the flights and </w:t>
      </w:r>
      <w:r w:rsidRPr="0052481B">
        <w:rPr>
          <w:rStyle w:val="StyleUnderline"/>
        </w:rPr>
        <w:t xml:space="preserve">have a </w:t>
      </w:r>
      <w:r w:rsidRPr="00B579B3">
        <w:rPr>
          <w:rStyle w:val="Emphasis"/>
        </w:rPr>
        <w:t>high likelihood of contracting</w:t>
      </w:r>
      <w:r w:rsidRPr="0052481B">
        <w:rPr>
          <w:sz w:val="16"/>
        </w:rPr>
        <w:t xml:space="preserve"> the virus </w:t>
      </w:r>
      <w:r w:rsidRPr="0052481B">
        <w:rPr>
          <w:rStyle w:val="StyleUnderline"/>
        </w:rPr>
        <w:t>and</w:t>
      </w:r>
      <w:r w:rsidRPr="0052481B">
        <w:rPr>
          <w:sz w:val="16"/>
        </w:rPr>
        <w:t xml:space="preserve"> thereby </w:t>
      </w:r>
      <w:r w:rsidRPr="0052481B">
        <w:rPr>
          <w:rStyle w:val="StyleUnderline"/>
        </w:rPr>
        <w:t>infecting communities</w:t>
      </w:r>
      <w:r w:rsidRPr="0052481B">
        <w:rPr>
          <w:sz w:val="16"/>
        </w:rPr>
        <w:t xml:space="preserve"> in the U.S.</w:t>
      </w:r>
    </w:p>
    <w:p w14:paraId="7097596B" w14:textId="77777777" w:rsidR="00C3543B" w:rsidRPr="0052481B" w:rsidRDefault="00C3543B" w:rsidP="00C3543B">
      <w:pPr>
        <w:rPr>
          <w:sz w:val="16"/>
          <w:szCs w:val="16"/>
        </w:rPr>
      </w:pPr>
      <w:r w:rsidRPr="0052481B">
        <w:rPr>
          <w:sz w:val="16"/>
          <w:szCs w:val="16"/>
        </w:rPr>
        <w:t>This practice reveals the hypocrisy of the president’s rhetoric surrounding public health and the coronavirus. If the Trump administration were truly concerned with public health, they would create situations where families and individuals could safely quarantine before reuniting with family members; they would mandate the practice of public-health practices by U.S. agents; they would release large numbers of people from immigration detention; and they would halt all deportations, as the United Nations Network on Migration makes clear as a public-health imperative. The absence of these practices results in far more widespread infections, globally and in the U.S.</w:t>
      </w:r>
    </w:p>
    <w:p w14:paraId="794E402D" w14:textId="478AE8FC" w:rsidR="00C3543B" w:rsidRDefault="00C3543B" w:rsidP="00C3543B">
      <w:pPr>
        <w:rPr>
          <w:sz w:val="16"/>
        </w:rPr>
      </w:pPr>
      <w:r w:rsidRPr="00B579B3">
        <w:rPr>
          <w:sz w:val="16"/>
        </w:rPr>
        <w:t xml:space="preserve">This article addresses the </w:t>
      </w:r>
      <w:r w:rsidRPr="00B579B3">
        <w:rPr>
          <w:rStyle w:val="StyleUnderline"/>
        </w:rPr>
        <w:t>multiple threats to</w:t>
      </w:r>
      <w:r w:rsidRPr="00B579B3">
        <w:rPr>
          <w:sz w:val="16"/>
        </w:rPr>
        <w:t xml:space="preserve"> individuals’, community, and </w:t>
      </w:r>
      <w:r w:rsidRPr="00B579B3">
        <w:rPr>
          <w:rStyle w:val="StyleUnderline"/>
        </w:rPr>
        <w:t>international health and safety because of deportations</w:t>
      </w:r>
      <w:r w:rsidRPr="00B579B3">
        <w:rPr>
          <w:sz w:val="16"/>
        </w:rPr>
        <w:t xml:space="preserve"> during the pandemic: </w:t>
      </w:r>
      <w:r w:rsidRPr="00B579B3">
        <w:rPr>
          <w:rStyle w:val="StyleUnderline"/>
        </w:rPr>
        <w:t xml:space="preserve">by adding infections to already </w:t>
      </w:r>
      <w:r w:rsidRPr="00B579B3">
        <w:rPr>
          <w:sz w:val="16"/>
        </w:rPr>
        <w:t>overwhelmed health</w:t>
      </w:r>
      <w:r w:rsidRPr="00B579B3">
        <w:rPr>
          <w:rStyle w:val="StyleUnderline"/>
        </w:rPr>
        <w:t>-care systems</w:t>
      </w:r>
      <w:r w:rsidRPr="00B579B3">
        <w:rPr>
          <w:sz w:val="16"/>
        </w:rPr>
        <w:t xml:space="preserve">, by </w:t>
      </w:r>
      <w:r w:rsidRPr="00B579B3">
        <w:rPr>
          <w:rStyle w:val="StyleUnderline"/>
        </w:rPr>
        <w:t>forcing people to live</w:t>
      </w:r>
      <w:r w:rsidRPr="00B579B3">
        <w:rPr>
          <w:sz w:val="16"/>
        </w:rPr>
        <w:t xml:space="preserve"> in </w:t>
      </w:r>
      <w:r w:rsidRPr="00B579B3">
        <w:rPr>
          <w:rStyle w:val="StyleUnderline"/>
        </w:rPr>
        <w:t>or travel under conditions where social distancing is impossible, and</w:t>
      </w:r>
      <w:r w:rsidRPr="00B579B3">
        <w:rPr>
          <w:sz w:val="16"/>
        </w:rPr>
        <w:t xml:space="preserve"> with the appalling practice of </w:t>
      </w:r>
      <w:r w:rsidRPr="00B579B3">
        <w:rPr>
          <w:rStyle w:val="StyleUnderline"/>
        </w:rPr>
        <w:t xml:space="preserve">deporting unaccompanied children. </w:t>
      </w:r>
      <w:r w:rsidRPr="00B579B3">
        <w:rPr>
          <w:sz w:val="16"/>
        </w:rPr>
        <w:t xml:space="preserve">All of these are </w:t>
      </w:r>
      <w:r w:rsidRPr="00B579B3">
        <w:rPr>
          <w:rStyle w:val="StyleUnderline"/>
        </w:rPr>
        <w:t>combined with challenges in</w:t>
      </w:r>
      <w:r w:rsidRPr="00B579B3">
        <w:rPr>
          <w:sz w:val="16"/>
        </w:rPr>
        <w:t xml:space="preserve"> the </w:t>
      </w:r>
      <w:r w:rsidRPr="00B579B3">
        <w:rPr>
          <w:rStyle w:val="StyleUnderline"/>
        </w:rPr>
        <w:t>countries of origin</w:t>
      </w:r>
      <w:r w:rsidRPr="00B579B3">
        <w:rPr>
          <w:sz w:val="16"/>
        </w:rPr>
        <w:t xml:space="preserve">, such as </w:t>
      </w:r>
      <w:r w:rsidRPr="00B579B3">
        <w:rPr>
          <w:rStyle w:val="Emphasis"/>
        </w:rPr>
        <w:t>poverty, violence, food insecurity</w:t>
      </w:r>
      <w:r w:rsidRPr="00B579B3">
        <w:rPr>
          <w:rStyle w:val="StyleUnderline"/>
        </w:rPr>
        <w:t>, and human rights violations.</w:t>
      </w:r>
      <w:r w:rsidRPr="00B579B3">
        <w:rPr>
          <w:sz w:val="16"/>
        </w:rPr>
        <w:t xml:space="preserve"> To make matters even more complex, countries who cooperate with the United State to gain access to benefits such as humanitarian aid and work and tourism visas find themselves in the position of being denied necessary economic support if they do not comply with the deportations.</w:t>
      </w:r>
    </w:p>
    <w:p w14:paraId="44143D0B" w14:textId="77777777" w:rsidR="006D1153" w:rsidRDefault="006D1153" w:rsidP="006D1153">
      <w:pPr>
        <w:pStyle w:val="Heading4"/>
      </w:pPr>
      <w:r>
        <w:t xml:space="preserve">Deportations further instability – </w:t>
      </w:r>
      <w:r w:rsidRPr="00D62D78">
        <w:rPr>
          <w:u w:val="single"/>
        </w:rPr>
        <w:t>strains resources</w:t>
      </w:r>
      <w:r>
        <w:t xml:space="preserve">. </w:t>
      </w:r>
    </w:p>
    <w:p w14:paraId="5776A23E" w14:textId="77777777" w:rsidR="006D1153" w:rsidRDefault="006D1153" w:rsidP="006D1153">
      <w:r>
        <w:rPr>
          <w:rStyle w:val="Style13ptBold"/>
        </w:rPr>
        <w:t>Charles and Madan 20</w:t>
      </w:r>
      <w:r>
        <w:t xml:space="preserve"> – Jacqueline Charles, Reveal Fellow at the Center for Investigative Reporting, and Monique O. Madan, winner of the 2018 Maria Moors Cabot Prize which is the most prestigious award for coverage of the Americas, May 10</w:t>
      </w:r>
      <w:r w:rsidRPr="003979AB">
        <w:rPr>
          <w:vertAlign w:val="superscript"/>
        </w:rPr>
        <w:t>th</w:t>
      </w:r>
      <w:r>
        <w:t xml:space="preserve"> ("Haiti coronavirus panel demands that ICE halt deportations until pandemic is controlled," Miami Herald, available online at https://www.miamiherald.com/news/local/immigration/article242637741.html, accessed 7-6-2020) LR</w:t>
      </w:r>
    </w:p>
    <w:p w14:paraId="7D3AF6CB" w14:textId="77777777" w:rsidR="006D1153" w:rsidRPr="009F44D7" w:rsidRDefault="006D1153" w:rsidP="006D1153">
      <w:pPr>
        <w:rPr>
          <w:sz w:val="16"/>
        </w:rPr>
      </w:pPr>
      <w:r w:rsidRPr="009F44D7">
        <w:rPr>
          <w:sz w:val="16"/>
        </w:rPr>
        <w:t xml:space="preserve"> “</w:t>
      </w:r>
      <w:r w:rsidRPr="009F44D7">
        <w:rPr>
          <w:rStyle w:val="StyleUnderline"/>
        </w:rPr>
        <w:t>Transporting people potentially infected with</w:t>
      </w:r>
      <w:r w:rsidRPr="009F44D7">
        <w:rPr>
          <w:sz w:val="16"/>
        </w:rPr>
        <w:t xml:space="preserve"> SARS </w:t>
      </w:r>
      <w:r w:rsidRPr="009F44D7">
        <w:rPr>
          <w:rStyle w:val="StyleUnderline"/>
        </w:rPr>
        <w:t>COV</w:t>
      </w:r>
      <w:r w:rsidRPr="009F44D7">
        <w:rPr>
          <w:sz w:val="16"/>
        </w:rPr>
        <w:t xml:space="preserve">2 </w:t>
      </w:r>
      <w:r w:rsidRPr="009F44D7">
        <w:rPr>
          <w:rStyle w:val="StyleUnderline"/>
        </w:rPr>
        <w:t xml:space="preserve">in an aircraft represents a </w:t>
      </w:r>
      <w:r w:rsidRPr="00621FB5">
        <w:rPr>
          <w:rStyle w:val="Emphasis"/>
        </w:rPr>
        <w:t>high risk of contamination</w:t>
      </w:r>
      <w:r w:rsidRPr="009F44D7">
        <w:rPr>
          <w:rStyle w:val="StyleUnderline"/>
        </w:rPr>
        <w:t xml:space="preserve"> for all passengers including the crew</w:t>
      </w:r>
      <w:r w:rsidRPr="009F44D7">
        <w:rPr>
          <w:sz w:val="16"/>
        </w:rPr>
        <w:t>,” the letter said. “</w:t>
      </w:r>
      <w:r w:rsidRPr="009F44D7">
        <w:rPr>
          <w:rStyle w:val="StyleUnderline"/>
        </w:rPr>
        <w:t>Persons coming</w:t>
      </w:r>
      <w:r w:rsidRPr="009F44D7">
        <w:rPr>
          <w:sz w:val="16"/>
        </w:rPr>
        <w:t xml:space="preserve"> from these territories </w:t>
      </w:r>
      <w:r w:rsidRPr="009F44D7">
        <w:rPr>
          <w:rStyle w:val="StyleUnderline"/>
        </w:rPr>
        <w:t>must be</w:t>
      </w:r>
      <w:r w:rsidRPr="009F44D7">
        <w:rPr>
          <w:sz w:val="16"/>
        </w:rPr>
        <w:t xml:space="preserve"> placed in </w:t>
      </w:r>
      <w:r w:rsidRPr="009F44D7">
        <w:rPr>
          <w:rStyle w:val="StyleUnderline"/>
        </w:rPr>
        <w:t>quarantine and tested</w:t>
      </w:r>
      <w:r w:rsidRPr="009F44D7">
        <w:rPr>
          <w:sz w:val="16"/>
        </w:rPr>
        <w:t xml:space="preserve"> for COVID-19. </w:t>
      </w:r>
      <w:r w:rsidRPr="009F44D7">
        <w:rPr>
          <w:rStyle w:val="StyleUnderline"/>
        </w:rPr>
        <w:t>This results in the use of</w:t>
      </w:r>
      <w:r w:rsidRPr="009F44D7">
        <w:rPr>
          <w:sz w:val="16"/>
        </w:rPr>
        <w:t xml:space="preserve"> human and material </w:t>
      </w:r>
      <w:r w:rsidRPr="009F44D7">
        <w:rPr>
          <w:rStyle w:val="StyleUnderline"/>
        </w:rPr>
        <w:t xml:space="preserve">resources </w:t>
      </w:r>
      <w:r w:rsidRPr="00621FB5">
        <w:rPr>
          <w:rStyle w:val="Emphasis"/>
        </w:rPr>
        <w:t>already limited</w:t>
      </w:r>
      <w:r w:rsidRPr="009F44D7">
        <w:rPr>
          <w:sz w:val="16"/>
        </w:rPr>
        <w:t xml:space="preserve"> in Haiti, </w:t>
      </w:r>
      <w:r w:rsidRPr="009F44D7">
        <w:rPr>
          <w:rStyle w:val="StyleUnderline"/>
        </w:rPr>
        <w:t>especially in the health emergency context</w:t>
      </w:r>
      <w:r w:rsidRPr="009F44D7">
        <w:rPr>
          <w:sz w:val="16"/>
        </w:rPr>
        <w:t>.”</w:t>
      </w:r>
    </w:p>
    <w:p w14:paraId="5A1AB485" w14:textId="77777777" w:rsidR="006D1153" w:rsidRPr="0097014B" w:rsidRDefault="006D1153" w:rsidP="006D1153">
      <w:pPr>
        <w:rPr>
          <w:sz w:val="16"/>
          <w:szCs w:val="16"/>
        </w:rPr>
      </w:pPr>
      <w:r w:rsidRPr="0097014B">
        <w:rPr>
          <w:sz w:val="16"/>
          <w:szCs w:val="16"/>
        </w:rPr>
        <w:t>The Haitian government, the group said in a list of recommendations sent to Haitian Prime Minister Joseph Jouthe on Sunday, should enter into talks with the Trump administration to reach an agreement.</w:t>
      </w:r>
    </w:p>
    <w:p w14:paraId="4D8C2603" w14:textId="77777777" w:rsidR="006D1153" w:rsidRPr="0097014B" w:rsidRDefault="006D1153" w:rsidP="006D1153">
      <w:pPr>
        <w:rPr>
          <w:sz w:val="16"/>
          <w:szCs w:val="16"/>
        </w:rPr>
      </w:pPr>
      <w:r w:rsidRPr="0097014B">
        <w:rPr>
          <w:sz w:val="16"/>
          <w:szCs w:val="16"/>
        </w:rPr>
        <w:t>The recommendations, obtained by the Miami Herald, come hours before an Immigration and Customs Enforcement deportation flight is scheduled to depart Alexandria, Louisiana, with another group of deportees to Haiti early Monday and as the number of confirmed cases of COVID-19 see double-digit increases, almost daily in Haiti.</w:t>
      </w:r>
    </w:p>
    <w:p w14:paraId="149B16D0" w14:textId="77777777" w:rsidR="006D1153" w:rsidRPr="0097014B" w:rsidRDefault="006D1153" w:rsidP="006D1153">
      <w:pPr>
        <w:rPr>
          <w:sz w:val="16"/>
          <w:szCs w:val="16"/>
        </w:rPr>
      </w:pPr>
      <w:r w:rsidRPr="0097014B">
        <w:rPr>
          <w:sz w:val="16"/>
          <w:szCs w:val="16"/>
        </w:rPr>
        <w:t>An initial flight manifest, also obtained by the Herald, had 101 detainees listed — including former death squad leader Emmanuel “Toto” Constant, 50 individuals with criminal backgrounds and at least five detainees who had tested positive for COVID-19.</w:t>
      </w:r>
    </w:p>
    <w:p w14:paraId="1CC6D540" w14:textId="77777777" w:rsidR="006D1153" w:rsidRPr="0097014B" w:rsidRDefault="006D1153" w:rsidP="006D1153">
      <w:pPr>
        <w:rPr>
          <w:sz w:val="16"/>
        </w:rPr>
      </w:pPr>
      <w:r w:rsidRPr="0097014B">
        <w:rPr>
          <w:sz w:val="16"/>
        </w:rPr>
        <w:t xml:space="preserve">Haitian </w:t>
      </w:r>
      <w:r w:rsidRPr="0097014B">
        <w:rPr>
          <w:rStyle w:val="StyleUnderline"/>
        </w:rPr>
        <w:t>authorities</w:t>
      </w:r>
      <w:r w:rsidRPr="0097014B">
        <w:rPr>
          <w:sz w:val="16"/>
        </w:rPr>
        <w:t xml:space="preserve"> said they </w:t>
      </w:r>
      <w:r w:rsidRPr="0097014B">
        <w:rPr>
          <w:rStyle w:val="StyleUnderline"/>
        </w:rPr>
        <w:t>had been told by ICE</w:t>
      </w:r>
      <w:r w:rsidRPr="0097014B">
        <w:rPr>
          <w:sz w:val="16"/>
        </w:rPr>
        <w:t xml:space="preserve"> that </w:t>
      </w:r>
      <w:r w:rsidRPr="0097014B">
        <w:rPr>
          <w:rStyle w:val="StyleUnderline"/>
        </w:rPr>
        <w:t>all deportees would be tested</w:t>
      </w:r>
      <w:r w:rsidRPr="0097014B">
        <w:rPr>
          <w:sz w:val="16"/>
        </w:rPr>
        <w:t xml:space="preserve"> 72 hours before being flown to Port-au-Prince. </w:t>
      </w:r>
      <w:r w:rsidRPr="0097014B">
        <w:rPr>
          <w:rStyle w:val="StyleUnderline"/>
        </w:rPr>
        <w:t>But when</w:t>
      </w:r>
      <w:r w:rsidRPr="0097014B">
        <w:rPr>
          <w:sz w:val="16"/>
        </w:rPr>
        <w:t xml:space="preserve"> the Herald </w:t>
      </w:r>
      <w:r w:rsidRPr="0097014B">
        <w:rPr>
          <w:rStyle w:val="StyleUnderline"/>
        </w:rPr>
        <w:t>checked</w:t>
      </w:r>
      <w:r w:rsidRPr="0097014B">
        <w:rPr>
          <w:sz w:val="16"/>
        </w:rPr>
        <w:t xml:space="preserve"> with the wife of at least one of the </w:t>
      </w:r>
      <w:r w:rsidRPr="0097014B">
        <w:rPr>
          <w:rStyle w:val="StyleUnderline"/>
        </w:rPr>
        <w:t>deportees</w:t>
      </w:r>
      <w:r w:rsidRPr="0097014B">
        <w:rPr>
          <w:sz w:val="16"/>
        </w:rPr>
        <w:t xml:space="preserve">, Stephan Etienne, </w:t>
      </w:r>
      <w:r w:rsidRPr="0097014B">
        <w:rPr>
          <w:rStyle w:val="StyleUnderline"/>
        </w:rPr>
        <w:t>who had twice tested positive</w:t>
      </w:r>
      <w:r w:rsidRPr="0097014B">
        <w:rPr>
          <w:sz w:val="16"/>
        </w:rPr>
        <w:t xml:space="preserve">, he </w:t>
      </w:r>
      <w:r w:rsidRPr="0097014B">
        <w:rPr>
          <w:rStyle w:val="StyleUnderline"/>
        </w:rPr>
        <w:t>still</w:t>
      </w:r>
      <w:r w:rsidRPr="0097014B">
        <w:rPr>
          <w:sz w:val="16"/>
        </w:rPr>
        <w:t xml:space="preserve"> had </w:t>
      </w:r>
      <w:r w:rsidRPr="00621FB5">
        <w:rPr>
          <w:rStyle w:val="Emphasis"/>
        </w:rPr>
        <w:t>not</w:t>
      </w:r>
      <w:r w:rsidRPr="0097014B">
        <w:rPr>
          <w:sz w:val="16"/>
        </w:rPr>
        <w:t xml:space="preserve"> been </w:t>
      </w:r>
      <w:r w:rsidRPr="00621FB5">
        <w:rPr>
          <w:rStyle w:val="Emphasis"/>
        </w:rPr>
        <w:t>tested</w:t>
      </w:r>
      <w:r w:rsidRPr="0097014B">
        <w:rPr>
          <w:sz w:val="16"/>
        </w:rPr>
        <w:t xml:space="preserve"> as of Saturday, she said.</w:t>
      </w:r>
    </w:p>
    <w:p w14:paraId="12EFA7C2" w14:textId="77777777" w:rsidR="006D1153" w:rsidRPr="00AE4E3D" w:rsidRDefault="006D1153" w:rsidP="006D1153">
      <w:pPr>
        <w:rPr>
          <w:sz w:val="16"/>
          <w:szCs w:val="16"/>
        </w:rPr>
      </w:pPr>
      <w:r w:rsidRPr="00AE4E3D">
        <w:rPr>
          <w:sz w:val="16"/>
          <w:szCs w:val="16"/>
        </w:rPr>
        <w:t>On Sunday, Melissa Furtardo said it appeared that her husband, who is being held at the Pine Prairie Correctional Center in Pine Prairie, Louisiana, was not among some of the COVID-19-positive detainees who had been relocated to Alexandria, Louisiana, the staging ground for the deportation flight’s departure.</w:t>
      </w:r>
    </w:p>
    <w:p w14:paraId="0F03771A" w14:textId="77777777" w:rsidR="006D1153" w:rsidRPr="00AE4E3D" w:rsidRDefault="006D1153" w:rsidP="006D1153">
      <w:pPr>
        <w:rPr>
          <w:sz w:val="16"/>
        </w:rPr>
      </w:pPr>
      <w:r w:rsidRPr="00AE4E3D">
        <w:rPr>
          <w:sz w:val="16"/>
        </w:rPr>
        <w:t xml:space="preserve">As of Friday, </w:t>
      </w:r>
      <w:r w:rsidRPr="00AE4E3D">
        <w:rPr>
          <w:rStyle w:val="StyleUnderline"/>
        </w:rPr>
        <w:t>788 ICE detainees</w:t>
      </w:r>
      <w:r w:rsidRPr="00AE4E3D">
        <w:rPr>
          <w:sz w:val="16"/>
        </w:rPr>
        <w:t xml:space="preserve"> who have been administered a COVID-19 test, </w:t>
      </w:r>
      <w:r w:rsidRPr="00AE4E3D">
        <w:rPr>
          <w:rStyle w:val="StyleUnderline"/>
        </w:rPr>
        <w:t>had tested positive</w:t>
      </w:r>
      <w:r w:rsidRPr="00AE4E3D">
        <w:rPr>
          <w:sz w:val="16"/>
        </w:rPr>
        <w:t xml:space="preserve"> for the virus, data shows. </w:t>
      </w:r>
      <w:r w:rsidRPr="00AE4E3D">
        <w:rPr>
          <w:rStyle w:val="StyleUnderline"/>
        </w:rPr>
        <w:t xml:space="preserve">It’s </w:t>
      </w:r>
      <w:r w:rsidRPr="00621FB5">
        <w:rPr>
          <w:rStyle w:val="Emphasis"/>
        </w:rPr>
        <w:t>unclear</w:t>
      </w:r>
      <w:r w:rsidRPr="00AE4E3D">
        <w:rPr>
          <w:rStyle w:val="StyleUnderline"/>
        </w:rPr>
        <w:t xml:space="preserve"> who among</w:t>
      </w:r>
      <w:r w:rsidRPr="00AE4E3D">
        <w:rPr>
          <w:sz w:val="16"/>
        </w:rPr>
        <w:t xml:space="preserve"> the Haitian </w:t>
      </w:r>
      <w:r w:rsidRPr="00AE4E3D">
        <w:rPr>
          <w:rStyle w:val="StyleUnderline"/>
        </w:rPr>
        <w:t>detainees on</w:t>
      </w:r>
      <w:r w:rsidRPr="00AE4E3D">
        <w:rPr>
          <w:sz w:val="16"/>
        </w:rPr>
        <w:t xml:space="preserve"> Monday’s </w:t>
      </w:r>
      <w:r w:rsidRPr="00AE4E3D">
        <w:rPr>
          <w:rStyle w:val="StyleUnderline"/>
        </w:rPr>
        <w:t>flight was in that group.</w:t>
      </w:r>
      <w:r w:rsidRPr="00AE4E3D">
        <w:rPr>
          <w:sz w:val="16"/>
        </w:rPr>
        <w:t xml:space="preserve"> ICE does not provide that information.</w:t>
      </w:r>
    </w:p>
    <w:p w14:paraId="12FCC7B6" w14:textId="77777777" w:rsidR="006D1153" w:rsidRPr="00AE4E3D" w:rsidRDefault="006D1153" w:rsidP="006D1153">
      <w:pPr>
        <w:rPr>
          <w:sz w:val="16"/>
        </w:rPr>
      </w:pPr>
      <w:r w:rsidRPr="00AE4E3D">
        <w:rPr>
          <w:rStyle w:val="StyleUnderline"/>
        </w:rPr>
        <w:t>ICE</w:t>
      </w:r>
      <w:r w:rsidRPr="00AE4E3D">
        <w:rPr>
          <w:sz w:val="16"/>
        </w:rPr>
        <w:t xml:space="preserve"> previously said it would test foreign nationals before they departed, but also </w:t>
      </w:r>
      <w:r w:rsidRPr="00AE4E3D">
        <w:rPr>
          <w:rStyle w:val="StyleUnderline"/>
        </w:rPr>
        <w:t>implied</w:t>
      </w:r>
      <w:r w:rsidRPr="00AE4E3D">
        <w:rPr>
          <w:sz w:val="16"/>
        </w:rPr>
        <w:t xml:space="preserve"> that </w:t>
      </w:r>
      <w:r w:rsidRPr="00AE4E3D">
        <w:rPr>
          <w:rStyle w:val="StyleUnderline"/>
        </w:rPr>
        <w:t>not all might get</w:t>
      </w:r>
      <w:r w:rsidRPr="00AE4E3D">
        <w:rPr>
          <w:sz w:val="16"/>
        </w:rPr>
        <w:t xml:space="preserve"> the </w:t>
      </w:r>
      <w:r w:rsidRPr="00AE4E3D">
        <w:rPr>
          <w:rStyle w:val="StyleUnderline"/>
        </w:rPr>
        <w:t xml:space="preserve">tests because of </w:t>
      </w:r>
      <w:r w:rsidRPr="00621FB5">
        <w:rPr>
          <w:rStyle w:val="Emphasis"/>
        </w:rPr>
        <w:t>limited testing kits</w:t>
      </w:r>
      <w:r w:rsidRPr="00AE4E3D">
        <w:rPr>
          <w:rStyle w:val="StyleUnderline"/>
        </w:rPr>
        <w:t>. In Guatemala</w:t>
      </w:r>
      <w:r w:rsidRPr="00AE4E3D">
        <w:rPr>
          <w:sz w:val="16"/>
        </w:rPr>
        <w:t xml:space="preserve">, a </w:t>
      </w:r>
      <w:r w:rsidRPr="00AE4E3D">
        <w:rPr>
          <w:rStyle w:val="StyleUnderline"/>
        </w:rPr>
        <w:t>deportee</w:t>
      </w:r>
      <w:r w:rsidRPr="00AE4E3D">
        <w:rPr>
          <w:sz w:val="16"/>
        </w:rPr>
        <w:t xml:space="preserve"> who </w:t>
      </w:r>
      <w:r w:rsidRPr="00AE4E3D">
        <w:rPr>
          <w:rStyle w:val="StyleUnderline"/>
        </w:rPr>
        <w:t>came with paperwork saying</w:t>
      </w:r>
      <w:r w:rsidRPr="00AE4E3D">
        <w:rPr>
          <w:sz w:val="16"/>
        </w:rPr>
        <w:t xml:space="preserve"> he was </w:t>
      </w:r>
      <w:r w:rsidRPr="00AE4E3D">
        <w:rPr>
          <w:rStyle w:val="StyleUnderline"/>
        </w:rPr>
        <w:t>negative</w:t>
      </w:r>
      <w:r w:rsidRPr="00AE4E3D">
        <w:rPr>
          <w:sz w:val="16"/>
        </w:rPr>
        <w:t xml:space="preserve"> for the infection, </w:t>
      </w:r>
      <w:r w:rsidRPr="00AE4E3D">
        <w:rPr>
          <w:rStyle w:val="StyleUnderline"/>
        </w:rPr>
        <w:t>turned up positive</w:t>
      </w:r>
      <w:r w:rsidRPr="00AE4E3D">
        <w:rPr>
          <w:sz w:val="16"/>
        </w:rPr>
        <w:t>, according to the Associated Press.</w:t>
      </w:r>
    </w:p>
    <w:p w14:paraId="06864B7D" w14:textId="77777777" w:rsidR="006D1153" w:rsidRPr="00AE4E3D" w:rsidRDefault="006D1153" w:rsidP="006D1153">
      <w:pPr>
        <w:rPr>
          <w:sz w:val="16"/>
          <w:szCs w:val="16"/>
        </w:rPr>
      </w:pPr>
      <w:r w:rsidRPr="00AE4E3D">
        <w:rPr>
          <w:sz w:val="16"/>
          <w:szCs w:val="16"/>
        </w:rPr>
        <w:t>On Sunday, Haiti’s Ministry of Public Health and Population said it had registered 182 confirmed cases, an additional 31 cases from the previous day and three additional deaths for a tally of 15 people killed as a result of the COVID-19 infection. The 8.2 percent death rate is one of the highest in the Caribbean region.</w:t>
      </w:r>
    </w:p>
    <w:p w14:paraId="690AC0FE" w14:textId="77777777" w:rsidR="006D1153" w:rsidRPr="00AE4E3D" w:rsidRDefault="006D1153" w:rsidP="006D1153">
      <w:pPr>
        <w:rPr>
          <w:sz w:val="16"/>
          <w:szCs w:val="16"/>
        </w:rPr>
      </w:pPr>
      <w:r w:rsidRPr="00AE4E3D">
        <w:rPr>
          <w:sz w:val="16"/>
          <w:szCs w:val="16"/>
        </w:rPr>
        <w:t>The Haiti panel, known as the “Scientific Unit,” makes several arguments on why deportation flights to Haiti should be put on hold.</w:t>
      </w:r>
    </w:p>
    <w:p w14:paraId="5C9AAE28" w14:textId="77777777" w:rsidR="006D1153" w:rsidRPr="00AE4E3D" w:rsidRDefault="006D1153" w:rsidP="006D1153">
      <w:pPr>
        <w:rPr>
          <w:sz w:val="16"/>
        </w:rPr>
      </w:pPr>
      <w:r w:rsidRPr="00AE4E3D">
        <w:rPr>
          <w:sz w:val="16"/>
        </w:rPr>
        <w:t xml:space="preserve">The most of prominent is that “the </w:t>
      </w:r>
      <w:r w:rsidRPr="00621FB5">
        <w:rPr>
          <w:rStyle w:val="Emphasis"/>
        </w:rPr>
        <w:t>deportation</w:t>
      </w:r>
      <w:r w:rsidRPr="00AE4E3D">
        <w:rPr>
          <w:sz w:val="16"/>
        </w:rPr>
        <w:t xml:space="preserve"> of people in detention in U.S. prisons </w:t>
      </w:r>
      <w:r w:rsidRPr="00AE4E3D">
        <w:rPr>
          <w:rStyle w:val="StyleUnderline"/>
        </w:rPr>
        <w:t xml:space="preserve">poses a </w:t>
      </w:r>
      <w:r w:rsidRPr="00621FB5">
        <w:rPr>
          <w:rStyle w:val="Emphasis"/>
        </w:rPr>
        <w:t>high risk</w:t>
      </w:r>
      <w:r w:rsidRPr="00AE4E3D">
        <w:rPr>
          <w:rStyle w:val="StyleUnderline"/>
        </w:rPr>
        <w:t xml:space="preserve"> for</w:t>
      </w:r>
      <w:r w:rsidRPr="00AE4E3D">
        <w:rPr>
          <w:sz w:val="16"/>
        </w:rPr>
        <w:t xml:space="preserve"> the </w:t>
      </w:r>
      <w:r w:rsidRPr="00AE4E3D">
        <w:rPr>
          <w:rStyle w:val="StyleUnderline"/>
        </w:rPr>
        <w:t>introduction of strains of</w:t>
      </w:r>
      <w:r w:rsidRPr="00AE4E3D">
        <w:rPr>
          <w:sz w:val="16"/>
        </w:rPr>
        <w:t xml:space="preserve"> the SARS </w:t>
      </w:r>
      <w:r w:rsidRPr="00AE4E3D">
        <w:rPr>
          <w:rStyle w:val="StyleUnderline"/>
        </w:rPr>
        <w:t>COV</w:t>
      </w:r>
      <w:r w:rsidRPr="00AE4E3D">
        <w:rPr>
          <w:sz w:val="16"/>
        </w:rPr>
        <w:t xml:space="preserve">2 virus </w:t>
      </w:r>
      <w:r w:rsidRPr="00AE4E3D">
        <w:rPr>
          <w:rStyle w:val="StyleUnderline"/>
        </w:rPr>
        <w:t>in the</w:t>
      </w:r>
      <w:r w:rsidRPr="00AE4E3D">
        <w:rPr>
          <w:sz w:val="16"/>
        </w:rPr>
        <w:t xml:space="preserve"> national </w:t>
      </w:r>
      <w:r w:rsidRPr="00AE4E3D">
        <w:rPr>
          <w:rStyle w:val="StyleUnderline"/>
        </w:rPr>
        <w:t>territory</w:t>
      </w:r>
      <w:r w:rsidRPr="00AE4E3D">
        <w:rPr>
          <w:sz w:val="16"/>
        </w:rPr>
        <w:t>,” meaning Haiti.</w:t>
      </w:r>
    </w:p>
    <w:p w14:paraId="35182539" w14:textId="77777777" w:rsidR="006D1153" w:rsidRPr="00961995" w:rsidRDefault="006D1153" w:rsidP="006D1153">
      <w:pPr>
        <w:rPr>
          <w:sz w:val="16"/>
        </w:rPr>
      </w:pPr>
      <w:r w:rsidRPr="00961995">
        <w:rPr>
          <w:sz w:val="16"/>
        </w:rPr>
        <w:t xml:space="preserve">The </w:t>
      </w:r>
      <w:r w:rsidRPr="00AE4E3D">
        <w:rPr>
          <w:rStyle w:val="StyleUnderline"/>
        </w:rPr>
        <w:t>deportation flights</w:t>
      </w:r>
      <w:r w:rsidRPr="00961995">
        <w:rPr>
          <w:sz w:val="16"/>
        </w:rPr>
        <w:t xml:space="preserve">, which began last month, </w:t>
      </w:r>
      <w:r w:rsidRPr="00AE4E3D">
        <w:rPr>
          <w:rStyle w:val="StyleUnderline"/>
        </w:rPr>
        <w:t xml:space="preserve">are also a </w:t>
      </w:r>
      <w:r w:rsidRPr="00621FB5">
        <w:rPr>
          <w:rStyle w:val="Emphasis"/>
        </w:rPr>
        <w:t>financial strain</w:t>
      </w:r>
      <w:r w:rsidRPr="00AE4E3D">
        <w:rPr>
          <w:rStyle w:val="StyleUnderline"/>
        </w:rPr>
        <w:t xml:space="preserve"> on</w:t>
      </w:r>
      <w:r w:rsidRPr="00961995">
        <w:rPr>
          <w:sz w:val="16"/>
        </w:rPr>
        <w:t xml:space="preserve"> Haiti’s </w:t>
      </w:r>
      <w:r w:rsidRPr="00621FB5">
        <w:rPr>
          <w:rStyle w:val="Emphasis"/>
        </w:rPr>
        <w:t>meager resources</w:t>
      </w:r>
      <w:r w:rsidRPr="00961995">
        <w:rPr>
          <w:rStyle w:val="StyleUnderline"/>
        </w:rPr>
        <w:t>. Facilities</w:t>
      </w:r>
      <w:r w:rsidRPr="00961995">
        <w:rPr>
          <w:sz w:val="16"/>
        </w:rPr>
        <w:t xml:space="preserve"> that should be </w:t>
      </w:r>
      <w:r w:rsidRPr="00961995">
        <w:rPr>
          <w:rStyle w:val="StyleUnderline"/>
        </w:rPr>
        <w:t>used to quarantine Haitians, who live in confine spaces</w:t>
      </w:r>
      <w:r w:rsidRPr="00961995">
        <w:rPr>
          <w:sz w:val="16"/>
        </w:rPr>
        <w:t xml:space="preserve"> that are often just one room, are </w:t>
      </w:r>
      <w:r w:rsidRPr="00961995">
        <w:rPr>
          <w:rStyle w:val="StyleUnderline"/>
        </w:rPr>
        <w:t>now having to be used for deportees</w:t>
      </w:r>
      <w:r w:rsidRPr="00961995">
        <w:rPr>
          <w:sz w:val="16"/>
        </w:rPr>
        <w:t xml:space="preserve"> every two weeks. </w:t>
      </w:r>
      <w:r w:rsidRPr="00961995">
        <w:rPr>
          <w:rStyle w:val="StyleUnderline"/>
        </w:rPr>
        <w:t>Currently</w:t>
      </w:r>
      <w:r w:rsidRPr="00961995">
        <w:rPr>
          <w:sz w:val="16"/>
        </w:rPr>
        <w:t xml:space="preserve"> there are </w:t>
      </w:r>
      <w:r w:rsidRPr="00961995">
        <w:rPr>
          <w:rStyle w:val="StyleUnderline"/>
        </w:rPr>
        <w:t>only 111-beds available</w:t>
      </w:r>
      <w:r w:rsidRPr="00961995">
        <w:rPr>
          <w:sz w:val="16"/>
        </w:rPr>
        <w:t xml:space="preserve"> in four facilities located in the capital of Port-au-Prince to quarantine COVID-19 cases or those suspected of it for 14 days, the incubation period.</w:t>
      </w:r>
    </w:p>
    <w:p w14:paraId="7A58DCBC" w14:textId="77777777" w:rsidR="006D1153" w:rsidRPr="00961995" w:rsidRDefault="006D1153" w:rsidP="006D1153">
      <w:pPr>
        <w:rPr>
          <w:sz w:val="16"/>
          <w:szCs w:val="16"/>
        </w:rPr>
      </w:pPr>
      <w:r w:rsidRPr="00961995">
        <w:rPr>
          <w:sz w:val="16"/>
          <w:szCs w:val="16"/>
        </w:rPr>
        <w:t>Haiti registered its first positive COVID-19 case on March 19.</w:t>
      </w:r>
    </w:p>
    <w:p w14:paraId="3E19211E" w14:textId="77777777" w:rsidR="006D1153" w:rsidRPr="00961995" w:rsidRDefault="006D1153" w:rsidP="006D1153">
      <w:pPr>
        <w:rPr>
          <w:sz w:val="16"/>
        </w:rPr>
      </w:pPr>
      <w:r w:rsidRPr="00961995">
        <w:rPr>
          <w:sz w:val="16"/>
        </w:rPr>
        <w:t xml:space="preserve">The Pan American Health Organization has warned that </w:t>
      </w:r>
      <w:r w:rsidRPr="00961995">
        <w:rPr>
          <w:rStyle w:val="StyleUnderline"/>
        </w:rPr>
        <w:t xml:space="preserve">Haiti is in for a </w:t>
      </w:r>
      <w:r w:rsidRPr="00621FB5">
        <w:rPr>
          <w:rStyle w:val="Emphasis"/>
        </w:rPr>
        <w:t>deeper crisis</w:t>
      </w:r>
      <w:r w:rsidRPr="00961995">
        <w:rPr>
          <w:rStyle w:val="StyleUnderline"/>
        </w:rPr>
        <w:t xml:space="preserve"> because of the outbreak</w:t>
      </w:r>
      <w:r w:rsidRPr="00961995">
        <w:rPr>
          <w:sz w:val="16"/>
        </w:rPr>
        <w:t xml:space="preserve"> of the virus, and the onslaught of an expected 55,000 Haitians from the Dominican Republic where there are more than 9,000 cases will further strain Haiti’s weak health system’s ability to cope.</w:t>
      </w:r>
    </w:p>
    <w:p w14:paraId="65184973" w14:textId="77777777" w:rsidR="006D1153" w:rsidRPr="00F46BA2" w:rsidRDefault="006D1153" w:rsidP="006D1153">
      <w:pPr>
        <w:rPr>
          <w:sz w:val="16"/>
          <w:szCs w:val="16"/>
        </w:rPr>
      </w:pPr>
      <w:r w:rsidRPr="00F46BA2">
        <w:rPr>
          <w:sz w:val="16"/>
          <w:szCs w:val="16"/>
        </w:rPr>
        <w:t>This is the second time that the Scientific Unit is asking for a halt in flights. But this time it has put the recommendations in writing following similar calls by U.S. lawmakers, immigration advocates, Doctors Without Borders and award winning author Haitian-American author Edwidge Danticat.</w:t>
      </w:r>
    </w:p>
    <w:p w14:paraId="6FC69A8A" w14:textId="77777777" w:rsidR="006D1153" w:rsidRPr="006D1153" w:rsidRDefault="006D1153" w:rsidP="006D1153">
      <w:pPr>
        <w:rPr>
          <w:sz w:val="16"/>
        </w:rPr>
      </w:pPr>
      <w:r w:rsidRPr="00F46BA2">
        <w:rPr>
          <w:sz w:val="16"/>
        </w:rPr>
        <w:t>In an editorial published in the Herald on Sunday, Danticat said “</w:t>
      </w:r>
      <w:r w:rsidRPr="00F46BA2">
        <w:rPr>
          <w:rStyle w:val="StyleUnderline"/>
        </w:rPr>
        <w:t>with</w:t>
      </w:r>
      <w:r w:rsidRPr="00F46BA2">
        <w:rPr>
          <w:sz w:val="16"/>
        </w:rPr>
        <w:t xml:space="preserve"> these ongoing </w:t>
      </w:r>
      <w:r w:rsidRPr="00F46BA2">
        <w:rPr>
          <w:rStyle w:val="StyleUnderline"/>
        </w:rPr>
        <w:t>deportations</w:t>
      </w:r>
      <w:r w:rsidRPr="00F46BA2">
        <w:rPr>
          <w:sz w:val="16"/>
        </w:rPr>
        <w:t xml:space="preserve">, The Trump administration, the Department of Homeland Security and ICE, </w:t>
      </w:r>
      <w:r w:rsidRPr="00F46BA2">
        <w:rPr>
          <w:rStyle w:val="StyleUnderline"/>
        </w:rPr>
        <w:t xml:space="preserve">are not just endangering </w:t>
      </w:r>
      <w:r w:rsidRPr="00F46BA2">
        <w:rPr>
          <w:sz w:val="16"/>
        </w:rPr>
        <w:t xml:space="preserve">the </w:t>
      </w:r>
      <w:r w:rsidRPr="00F46BA2">
        <w:rPr>
          <w:rStyle w:val="StyleUnderline"/>
        </w:rPr>
        <w:t>lives</w:t>
      </w:r>
      <w:r w:rsidRPr="00F46BA2">
        <w:rPr>
          <w:sz w:val="16"/>
        </w:rPr>
        <w:t xml:space="preserve"> of the men, women and children </w:t>
      </w:r>
      <w:r w:rsidRPr="00F46BA2">
        <w:rPr>
          <w:rStyle w:val="StyleUnderline"/>
        </w:rPr>
        <w:t>on</w:t>
      </w:r>
      <w:r w:rsidRPr="00F46BA2">
        <w:rPr>
          <w:sz w:val="16"/>
        </w:rPr>
        <w:t xml:space="preserve"> these </w:t>
      </w:r>
      <w:r w:rsidRPr="00F46BA2">
        <w:rPr>
          <w:rStyle w:val="StyleUnderline"/>
        </w:rPr>
        <w:t>flights</w:t>
      </w:r>
      <w:r w:rsidRPr="00F46BA2">
        <w:rPr>
          <w:sz w:val="16"/>
        </w:rPr>
        <w:t xml:space="preserve">, they are </w:t>
      </w:r>
      <w:r w:rsidRPr="00F46BA2">
        <w:rPr>
          <w:rStyle w:val="StyleUnderline"/>
        </w:rPr>
        <w:t>also</w:t>
      </w:r>
      <w:r w:rsidRPr="00F46BA2">
        <w:rPr>
          <w:sz w:val="16"/>
        </w:rPr>
        <w:t xml:space="preserve"> potentially </w:t>
      </w:r>
      <w:r w:rsidRPr="00621FB5">
        <w:rPr>
          <w:rStyle w:val="Emphasis"/>
        </w:rPr>
        <w:t>condemning entire communities to death</w:t>
      </w:r>
      <w:r w:rsidRPr="00F46BA2">
        <w:rPr>
          <w:sz w:val="16"/>
        </w:rPr>
        <w:t>.”</w:t>
      </w:r>
    </w:p>
    <w:p w14:paraId="53E518F3" w14:textId="0BC78C47" w:rsidR="000B26B7" w:rsidRDefault="000B26B7" w:rsidP="000B26B7">
      <w:pPr>
        <w:pStyle w:val="Heading4"/>
        <w:rPr>
          <w:b w:val="0"/>
          <w:bCs/>
        </w:rPr>
      </w:pPr>
      <w:r>
        <w:t>Deportation wreck Latin American countries.</w:t>
      </w:r>
    </w:p>
    <w:p w14:paraId="16FB15D2" w14:textId="77777777" w:rsidR="000B26B7" w:rsidRPr="00D36366" w:rsidRDefault="000B26B7" w:rsidP="000B26B7">
      <w:r>
        <w:rPr>
          <w:rStyle w:val="Style13ptBold"/>
        </w:rPr>
        <w:t>ICG 4/28</w:t>
      </w:r>
      <w:r>
        <w:rPr>
          <w:rStyle w:val="Style13ptBold"/>
          <w:b w:val="0"/>
          <w:bCs w:val="0"/>
        </w:rPr>
        <w:t xml:space="preserve"> — </w:t>
      </w:r>
      <w:r w:rsidRPr="00D36366">
        <w:t>International Crisis Group. (“</w:t>
      </w:r>
      <w:r>
        <w:t>Deportation and Disease: Central America’s COVID-19 Dilemmas</w:t>
      </w:r>
      <w:r w:rsidRPr="00D36366">
        <w:t>”</w:t>
      </w:r>
      <w:r>
        <w:t xml:space="preserve"> International Crisi Group, April 28, 2020. https://www.crisisgroup.org/latin-america-caribbean/central-america/guatemala/deportation-and-disease-central-americas-covid-19-dilemmas</w:t>
      </w:r>
      <w:r w:rsidRPr="00D36366">
        <w:t>)</w:t>
      </w:r>
      <w:r>
        <w:t>//JLPark</w:t>
      </w:r>
    </w:p>
    <w:p w14:paraId="3980D036" w14:textId="77777777" w:rsidR="000B26B7" w:rsidRPr="00C5148E" w:rsidRDefault="000B26B7" w:rsidP="000B26B7">
      <w:pPr>
        <w:rPr>
          <w:sz w:val="14"/>
        </w:rPr>
      </w:pPr>
      <w:r w:rsidRPr="00C5148E">
        <w:rPr>
          <w:rStyle w:val="StyleUnderline"/>
        </w:rPr>
        <w:t>Under-resourced health systems</w:t>
      </w:r>
      <w:r w:rsidRPr="00C5148E">
        <w:rPr>
          <w:sz w:val="14"/>
        </w:rPr>
        <w:t xml:space="preserve"> and </w:t>
      </w:r>
      <w:r w:rsidRPr="00C5148E">
        <w:rPr>
          <w:rStyle w:val="StyleUnderline"/>
        </w:rPr>
        <w:t>poverty</w:t>
      </w:r>
      <w:r w:rsidRPr="00C5148E">
        <w:rPr>
          <w:sz w:val="14"/>
        </w:rPr>
        <w:t xml:space="preserve">, along with the grassroots power of </w:t>
      </w:r>
      <w:r w:rsidRPr="00C5148E">
        <w:rPr>
          <w:rStyle w:val="StyleUnderline"/>
        </w:rPr>
        <w:t>criminal groups and gangs, make Central American countries highly vulnerable to COVID</w:t>
      </w:r>
      <w:r w:rsidRPr="00C5148E">
        <w:rPr>
          <w:sz w:val="14"/>
        </w:rPr>
        <w:t xml:space="preserve">-19 </w:t>
      </w:r>
      <w:r w:rsidRPr="00C5148E">
        <w:rPr>
          <w:rStyle w:val="StyleUnderline"/>
        </w:rPr>
        <w:t>and the knock-on effects of</w:t>
      </w:r>
      <w:r w:rsidRPr="00C5148E">
        <w:rPr>
          <w:sz w:val="14"/>
        </w:rPr>
        <w:t xml:space="preserve"> national lockdowns on people’s livelihoods and </w:t>
      </w:r>
      <w:r w:rsidRPr="00C5148E">
        <w:rPr>
          <w:rStyle w:val="StyleUnderline"/>
        </w:rPr>
        <w:t>security</w:t>
      </w:r>
      <w:r w:rsidRPr="00C5148E">
        <w:rPr>
          <w:sz w:val="14"/>
        </w:rPr>
        <w:t xml:space="preserve">. </w:t>
      </w:r>
      <w:r w:rsidRPr="00C5148E">
        <w:rPr>
          <w:rStyle w:val="StyleUnderline"/>
        </w:rPr>
        <w:t>But it is the region’s relentless migratory flows, whether legal or undocumented, forced or voluntary, that are shaping up to be the weakest links in virus prevention campaigns</w:t>
      </w:r>
      <w:r w:rsidRPr="00C5148E">
        <w:rPr>
          <w:sz w:val="14"/>
        </w:rPr>
        <w:t xml:space="preserve">. Above all, </w:t>
      </w:r>
      <w:r w:rsidRPr="00C5148E">
        <w:rPr>
          <w:rStyle w:val="StyleUnderline"/>
        </w:rPr>
        <w:t xml:space="preserve">deportations from the U.S. </w:t>
      </w:r>
      <w:r w:rsidRPr="00C5148E">
        <w:rPr>
          <w:sz w:val="14"/>
        </w:rPr>
        <w:t xml:space="preserve">and Mexico </w:t>
      </w:r>
      <w:r w:rsidRPr="00C5148E">
        <w:rPr>
          <w:rStyle w:val="StyleUnderline"/>
        </w:rPr>
        <w:t>now threaten to become leading vectors of southward transmission and could spark worsening unrest</w:t>
      </w:r>
      <w:r w:rsidRPr="00C5148E">
        <w:rPr>
          <w:sz w:val="14"/>
        </w:rPr>
        <w:t xml:space="preserve"> among fearful residents. Central American </w:t>
      </w:r>
      <w:r w:rsidRPr="00C5148E">
        <w:rPr>
          <w:rStyle w:val="StyleUnderline"/>
        </w:rPr>
        <w:t>governments should respond by urging the U.S. either to pause deportations</w:t>
      </w:r>
      <w:r w:rsidRPr="00C5148E">
        <w:rPr>
          <w:sz w:val="14"/>
        </w:rPr>
        <w:t xml:space="preserve"> or to reform how they are handled, ensuring that strict health checks are in place before any more migrants are sent back.</w:t>
      </w:r>
      <w:r w:rsidRPr="00C5148E">
        <w:rPr>
          <w:sz w:val="14"/>
        </w:rPr>
        <w:br/>
      </w:r>
      <w:r w:rsidRPr="00C5148E">
        <w:rPr>
          <w:sz w:val="14"/>
        </w:rPr>
        <w:br/>
        <w:t>Deportations without Testing</w:t>
      </w:r>
    </w:p>
    <w:p w14:paraId="1DC086EE" w14:textId="77777777" w:rsidR="000B26B7" w:rsidRPr="00C5148E" w:rsidRDefault="000B26B7" w:rsidP="000B26B7">
      <w:pPr>
        <w:rPr>
          <w:sz w:val="14"/>
        </w:rPr>
      </w:pPr>
      <w:r w:rsidRPr="00C5148E">
        <w:rPr>
          <w:sz w:val="14"/>
        </w:rPr>
        <w:t xml:space="preserve">While all three northern Central American countries – </w:t>
      </w:r>
      <w:r w:rsidRPr="00C5148E">
        <w:rPr>
          <w:rStyle w:val="StyleUnderline"/>
        </w:rPr>
        <w:t>El Salvador, Guatemala and Honduras</w:t>
      </w:r>
      <w:r w:rsidRPr="00C5148E">
        <w:rPr>
          <w:sz w:val="14"/>
        </w:rPr>
        <w:t xml:space="preserve"> – </w:t>
      </w:r>
      <w:r w:rsidRPr="00C5148E">
        <w:rPr>
          <w:rStyle w:val="StyleUnderline"/>
        </w:rPr>
        <w:t>have banned</w:t>
      </w:r>
      <w:r w:rsidRPr="00C5148E">
        <w:rPr>
          <w:sz w:val="14"/>
        </w:rPr>
        <w:t xml:space="preserve"> passenger air and land </w:t>
      </w:r>
      <w:r w:rsidRPr="00C5148E">
        <w:rPr>
          <w:rStyle w:val="StyleUnderline"/>
        </w:rPr>
        <w:t>travel</w:t>
      </w:r>
      <w:r w:rsidRPr="00C5148E">
        <w:rPr>
          <w:sz w:val="14"/>
        </w:rPr>
        <w:t xml:space="preserve"> in and out of their countries, </w:t>
      </w:r>
      <w:r w:rsidRPr="00C5148E">
        <w:rPr>
          <w:rStyle w:val="StyleUnderline"/>
        </w:rPr>
        <w:t>deportations have not stopped. U.S. flights carrying deportees to Guatemala, Honduras and El Salvador have proceeded on and off</w:t>
      </w:r>
      <w:r w:rsidRPr="00C5148E">
        <w:rPr>
          <w:sz w:val="14"/>
        </w:rPr>
        <w:t xml:space="preserve"> over the past few weeks, though they are now on hold in Guatemala at its government’s request. Meanwhile, deportations overland from Mexico have continued unabated. In total, the U.S. and Mexico have returned at least </w:t>
      </w:r>
      <w:hyperlink r:id="rId26" w:tgtFrame="_blank" w:history="1">
        <w:r w:rsidRPr="00C5148E">
          <w:rPr>
            <w:rStyle w:val="Hyperlink"/>
            <w:sz w:val="14"/>
          </w:rPr>
          <w:t>6,500 Guatemalans</w:t>
        </w:r>
      </w:hyperlink>
      <w:r w:rsidRPr="00C5148E">
        <w:rPr>
          <w:sz w:val="14"/>
        </w:rPr>
        <w:t>, </w:t>
      </w:r>
      <w:hyperlink r:id="rId27" w:tgtFrame="_blank" w:history="1">
        <w:r w:rsidRPr="00C5148E">
          <w:rPr>
            <w:rStyle w:val="Hyperlink"/>
            <w:sz w:val="14"/>
          </w:rPr>
          <w:t>5,000 Hondurans</w:t>
        </w:r>
      </w:hyperlink>
      <w:r w:rsidRPr="00C5148E">
        <w:rPr>
          <w:sz w:val="14"/>
        </w:rPr>
        <w:t> and </w:t>
      </w:r>
      <w:hyperlink r:id="rId28" w:tgtFrame="_blank" w:history="1">
        <w:r w:rsidRPr="00C5148E">
          <w:rPr>
            <w:rStyle w:val="Hyperlink"/>
            <w:sz w:val="14"/>
          </w:rPr>
          <w:t>1,600 Salvadorans</w:t>
        </w:r>
      </w:hyperlink>
      <w:r w:rsidRPr="00C5148E">
        <w:rPr>
          <w:sz w:val="14"/>
        </w:rPr>
        <w:t> between March and mid-April, according to available figures.</w:t>
      </w:r>
    </w:p>
    <w:p w14:paraId="7E050DBB" w14:textId="77777777" w:rsidR="000B26B7" w:rsidRPr="00C5148E" w:rsidRDefault="000B26B7" w:rsidP="000B26B7">
      <w:pPr>
        <w:rPr>
          <w:sz w:val="14"/>
          <w:szCs w:val="14"/>
        </w:rPr>
      </w:pPr>
      <w:r w:rsidRPr="00C5148E">
        <w:rPr>
          <w:sz w:val="14"/>
          <w:szCs w:val="14"/>
        </w:rPr>
        <w:t>Virus testing by U.S. and Mexican migration authorities before deportation, however, has been </w:t>
      </w:r>
      <w:hyperlink r:id="rId29" w:tgtFrame="_blank" w:history="1">
        <w:r w:rsidRPr="00C5148E">
          <w:rPr>
            <w:rStyle w:val="Hyperlink"/>
            <w:sz w:val="14"/>
            <w:szCs w:val="14"/>
          </w:rPr>
          <w:t>far from being reliable or robust</w:t>
        </w:r>
      </w:hyperlink>
      <w:r w:rsidRPr="00C5148E">
        <w:rPr>
          <w:sz w:val="14"/>
          <w:szCs w:val="14"/>
        </w:rPr>
        <w:t>. Although mass testing in South Korea and elsewhere has consistently shown that most carriers of COVID-19 are asymptomatic, the U.S. Centers for Disease Control and Prevention have been testing only those deportees who report symptoms, mainly fever (efforts will reportedly now be made to test up to 2,000 migrants in custody per month). The Guatemalan government has already </w:t>
      </w:r>
      <w:hyperlink r:id="rId30" w:tgtFrame="_blank" w:history="1">
        <w:r w:rsidRPr="00C5148E">
          <w:rPr>
            <w:rStyle w:val="Hyperlink"/>
            <w:sz w:val="14"/>
            <w:szCs w:val="14"/>
          </w:rPr>
          <w:t>confirmed</w:t>
        </w:r>
      </w:hyperlink>
      <w:r w:rsidRPr="00C5148E">
        <w:rPr>
          <w:sz w:val="14"/>
          <w:szCs w:val="14"/>
        </w:rPr>
        <w:t>that 100 deportees have tested positive for the virus, one fifth of the entire tally of recorded cases in the country. But the real total could be higher, as Guatemala only started widespread testing of returning migrants, and setting up ad hoc reception centres, after a 26 March deportation flight arrived bearing various infected passengers. Before that, migrants had been invited to observe a two-week voluntary quarantine. Mexico has identified at least </w:t>
      </w:r>
      <w:hyperlink r:id="rId31" w:tgtFrame="_blank" w:history="1">
        <w:r w:rsidRPr="00C5148E">
          <w:rPr>
            <w:rStyle w:val="Hyperlink"/>
            <w:sz w:val="14"/>
            <w:szCs w:val="14"/>
          </w:rPr>
          <w:t>sixteen Central American migrants</w:t>
        </w:r>
      </w:hyperlink>
      <w:r w:rsidRPr="00C5148E">
        <w:rPr>
          <w:sz w:val="14"/>
          <w:szCs w:val="14"/>
        </w:rPr>
        <w:t> with coronavirus in its northern Tamaulipas department, fourteen of them infected by one migrant previously deported from Houston, Texas.</w:t>
      </w:r>
    </w:p>
    <w:p w14:paraId="22ECC4C2" w14:textId="77777777" w:rsidR="000B26B7" w:rsidRPr="00C5148E" w:rsidRDefault="000B26B7" w:rsidP="000B26B7">
      <w:pPr>
        <w:rPr>
          <w:sz w:val="14"/>
        </w:rPr>
      </w:pPr>
      <w:r w:rsidRPr="00C5148E">
        <w:rPr>
          <w:sz w:val="14"/>
        </w:rPr>
        <w:t>Immigration and Customs Enforcement (</w:t>
      </w:r>
      <w:r w:rsidRPr="00C5148E">
        <w:rPr>
          <w:rStyle w:val="StyleUnderline"/>
        </w:rPr>
        <w:t>ICE</w:t>
      </w:r>
      <w:r w:rsidRPr="00C5148E">
        <w:rPr>
          <w:sz w:val="14"/>
        </w:rPr>
        <w:t xml:space="preserve">) </w:t>
      </w:r>
      <w:r w:rsidRPr="00C5148E">
        <w:rPr>
          <w:rStyle w:val="StyleUnderline"/>
        </w:rPr>
        <w:t>detention facilities in the U.S.,</w:t>
      </w:r>
      <w:r w:rsidRPr="00C5148E">
        <w:rPr>
          <w:sz w:val="14"/>
        </w:rPr>
        <w:t xml:space="preserve"> which host more than 32,000 convicted or illegal migrants, </w:t>
      </w:r>
      <w:r w:rsidRPr="00C5148E">
        <w:rPr>
          <w:rStyle w:val="StyleUnderline"/>
        </w:rPr>
        <w:t>are turning into a hot-spot for COVID-19, intensifying concerns as to the risk of contagion via deportees</w:t>
      </w:r>
      <w:r w:rsidRPr="00C5148E">
        <w:rPr>
          <w:sz w:val="14"/>
        </w:rPr>
        <w:t>. At least 360 migrants held by ICE of only 425 who had access to a test </w:t>
      </w:r>
      <w:hyperlink r:id="rId32" w:tgtFrame="_blank" w:history="1">
        <w:r w:rsidRPr="00C5148E">
          <w:rPr>
            <w:rStyle w:val="Hyperlink"/>
            <w:sz w:val="14"/>
          </w:rPr>
          <w:t>turned out to have been infected</w:t>
        </w:r>
      </w:hyperlink>
      <w:r w:rsidRPr="00C5148E">
        <w:rPr>
          <w:sz w:val="14"/>
        </w:rPr>
        <w:t>, while at least 9,000 Department of Homeland Security (DHS) officials </w:t>
      </w:r>
      <w:hyperlink r:id="rId33" w:tgtFrame="_blank" w:history="1">
        <w:r w:rsidRPr="00C5148E">
          <w:rPr>
            <w:rStyle w:val="Hyperlink"/>
            <w:sz w:val="14"/>
          </w:rPr>
          <w:t>have been sidelined</w:t>
        </w:r>
      </w:hyperlink>
      <w:r w:rsidRPr="00C5148E">
        <w:rPr>
          <w:sz w:val="14"/>
        </w:rPr>
        <w:t> from their official duties after testing positive or having been exposed to the virus. The Mexican government has been slow to react to the pandemic and has taken virtually no preventive measures in its migrant detention centres, according to UN officials and humanitarian workers to whom Crisis Group spoke.</w:t>
      </w:r>
    </w:p>
    <w:p w14:paraId="704509D6" w14:textId="77777777" w:rsidR="000B26B7" w:rsidRPr="00D36366" w:rsidRDefault="000B26B7" w:rsidP="000B26B7">
      <w:pPr>
        <w:rPr>
          <w:sz w:val="16"/>
          <w:szCs w:val="16"/>
        </w:rPr>
      </w:pPr>
      <w:r w:rsidRPr="00C5148E">
        <w:t> </w:t>
      </w:r>
      <w:r w:rsidRPr="00D36366">
        <w:rPr>
          <w:sz w:val="16"/>
          <w:szCs w:val="16"/>
        </w:rPr>
        <w:t>The squalid conditions, coupled with fear of exposure to the virus, have already sparked mutinies in the U.S. and Mexico. </w:t>
      </w:r>
    </w:p>
    <w:p w14:paraId="23973BE6" w14:textId="77777777" w:rsidR="000B26B7" w:rsidRPr="00D36366" w:rsidRDefault="000B26B7" w:rsidP="000B26B7">
      <w:pPr>
        <w:rPr>
          <w:sz w:val="16"/>
          <w:szCs w:val="16"/>
        </w:rPr>
      </w:pPr>
      <w:r w:rsidRPr="00D36366">
        <w:rPr>
          <w:sz w:val="16"/>
          <w:szCs w:val="16"/>
        </w:rPr>
        <w:t>The squalid conditions, coupled with fear of exposure to the virus, have already sparked mutinies in the U.S. and Mexico, where a Guatemalan migrant died in a revolt at a migrant detention centre in Tenosique, Tabasco, </w:t>
      </w:r>
      <w:hyperlink r:id="rId34" w:tgtFrame="_blank" w:history="1">
        <w:r w:rsidRPr="00D36366">
          <w:rPr>
            <w:rStyle w:val="Hyperlink"/>
            <w:sz w:val="16"/>
            <w:szCs w:val="16"/>
          </w:rPr>
          <w:t>at the end of March</w:t>
        </w:r>
      </w:hyperlink>
      <w:r w:rsidRPr="00D36366">
        <w:rPr>
          <w:sz w:val="16"/>
          <w:szCs w:val="16"/>
        </w:rPr>
        <w:t>. After this episode, Mexican authorities started releasing most of the 6,000 migrants stranded in detention facilities, and even </w:t>
      </w:r>
      <w:hyperlink r:id="rId35" w:tgtFrame="_blank" w:history="1">
        <w:r w:rsidRPr="00D36366">
          <w:rPr>
            <w:rStyle w:val="Hyperlink"/>
            <w:sz w:val="16"/>
            <w:szCs w:val="16"/>
          </w:rPr>
          <w:t>shut down</w:t>
        </w:r>
      </w:hyperlink>
      <w:r w:rsidRPr="00D36366">
        <w:rPr>
          <w:sz w:val="16"/>
          <w:szCs w:val="16"/>
        </w:rPr>
        <w:t> the Tenosique facility. One humanitarian worker stated that most of these released migrants have been put on </w:t>
      </w:r>
      <w:hyperlink r:id="rId36" w:tgtFrame="_blank" w:history="1">
        <w:r w:rsidRPr="00D36366">
          <w:rPr>
            <w:rStyle w:val="Hyperlink"/>
            <w:sz w:val="16"/>
            <w:szCs w:val="16"/>
          </w:rPr>
          <w:t>buses heading south</w:t>
        </w:r>
      </w:hyperlink>
      <w:r w:rsidRPr="00D36366">
        <w:rPr>
          <w:sz w:val="16"/>
          <w:szCs w:val="16"/>
        </w:rPr>
        <w:t>, and are sometimes abandoned in the town of Tapachula on the southern Mexican border with Guatemala, a migration bottleneck. Authorities give them no shelter and have blocked access to public spaces where migrants used to gather. In some cases, Mexican officials reportedly have even </w:t>
      </w:r>
      <w:hyperlink r:id="rId37" w:tgtFrame="_blank" w:history="1">
        <w:r w:rsidRPr="00D36366">
          <w:rPr>
            <w:rStyle w:val="Hyperlink"/>
            <w:sz w:val="16"/>
            <w:szCs w:val="16"/>
          </w:rPr>
          <w:t>incited them</w:t>
        </w:r>
      </w:hyperlink>
      <w:r w:rsidRPr="00D36366">
        <w:rPr>
          <w:sz w:val="16"/>
          <w:szCs w:val="16"/>
        </w:rPr>
        <w:t> to return to their home countries via illegal crossings often employed by criminal traffickers. Meanwhile, representatives of shelters run by non-governmental organisations told Crisis Group that, due to the pandemic, they have scaled down their operations and are unable to receive more incoming migrants.</w:t>
      </w:r>
    </w:p>
    <w:p w14:paraId="7BE1A26B" w14:textId="77777777" w:rsidR="000B26B7" w:rsidRPr="00D36366" w:rsidRDefault="000B26B7" w:rsidP="000B26B7">
      <w:pPr>
        <w:rPr>
          <w:sz w:val="16"/>
          <w:szCs w:val="16"/>
        </w:rPr>
      </w:pPr>
      <w:r w:rsidRPr="00D36366">
        <w:rPr>
          <w:sz w:val="16"/>
          <w:szCs w:val="16"/>
        </w:rPr>
        <w:t>Guatemalan President Alejandro Giammattei has </w:t>
      </w:r>
      <w:hyperlink r:id="rId38" w:tgtFrame="_blank" w:history="1">
        <w:r w:rsidRPr="00D36366">
          <w:rPr>
            <w:rStyle w:val="Hyperlink"/>
            <w:sz w:val="16"/>
            <w:szCs w:val="16"/>
          </w:rPr>
          <w:t>asserted</w:t>
        </w:r>
      </w:hyperlink>
      <w:r w:rsidRPr="00D36366">
        <w:rPr>
          <w:sz w:val="16"/>
          <w:szCs w:val="16"/>
        </w:rPr>
        <w:t> that, alongside deportees and detained migrants, higher numbers of Central Americans are independently heading back to their homelands overland from the U.S. and through Mexico, using illegal crossings. UN officials consulted by Crisis Group have identified at least 700 Central Americans trying to return to their countries through various blind spots in Guatemala’s borders with Mexico, El Salvador and Honduras in the past two weeks alone.</w:t>
      </w:r>
    </w:p>
    <w:p w14:paraId="1A20E819" w14:textId="77777777" w:rsidR="000B26B7" w:rsidRPr="00D36366" w:rsidRDefault="000B26B7" w:rsidP="000B26B7">
      <w:pPr>
        <w:rPr>
          <w:sz w:val="16"/>
          <w:szCs w:val="16"/>
        </w:rPr>
      </w:pPr>
      <w:r w:rsidRPr="00D36366">
        <w:rPr>
          <w:sz w:val="16"/>
          <w:szCs w:val="16"/>
        </w:rPr>
        <w:t>Central American Migrants and the U.S. Response</w:t>
      </w:r>
    </w:p>
    <w:p w14:paraId="7B74B90E" w14:textId="77777777" w:rsidR="000B26B7" w:rsidRPr="00D36366" w:rsidRDefault="000B26B7" w:rsidP="000B26B7">
      <w:pPr>
        <w:rPr>
          <w:sz w:val="14"/>
        </w:rPr>
      </w:pPr>
      <w:r w:rsidRPr="00D36366">
        <w:rPr>
          <w:rStyle w:val="StyleUnderline"/>
        </w:rPr>
        <w:t>U.S. determination to press ahead with deportations of Central American migrants and refugees despite the pandemic follows years of tightening border and migration policies</w:t>
      </w:r>
      <w:r w:rsidRPr="00D36366">
        <w:rPr>
          <w:sz w:val="14"/>
        </w:rPr>
        <w:t xml:space="preserve">, notably under President Donald Trump. </w:t>
      </w:r>
      <w:r w:rsidRPr="00D36366">
        <w:rPr>
          <w:rStyle w:val="StyleUnderline"/>
        </w:rPr>
        <w:t>The </w:t>
      </w:r>
      <w:hyperlink r:id="rId39" w:tgtFrame="_blank" w:history="1">
        <w:r w:rsidRPr="00D36366">
          <w:rPr>
            <w:rStyle w:val="StyleUnderline"/>
          </w:rPr>
          <w:t>draconian migration policy</w:t>
        </w:r>
      </w:hyperlink>
      <w:r w:rsidRPr="00D36366">
        <w:rPr>
          <w:rStyle w:val="StyleUnderline"/>
        </w:rPr>
        <w:t> adopted by</w:t>
      </w:r>
      <w:r w:rsidRPr="00D36366">
        <w:rPr>
          <w:sz w:val="14"/>
        </w:rPr>
        <w:t xml:space="preserve"> the </w:t>
      </w:r>
      <w:r w:rsidRPr="00D36366">
        <w:rPr>
          <w:rStyle w:val="StyleUnderline"/>
        </w:rPr>
        <w:t>Trump</w:t>
      </w:r>
      <w:r w:rsidRPr="00D36366">
        <w:rPr>
          <w:sz w:val="14"/>
        </w:rPr>
        <w:t xml:space="preserve"> administration, to which Mexico signed up fearing tariff reprisals, </w:t>
      </w:r>
      <w:r w:rsidRPr="00D36366">
        <w:rPr>
          <w:rStyle w:val="StyleUnderline"/>
        </w:rPr>
        <w:t>has aimed above all to stem rising flows of migrants out of Guatemala, Honduras and El Salvador, which together account for around </w:t>
      </w:r>
      <w:hyperlink r:id="rId40" w:tgtFrame="_blank" w:history="1">
        <w:r w:rsidRPr="00D36366">
          <w:rPr>
            <w:rStyle w:val="StyleUnderline"/>
          </w:rPr>
          <w:t>8 per cent</w:t>
        </w:r>
      </w:hyperlink>
      <w:r w:rsidRPr="00D36366">
        <w:rPr>
          <w:rStyle w:val="StyleUnderline"/>
        </w:rPr>
        <w:t> of the total legal immigrant population in the U.S., and </w:t>
      </w:r>
      <w:hyperlink r:id="rId41" w:tgtFrame="_blank" w:history="1">
        <w:r w:rsidRPr="00D36366">
          <w:rPr>
            <w:rStyle w:val="StyleUnderline"/>
          </w:rPr>
          <w:t>15 per cent</w:t>
        </w:r>
      </w:hyperlink>
      <w:r w:rsidRPr="00D36366">
        <w:rPr>
          <w:rStyle w:val="StyleUnderline"/>
        </w:rPr>
        <w:t> of the illegal</w:t>
      </w:r>
      <w:r w:rsidRPr="00D36366">
        <w:rPr>
          <w:sz w:val="14"/>
        </w:rPr>
        <w:t>, according to Migration Policy Institute estimates.</w:t>
      </w:r>
    </w:p>
    <w:p w14:paraId="47EC5435" w14:textId="77777777" w:rsidR="000B26B7" w:rsidRPr="00D36366" w:rsidRDefault="000B26B7" w:rsidP="000B26B7">
      <w:pPr>
        <w:rPr>
          <w:sz w:val="14"/>
        </w:rPr>
      </w:pPr>
      <w:r w:rsidRPr="00D36366">
        <w:rPr>
          <w:rStyle w:val="StyleUnderline"/>
        </w:rPr>
        <w:t>Migration toward the U.S. has long been an escape valve</w:t>
      </w:r>
      <w:r w:rsidRPr="00D36366">
        <w:rPr>
          <w:sz w:val="14"/>
        </w:rPr>
        <w:t xml:space="preserve"> for hundreds of thousands of Central Americans fleeing grim living conditions and chronic insecurity. But over the past couple of years, the lethal mix of gang-related violence, economic stagnation and prolonged, climate change-induced drought has spurred a sharp increase in northward migration, urged along further by concern that the Trump administration will completely prohibit entry into the U.S. U.S. authorities apprehended more than 600,000 Central American migrants – or almost 2 per cent of the region’s entire population – at the southern border with Mexico between October 2018 and September 2019, according to U.S. Customs and Border Protection </w:t>
      </w:r>
      <w:hyperlink r:id="rId42" w:tgtFrame="_blank" w:history="1">
        <w:r w:rsidRPr="00D36366">
          <w:rPr>
            <w:rStyle w:val="Hyperlink"/>
            <w:sz w:val="14"/>
          </w:rPr>
          <w:t>figures</w:t>
        </w:r>
      </w:hyperlink>
      <w:r w:rsidRPr="00D36366">
        <w:rPr>
          <w:sz w:val="14"/>
        </w:rPr>
        <w:t>. Between 27 and 48 of the Guatemalan, Honduran and Salvadoran interviewees in a recent survey by the </w:t>
      </w:r>
      <w:hyperlink r:id="rId43" w:tgtFrame="_blank" w:history="1">
        <w:r w:rsidRPr="00D36366">
          <w:rPr>
            <w:rStyle w:val="Hyperlink"/>
            <w:sz w:val="14"/>
          </w:rPr>
          <w:t>Inter-American Development Bank</w:t>
        </w:r>
      </w:hyperlink>
      <w:r w:rsidRPr="00D36366">
        <w:rPr>
          <w:sz w:val="14"/>
        </w:rPr>
        <w:t> cited violence or insecurity as their main reason for making the journey.</w:t>
      </w:r>
    </w:p>
    <w:p w14:paraId="5067547D" w14:textId="77777777" w:rsidR="000B26B7" w:rsidRPr="00D36366" w:rsidRDefault="000B26B7" w:rsidP="000B26B7">
      <w:pPr>
        <w:rPr>
          <w:sz w:val="16"/>
          <w:szCs w:val="16"/>
        </w:rPr>
      </w:pPr>
      <w:r w:rsidRPr="00D36366">
        <w:rPr>
          <w:sz w:val="16"/>
          <w:szCs w:val="16"/>
        </w:rPr>
        <w:t>In response, the Trump administration has increased border patrols, established stricter requirements for obtaining asylum or visas, and put pressure on Mexico and Central American countries to process asylum requests filed in the U.S. (through so-called Migrant Protection Protocols and the Asylum Cooperation Agreements). According to </w:t>
      </w:r>
      <w:hyperlink r:id="rId44" w:tgtFrame="_blank" w:history="1">
        <w:r w:rsidRPr="00D36366">
          <w:rPr>
            <w:rStyle w:val="Hyperlink"/>
            <w:sz w:val="16"/>
            <w:szCs w:val="16"/>
          </w:rPr>
          <w:t>U.S. Secretary of State Mike Pompeo</w:t>
        </w:r>
      </w:hyperlink>
      <w:r w:rsidRPr="00D36366">
        <w:rPr>
          <w:sz w:val="16"/>
          <w:szCs w:val="16"/>
        </w:rPr>
        <w:t>, these measures have helped reduce the number of Central Americans arriving at the U.S. southern border by 70 per cent since numbers peaked in May 2019. Mexico’s </w:t>
      </w:r>
      <w:hyperlink r:id="rId45" w:tgtFrame="_blank" w:history="1">
        <w:r w:rsidRPr="00D36366">
          <w:rPr>
            <w:rStyle w:val="Hyperlink"/>
            <w:sz w:val="16"/>
            <w:szCs w:val="16"/>
          </w:rPr>
          <w:t>deployment</w:t>
        </w:r>
      </w:hyperlink>
      <w:r w:rsidRPr="00D36366">
        <w:rPr>
          <w:sz w:val="16"/>
          <w:szCs w:val="16"/>
        </w:rPr>
        <w:t> of the National Guard to its southern border with Guatemala in June 2019 also curbed the flow northward. In 2019 alone, the U.S. and Mexico deported more than 250,000 Central Americans, according to figures from the </w:t>
      </w:r>
      <w:hyperlink r:id="rId46" w:tgtFrame="_blank" w:history="1">
        <w:r w:rsidRPr="00D36366">
          <w:rPr>
            <w:rStyle w:val="Hyperlink"/>
            <w:sz w:val="16"/>
            <w:szCs w:val="16"/>
          </w:rPr>
          <w:t>International Organization for Migration</w:t>
        </w:r>
      </w:hyperlink>
      <w:r w:rsidRPr="00D36366">
        <w:rPr>
          <w:sz w:val="16"/>
          <w:szCs w:val="16"/>
        </w:rPr>
        <w:t>.</w:t>
      </w:r>
    </w:p>
    <w:p w14:paraId="27211415" w14:textId="77777777" w:rsidR="000B26B7" w:rsidRPr="00D36366" w:rsidRDefault="000B26B7" w:rsidP="000B26B7">
      <w:pPr>
        <w:rPr>
          <w:sz w:val="14"/>
        </w:rPr>
      </w:pPr>
      <w:r w:rsidRPr="00D36366">
        <w:rPr>
          <w:sz w:val="14"/>
        </w:rPr>
        <w:t> </w:t>
      </w:r>
      <w:r w:rsidRPr="00D36366">
        <w:rPr>
          <w:rStyle w:val="StyleUnderline"/>
        </w:rPr>
        <w:t>Since the COVID</w:t>
      </w:r>
      <w:r w:rsidRPr="00D36366">
        <w:rPr>
          <w:sz w:val="14"/>
        </w:rPr>
        <w:t xml:space="preserve">-19 </w:t>
      </w:r>
      <w:r w:rsidRPr="00D36366">
        <w:rPr>
          <w:rStyle w:val="StyleUnderline"/>
        </w:rPr>
        <w:t>outbreak</w:t>
      </w:r>
      <w:r w:rsidRPr="00D36366">
        <w:rPr>
          <w:sz w:val="14"/>
        </w:rPr>
        <w:t xml:space="preserve"> began, the </w:t>
      </w:r>
      <w:r w:rsidRPr="00D36366">
        <w:rPr>
          <w:rStyle w:val="StyleUnderline"/>
        </w:rPr>
        <w:t>Trump</w:t>
      </w:r>
      <w:r w:rsidRPr="00D36366">
        <w:rPr>
          <w:sz w:val="14"/>
        </w:rPr>
        <w:t xml:space="preserve"> administration has redoubled its efforts to impede would-be migrants from reaching the U.S. </w:t>
      </w:r>
    </w:p>
    <w:p w14:paraId="3B0C26D9" w14:textId="77777777" w:rsidR="000B26B7" w:rsidRPr="00D36366" w:rsidRDefault="000B26B7" w:rsidP="000B26B7">
      <w:pPr>
        <w:rPr>
          <w:sz w:val="14"/>
          <w:szCs w:val="14"/>
        </w:rPr>
      </w:pPr>
      <w:r w:rsidRPr="00D36366">
        <w:rPr>
          <w:sz w:val="14"/>
          <w:szCs w:val="14"/>
        </w:rPr>
        <w:t>Since the COVID-19 outbreak began, the Trump administration has redoubled its efforts to impede would-be migrants from reaching the U.S. On 21 March, the president allowed Department of Homeland Security (DHS) officials to </w:t>
      </w:r>
      <w:hyperlink r:id="rId47" w:tgtFrame="_blank" w:history="1">
        <w:r w:rsidRPr="00D36366">
          <w:rPr>
            <w:rStyle w:val="Hyperlink"/>
            <w:sz w:val="14"/>
            <w:szCs w:val="14"/>
          </w:rPr>
          <w:t>immediately expel</w:t>
        </w:r>
      </w:hyperlink>
      <w:r w:rsidRPr="00D36366">
        <w:rPr>
          <w:sz w:val="14"/>
          <w:szCs w:val="14"/>
        </w:rPr>
        <w:t> illegal migrants found at the border. As a result, they have turned back at least 10,000 migrants to Mexico in a matter of weeks. On 22 April, Trump went further, signing an </w:t>
      </w:r>
      <w:hyperlink r:id="rId48" w:tgtFrame="_blank" w:history="1">
        <w:r w:rsidRPr="00D36366">
          <w:rPr>
            <w:rStyle w:val="Hyperlink"/>
            <w:sz w:val="14"/>
            <w:szCs w:val="14"/>
          </w:rPr>
          <w:t>executive order</w:t>
        </w:r>
      </w:hyperlink>
      <w:r w:rsidRPr="00D36366">
        <w:rPr>
          <w:sz w:val="14"/>
          <w:szCs w:val="14"/>
        </w:rPr>
        <w:t> halting immigration for green card seekers for at least 60 days.</w:t>
      </w:r>
    </w:p>
    <w:p w14:paraId="5C3B15AB" w14:textId="77777777" w:rsidR="000B26B7" w:rsidRPr="00D36366" w:rsidRDefault="000B26B7" w:rsidP="000B26B7">
      <w:pPr>
        <w:rPr>
          <w:sz w:val="14"/>
          <w:szCs w:val="14"/>
        </w:rPr>
      </w:pPr>
      <w:r w:rsidRPr="00D36366">
        <w:rPr>
          <w:sz w:val="14"/>
          <w:szCs w:val="14"/>
        </w:rPr>
        <w:t>Tough measures imposed by the Guatemalan, Honduran and Salvadoran governments to contain the pandemic, including border shutdowns, curfews and restrictions on internal movement, have further complicated the journey north. These measures have “only raised the cost of bribes officials expect from those who can afford it”, said a humanitarian worker in a shelter in southern Mexico. “And they’ve pushed those who can’t to more dangerous and remote trails, where they risk getting extorted or kidnapped”.</w:t>
      </w:r>
    </w:p>
    <w:p w14:paraId="61BB1BDC" w14:textId="77777777" w:rsidR="000B26B7" w:rsidRPr="00D36366" w:rsidRDefault="000B26B7" w:rsidP="000B26B7">
      <w:pPr>
        <w:rPr>
          <w:sz w:val="14"/>
          <w:szCs w:val="14"/>
        </w:rPr>
      </w:pPr>
      <w:r w:rsidRPr="00D36366">
        <w:rPr>
          <w:sz w:val="14"/>
          <w:szCs w:val="14"/>
        </w:rPr>
        <w:t>The Need for a Coordinated Response</w:t>
      </w:r>
    </w:p>
    <w:p w14:paraId="62289F7C" w14:textId="77777777" w:rsidR="000B26B7" w:rsidRPr="00D36366" w:rsidRDefault="000B26B7" w:rsidP="000B26B7">
      <w:pPr>
        <w:rPr>
          <w:sz w:val="14"/>
          <w:szCs w:val="14"/>
        </w:rPr>
      </w:pPr>
      <w:r w:rsidRPr="00D36366">
        <w:rPr>
          <w:sz w:val="14"/>
          <w:szCs w:val="14"/>
        </w:rPr>
        <w:t>Poor coordination among the U.S., Mexico, Central American states and UN agencies, as well as the lack of proper health checks in U.S. and Mexico migrant facilities, could have dire effects across a region ill prepared to combat the pandemic. None of Guatemala, Honduras or El Salvador has ever managed to provide returnees with proper resettlement and protection services, and all three are now channelling most available resources toward strengthening health systems. Undetected COVID-19 cases among deportees could spread the virus in the poor and often violent areas which they left and to which they often return. This risk is already triggering unease, violence and stigmatisation of returnees. In one </w:t>
      </w:r>
      <w:hyperlink r:id="rId49" w:tgtFrame="_blank" w:history="1">
        <w:r w:rsidRPr="00D36366">
          <w:rPr>
            <w:rStyle w:val="Hyperlink"/>
            <w:sz w:val="14"/>
            <w:szCs w:val="14"/>
          </w:rPr>
          <w:t>recent episode in Quetzaltenango</w:t>
        </w:r>
      </w:hyperlink>
      <w:r w:rsidRPr="00D36366">
        <w:rPr>
          <w:sz w:val="14"/>
          <w:szCs w:val="14"/>
        </w:rPr>
        <w:t>, Guatemala, locals first threatened to set fire to a centre designed to host some 80 deportees, and then set off in hot pursuit of several who had reportedly tried to escape.</w:t>
      </w:r>
    </w:p>
    <w:p w14:paraId="4B7B4CB6" w14:textId="77777777" w:rsidR="000B26B7" w:rsidRPr="00D36366" w:rsidRDefault="000B26B7" w:rsidP="000B26B7">
      <w:pPr>
        <w:rPr>
          <w:sz w:val="12"/>
          <w:szCs w:val="12"/>
        </w:rPr>
      </w:pPr>
      <w:r w:rsidRPr="00D36366">
        <w:rPr>
          <w:sz w:val="12"/>
          <w:szCs w:val="12"/>
        </w:rPr>
        <w:t> Ideally, the U.S. and Mexico should immediately pause all deportations. </w:t>
      </w:r>
    </w:p>
    <w:p w14:paraId="3718F7BF" w14:textId="790AFE13" w:rsidR="000B26B7" w:rsidRDefault="000B26B7" w:rsidP="00C3543B">
      <w:pPr>
        <w:rPr>
          <w:sz w:val="14"/>
        </w:rPr>
      </w:pPr>
      <w:r w:rsidRPr="00D36366">
        <w:rPr>
          <w:rStyle w:val="StyleUnderline"/>
        </w:rPr>
        <w:t xml:space="preserve">Ideally, the U.S. </w:t>
      </w:r>
      <w:r w:rsidRPr="00D36366">
        <w:rPr>
          <w:sz w:val="14"/>
        </w:rPr>
        <w:t xml:space="preserve">and Mexico </w:t>
      </w:r>
      <w:r w:rsidRPr="00D36366">
        <w:rPr>
          <w:rStyle w:val="StyleUnderline"/>
        </w:rPr>
        <w:t>should immediately pause all deportations</w:t>
      </w:r>
      <w:r w:rsidRPr="00D36366">
        <w:rPr>
          <w:sz w:val="14"/>
        </w:rPr>
        <w:t>. Both countries, however, are likely to keep toughening law enforcement, including deportations, to curb migration north, especially in view of Trump’s re-election bid. Therefore, the urgent priority for Central American countries should be to negotiate with the U.S. and Mexico a safer, more orderly and coordinated return process, including far stricter health measures in U.S. and Mexico migrant detention facilities, stepped-up testing and possibly a quarantine period prior to deportation. In parallel, the region’s governments should seek UN agencies’ and humanitarian organisations’ assistance in setting up decent reception centres and improving protocols that ensure fair treatment and resettlement of returnees. They should also maintain channels of dialogue with communities that receive returning migrants, ensuring that they follow strict quarantine rules so as to minimise the risk of violent backlash. Continuing to deport migrants without taking these steps and in disregard of the potential for contagion is a recipe for turmoil.</w:t>
      </w:r>
    </w:p>
    <w:p w14:paraId="20FAB0CA" w14:textId="2226FA79" w:rsidR="000B26B7" w:rsidRDefault="000B26B7" w:rsidP="000B26B7">
      <w:pPr>
        <w:pStyle w:val="Heading3"/>
      </w:pPr>
      <w:r>
        <w:t>2AC – AT: Deportations Key to Mexico</w:t>
      </w:r>
    </w:p>
    <w:p w14:paraId="64F2DBA2" w14:textId="552E6568" w:rsidR="000B26B7" w:rsidRPr="00256FAB" w:rsidRDefault="000B26B7" w:rsidP="000B26B7">
      <w:pPr>
        <w:pStyle w:val="Heading4"/>
      </w:pPr>
      <w:r>
        <w:t>Mexican instability spills throughout the region, hinder recovery efforts, and causes insecurity.</w:t>
      </w:r>
    </w:p>
    <w:p w14:paraId="53E0D4B5" w14:textId="77777777" w:rsidR="000B26B7" w:rsidRPr="003B69EA" w:rsidRDefault="000B26B7" w:rsidP="000B26B7">
      <w:r>
        <w:rPr>
          <w:rStyle w:val="Style13ptBold"/>
        </w:rPr>
        <w:t xml:space="preserve">Jones-Rooy 2017 — </w:t>
      </w:r>
      <w:r w:rsidRPr="003B69EA">
        <w:t xml:space="preserve">Andrea Jones-Rooy is FiveThirtyEight’s quantitative researcher. </w:t>
      </w:r>
      <w:r>
        <w:t>(“How A Weakened Mexican Economy Could Threaten U.S. Security” FiveThirtyEight, February 28, 2017)//JLPark</w:t>
      </w:r>
    </w:p>
    <w:p w14:paraId="734CF68C" w14:textId="77777777" w:rsidR="000B26B7" w:rsidRPr="003B69EA" w:rsidRDefault="000B26B7" w:rsidP="000B26B7">
      <w:pPr>
        <w:rPr>
          <w:rStyle w:val="StyleUnderline"/>
        </w:rPr>
      </w:pPr>
      <w:r w:rsidRPr="003B69EA">
        <w:rPr>
          <w:sz w:val="14"/>
        </w:rPr>
        <w:t xml:space="preserve">But there’s a deeper risk: </w:t>
      </w:r>
      <w:r w:rsidRPr="003B69EA">
        <w:rPr>
          <w:rStyle w:val="StyleUnderline"/>
        </w:rPr>
        <w:t xml:space="preserve">What happens in Mexico </w:t>
      </w:r>
      <w:r w:rsidRPr="003B69EA">
        <w:rPr>
          <w:sz w:val="14"/>
        </w:rPr>
        <w:t xml:space="preserve">tends to spill over into the U.S. And the problems may not just be economic. According to a prominent area of research in international relations and international political economy, </w:t>
      </w:r>
      <w:r w:rsidRPr="003B69EA">
        <w:rPr>
          <w:rStyle w:val="StyleUnderline"/>
        </w:rPr>
        <w:t>a weakened Mexican economy could also pose security threats to the U.S.</w:t>
      </w:r>
    </w:p>
    <w:p w14:paraId="6A9B4E0C" w14:textId="77777777" w:rsidR="000B26B7" w:rsidRPr="003B69EA" w:rsidRDefault="000B26B7" w:rsidP="000B26B7">
      <w:pPr>
        <w:rPr>
          <w:sz w:val="14"/>
        </w:rPr>
      </w:pPr>
      <w:r w:rsidRPr="003B69EA">
        <w:rPr>
          <w:sz w:val="14"/>
        </w:rPr>
        <w:t xml:space="preserve">Among the most robust empirical findings in international relations is that poor economic performance can lead to political instability. </w:t>
      </w:r>
      <w:r w:rsidRPr="003B69EA">
        <w:rPr>
          <w:rStyle w:val="StyleUnderline"/>
        </w:rPr>
        <w:t>One of the most cited papers on the subject is a 1996 study by Alberto Alesina and Roberto Perotti</w:t>
      </w:r>
      <w:r w:rsidRPr="003B69EA">
        <w:rPr>
          <w:sz w:val="14"/>
        </w:rPr>
        <w:t xml:space="preserve"> in which they </w:t>
      </w:r>
      <w:r w:rsidRPr="003B69EA">
        <w:rPr>
          <w:rStyle w:val="StyleUnderline"/>
        </w:rPr>
        <w:t>found that economic problems</w:t>
      </w:r>
      <w:r w:rsidRPr="003B69EA">
        <w:rPr>
          <w:sz w:val="14"/>
        </w:rPr>
        <w:t xml:space="preserve">, including increased inequality, fuel public discontent and social unrest. </w:t>
      </w:r>
      <w:r w:rsidRPr="003B69EA">
        <w:rPr>
          <w:rStyle w:val="StyleUnderline"/>
        </w:rPr>
        <w:t>This kind of unrest increases the likelihood of even more extreme political instability</w:t>
      </w:r>
      <w:r w:rsidRPr="003B69EA">
        <w:rPr>
          <w:sz w:val="14"/>
        </w:rPr>
        <w:t>, including protests, coups and revolutions, according to Alesina and Perotti.</w:t>
      </w:r>
    </w:p>
    <w:p w14:paraId="630DFF7E" w14:textId="77777777" w:rsidR="000B26B7" w:rsidRPr="003B69EA" w:rsidRDefault="000B26B7" w:rsidP="000B26B7">
      <w:pPr>
        <w:rPr>
          <w:sz w:val="14"/>
          <w:szCs w:val="14"/>
        </w:rPr>
      </w:pPr>
      <w:r w:rsidRPr="003B69EA">
        <w:rPr>
          <w:sz w:val="14"/>
          <w:szCs w:val="14"/>
        </w:rPr>
        <w:t>This dynamic has played out in country after country.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w:t>
      </w:r>
    </w:p>
    <w:p w14:paraId="2B0F7C83" w14:textId="77777777" w:rsidR="000B26B7" w:rsidRPr="003B69EA" w:rsidRDefault="000B26B7" w:rsidP="000B26B7">
      <w:pPr>
        <w:rPr>
          <w:sz w:val="14"/>
          <w:szCs w:val="14"/>
        </w:rPr>
      </w:pPr>
      <w:r w:rsidRPr="003B69EA">
        <w:rPr>
          <w:sz w:val="14"/>
          <w:szCs w:val="14"/>
        </w:rPr>
        <w:t>As many of these examples make clear, the effect goes the other way, too: According to Alesina and Perotti, a weakened economy — especially when it exacerbates economic inequality — leads to political instability, but political instability also hurts the economy. It inserts uncertainty into the environment, which leads to less investment. A recent paper by Ari Aisen and Francisco José Veiga finds that political instability can also reduce productivity and human capital development; both governments and families become less likely to prioritize education or training. This cycle means political instability, once it emerges, is hard to shake: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w:t>
      </w:r>
    </w:p>
    <w:p w14:paraId="0C286B1C" w14:textId="77777777" w:rsidR="000B26B7" w:rsidRPr="003B69EA" w:rsidRDefault="000B26B7" w:rsidP="000B26B7">
      <w:pPr>
        <w:rPr>
          <w:sz w:val="14"/>
          <w:szCs w:val="14"/>
        </w:rPr>
      </w:pPr>
      <w:r w:rsidRPr="003B69EA">
        <w:rPr>
          <w:sz w:val="14"/>
          <w:szCs w:val="14"/>
        </w:rPr>
        <w:t>Applying this to Mexico, if Trump’s policies go through, even partially, we could be looking at some significant political and economic consequences for the country. One of the biggest political challenges in Mexico is corruption, which tends to get worse under economic pressure.1 Officials and citizens become more desperate, and there is weakened state capacity to combat it. Drug trafficking and violent crime, also huge problems in Mexico, are also likely to increase under worse economic conditions — again, as people become more desperate.2</w:t>
      </w:r>
    </w:p>
    <w:p w14:paraId="05A1C986" w14:textId="77777777" w:rsidR="000B26B7" w:rsidRPr="003B69EA" w:rsidRDefault="000B26B7" w:rsidP="000B26B7">
      <w:pPr>
        <w:rPr>
          <w:rStyle w:val="StyleUnderline"/>
        </w:rPr>
      </w:pPr>
      <w:r w:rsidRPr="003B69EA">
        <w:rPr>
          <w:sz w:val="14"/>
        </w:rPr>
        <w:t xml:space="preserve">The most destabilizing path is less ripe for a TV series, but more concerning. Mexico’s fledgling middle class is likely to be squeezed by Trump’s policies through price increases and unemployment.3 </w:t>
      </w:r>
      <w:r w:rsidRPr="003B69EA">
        <w:rPr>
          <w:rStyle w:val="StyleUnderline"/>
        </w:rPr>
        <w:t>This discontent could lead</w:t>
      </w:r>
      <w:r w:rsidRPr="003B69EA">
        <w:rPr>
          <w:sz w:val="14"/>
        </w:rPr>
        <w:t xml:space="preserve"> to protests, or the election of a populist leader, who will promise </w:t>
      </w:r>
      <w:r w:rsidRPr="003B69EA">
        <w:rPr>
          <w:rStyle w:val="StyleUnderline"/>
        </w:rPr>
        <w:t>aggressive anti-American policies</w:t>
      </w:r>
      <w:r w:rsidRPr="003B69EA">
        <w:rPr>
          <w:sz w:val="14"/>
        </w:rPr>
        <w:t xml:space="preserve">. (Sound familiar?). </w:t>
      </w:r>
      <w:r w:rsidRPr="003B69EA">
        <w:rPr>
          <w:rStyle w:val="StyleUnderline"/>
        </w:rPr>
        <w:t>Economic downturns can also heighten conflict between social groups — of which Mexico has many — pitting previously peacefully co-existing</w:t>
      </w:r>
      <w:r w:rsidRPr="003B69EA">
        <w:rPr>
          <w:sz w:val="14"/>
        </w:rPr>
        <w:t xml:space="preserve"> groups against each other. </w:t>
      </w:r>
      <w:r w:rsidRPr="003B69EA">
        <w:rPr>
          <w:rStyle w:val="StyleUnderline"/>
        </w:rPr>
        <w:t>And while Mexico’s democracy has recently showed some signs of stability, it’s still on many policy watch lists, especially for crime and corruption, both of which, again, are likely to be the first to worsen under economic pressure.</w:t>
      </w:r>
    </w:p>
    <w:p w14:paraId="2ABCBD92" w14:textId="77777777" w:rsidR="000B26B7" w:rsidRPr="003B69EA" w:rsidRDefault="000B26B7" w:rsidP="000B26B7">
      <w:pPr>
        <w:rPr>
          <w:sz w:val="14"/>
          <w:szCs w:val="14"/>
        </w:rPr>
      </w:pPr>
      <w:r w:rsidRPr="003B69EA">
        <w:rPr>
          <w:sz w:val="14"/>
          <w:szCs w:val="14"/>
        </w:rPr>
        <w:t>Maybe, though, as Trump argues, the U.S. can no longer afford to worry about other countries’ well-being — the U.S. has plenty of its own concerns, after all. Fair enough, but Mexico’s woes are unlikely to stop at the Rio Grande: Instability can spill over borders.</w:t>
      </w:r>
    </w:p>
    <w:p w14:paraId="25C1641B" w14:textId="77777777" w:rsidR="000B26B7" w:rsidRPr="003B69EA" w:rsidRDefault="000B26B7" w:rsidP="000B26B7">
      <w:pPr>
        <w:rPr>
          <w:rStyle w:val="StyleUnderline"/>
        </w:rPr>
      </w:pPr>
      <w:r w:rsidRPr="003B69EA">
        <w:rPr>
          <w:sz w:val="14"/>
        </w:rPr>
        <w:t xml:space="preserve">There’s a wholy body of research showing this, but the paper that makes this point most clearly is a 1997 piece by Ades and Chua. They demonstrated that </w:t>
      </w:r>
      <w:r w:rsidRPr="003B69EA">
        <w:rPr>
          <w:rStyle w:val="StyleUnderline"/>
        </w:rPr>
        <w:t>political instability in one country hurts its entire region by disrupting trade, requiring all countries to spend more on defense, and — in the longer term — reducing the regional amount spent on education and other forms of human capital accumulation.</w:t>
      </w:r>
    </w:p>
    <w:p w14:paraId="072A2007" w14:textId="77777777" w:rsidR="000B26B7" w:rsidRPr="00256FAB" w:rsidRDefault="000B26B7" w:rsidP="000B26B7">
      <w:pPr>
        <w:rPr>
          <w:sz w:val="14"/>
        </w:rPr>
      </w:pPr>
      <w:r w:rsidRPr="00256FAB">
        <w:rPr>
          <w:sz w:val="14"/>
        </w:rPr>
        <w:t xml:space="preserve">Their </w:t>
      </w:r>
      <w:r w:rsidRPr="003B69EA">
        <w:rPr>
          <w:rStyle w:val="StyleUnderline"/>
        </w:rPr>
        <w:t>empirical results over an analysis of 118 countries over a 25-year period</w:t>
      </w:r>
      <w:r w:rsidRPr="00256FAB">
        <w:rPr>
          <w:sz w:val="14"/>
        </w:rPr>
        <w:t xml:space="preserve"> are in the chart below. The correlation may not look strong from an economics or finance perspective, but it actually is quite strong from a political science perspective, where our patterns are harder to measure and more subject to noise.</w:t>
      </w:r>
    </w:p>
    <w:p w14:paraId="761B5334" w14:textId="77777777" w:rsidR="000B26B7" w:rsidRPr="00256FAB" w:rsidRDefault="000B26B7" w:rsidP="000B26B7">
      <w:pPr>
        <w:rPr>
          <w:sz w:val="14"/>
          <w:szCs w:val="14"/>
        </w:rPr>
      </w:pPr>
      <w:r w:rsidRPr="00256FAB">
        <w:rPr>
          <w:sz w:val="14"/>
          <w:szCs w:val="14"/>
        </w:rPr>
        <w:t>The current conflict in Syria provides a more contemporary and dramatic example. Terrorism, weapons trading and refugees now affect other countries in the region (and even countries outside the region, as northern European countries have seen the effects of both refugees and terrorism, too).</w:t>
      </w:r>
    </w:p>
    <w:p w14:paraId="1153E79B" w14:textId="77777777" w:rsidR="000B26B7" w:rsidRPr="00256FAB" w:rsidRDefault="000B26B7" w:rsidP="000B26B7">
      <w:pPr>
        <w:rPr>
          <w:sz w:val="14"/>
        </w:rPr>
      </w:pPr>
      <w:r w:rsidRPr="00256FAB">
        <w:rPr>
          <w:rStyle w:val="StyleUnderline"/>
        </w:rPr>
        <w:t>In Mexico’s case, even mild destabilization there could increase the risk of instability in the U.S. More discontent in Mexico as a result of a plummeting economy will mean more angry, armed people close to or attempting to cross U.S. borders. Weakened</w:t>
      </w:r>
      <w:r w:rsidRPr="00256FAB">
        <w:rPr>
          <w:sz w:val="14"/>
        </w:rPr>
        <w:t xml:space="preserve"> investment in human capital in Mexico means either more people seeking education in the U.S. or more unskilled workers crossing into the U.S. seeking a job.</w:t>
      </w:r>
    </w:p>
    <w:p w14:paraId="5AE8E692" w14:textId="77777777" w:rsidR="000B26B7" w:rsidRPr="00256FAB" w:rsidRDefault="000B26B7" w:rsidP="000B26B7">
      <w:pPr>
        <w:rPr>
          <w:sz w:val="14"/>
          <w:szCs w:val="14"/>
        </w:rPr>
      </w:pPr>
      <w:r w:rsidRPr="00256FAB">
        <w:rPr>
          <w:sz w:val="14"/>
          <w:szCs w:val="14"/>
        </w:rPr>
        <w:t>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w:t>
      </w:r>
    </w:p>
    <w:p w14:paraId="33E250E5" w14:textId="77777777" w:rsidR="000B26B7" w:rsidRPr="00256FAB" w:rsidRDefault="000B26B7" w:rsidP="000B26B7">
      <w:pPr>
        <w:rPr>
          <w:sz w:val="14"/>
        </w:rPr>
      </w:pPr>
      <w:r w:rsidRPr="00256FAB">
        <w:rPr>
          <w:sz w:val="14"/>
        </w:rPr>
        <w:t xml:space="preserve">More broadly, </w:t>
      </w:r>
      <w:r w:rsidRPr="00256FAB">
        <w:rPr>
          <w:rStyle w:val="StyleUnderline"/>
        </w:rPr>
        <w:t>a struggling Mexico will also be less capable of managing problems such as pollution and disease, which can cross borders far more easily than people</w:t>
      </w:r>
      <w:r w:rsidRPr="00256FAB">
        <w:rPr>
          <w:sz w:val="14"/>
        </w:rPr>
        <w:t>. Another H1N1 outbreak in a weak Mexico could put many Americans at risk. A weakened economy is thought to be part of the reason Brazil didn’t mobilize as quickly as it otherwise might have in the early stages of the Zika outbreak.</w:t>
      </w:r>
    </w:p>
    <w:p w14:paraId="0C464393" w14:textId="77777777" w:rsidR="000B26B7" w:rsidRPr="00256FAB" w:rsidRDefault="000B26B7" w:rsidP="000B26B7">
      <w:pPr>
        <w:rPr>
          <w:sz w:val="12"/>
        </w:rPr>
      </w:pPr>
      <w:r w:rsidRPr="00256FAB">
        <w:rPr>
          <w:sz w:val="12"/>
        </w:rPr>
        <w:t xml:space="preserve">Finally — and this is speculative — suppose Trump’s policies are enacted to their full capacity. </w:t>
      </w:r>
      <w:r w:rsidRPr="00256FAB">
        <w:rPr>
          <w:rStyle w:val="StyleUnderline"/>
        </w:rPr>
        <w:t>This could cause Mexico’s economy and political environment to deteriorate all the way to status of a failing state. Failing states are thought by both scholars and policymakers to be potential environments for terrorism</w:t>
      </w:r>
      <w:r w:rsidRPr="00256FAB">
        <w:rPr>
          <w:sz w:val="12"/>
        </w:rPr>
        <w:t xml:space="preserve"> (technically they increase the likelihood of terrorism, though are not necessary or sufficient).</w:t>
      </w:r>
    </w:p>
    <w:p w14:paraId="7E9B24D5" w14:textId="77777777" w:rsidR="000B26B7" w:rsidRPr="00256FAB" w:rsidRDefault="000B26B7" w:rsidP="000B26B7">
      <w:pPr>
        <w:rPr>
          <w:sz w:val="14"/>
          <w:szCs w:val="14"/>
        </w:rPr>
      </w:pPr>
      <w:r w:rsidRPr="00256FAB">
        <w:rPr>
          <w:sz w:val="14"/>
          <w:szCs w:val="14"/>
        </w:rPr>
        <w:t>It may be tempting to think of these problems as far off — Trump’s policies haven’t even been put forth apart from an executive order. But, Mexico’s economy is already showing signs of downturn. The peso is at its lowest level ever and has undergone its biggest drop since 1994. Protests are already breaking out (specifically against Trump). The recent attack on a U.S. consular agent in Mexico also suggests disturbing destabilizing trends that are already affecting the security of Americans.</w:t>
      </w:r>
    </w:p>
    <w:p w14:paraId="00E17930" w14:textId="713E59F2" w:rsidR="000B26B7" w:rsidRPr="000B26B7" w:rsidRDefault="000B26B7" w:rsidP="00C3543B">
      <w:pPr>
        <w:rPr>
          <w:u w:val="single"/>
        </w:rPr>
      </w:pPr>
      <w:r w:rsidRPr="00256FAB">
        <w:rPr>
          <w:sz w:val="14"/>
        </w:rPr>
        <w:t xml:space="preserve">The </w:t>
      </w:r>
      <w:r w:rsidRPr="00256FAB">
        <w:rPr>
          <w:rStyle w:val="StyleUnderline"/>
        </w:rPr>
        <w:t>Trump</w:t>
      </w:r>
      <w:r w:rsidRPr="00256FAB">
        <w:rPr>
          <w:sz w:val="14"/>
        </w:rPr>
        <w:t xml:space="preserve"> administration </w:t>
      </w:r>
      <w:r w:rsidRPr="00256FAB">
        <w:rPr>
          <w:rStyle w:val="StyleUnderline"/>
        </w:rPr>
        <w:t>hasn’t actually done much yet</w:t>
      </w:r>
      <w:r w:rsidRPr="00256FAB">
        <w:rPr>
          <w:sz w:val="14"/>
        </w:rPr>
        <w:t xml:space="preserve">, so it’s possible its eventual policies prove less damaging to Mexico than Trump’s rhetoric and early executive orders would suggest. </w:t>
      </w:r>
      <w:r w:rsidRPr="00256FAB">
        <w:rPr>
          <w:rStyle w:val="StyleUnderline"/>
        </w:rPr>
        <w:t>But both social science and history suggest policies that hurt Mexico are likely to be politically and economically damaging for the U.S., as well.</w:t>
      </w:r>
    </w:p>
    <w:p w14:paraId="74A470E7" w14:textId="6BDAB2DE" w:rsidR="00AB6353" w:rsidRDefault="00AB6353" w:rsidP="00AB6353">
      <w:pPr>
        <w:pStyle w:val="Heading3"/>
      </w:pPr>
      <w:r>
        <w:t>2AC – AT: Natives/Tech Solves Ag</w:t>
      </w:r>
    </w:p>
    <w:p w14:paraId="600F0BB3" w14:textId="77777777" w:rsidR="00AB6353" w:rsidRDefault="00AB6353" w:rsidP="00AB6353">
      <w:pPr>
        <w:pStyle w:val="Heading4"/>
      </w:pPr>
      <w:r>
        <w:t xml:space="preserve">Undocumented farm workers are </w:t>
      </w:r>
      <w:r w:rsidRPr="00AB6353">
        <w:rPr>
          <w:u w:val="single"/>
        </w:rPr>
        <w:t>indispensable</w:t>
      </w:r>
      <w:r>
        <w:t>.</w:t>
      </w:r>
    </w:p>
    <w:p w14:paraId="3C40CABD" w14:textId="77777777" w:rsidR="00AB6353" w:rsidRDefault="00AB6353" w:rsidP="00AB6353">
      <w:r>
        <w:rPr>
          <w:rStyle w:val="Style13ptBold"/>
        </w:rPr>
        <w:t>Ifft and Jodlowski 16</w:t>
      </w:r>
      <w:r>
        <w:t xml:space="preserve"> – Jennifer Ifft, Assistant Professor in the Charles H. Dyson School of Applied Economics and Management at Cornell University, and Margaret Jodlowski, PhD Candidate in the the Charles H. Dyson School of Applied Economics and Management at Cornell University ("Is ICE Freezing US Agriculture? The Impact of Local Immigration Enforcement on Farm Profitability and Structure," AgEcon Search, available online at https://ageconsearch.umn.edu/record/235950/, accessed 7-3-2020) LR</w:t>
      </w:r>
    </w:p>
    <w:p w14:paraId="1CAE800A" w14:textId="77777777" w:rsidR="00AB6353" w:rsidRPr="00056941" w:rsidRDefault="00AB6353" w:rsidP="00AB6353">
      <w:pPr>
        <w:rPr>
          <w:sz w:val="16"/>
        </w:rPr>
      </w:pPr>
      <w:r w:rsidRPr="00056941">
        <w:rPr>
          <w:sz w:val="16"/>
        </w:rPr>
        <w:t xml:space="preserve">County participation in 287(g) leads to local </w:t>
      </w:r>
      <w:r w:rsidRPr="00056941">
        <w:rPr>
          <w:rStyle w:val="StyleUnderline"/>
        </w:rPr>
        <w:t xml:space="preserve">farms experiencing </w:t>
      </w:r>
      <w:r w:rsidRPr="00056941">
        <w:rPr>
          <w:rStyle w:val="Emphasis"/>
        </w:rPr>
        <w:t>increased</w:t>
      </w:r>
      <w:r w:rsidRPr="00056941">
        <w:rPr>
          <w:rStyle w:val="StyleUnderline"/>
        </w:rPr>
        <w:t xml:space="preserve"> labor and fuel </w:t>
      </w:r>
      <w:r w:rsidRPr="00056941">
        <w:rPr>
          <w:rStyle w:val="Emphasis"/>
        </w:rPr>
        <w:t>expenses</w:t>
      </w:r>
      <w:r w:rsidRPr="00056941">
        <w:rPr>
          <w:rStyle w:val="StyleUnderline"/>
        </w:rPr>
        <w:t xml:space="preserve"> and </w:t>
      </w:r>
      <w:r w:rsidRPr="00056941">
        <w:rPr>
          <w:rStyle w:val="Emphasis"/>
        </w:rPr>
        <w:t>lower</w:t>
      </w:r>
      <w:r w:rsidRPr="00056941">
        <w:rPr>
          <w:rStyle w:val="StyleUnderline"/>
        </w:rPr>
        <w:t xml:space="preserve"> </w:t>
      </w:r>
      <w:r w:rsidRPr="00056941">
        <w:rPr>
          <w:sz w:val="16"/>
        </w:rPr>
        <w:t xml:space="preserve">vegetable </w:t>
      </w:r>
      <w:r w:rsidRPr="00056941">
        <w:rPr>
          <w:rStyle w:val="Emphasis"/>
        </w:rPr>
        <w:t>production</w:t>
      </w:r>
      <w:r w:rsidRPr="00056941">
        <w:rPr>
          <w:sz w:val="16"/>
        </w:rPr>
        <w:t xml:space="preserve">, with some results suggestive of a </w:t>
      </w:r>
      <w:r w:rsidRPr="00056941">
        <w:rPr>
          <w:rStyle w:val="Emphasis"/>
        </w:rPr>
        <w:t>decline</w:t>
      </w:r>
      <w:r w:rsidRPr="00056941">
        <w:rPr>
          <w:rStyle w:val="StyleUnderline"/>
        </w:rPr>
        <w:t xml:space="preserve"> in short and long-term </w:t>
      </w:r>
      <w:r w:rsidRPr="00056941">
        <w:rPr>
          <w:rStyle w:val="Emphasis"/>
        </w:rPr>
        <w:t>profitability</w:t>
      </w:r>
      <w:r w:rsidRPr="00056941">
        <w:rPr>
          <w:rStyle w:val="StyleUnderline"/>
        </w:rPr>
        <w:t>.</w:t>
      </w:r>
      <w:r w:rsidRPr="00056941">
        <w:rPr>
          <w:sz w:val="16"/>
        </w:rPr>
        <w:t xml:space="preserve"> At the county level, we </w:t>
      </w:r>
      <w:r w:rsidRPr="00056941">
        <w:rPr>
          <w:rStyle w:val="StyleUnderline"/>
        </w:rPr>
        <w:t>observe a decline in</w:t>
      </w:r>
      <w:r w:rsidRPr="00056941">
        <w:rPr>
          <w:sz w:val="16"/>
        </w:rPr>
        <w:t xml:space="preserve"> the </w:t>
      </w:r>
      <w:r w:rsidRPr="00056941">
        <w:rPr>
          <w:rStyle w:val="StyleUnderline"/>
        </w:rPr>
        <w:t>number of farm workers and</w:t>
      </w:r>
      <w:r w:rsidRPr="00056941">
        <w:rPr>
          <w:sz w:val="16"/>
        </w:rPr>
        <w:t xml:space="preserve"> the </w:t>
      </w:r>
      <w:r w:rsidRPr="00056941">
        <w:rPr>
          <w:rStyle w:val="StyleUnderline"/>
        </w:rPr>
        <w:t>total area of land</w:t>
      </w:r>
      <w:r w:rsidRPr="00056941">
        <w:rPr>
          <w:sz w:val="16"/>
        </w:rPr>
        <w:t xml:space="preserve"> in farms. These </w:t>
      </w:r>
      <w:r w:rsidRPr="00056941">
        <w:rPr>
          <w:rStyle w:val="StyleUnderline"/>
        </w:rPr>
        <w:t xml:space="preserve">results are consistent with a </w:t>
      </w:r>
      <w:r w:rsidRPr="00056941">
        <w:rPr>
          <w:rStyle w:val="Emphasis"/>
        </w:rPr>
        <w:t>permanent labor supply shock</w:t>
      </w:r>
      <w:r w:rsidRPr="00056941">
        <w:rPr>
          <w:sz w:val="16"/>
        </w:rPr>
        <w:t xml:space="preserve">, and are likely driven by impacts on larger farms more likely to use hired labor. Likewise, farms in counties adjacent to those participating in 287(g) appear to have benefited from a positive labor supply shock, with a large impact in the opposite direction for several measures. </w:t>
      </w:r>
      <w:r w:rsidRPr="00056941">
        <w:rPr>
          <w:rStyle w:val="StyleUnderline"/>
        </w:rPr>
        <w:t>The impacts are</w:t>
      </w:r>
      <w:r w:rsidRPr="00056941">
        <w:rPr>
          <w:sz w:val="16"/>
        </w:rPr>
        <w:t xml:space="preserve"> generally </w:t>
      </w:r>
      <w:r w:rsidRPr="00056941">
        <w:rPr>
          <w:rStyle w:val="StyleUnderline"/>
        </w:rPr>
        <w:t>consistent using</w:t>
      </w:r>
      <w:r w:rsidRPr="00056941">
        <w:rPr>
          <w:sz w:val="16"/>
        </w:rPr>
        <w:t xml:space="preserve"> either </w:t>
      </w:r>
      <w:r w:rsidRPr="00056941">
        <w:rPr>
          <w:rStyle w:val="StyleUnderline"/>
        </w:rPr>
        <w:t>farm-level or county-level data</w:t>
      </w:r>
      <w:r w:rsidRPr="00056941">
        <w:rPr>
          <w:sz w:val="16"/>
        </w:rPr>
        <w:t>, although in some cases do reflect the different populations and survey methodologies.</w:t>
      </w:r>
    </w:p>
    <w:p w14:paraId="6D72CF21" w14:textId="77777777" w:rsidR="00AB6353" w:rsidRPr="00056941" w:rsidRDefault="00AB6353" w:rsidP="00AB6353">
      <w:pPr>
        <w:rPr>
          <w:sz w:val="16"/>
        </w:rPr>
      </w:pPr>
      <w:r w:rsidRPr="00056941">
        <w:rPr>
          <w:sz w:val="16"/>
        </w:rPr>
        <w:t xml:space="preserve">These </w:t>
      </w:r>
      <w:r w:rsidRPr="00056941">
        <w:rPr>
          <w:rStyle w:val="StyleUnderline"/>
        </w:rPr>
        <w:t>results suggest</w:t>
      </w:r>
      <w:r w:rsidRPr="00056941">
        <w:rPr>
          <w:sz w:val="16"/>
        </w:rPr>
        <w:t xml:space="preserve"> that that </w:t>
      </w:r>
      <w:r w:rsidRPr="009D323D">
        <w:rPr>
          <w:rStyle w:val="Emphasis"/>
        </w:rPr>
        <w:t>neither technology nor native workers</w:t>
      </w:r>
      <w:r w:rsidRPr="00056941">
        <w:rPr>
          <w:rStyle w:val="StyleUnderline"/>
        </w:rPr>
        <w:t xml:space="preserve"> are</w:t>
      </w:r>
      <w:r w:rsidRPr="00056941">
        <w:rPr>
          <w:sz w:val="16"/>
        </w:rPr>
        <w:t xml:space="preserve"> complete </w:t>
      </w:r>
      <w:r w:rsidRPr="00056941">
        <w:rPr>
          <w:rStyle w:val="Emphasis"/>
        </w:rPr>
        <w:t>substitutes for undocumented farm workers</w:t>
      </w:r>
      <w:r w:rsidRPr="00056941">
        <w:rPr>
          <w:rStyle w:val="StyleUnderline"/>
        </w:rPr>
        <w:t>.</w:t>
      </w:r>
      <w:r w:rsidRPr="00056941">
        <w:rPr>
          <w:sz w:val="16"/>
        </w:rPr>
        <w:t xml:space="preserve"> Further, national policies that increase </w:t>
      </w:r>
      <w:r w:rsidRPr="00056941">
        <w:rPr>
          <w:rStyle w:val="StyleUnderline"/>
        </w:rPr>
        <w:t>immigration enforcement</w:t>
      </w:r>
      <w:r w:rsidRPr="00056941">
        <w:rPr>
          <w:sz w:val="16"/>
        </w:rPr>
        <w:t xml:space="preserve"> or otherwise impose restrictions on immigrant farm labor may </w:t>
      </w:r>
      <w:r w:rsidRPr="00056941">
        <w:rPr>
          <w:rStyle w:val="StyleUnderline"/>
        </w:rPr>
        <w:t>lead to declining production levels and lower profitability</w:t>
      </w:r>
      <w:r w:rsidRPr="00056941">
        <w:rPr>
          <w:sz w:val="16"/>
        </w:rPr>
        <w:t xml:space="preserve"> for U.S. farms that use hired labor.</w:t>
      </w:r>
    </w:p>
    <w:p w14:paraId="506A0319" w14:textId="6899E60C" w:rsidR="00AB6353" w:rsidRDefault="00AB6353" w:rsidP="00AB6353">
      <w:pPr>
        <w:pStyle w:val="Heading4"/>
      </w:pPr>
      <w:r>
        <w:t>Nothing else solves.</w:t>
      </w:r>
    </w:p>
    <w:p w14:paraId="0E05B744" w14:textId="77777777" w:rsidR="00AB6353" w:rsidRDefault="00AB6353" w:rsidP="00AB6353">
      <w:r>
        <w:rPr>
          <w:rStyle w:val="Style13ptBold"/>
        </w:rPr>
        <w:t>Tarantola 18</w:t>
      </w:r>
      <w:r>
        <w:t xml:space="preserve"> – Andrew Tarantola, Senior Editor at Engadget, May 31</w:t>
      </w:r>
      <w:r w:rsidRPr="000876E2">
        <w:rPr>
          <w:vertAlign w:val="superscript"/>
        </w:rPr>
        <w:t>st</w:t>
      </w:r>
      <w:r>
        <w:t xml:space="preserve"> ("America can't solve its migrant labor crisis with automation," Engadget, available online at https://www.engadget.com/2018-05-31-america-migrant-labor-automation.html, accessed 7-5-2020) LR</w:t>
      </w:r>
    </w:p>
    <w:p w14:paraId="0C5475BC" w14:textId="77777777" w:rsidR="00AB6353" w:rsidRPr="00032890" w:rsidRDefault="00AB6353" w:rsidP="00AB6353">
      <w:pPr>
        <w:rPr>
          <w:sz w:val="16"/>
        </w:rPr>
      </w:pPr>
      <w:r w:rsidRPr="00032890">
        <w:rPr>
          <w:sz w:val="16"/>
        </w:rPr>
        <w:t xml:space="preserve">From the moment that Donald </w:t>
      </w:r>
      <w:r w:rsidRPr="00032890">
        <w:rPr>
          <w:rStyle w:val="StyleUnderline"/>
        </w:rPr>
        <w:t>Trump</w:t>
      </w:r>
      <w:r w:rsidRPr="00032890">
        <w:rPr>
          <w:sz w:val="16"/>
        </w:rPr>
        <w:t xml:space="preserve"> set foot on the Trump Tower escalator, the </w:t>
      </w:r>
      <w:r w:rsidRPr="00032890">
        <w:rPr>
          <w:rStyle w:val="StyleUnderline"/>
        </w:rPr>
        <w:t>promise</w:t>
      </w:r>
      <w:r w:rsidRPr="00032890">
        <w:rPr>
          <w:sz w:val="16"/>
        </w:rPr>
        <w:t xml:space="preserve"> of </w:t>
      </w:r>
      <w:r w:rsidRPr="00843970">
        <w:rPr>
          <w:rStyle w:val="Emphasis"/>
        </w:rPr>
        <w:t>mass deportations</w:t>
      </w:r>
      <w:r w:rsidRPr="00032890">
        <w:rPr>
          <w:rStyle w:val="StyleUnderline"/>
        </w:rPr>
        <w:t xml:space="preserve"> for undocumented immigrants was a pillar of his</w:t>
      </w:r>
      <w:r w:rsidRPr="00032890">
        <w:rPr>
          <w:sz w:val="16"/>
        </w:rPr>
        <w:t xml:space="preserve"> presidential </w:t>
      </w:r>
      <w:r w:rsidRPr="00032890">
        <w:rPr>
          <w:rStyle w:val="StyleUnderline"/>
        </w:rPr>
        <w:t>campaign. This is one promise</w:t>
      </w:r>
      <w:r w:rsidRPr="00032890">
        <w:rPr>
          <w:sz w:val="16"/>
        </w:rPr>
        <w:t xml:space="preserve"> that </w:t>
      </w:r>
      <w:r w:rsidRPr="00032890">
        <w:rPr>
          <w:rStyle w:val="StyleUnderline"/>
        </w:rPr>
        <w:t>the</w:t>
      </w:r>
      <w:r w:rsidRPr="00032890">
        <w:rPr>
          <w:sz w:val="16"/>
        </w:rPr>
        <w:t xml:space="preserve"> current </w:t>
      </w:r>
      <w:r w:rsidRPr="00032890">
        <w:rPr>
          <w:rStyle w:val="StyleUnderline"/>
        </w:rPr>
        <w:t>administration has managed to keep, with</w:t>
      </w:r>
      <w:r w:rsidRPr="00032890">
        <w:rPr>
          <w:sz w:val="16"/>
        </w:rPr>
        <w:t xml:space="preserve"> ICE </w:t>
      </w:r>
      <w:r w:rsidRPr="00032890">
        <w:rPr>
          <w:rStyle w:val="StyleUnderline"/>
        </w:rPr>
        <w:t>enforcement efforts skyrocketing</w:t>
      </w:r>
      <w:r w:rsidRPr="00032890">
        <w:rPr>
          <w:sz w:val="16"/>
        </w:rPr>
        <w:t xml:space="preserve"> since Trump took office in January 2017.</w:t>
      </w:r>
    </w:p>
    <w:p w14:paraId="1F357275" w14:textId="77777777" w:rsidR="00AB6353" w:rsidRPr="00032890" w:rsidRDefault="00AB6353" w:rsidP="00AB6353">
      <w:pPr>
        <w:rPr>
          <w:rStyle w:val="StyleUnderline"/>
        </w:rPr>
      </w:pPr>
      <w:r w:rsidRPr="00032890">
        <w:rPr>
          <w:sz w:val="16"/>
        </w:rPr>
        <w:t xml:space="preserve">While </w:t>
      </w:r>
      <w:r w:rsidRPr="00032890">
        <w:rPr>
          <w:rStyle w:val="StyleUnderline"/>
        </w:rPr>
        <w:t>the president's</w:t>
      </w:r>
      <w:r w:rsidRPr="00032890">
        <w:rPr>
          <w:sz w:val="16"/>
        </w:rPr>
        <w:t xml:space="preserve"> executive </w:t>
      </w:r>
      <w:r w:rsidRPr="00032890">
        <w:rPr>
          <w:rStyle w:val="StyleUnderline"/>
        </w:rPr>
        <w:t>orders</w:t>
      </w:r>
      <w:r w:rsidRPr="00032890">
        <w:rPr>
          <w:sz w:val="16"/>
        </w:rPr>
        <w:t xml:space="preserve"> on immigration have played well with his political base, they've </w:t>
      </w:r>
      <w:r w:rsidRPr="00032890">
        <w:rPr>
          <w:rStyle w:val="StyleUnderline"/>
        </w:rPr>
        <w:t>caused havoc with a number of US industries</w:t>
      </w:r>
      <w:r w:rsidRPr="00032890">
        <w:rPr>
          <w:sz w:val="16"/>
        </w:rPr>
        <w:t xml:space="preserve">, from tourism to construction. </w:t>
      </w:r>
      <w:r w:rsidRPr="00032890">
        <w:rPr>
          <w:rStyle w:val="StyleUnderline"/>
        </w:rPr>
        <w:t xml:space="preserve">But nowhere are the </w:t>
      </w:r>
      <w:r w:rsidRPr="00843970">
        <w:rPr>
          <w:rStyle w:val="Emphasis"/>
        </w:rPr>
        <w:t>detrimental effects</w:t>
      </w:r>
      <w:r w:rsidRPr="00032890">
        <w:rPr>
          <w:sz w:val="16"/>
        </w:rPr>
        <w:t xml:space="preserve"> of these policies </w:t>
      </w:r>
      <w:r w:rsidRPr="00032890">
        <w:rPr>
          <w:rStyle w:val="StyleUnderline"/>
        </w:rPr>
        <w:t>more clearly illustrated than</w:t>
      </w:r>
      <w:r w:rsidRPr="00032890">
        <w:rPr>
          <w:sz w:val="16"/>
        </w:rPr>
        <w:t xml:space="preserve"> in </w:t>
      </w:r>
      <w:r w:rsidRPr="00032890">
        <w:rPr>
          <w:rStyle w:val="StyleUnderline"/>
        </w:rPr>
        <w:t xml:space="preserve">the </w:t>
      </w:r>
      <w:r w:rsidRPr="00843970">
        <w:rPr>
          <w:rStyle w:val="Emphasis"/>
        </w:rPr>
        <w:t>agricultural sector</w:t>
      </w:r>
      <w:r w:rsidRPr="00032890">
        <w:rPr>
          <w:rStyle w:val="StyleUnderline"/>
        </w:rPr>
        <w:t>.</w:t>
      </w:r>
      <w:r w:rsidRPr="00032890">
        <w:rPr>
          <w:sz w:val="16"/>
        </w:rPr>
        <w:t xml:space="preserve"> What's more, </w:t>
      </w:r>
      <w:r w:rsidRPr="00032890">
        <w:rPr>
          <w:rStyle w:val="StyleUnderline"/>
        </w:rPr>
        <w:t>the current state of agricultural automation appears woefully unprepared to</w:t>
      </w:r>
      <w:r w:rsidRPr="00032890">
        <w:rPr>
          <w:sz w:val="16"/>
        </w:rPr>
        <w:t xml:space="preserve"> fully </w:t>
      </w:r>
      <w:r w:rsidRPr="00032890">
        <w:rPr>
          <w:rStyle w:val="StyleUnderline"/>
        </w:rPr>
        <w:t>supplement the loss of migrant labor.</w:t>
      </w:r>
    </w:p>
    <w:p w14:paraId="6074BF14" w14:textId="77777777" w:rsidR="00AB6353" w:rsidRPr="00981C01" w:rsidRDefault="00AB6353" w:rsidP="00AB6353">
      <w:pPr>
        <w:rPr>
          <w:sz w:val="16"/>
        </w:rPr>
      </w:pPr>
      <w:r w:rsidRPr="00981C01">
        <w:rPr>
          <w:sz w:val="16"/>
        </w:rPr>
        <w:t xml:space="preserve">Sindhuja Sankaran, assistant professor in the Department of Biological Systems Engineering at Washington State University, points out that </w:t>
      </w:r>
      <w:r w:rsidRPr="00981C01">
        <w:rPr>
          <w:rStyle w:val="StyleUnderline"/>
        </w:rPr>
        <w:t xml:space="preserve">a majority of automated agricultural systems still </w:t>
      </w:r>
      <w:r w:rsidRPr="00843970">
        <w:rPr>
          <w:rStyle w:val="Emphasis"/>
        </w:rPr>
        <w:t>require human oversight</w:t>
      </w:r>
      <w:r w:rsidRPr="00981C01">
        <w:rPr>
          <w:rStyle w:val="StyleUnderline"/>
        </w:rPr>
        <w:t>.</w:t>
      </w:r>
      <w:r w:rsidRPr="00981C01">
        <w:rPr>
          <w:sz w:val="16"/>
        </w:rPr>
        <w:t xml:space="preserve"> "The seeding is done in automation," she told Engadget. "The harvesting is done in an automated manner. </w:t>
      </w:r>
      <w:r w:rsidRPr="00981C01">
        <w:rPr>
          <w:rStyle w:val="StyleUnderline"/>
        </w:rPr>
        <w:t>There's still a person driving a tractor or machine.</w:t>
      </w:r>
      <w:r w:rsidRPr="00981C01">
        <w:rPr>
          <w:sz w:val="16"/>
        </w:rPr>
        <w:t>"</w:t>
      </w:r>
    </w:p>
    <w:p w14:paraId="79D35487" w14:textId="77777777" w:rsidR="00AB6353" w:rsidRPr="00981C01" w:rsidRDefault="00AB6353" w:rsidP="00AB6353">
      <w:pPr>
        <w:rPr>
          <w:rStyle w:val="StyleUnderline"/>
        </w:rPr>
      </w:pPr>
      <w:r w:rsidRPr="00981C01">
        <w:rPr>
          <w:rStyle w:val="StyleUnderline"/>
        </w:rPr>
        <w:t>No matter how much progress we make with automation</w:t>
      </w:r>
      <w:r w:rsidRPr="00981C01">
        <w:rPr>
          <w:sz w:val="16"/>
        </w:rPr>
        <w:t xml:space="preserve">, Sankaran continued, </w:t>
      </w:r>
      <w:r w:rsidRPr="00981C01">
        <w:rPr>
          <w:rStyle w:val="StyleUnderline"/>
        </w:rPr>
        <w:t>humans will need to remain involved</w:t>
      </w:r>
      <w:r w:rsidRPr="00981C01">
        <w:rPr>
          <w:sz w:val="16"/>
        </w:rPr>
        <w:t xml:space="preserve"> in the decision-making process, at least for the foreseeable future. And </w:t>
      </w:r>
      <w:r w:rsidRPr="00981C01">
        <w:rPr>
          <w:rStyle w:val="StyleUnderline"/>
        </w:rPr>
        <w:t>given that</w:t>
      </w:r>
      <w:r w:rsidRPr="00981C01">
        <w:rPr>
          <w:sz w:val="16"/>
        </w:rPr>
        <w:t xml:space="preserve"> virtually </w:t>
      </w:r>
      <w:r w:rsidRPr="00981C01">
        <w:rPr>
          <w:rStyle w:val="StyleUnderline"/>
        </w:rPr>
        <w:t xml:space="preserve">all tree-fruit harvesting is still performed by hand, the sudden elimination of human labor could prove </w:t>
      </w:r>
      <w:r w:rsidRPr="00843970">
        <w:rPr>
          <w:rStyle w:val="Emphasis"/>
        </w:rPr>
        <w:t>economically disastrous</w:t>
      </w:r>
      <w:r w:rsidRPr="00981C01">
        <w:rPr>
          <w:rStyle w:val="StyleUnderline"/>
        </w:rPr>
        <w:t>.</w:t>
      </w:r>
    </w:p>
    <w:p w14:paraId="3B5EBF52" w14:textId="77777777" w:rsidR="00AB6353" w:rsidRPr="008B4848" w:rsidRDefault="00AB6353" w:rsidP="00AB6353">
      <w:pPr>
        <w:rPr>
          <w:sz w:val="16"/>
        </w:rPr>
      </w:pPr>
      <w:r w:rsidRPr="008B4848">
        <w:rPr>
          <w:sz w:val="16"/>
        </w:rPr>
        <w:t>"</w:t>
      </w:r>
      <w:r w:rsidRPr="008B4848">
        <w:rPr>
          <w:rStyle w:val="StyleUnderline"/>
        </w:rPr>
        <w:t>Farmers</w:t>
      </w:r>
      <w:r w:rsidRPr="008B4848">
        <w:rPr>
          <w:sz w:val="16"/>
        </w:rPr>
        <w:t xml:space="preserve"> are afraid they </w:t>
      </w:r>
      <w:r w:rsidRPr="008B4848">
        <w:rPr>
          <w:rStyle w:val="StyleUnderline"/>
        </w:rPr>
        <w:t>won't be able to harvest what they plant</w:t>
      </w:r>
      <w:r w:rsidRPr="008B4848">
        <w:rPr>
          <w:sz w:val="16"/>
        </w:rPr>
        <w:t xml:space="preserve">," Steve Ammerman of the New York Farm Bureau told The Atlantic last year. "It means </w:t>
      </w:r>
      <w:r w:rsidRPr="008B4848">
        <w:rPr>
          <w:rStyle w:val="StyleUnderline"/>
        </w:rPr>
        <w:t xml:space="preserve">food prices are going to go up, </w:t>
      </w:r>
      <w:r w:rsidRPr="00843970">
        <w:rPr>
          <w:rStyle w:val="Emphasis"/>
        </w:rPr>
        <w:t>hurting national security</w:t>
      </w:r>
      <w:r w:rsidRPr="008B4848">
        <w:rPr>
          <w:sz w:val="16"/>
        </w:rPr>
        <w:t>."</w:t>
      </w:r>
    </w:p>
    <w:p w14:paraId="3CDE856E" w14:textId="77777777" w:rsidR="00AB6353" w:rsidRPr="008B4848" w:rsidRDefault="00AB6353" w:rsidP="00AB6353">
      <w:pPr>
        <w:rPr>
          <w:sz w:val="16"/>
        </w:rPr>
      </w:pPr>
      <w:r w:rsidRPr="008B4848">
        <w:rPr>
          <w:sz w:val="16"/>
        </w:rPr>
        <w:t xml:space="preserve">We're </w:t>
      </w:r>
      <w:r w:rsidRPr="008B4848">
        <w:rPr>
          <w:rStyle w:val="StyleUnderline"/>
        </w:rPr>
        <w:t>not talking about a few dozen farm hands being deported</w:t>
      </w:r>
      <w:r w:rsidRPr="008B4848">
        <w:rPr>
          <w:sz w:val="16"/>
        </w:rPr>
        <w:t xml:space="preserve"> back across the border. According to a 2017 Pew Research Center study, the </w:t>
      </w:r>
      <w:r w:rsidRPr="008B4848">
        <w:rPr>
          <w:rStyle w:val="StyleUnderline"/>
        </w:rPr>
        <w:t>number of undocumented immigrants</w:t>
      </w:r>
      <w:r w:rsidRPr="008B4848">
        <w:rPr>
          <w:sz w:val="16"/>
        </w:rPr>
        <w:t xml:space="preserve"> living in the US in 2015 </w:t>
      </w:r>
      <w:r w:rsidRPr="008B4848">
        <w:rPr>
          <w:rStyle w:val="StyleUnderline"/>
        </w:rPr>
        <w:t>totaled 11 million people</w:t>
      </w:r>
      <w:r w:rsidRPr="008B4848">
        <w:rPr>
          <w:sz w:val="16"/>
        </w:rPr>
        <w:t>, or 3.4 percent of the country's overall population -- down from the 2007 peak of 12.2 million (4 percent of the national total). They've primarily settled in California, Florida, Illinois, New York, New Jersey and Texas.</w:t>
      </w:r>
    </w:p>
    <w:p w14:paraId="3FB1A23B" w14:textId="77777777" w:rsidR="00AB6353" w:rsidRPr="008B4848" w:rsidRDefault="00AB6353" w:rsidP="00AB6353">
      <w:pPr>
        <w:rPr>
          <w:sz w:val="16"/>
        </w:rPr>
      </w:pPr>
      <w:r w:rsidRPr="008B4848">
        <w:rPr>
          <w:rStyle w:val="StyleUnderline"/>
        </w:rPr>
        <w:t>Eight</w:t>
      </w:r>
      <w:r w:rsidRPr="008B4848">
        <w:rPr>
          <w:sz w:val="16"/>
        </w:rPr>
        <w:t xml:space="preserve"> of those 11 </w:t>
      </w:r>
      <w:r w:rsidRPr="008B4848">
        <w:rPr>
          <w:rStyle w:val="StyleUnderline"/>
        </w:rPr>
        <w:t>million immigrants were employed</w:t>
      </w:r>
      <w:r w:rsidRPr="008B4848">
        <w:rPr>
          <w:sz w:val="16"/>
        </w:rPr>
        <w:t xml:space="preserve"> in the civilian workforce </w:t>
      </w:r>
      <w:r w:rsidRPr="008B4848">
        <w:rPr>
          <w:rStyle w:val="StyleUnderline"/>
        </w:rPr>
        <w:t>in 2015, contributing</w:t>
      </w:r>
      <w:r w:rsidRPr="008B4848">
        <w:rPr>
          <w:sz w:val="16"/>
        </w:rPr>
        <w:t xml:space="preserve"> an estimated </w:t>
      </w:r>
      <w:r w:rsidRPr="008B4848">
        <w:rPr>
          <w:rStyle w:val="StyleUnderline"/>
        </w:rPr>
        <w:t>$11.6 billion to the US economy</w:t>
      </w:r>
      <w:r w:rsidRPr="008B4848">
        <w:rPr>
          <w:sz w:val="16"/>
        </w:rPr>
        <w:t>, according to the Institute on Taxation and Economic Policy (ITEP). That includes nearly $7 billion in sales taxes and another $3.6 billion in property taxes.</w:t>
      </w:r>
    </w:p>
    <w:p w14:paraId="1CA98009" w14:textId="77777777" w:rsidR="00AB6353" w:rsidRPr="00BD56D3" w:rsidRDefault="00AB6353" w:rsidP="00AB6353">
      <w:pPr>
        <w:rPr>
          <w:rStyle w:val="StyleUnderline"/>
        </w:rPr>
      </w:pPr>
      <w:r w:rsidRPr="00BD56D3">
        <w:rPr>
          <w:sz w:val="16"/>
        </w:rPr>
        <w:t xml:space="preserve">The ITEP report also points out that </w:t>
      </w:r>
      <w:r w:rsidRPr="00BD56D3">
        <w:rPr>
          <w:rStyle w:val="StyleUnderline"/>
        </w:rPr>
        <w:t>in the American agricultural sector</w:t>
      </w:r>
      <w:r w:rsidRPr="00BD56D3">
        <w:rPr>
          <w:sz w:val="16"/>
        </w:rPr>
        <w:t xml:space="preserve">, an estimated 16 percent of the entire industry is composed of undocumented workers. However, </w:t>
      </w:r>
      <w:r w:rsidRPr="00BD56D3">
        <w:rPr>
          <w:rStyle w:val="StyleUnderline"/>
        </w:rPr>
        <w:t>undocumented peoples make up</w:t>
      </w:r>
      <w:r w:rsidRPr="00BD56D3">
        <w:rPr>
          <w:sz w:val="16"/>
        </w:rPr>
        <w:t xml:space="preserve"> a staggering </w:t>
      </w:r>
      <w:r w:rsidRPr="00843970">
        <w:rPr>
          <w:rStyle w:val="Emphasis"/>
        </w:rPr>
        <w:t>70 percent</w:t>
      </w:r>
      <w:r w:rsidRPr="00BD56D3">
        <w:rPr>
          <w:rStyle w:val="StyleUnderline"/>
        </w:rPr>
        <w:t xml:space="preserve"> of the industry's fieldworkers</w:t>
      </w:r>
      <w:r w:rsidRPr="00BD56D3">
        <w:rPr>
          <w:sz w:val="16"/>
        </w:rPr>
        <w:t xml:space="preserve">, according to a March 2017 study by Farm Credit East (FCE). </w:t>
      </w:r>
      <w:r w:rsidRPr="00BD56D3">
        <w:rPr>
          <w:rStyle w:val="StyleUnderline"/>
        </w:rPr>
        <w:t>In New York</w:t>
      </w:r>
      <w:r w:rsidRPr="00BD56D3">
        <w:rPr>
          <w:sz w:val="16"/>
        </w:rPr>
        <w:t xml:space="preserve"> state </w:t>
      </w:r>
      <w:r w:rsidRPr="00BD56D3">
        <w:rPr>
          <w:rStyle w:val="StyleUnderline"/>
        </w:rPr>
        <w:t>alone</w:t>
      </w:r>
      <w:r w:rsidRPr="00BD56D3">
        <w:rPr>
          <w:sz w:val="16"/>
        </w:rPr>
        <w:t xml:space="preserve">, the FCE study notes that </w:t>
      </w:r>
      <w:r w:rsidRPr="00BD56D3">
        <w:rPr>
          <w:rStyle w:val="StyleUnderline"/>
        </w:rPr>
        <w:t>1,080 farms are in danger of</w:t>
      </w:r>
      <w:r w:rsidRPr="00BD56D3">
        <w:rPr>
          <w:sz w:val="16"/>
        </w:rPr>
        <w:t xml:space="preserve"> significantly shrinking -- or </w:t>
      </w:r>
      <w:r w:rsidRPr="00BD56D3">
        <w:rPr>
          <w:rStyle w:val="StyleUnderline"/>
        </w:rPr>
        <w:t>failing</w:t>
      </w:r>
      <w:r w:rsidRPr="00BD56D3">
        <w:rPr>
          <w:sz w:val="16"/>
        </w:rPr>
        <w:t xml:space="preserve"> outright -- </w:t>
      </w:r>
      <w:r w:rsidRPr="00BD56D3">
        <w:rPr>
          <w:rStyle w:val="StyleUnderline"/>
        </w:rPr>
        <w:t>due to ICE's enforcement measures.</w:t>
      </w:r>
    </w:p>
    <w:p w14:paraId="2DA1A180" w14:textId="77777777" w:rsidR="00AB6353" w:rsidRPr="00BD56D3" w:rsidRDefault="00AB6353" w:rsidP="00AB6353">
      <w:pPr>
        <w:rPr>
          <w:sz w:val="16"/>
        </w:rPr>
      </w:pPr>
      <w:r w:rsidRPr="00BD56D3">
        <w:rPr>
          <w:rStyle w:val="StyleUnderline"/>
        </w:rPr>
        <w:t>If</w:t>
      </w:r>
      <w:r w:rsidRPr="00BD56D3">
        <w:rPr>
          <w:sz w:val="16"/>
        </w:rPr>
        <w:t xml:space="preserve"> the president has his way and </w:t>
      </w:r>
      <w:r w:rsidRPr="00BD56D3">
        <w:rPr>
          <w:rStyle w:val="StyleUnderline"/>
        </w:rPr>
        <w:t>every undocumented worker in New York were deported</w:t>
      </w:r>
      <w:r w:rsidRPr="00BD56D3">
        <w:rPr>
          <w:sz w:val="16"/>
        </w:rPr>
        <w:t xml:space="preserve">, the FCE study figures that the state's </w:t>
      </w:r>
      <w:r w:rsidRPr="00BD56D3">
        <w:rPr>
          <w:rStyle w:val="StyleUnderline"/>
        </w:rPr>
        <w:t xml:space="preserve">agricultural output would </w:t>
      </w:r>
      <w:r w:rsidRPr="00843970">
        <w:rPr>
          <w:rStyle w:val="Emphasis"/>
        </w:rPr>
        <w:t>drop by 24 percent</w:t>
      </w:r>
      <w:r w:rsidRPr="00BD56D3">
        <w:rPr>
          <w:sz w:val="16"/>
        </w:rPr>
        <w:t xml:space="preserve">, or $1.37 billion. </w:t>
      </w:r>
      <w:r w:rsidRPr="00843970">
        <w:rPr>
          <w:rStyle w:val="Emphasis"/>
        </w:rPr>
        <w:t>Twenty-one-thousand farm jobs</w:t>
      </w:r>
      <w:r w:rsidRPr="00BD56D3">
        <w:rPr>
          <w:rStyle w:val="StyleUnderline"/>
        </w:rPr>
        <w:t xml:space="preserve"> would be subsequently </w:t>
      </w:r>
      <w:r w:rsidRPr="00843970">
        <w:rPr>
          <w:rStyle w:val="Emphasis"/>
        </w:rPr>
        <w:t>lost</w:t>
      </w:r>
      <w:r w:rsidRPr="00BD56D3">
        <w:rPr>
          <w:sz w:val="16"/>
        </w:rPr>
        <w:t xml:space="preserve">, including those held by US citizens, </w:t>
      </w:r>
      <w:r w:rsidRPr="00BD56D3">
        <w:rPr>
          <w:rStyle w:val="StyleUnderline"/>
        </w:rPr>
        <w:t>along with another 23,000 jobs in adjacent service sectors</w:t>
      </w:r>
      <w:r w:rsidRPr="00BD56D3">
        <w:rPr>
          <w:sz w:val="16"/>
        </w:rPr>
        <w:t xml:space="preserve"> (i.e., the local economies where undocumented workers spend their money). </w:t>
      </w:r>
      <w:r w:rsidRPr="00BD56D3">
        <w:rPr>
          <w:rStyle w:val="StyleUnderline"/>
        </w:rPr>
        <w:t>The economic impact</w:t>
      </w:r>
      <w:r w:rsidRPr="00BD56D3">
        <w:rPr>
          <w:sz w:val="16"/>
        </w:rPr>
        <w:t xml:space="preserve"> for New York </w:t>
      </w:r>
      <w:r w:rsidRPr="00BD56D3">
        <w:rPr>
          <w:rStyle w:val="StyleUnderline"/>
        </w:rPr>
        <w:t>would be staggering: Nonfarm activity</w:t>
      </w:r>
      <w:r w:rsidRPr="00BD56D3">
        <w:rPr>
          <w:sz w:val="16"/>
        </w:rPr>
        <w:t xml:space="preserve"> in the state </w:t>
      </w:r>
      <w:r w:rsidRPr="00BD56D3">
        <w:rPr>
          <w:rStyle w:val="StyleUnderline"/>
        </w:rPr>
        <w:t>would drop by $7.2 billion</w:t>
      </w:r>
      <w:r w:rsidRPr="00BD56D3">
        <w:rPr>
          <w:sz w:val="16"/>
        </w:rPr>
        <w:t>, according the the FCE study.</w:t>
      </w:r>
    </w:p>
    <w:p w14:paraId="2CBD893D" w14:textId="77777777" w:rsidR="00AB6353" w:rsidRPr="00BD56D3" w:rsidRDefault="00AB6353" w:rsidP="00AB6353">
      <w:pPr>
        <w:rPr>
          <w:sz w:val="16"/>
        </w:rPr>
      </w:pPr>
      <w:r w:rsidRPr="00BD56D3">
        <w:rPr>
          <w:sz w:val="16"/>
        </w:rPr>
        <w:t>"</w:t>
      </w:r>
      <w:r w:rsidRPr="00BD56D3">
        <w:rPr>
          <w:rStyle w:val="StyleUnderline"/>
        </w:rPr>
        <w:t>If</w:t>
      </w:r>
      <w:r w:rsidRPr="00BD56D3">
        <w:rPr>
          <w:sz w:val="16"/>
        </w:rPr>
        <w:t xml:space="preserve"> we </w:t>
      </w:r>
      <w:r w:rsidRPr="00BD56D3">
        <w:rPr>
          <w:rStyle w:val="StyleUnderline"/>
        </w:rPr>
        <w:t>don't have</w:t>
      </w:r>
      <w:r w:rsidRPr="00BD56D3">
        <w:rPr>
          <w:sz w:val="16"/>
        </w:rPr>
        <w:t xml:space="preserve"> the ability to have </w:t>
      </w:r>
      <w:r w:rsidRPr="00BD56D3">
        <w:rPr>
          <w:rStyle w:val="StyleUnderline"/>
        </w:rPr>
        <w:t>workers on</w:t>
      </w:r>
      <w:r w:rsidRPr="00BD56D3">
        <w:rPr>
          <w:sz w:val="16"/>
        </w:rPr>
        <w:t xml:space="preserve"> our </w:t>
      </w:r>
      <w:r w:rsidRPr="00BD56D3">
        <w:rPr>
          <w:rStyle w:val="StyleUnderline"/>
        </w:rPr>
        <w:t xml:space="preserve">farms, </w:t>
      </w:r>
      <w:r w:rsidRPr="00843970">
        <w:rPr>
          <w:rStyle w:val="Emphasis"/>
        </w:rPr>
        <w:t>farms can't survive</w:t>
      </w:r>
      <w:r w:rsidRPr="00BD56D3">
        <w:rPr>
          <w:sz w:val="16"/>
        </w:rPr>
        <w:t>," New York Farm Bureau spokesman Steve Ammerman told Crain's in 2017.</w:t>
      </w:r>
    </w:p>
    <w:p w14:paraId="7E46A58D" w14:textId="77777777" w:rsidR="00AB6353" w:rsidRPr="0059439B" w:rsidRDefault="00AB6353" w:rsidP="00AB6353">
      <w:pPr>
        <w:rPr>
          <w:sz w:val="16"/>
          <w:szCs w:val="16"/>
        </w:rPr>
      </w:pPr>
      <w:r w:rsidRPr="0059439B">
        <w:rPr>
          <w:sz w:val="16"/>
          <w:szCs w:val="16"/>
        </w:rPr>
        <w:t>And that's where automation will come in, eventually. "Automation is the priority for the industry, understanding that in the future, labor is going to be limited," Sankaran said. "There's a lot of emphasis on machine learning approaches on how to automate it."</w:t>
      </w:r>
    </w:p>
    <w:p w14:paraId="7FA10A24" w14:textId="705F9C1F" w:rsidR="00AB6353" w:rsidRDefault="00AB6353" w:rsidP="00AB6353">
      <w:pPr>
        <w:rPr>
          <w:sz w:val="16"/>
        </w:rPr>
      </w:pPr>
      <w:r w:rsidRPr="0059439B">
        <w:rPr>
          <w:sz w:val="16"/>
        </w:rPr>
        <w:t xml:space="preserve">Farmers have relied on increasingly complex farming implements since the advent of the ox-drawn plow. But </w:t>
      </w:r>
      <w:r w:rsidRPr="0059439B">
        <w:rPr>
          <w:rStyle w:val="StyleUnderline"/>
        </w:rPr>
        <w:t>even today's industrial-scale planters, weeders and harvesters require human oversight</w:t>
      </w:r>
      <w:r w:rsidRPr="0059439B">
        <w:rPr>
          <w:sz w:val="16"/>
        </w:rPr>
        <w:t xml:space="preserve"> to properly function. "</w:t>
      </w:r>
      <w:r w:rsidRPr="0059439B">
        <w:rPr>
          <w:rStyle w:val="StyleUnderline"/>
        </w:rPr>
        <w:t>The farmer</w:t>
      </w:r>
      <w:r w:rsidRPr="0059439B">
        <w:rPr>
          <w:sz w:val="16"/>
        </w:rPr>
        <w:t xml:space="preserve"> really </w:t>
      </w:r>
      <w:r w:rsidRPr="0059439B">
        <w:rPr>
          <w:rStyle w:val="StyleUnderline"/>
        </w:rPr>
        <w:t>has to be there because only the farmer knows how to farm</w:t>
      </w:r>
      <w:r w:rsidRPr="0059439B">
        <w:rPr>
          <w:sz w:val="16"/>
        </w:rPr>
        <w:t xml:space="preserve"> -- </w:t>
      </w:r>
      <w:r w:rsidRPr="0059439B">
        <w:rPr>
          <w:rStyle w:val="StyleUnderline"/>
        </w:rPr>
        <w:t>the computer doesn't</w:t>
      </w:r>
      <w:r w:rsidRPr="0059439B">
        <w:rPr>
          <w:sz w:val="16"/>
        </w:rPr>
        <w:t>," Kraig Schulz, the co-founder and CEO of Autonomous Tractor, told NBC News.</w:t>
      </w:r>
    </w:p>
    <w:p w14:paraId="42350B92" w14:textId="4D11D00C" w:rsidR="000B26B7" w:rsidRPr="000B26B7" w:rsidRDefault="000B26B7" w:rsidP="000B26B7">
      <w:pPr>
        <w:pStyle w:val="Heading4"/>
      </w:pPr>
      <w:r>
        <w:t xml:space="preserve">Immigration is the </w:t>
      </w:r>
      <w:r>
        <w:rPr>
          <w:u w:val="single"/>
        </w:rPr>
        <w:t>backbone</w:t>
      </w:r>
      <w:r>
        <w:t xml:space="preserve"> of American ag.</w:t>
      </w:r>
    </w:p>
    <w:p w14:paraId="0809AC52" w14:textId="77777777" w:rsidR="000B26B7" w:rsidRDefault="000B26B7" w:rsidP="000B26B7">
      <w:r>
        <w:rPr>
          <w:rStyle w:val="Style13ptBold"/>
        </w:rPr>
        <w:t>Willingham and Mathema 4/23</w:t>
      </w:r>
      <w:r>
        <w:rPr>
          <w:rStyle w:val="Style13ptBold"/>
          <w:b w:val="0"/>
          <w:bCs w:val="0"/>
        </w:rPr>
        <w:t xml:space="preserve"> — </w:t>
      </w:r>
      <w:r w:rsidRPr="00DC29C5">
        <w:t>Zoe Willingham is a research associate for Economic Policy at American Progress</w:t>
      </w:r>
      <w:r>
        <w:t xml:space="preserve"> that writes about rural economic development and studies economic concentration and antitrust policy</w:t>
      </w:r>
      <w:r w:rsidRPr="00DC29C5">
        <w:t>.</w:t>
      </w:r>
      <w:r>
        <w:t xml:space="preserve"> Willingham spent three years organizing with the Service Employees International Union, UNITE HERE, and United Students Against Sweatshops before conducting labor policy the U.S. Senate Committee on Health, Education, Labor, and Pensions. Willingham studied public policy and statistical science at Duke University. Silva Mathema is an associate director for policy on the Immigration Policy team at American Progress. Her research focuses on the effects of U.S. immigration policies on the daily lives of immigrants. Previously, she worked as a research associate for the Poverty and Race Research Action Council, where she studied the intersections between race and ethnicity issues and policies regarding affordable housing and education. Mathema earned her Ph.D. in public policy from the University of North Carolina at Charlotte, where she specialized in immigration policy, and her B.A. in economics from Salem College. (“Protecting Farmworkers From Coronavirus and Securing the Food Supply” Center for American Progress, April 23, 2020. https://www.americanprogress.org/issues/economy/reports/2020/04/23/483488/protecting-farmworkers-coronavirus-securing-food-supply/)//JLPark</w:t>
      </w:r>
    </w:p>
    <w:p w14:paraId="762475D1" w14:textId="77777777" w:rsidR="000B26B7" w:rsidRPr="001F46B8" w:rsidRDefault="000B26B7" w:rsidP="000B26B7">
      <w:pPr>
        <w:rPr>
          <w:sz w:val="14"/>
        </w:rPr>
      </w:pPr>
      <w:r w:rsidRPr="001F46B8">
        <w:rPr>
          <w:sz w:val="14"/>
        </w:rPr>
        <w:t xml:space="preserve">With millions of workers staying at home to aid public health efforts to stop the spread of COVID-19, </w:t>
      </w:r>
      <w:r w:rsidRPr="001F46B8">
        <w:rPr>
          <w:rStyle w:val="StyleUnderline"/>
        </w:rPr>
        <w:t>the security of America’s food supply and its supply chains has rarely been more important</w:t>
      </w:r>
      <w:r w:rsidRPr="001F46B8">
        <w:rPr>
          <w:sz w:val="14"/>
        </w:rPr>
        <w:t>. At this moment, to the extent that there is a challenge in ensuring America’s grocery stores have enough healthy food on the shelves, it comes not from insufficient natural bounty but instead from the extraordinary burdens that COVID-19 has placed on the many low-wage workers who play such central roles in the functioning of food supply chains.</w:t>
      </w:r>
    </w:p>
    <w:p w14:paraId="6FC8BD52" w14:textId="77777777" w:rsidR="000B26B7" w:rsidRPr="001F46B8" w:rsidRDefault="000B26B7" w:rsidP="000B26B7">
      <w:pPr>
        <w:rPr>
          <w:sz w:val="14"/>
        </w:rPr>
      </w:pPr>
      <w:r w:rsidRPr="001F46B8">
        <w:rPr>
          <w:sz w:val="14"/>
        </w:rPr>
        <w:t xml:space="preserve">Indeed, during these trying times, </w:t>
      </w:r>
      <w:r w:rsidRPr="001F46B8">
        <w:rPr>
          <w:rStyle w:val="StyleUnderline"/>
        </w:rPr>
        <w:t>farmworkers’ contributions in particular are more critical than ever</w:t>
      </w:r>
      <w:r w:rsidRPr="001F46B8">
        <w:rPr>
          <w:sz w:val="14"/>
        </w:rPr>
        <w:t>. They cannot shelter at home to remain safe from COVID-19; instead, they must go to work—along with meatpacker employees, truckers, and grocery store workers—</w:t>
      </w:r>
      <w:r w:rsidRPr="001F46B8">
        <w:rPr>
          <w:rStyle w:val="StyleUnderline"/>
        </w:rPr>
        <w:t>to ensure that the nation’s food supply is maintained</w:t>
      </w:r>
      <w:r w:rsidRPr="001F46B8">
        <w:rPr>
          <w:sz w:val="14"/>
        </w:rPr>
        <w:t>. Farmworkers are particularly vulnerable to illness because of high rates of respiratory disease being an occupational hazard, low rates of health insurance coverage, and often substandard living and working conditions.1 Despite these risk factors, agricultural workers—the majority of whom are immigrants and about half of whom are undocumented—lack many of the legal protections enjoyed by most workers, which endangers their own and their families’ health and well-being.2</w:t>
      </w:r>
    </w:p>
    <w:p w14:paraId="0313F04C" w14:textId="77777777" w:rsidR="000B26B7" w:rsidRPr="001F46B8" w:rsidRDefault="000B26B7" w:rsidP="000B26B7">
      <w:pPr>
        <w:rPr>
          <w:sz w:val="14"/>
        </w:rPr>
      </w:pPr>
      <w:r w:rsidRPr="001F46B8">
        <w:rPr>
          <w:rStyle w:val="StyleUnderline"/>
        </w:rPr>
        <w:t>The pandemic’s disruption of normal economic activity is clearly illustrating how crucial farmworkers are to national security and food access around the world</w:t>
      </w:r>
      <w:r w:rsidRPr="001F46B8">
        <w:rPr>
          <w:sz w:val="14"/>
        </w:rPr>
        <w:t xml:space="preserve">. </w:t>
      </w:r>
      <w:r w:rsidRPr="001F46B8">
        <w:rPr>
          <w:rStyle w:val="StyleUnderline"/>
        </w:rPr>
        <w:t>The E</w:t>
      </w:r>
      <w:r w:rsidRPr="001F46B8">
        <w:rPr>
          <w:sz w:val="14"/>
        </w:rPr>
        <w:t xml:space="preserve">uropean </w:t>
      </w:r>
      <w:r w:rsidRPr="001F46B8">
        <w:rPr>
          <w:rStyle w:val="StyleUnderline"/>
        </w:rPr>
        <w:t>U</w:t>
      </w:r>
      <w:r w:rsidRPr="001F46B8">
        <w:rPr>
          <w:sz w:val="14"/>
        </w:rPr>
        <w:t xml:space="preserve">nion </w:t>
      </w:r>
      <w:r w:rsidRPr="001F46B8">
        <w:rPr>
          <w:rStyle w:val="StyleUnderline"/>
        </w:rPr>
        <w:t>is already feeling the effect of tightened borders on the supply of farm labor</w:t>
      </w:r>
      <w:r w:rsidRPr="001F46B8">
        <w:rPr>
          <w:sz w:val="14"/>
        </w:rPr>
        <w:t xml:space="preserve">. Farmers in </w:t>
      </w:r>
      <w:r w:rsidRPr="001F46B8">
        <w:rPr>
          <w:rStyle w:val="StyleUnderline"/>
        </w:rPr>
        <w:t>the U</w:t>
      </w:r>
      <w:r w:rsidRPr="001F46B8">
        <w:rPr>
          <w:sz w:val="14"/>
        </w:rPr>
        <w:t xml:space="preserve">nited </w:t>
      </w:r>
      <w:r w:rsidRPr="001F46B8">
        <w:rPr>
          <w:rStyle w:val="StyleUnderline"/>
        </w:rPr>
        <w:t>K</w:t>
      </w:r>
      <w:r w:rsidRPr="001F46B8">
        <w:rPr>
          <w:sz w:val="14"/>
        </w:rPr>
        <w:t xml:space="preserve">ingdom </w:t>
      </w:r>
      <w:r w:rsidRPr="001F46B8">
        <w:rPr>
          <w:rStyle w:val="StyleUnderline"/>
        </w:rPr>
        <w:t>and Germany are reporting labor shortages</w:t>
      </w:r>
      <w:r w:rsidRPr="001F46B8">
        <w:rPr>
          <w:sz w:val="14"/>
        </w:rPr>
        <w:t xml:space="preserve">, </w:t>
      </w:r>
      <w:r w:rsidRPr="001F46B8">
        <w:rPr>
          <w:rStyle w:val="StyleUnderline"/>
        </w:rPr>
        <w:t>and</w:t>
      </w:r>
      <w:r w:rsidRPr="001F46B8">
        <w:rPr>
          <w:sz w:val="14"/>
        </w:rPr>
        <w:t xml:space="preserve"> the agricultural minister of </w:t>
      </w:r>
      <w:r w:rsidRPr="001F46B8">
        <w:rPr>
          <w:rStyle w:val="StyleUnderline"/>
        </w:rPr>
        <w:t>France</w:t>
      </w:r>
      <w:r w:rsidRPr="001F46B8">
        <w:rPr>
          <w:sz w:val="14"/>
        </w:rPr>
        <w:t xml:space="preserve"> recently urged professionals in the industries that have been </w:t>
      </w:r>
      <w:r w:rsidRPr="001F46B8">
        <w:rPr>
          <w:rStyle w:val="StyleUnderline"/>
        </w:rPr>
        <w:t>locked down</w:t>
      </w:r>
      <w:r w:rsidRPr="001F46B8">
        <w:rPr>
          <w:sz w:val="14"/>
        </w:rPr>
        <w:t xml:space="preserve"> to seek out work on farms.3 Yet farmers worry that the new workers they do recruit domestically will lack the skills necessary to efficiently harvest crops without damaging them.</w:t>
      </w:r>
    </w:p>
    <w:p w14:paraId="2EF650AD" w14:textId="77777777" w:rsidR="000B26B7" w:rsidRPr="001F46B8" w:rsidRDefault="000B26B7" w:rsidP="000B26B7">
      <w:pPr>
        <w:rPr>
          <w:sz w:val="14"/>
        </w:rPr>
      </w:pPr>
      <w:r w:rsidRPr="001F46B8">
        <w:rPr>
          <w:rStyle w:val="StyleUnderline"/>
        </w:rPr>
        <w:t>Travel and immigration bans enacted in the U</w:t>
      </w:r>
      <w:r w:rsidRPr="001F46B8">
        <w:rPr>
          <w:sz w:val="14"/>
        </w:rPr>
        <w:t xml:space="preserve">nited </w:t>
      </w:r>
      <w:r w:rsidRPr="001F46B8">
        <w:rPr>
          <w:rStyle w:val="StyleUnderline"/>
        </w:rPr>
        <w:t>S</w:t>
      </w:r>
      <w:r w:rsidRPr="001F46B8">
        <w:rPr>
          <w:sz w:val="14"/>
        </w:rPr>
        <w:t xml:space="preserve">tates and around the world </w:t>
      </w:r>
      <w:r w:rsidRPr="001F46B8">
        <w:rPr>
          <w:rStyle w:val="StyleUnderline"/>
        </w:rPr>
        <w:t>have put stress on a preexisting shortage of farm labor</w:t>
      </w:r>
      <w:r w:rsidRPr="001F46B8">
        <w:rPr>
          <w:sz w:val="14"/>
        </w:rPr>
        <w:t xml:space="preserve">.4 </w:t>
      </w:r>
      <w:r w:rsidRPr="001F46B8">
        <w:rPr>
          <w:rStyle w:val="StyleUnderline"/>
        </w:rPr>
        <w:t>To supplement the domestic labor supply, many farms in the U</w:t>
      </w:r>
      <w:r w:rsidRPr="001F46B8">
        <w:rPr>
          <w:sz w:val="14"/>
        </w:rPr>
        <w:t xml:space="preserve">nited </w:t>
      </w:r>
      <w:r w:rsidRPr="001F46B8">
        <w:rPr>
          <w:rStyle w:val="StyleUnderline"/>
        </w:rPr>
        <w:t>S</w:t>
      </w:r>
      <w:r w:rsidRPr="001F46B8">
        <w:rPr>
          <w:sz w:val="14"/>
        </w:rPr>
        <w:t xml:space="preserve">tates often </w:t>
      </w:r>
      <w:r w:rsidRPr="001F46B8">
        <w:rPr>
          <w:rStyle w:val="StyleUnderline"/>
        </w:rPr>
        <w:t>rely upon</w:t>
      </w:r>
      <w:r w:rsidRPr="001F46B8">
        <w:rPr>
          <w:sz w:val="14"/>
        </w:rPr>
        <w:t xml:space="preserve"> the H-2A </w:t>
      </w:r>
      <w:r w:rsidRPr="001F46B8">
        <w:rPr>
          <w:rStyle w:val="StyleUnderline"/>
        </w:rPr>
        <w:t>program to hire seasonal agricultural workers</w:t>
      </w:r>
      <w:r w:rsidRPr="001F46B8">
        <w:rPr>
          <w:sz w:val="14"/>
        </w:rPr>
        <w:t xml:space="preserve"> from other countries.5 In 2019, the United States issued more than 200,000 H-2A visas—accounting for about 10 percent of the agricultural workforce.6 Overall, including </w:t>
      </w:r>
      <w:r w:rsidRPr="001F46B8">
        <w:rPr>
          <w:rStyle w:val="StyleUnderline"/>
        </w:rPr>
        <w:t>the significant share of undocumented immigrants who have for decades been the backbone of this nation’s agricultural labor force</w:t>
      </w:r>
      <w:r w:rsidRPr="001F46B8">
        <w:rPr>
          <w:sz w:val="14"/>
        </w:rPr>
        <w:t xml:space="preserve">, </w:t>
      </w:r>
      <w:r w:rsidRPr="001F46B8">
        <w:rPr>
          <w:rStyle w:val="StyleUnderline"/>
        </w:rPr>
        <w:t>53 percent of farmworkers were born outside the country</w:t>
      </w:r>
      <w:r w:rsidRPr="001F46B8">
        <w:rPr>
          <w:sz w:val="14"/>
        </w:rPr>
        <w:t>, according to the U.S. Department of Agriculture (USDA).7</w:t>
      </w:r>
    </w:p>
    <w:p w14:paraId="3A81D81D" w14:textId="77777777" w:rsidR="000B26B7" w:rsidRPr="001F46B8" w:rsidRDefault="000B26B7" w:rsidP="000B26B7">
      <w:pPr>
        <w:rPr>
          <w:sz w:val="14"/>
        </w:rPr>
      </w:pPr>
      <w:r w:rsidRPr="001F46B8">
        <w:rPr>
          <w:sz w:val="14"/>
        </w:rPr>
        <w:t>Last month</w:t>
      </w:r>
      <w:r w:rsidRPr="001F46B8">
        <w:rPr>
          <w:rStyle w:val="StyleUnderline"/>
        </w:rPr>
        <w:t>, the U.S. Department of State announced that it would stop processing visas in Mexico</w:t>
      </w:r>
      <w:r w:rsidRPr="001F46B8">
        <w:rPr>
          <w:sz w:val="14"/>
        </w:rPr>
        <w:t xml:space="preserve">, </w:t>
      </w:r>
      <w:r w:rsidRPr="001F46B8">
        <w:rPr>
          <w:rStyle w:val="StyleUnderline"/>
        </w:rPr>
        <w:t>much to the alarm of growers who rely heavily on immigrant labor to meet seasonal needs</w:t>
      </w:r>
      <w:r w:rsidRPr="001F46B8">
        <w:rPr>
          <w:sz w:val="14"/>
        </w:rPr>
        <w:t>.8 Subsequently, the State Department announced that H-2A visa processing will resume, while in-person visa interviews will be waived for anyone who interviewed the previous year. In the end, as the fear of labor and food shortages grew, the State Department decided to waive the in-person visa interview requirement for all H-2A applicants, both new and returning workers, as well as seasonal nonagricultural workers seeking entry through the H-2B program.9</w:t>
      </w:r>
    </w:p>
    <w:p w14:paraId="224CA428" w14:textId="77777777" w:rsidR="000B26B7" w:rsidRPr="001F46B8" w:rsidRDefault="000B26B7" w:rsidP="000B26B7">
      <w:pPr>
        <w:rPr>
          <w:sz w:val="12"/>
          <w:szCs w:val="12"/>
        </w:rPr>
      </w:pPr>
      <w:r w:rsidRPr="001F46B8">
        <w:rPr>
          <w:sz w:val="12"/>
          <w:szCs w:val="12"/>
        </w:rPr>
        <w:t>Furthermore, President Trump recently announced plans to sign an executive order temporarily banning people from immigrating permanently into the United States, but the anticipated announcement reportedly will not affect the entry of seasonal agricultural workers into the United States or provide any additional safeguards for the health and safety of those workers or people with whom they may come into contact.10</w:t>
      </w:r>
    </w:p>
    <w:p w14:paraId="71426147" w14:textId="77777777" w:rsidR="000B26B7" w:rsidRPr="001F46B8" w:rsidRDefault="000B26B7" w:rsidP="000B26B7">
      <w:pPr>
        <w:rPr>
          <w:sz w:val="12"/>
          <w:szCs w:val="12"/>
        </w:rPr>
      </w:pPr>
      <w:r w:rsidRPr="001F46B8">
        <w:rPr>
          <w:sz w:val="12"/>
          <w:szCs w:val="12"/>
        </w:rPr>
        <w:t>The administration’s efforts to facilitate the entry of farmworkers into the United States even as it bans countless other immigrants, refugees, and asylum seekers speaks, in part, to the important role that such farmworkers play in supporting the American economy and the country’s food security. It is reasonable for the State Department to make it easier for more farmworkers to come in order to prevent an impending food shortage. But bringing in still more workers without taking extra precautions to protect their health and safety—as well as the health and safety of all farmworkers and people with whom they interact—would be shortsighted. If nothing is done to ensure that proper protections are put in place for these farmworkers and other vulnerable food chain workers, these workers are not the only ones jeopardized; the workers that they will be living and working alongside are also at risk. Not only that, but broader efforts in the community to tamp down the disease through social distancing and sanitation efforts will also be undermined. Moreover, if farmworkers begin to contract the coronavirus, farm labor supply will decrease—with a potentially devastating effect on food production. More must be done to safeguard these important workers as they perform essential tasks.</w:t>
      </w:r>
    </w:p>
    <w:p w14:paraId="1A9ADD54" w14:textId="77777777" w:rsidR="000B26B7" w:rsidRPr="001F46B8" w:rsidRDefault="000B26B7" w:rsidP="000B26B7">
      <w:pPr>
        <w:rPr>
          <w:sz w:val="12"/>
          <w:szCs w:val="12"/>
        </w:rPr>
      </w:pPr>
      <w:r w:rsidRPr="001F46B8">
        <w:rPr>
          <w:sz w:val="12"/>
          <w:szCs w:val="12"/>
        </w:rPr>
        <w:t>Protecting farmworkers is essential to the nation’s food supply chain. An outbreak among farmworkers can potentially shutter entire farm operations at a time when the supply chain is already experiencing unprecedented disruption. Earlier this month, after three farmworkers tested positive for COVID-19 in Cayuga County, New York, and one of them died, farm owners became even more aware of the spread of the disease.11 Swift action to prevent the spread of the coronavirus must be taken. This is even more urgent in light of the shuttering of several meatpacking plants due to widespread infection among workers.12 Essential workers are not disposable.</w:t>
      </w:r>
    </w:p>
    <w:p w14:paraId="42298ECC" w14:textId="77777777" w:rsidR="000B26B7" w:rsidRPr="001F46B8" w:rsidRDefault="000B26B7" w:rsidP="000B26B7">
      <w:pPr>
        <w:rPr>
          <w:rStyle w:val="Emphasis"/>
        </w:rPr>
      </w:pPr>
      <w:r w:rsidRPr="001F46B8">
        <w:rPr>
          <w:rStyle w:val="Emphasis"/>
        </w:rPr>
        <w:t>Farmworkers are essential to the food supply</w:t>
      </w:r>
    </w:p>
    <w:p w14:paraId="4F57F330" w14:textId="77777777" w:rsidR="000B26B7" w:rsidRPr="001F46B8" w:rsidRDefault="000B26B7" w:rsidP="000B26B7">
      <w:pPr>
        <w:rPr>
          <w:sz w:val="12"/>
        </w:rPr>
      </w:pPr>
      <w:r w:rsidRPr="001F46B8">
        <w:rPr>
          <w:sz w:val="12"/>
        </w:rPr>
        <w:t xml:space="preserve">Many growers have long been pushing to ease requirements and expand the scope of H-2A workers in the United States to meet farm labor needs. But particularly </w:t>
      </w:r>
      <w:r w:rsidRPr="001F46B8">
        <w:rPr>
          <w:rStyle w:val="StyleUnderline"/>
        </w:rPr>
        <w:t>during the novel coronavirus pandemic, it is essential that employers and the federal government also ensure</w:t>
      </w:r>
      <w:r w:rsidRPr="001F46B8">
        <w:rPr>
          <w:sz w:val="12"/>
        </w:rPr>
        <w:t xml:space="preserve"> the safety and security of participants—as well as that of current farmworkers and other food system workers such as meatpackers—to </w:t>
      </w:r>
      <w:r w:rsidRPr="001F46B8">
        <w:rPr>
          <w:rStyle w:val="StyleUnderline"/>
        </w:rPr>
        <w:t>strengthen the security of the U.S. food supply</w:t>
      </w:r>
      <w:r w:rsidRPr="001F46B8">
        <w:rPr>
          <w:sz w:val="12"/>
        </w:rPr>
        <w:t>.</w:t>
      </w:r>
    </w:p>
    <w:p w14:paraId="7C19526C" w14:textId="77777777" w:rsidR="000B26B7" w:rsidRPr="001F46B8" w:rsidRDefault="000B26B7" w:rsidP="000B26B7">
      <w:pPr>
        <w:rPr>
          <w:sz w:val="14"/>
          <w:szCs w:val="14"/>
        </w:rPr>
      </w:pPr>
      <w:r w:rsidRPr="001F46B8">
        <w:rPr>
          <w:sz w:val="14"/>
          <w:szCs w:val="14"/>
        </w:rPr>
        <w:t>The experiences of guest farmworkers pose several risks of infection. For example, migrant farmworkers journeying long distances to the United States travel on crowded buses chartered by their employers. Once in the country, they reside in employer-provided housing, which is often crowded and inadequate.13 These facts of daily life make it difficult, even impossible, for farmworkers to maintain social distancing and proper sanitation.14 If measures are not taken to ensure the health and safety of farmworkers, COVID-19 may spread rapidly among the agricultural workforce—with possibly dramatic negative implications for the national food supply.</w:t>
      </w:r>
    </w:p>
    <w:p w14:paraId="727BFF34" w14:textId="77777777" w:rsidR="000B26B7" w:rsidRDefault="000B26B7" w:rsidP="000B26B7">
      <w:r w:rsidRPr="001F46B8">
        <w:rPr>
          <w:sz w:val="14"/>
          <w:szCs w:val="14"/>
        </w:rPr>
        <w:t>Measures must be taken to safely meet the demand for agricultural workers. However, workers must be adequately screened before being permitted entry and must be guaranteed safe transportation, housing, and working conditions to ensure their safety and the safety of people around them. This is necessary not only to protect workers but also the supply chain itself. If one worker is forced to work while ill or is unable to access testing or care, employers risk infecting their entire workforce, which could completely shut down their operations</w:t>
      </w:r>
      <w:r>
        <w:t>.</w:t>
      </w:r>
    </w:p>
    <w:p w14:paraId="19FA6567" w14:textId="77777777" w:rsidR="000B26B7" w:rsidRPr="001F46B8" w:rsidRDefault="000B26B7" w:rsidP="000B26B7">
      <w:pPr>
        <w:rPr>
          <w:sz w:val="12"/>
          <w:szCs w:val="12"/>
        </w:rPr>
      </w:pPr>
      <w:r w:rsidRPr="001F46B8">
        <w:rPr>
          <w:sz w:val="12"/>
          <w:szCs w:val="12"/>
        </w:rPr>
        <w:t>Farmworkers’ basic needs must be met</w:t>
      </w:r>
    </w:p>
    <w:p w14:paraId="3610EF78" w14:textId="77777777" w:rsidR="000B26B7" w:rsidRPr="001F46B8" w:rsidRDefault="000B26B7" w:rsidP="000B26B7">
      <w:pPr>
        <w:rPr>
          <w:sz w:val="12"/>
          <w:szCs w:val="12"/>
        </w:rPr>
      </w:pPr>
      <w:r w:rsidRPr="001F46B8">
        <w:rPr>
          <w:sz w:val="12"/>
          <w:szCs w:val="12"/>
        </w:rPr>
        <w:t>Because farmworkers are essential workers on the front lines of the pandemic, lawmakers must address these workers’ safety. Unfortunately, employers do not always prioritize the safety of farmworkers, and federal law exempts farmworkers from some of the rights most other workers enjoy.</w:t>
      </w:r>
    </w:p>
    <w:p w14:paraId="42BF9A46" w14:textId="77777777" w:rsidR="000B26B7" w:rsidRPr="001F46B8" w:rsidRDefault="000B26B7" w:rsidP="000B26B7">
      <w:pPr>
        <w:rPr>
          <w:sz w:val="12"/>
          <w:szCs w:val="12"/>
        </w:rPr>
      </w:pPr>
      <w:r w:rsidRPr="001F46B8">
        <w:rPr>
          <w:sz w:val="12"/>
          <w:szCs w:val="12"/>
        </w:rPr>
        <w:t>As a result of their occupation, farmworkers face increased risk of exposure and serious illness due to the coronavirus. Farmworkers commonly suffer from respiratory illnesses due to occupational hazards such as the application of pesticides—conditions that may make people more vulnerable to dangerous complications from the virus.15 Farmworkers who require masks and respiratory protection to safely apply pesticides or perform other tasks may soon find it difficult to procure the equipment they need due to the stress the pandemic has put on the personal protective equipment (PPE) supply chain.16 Moreover, farmworkers often work in fields with limited access to bathrooms or basic sanitation, making it difficult to implement many of the preventive measures recommended by the Centers for Disease Control and Prevention (CDC).</w:t>
      </w:r>
    </w:p>
    <w:p w14:paraId="4B8E3470" w14:textId="77777777" w:rsidR="000B26B7" w:rsidRPr="001F46B8" w:rsidRDefault="000B26B7" w:rsidP="000B26B7">
      <w:pPr>
        <w:rPr>
          <w:sz w:val="12"/>
          <w:szCs w:val="12"/>
        </w:rPr>
      </w:pPr>
      <w:r w:rsidRPr="001F46B8">
        <w:rPr>
          <w:sz w:val="12"/>
          <w:szCs w:val="12"/>
        </w:rPr>
        <w:t>If farmworkers do get sick, they likely do not have access to paid leave to take time away from work to access medical care, and they face enormous barriers to receiving the testing and care that they need to recover and keep their communities safe. According to the U.S. Department of Labor, less than half of all farmworkers, and only 24 percent of undocumented farmworkers, have health insurance.17 Though Congress made free COVID-19 testing available to uninsured people through the Families First Coronavirus Response Act, this measure excluded many categories of immigrants, including undocumented immigrants, recipients of Deferred Action for Childhood Arrivals, H-2A workers, and Temporary Protected Status holders. Moreover, rural health systems, which hospital closures have put under strain, may not be able to provide the needed care.18</w:t>
      </w:r>
    </w:p>
    <w:p w14:paraId="297E91B1" w14:textId="77777777" w:rsidR="000B26B7" w:rsidRPr="001F46B8" w:rsidRDefault="000B26B7" w:rsidP="000B26B7">
      <w:pPr>
        <w:rPr>
          <w:sz w:val="12"/>
          <w:szCs w:val="12"/>
        </w:rPr>
      </w:pPr>
      <w:r w:rsidRPr="001F46B8">
        <w:rPr>
          <w:sz w:val="12"/>
          <w:szCs w:val="12"/>
        </w:rPr>
        <w:t>Despite the hazards that farmworkers face, they receive far fewer legal protections than most other workers.19 For example, farmworkers are not entitled to overtime pay, and farms with fewer than seven workers in a given quarter may not have to pay even the federal minimum wage. Moreover, federal law does not protect farmworkers’ right to organize unions, making it difficult for them to band together to bargain for better pay and working conditions. Some states have expanded labor rights to farmworkers. A recent New York law extends to agricultural workers overtime pay for hours worked in excess of 60 hours per week and the right to unionize.20 However, the state-by-state patchwork still leaves many of these essential workers unprotected.</w:t>
      </w:r>
    </w:p>
    <w:p w14:paraId="77A80771" w14:textId="77777777" w:rsidR="000B26B7" w:rsidRPr="001F46B8" w:rsidRDefault="000B26B7" w:rsidP="000B26B7">
      <w:pPr>
        <w:rPr>
          <w:sz w:val="12"/>
          <w:szCs w:val="12"/>
        </w:rPr>
      </w:pPr>
      <w:r w:rsidRPr="001F46B8">
        <w:rPr>
          <w:sz w:val="12"/>
          <w:szCs w:val="12"/>
        </w:rPr>
        <w:t>The lack of federal legal protections for farmworkers is particularly dangerous for undocumented workers and workers with H-2A visas, whose status is dependent on petitions filed by their employer. The monopsony power gives employers leverage over workers, making it difficult for farmworkers to bargain with employers for better wages or working conditions because they cannot leave for another job without jeopardizing their immigration status.21</w:t>
      </w:r>
    </w:p>
    <w:p w14:paraId="04327995" w14:textId="77777777" w:rsidR="000B26B7" w:rsidRPr="001F46B8" w:rsidRDefault="000B26B7" w:rsidP="000B26B7">
      <w:pPr>
        <w:rPr>
          <w:sz w:val="12"/>
          <w:szCs w:val="12"/>
        </w:rPr>
      </w:pPr>
      <w:r w:rsidRPr="001F46B8">
        <w:rPr>
          <w:sz w:val="12"/>
          <w:szCs w:val="12"/>
        </w:rPr>
        <w:t>In addition to gaps in coverage under federal labor laws, undocumented workers, who make up about half of the entire crop farmworker labor force, are reluctant to report labor law violations because of their immigration status.22 The fear of deportation looms large, and undocumented workers do not qualify for unemployment insurance and other social safety nets that they may need if they become sick. Though the House of Representatives passed the Farm Workforce Modernization Act in fall 2019 with a strong, bipartisan vote, the Senate has yet to take up the bill.23 This legislation would provide a pathway for eligible undocumented farmworkers to gain permanent residence. Yet even in the absence of legislative reform, much more can and should be done to protect workers who are currently undocumented.</w:t>
      </w:r>
    </w:p>
    <w:p w14:paraId="1F6F029A" w14:textId="77777777" w:rsidR="000B26B7" w:rsidRPr="001F46B8" w:rsidRDefault="000B26B7" w:rsidP="000B26B7">
      <w:pPr>
        <w:rPr>
          <w:sz w:val="12"/>
          <w:szCs w:val="12"/>
        </w:rPr>
      </w:pPr>
      <w:r w:rsidRPr="001F46B8">
        <w:rPr>
          <w:sz w:val="12"/>
          <w:szCs w:val="12"/>
        </w:rPr>
        <w:t>Recommendations</w:t>
      </w:r>
    </w:p>
    <w:p w14:paraId="00C38DA3" w14:textId="77777777" w:rsidR="000B26B7" w:rsidRPr="001F46B8" w:rsidRDefault="000B26B7" w:rsidP="000B26B7">
      <w:pPr>
        <w:rPr>
          <w:sz w:val="12"/>
          <w:szCs w:val="12"/>
        </w:rPr>
      </w:pPr>
      <w:r w:rsidRPr="001F46B8">
        <w:rPr>
          <w:sz w:val="12"/>
          <w:szCs w:val="12"/>
        </w:rPr>
        <w:t>Lawmakers must take immediate action to safeguard the farmworkers on the front lines of the pandemic. The United States cannot afford to leave farmworkers vulnerable, nor should farms be permitted to recruit migrant workers without proper safety measures in place. Farmworker employers must be required to adopt necessary measures, and operations that acquire labor through contracting companies must be held accountable as joint employers. Congress must take action to expand farmworker protections at the federal level.</w:t>
      </w:r>
    </w:p>
    <w:p w14:paraId="691D68D3" w14:textId="77777777" w:rsidR="000B26B7" w:rsidRPr="001F46B8" w:rsidRDefault="000B26B7" w:rsidP="000B26B7">
      <w:pPr>
        <w:rPr>
          <w:sz w:val="12"/>
          <w:szCs w:val="12"/>
        </w:rPr>
      </w:pPr>
      <w:r w:rsidRPr="001F46B8">
        <w:rPr>
          <w:sz w:val="12"/>
          <w:szCs w:val="12"/>
        </w:rPr>
        <w:t>Health protections</w:t>
      </w:r>
    </w:p>
    <w:p w14:paraId="284B52DA" w14:textId="77777777" w:rsidR="000B26B7" w:rsidRPr="001F46B8" w:rsidRDefault="000B26B7" w:rsidP="000B26B7">
      <w:pPr>
        <w:rPr>
          <w:sz w:val="12"/>
          <w:szCs w:val="12"/>
        </w:rPr>
      </w:pPr>
      <w:r w:rsidRPr="001F46B8">
        <w:rPr>
          <w:sz w:val="12"/>
          <w:szCs w:val="12"/>
        </w:rPr>
        <w:t>For the safety of rural communities and the security of the food supply, all farmworkers need access to free testing and treatment for COVID-19, regardless of immigration status. Rural health care access must be expanded, with particular attention to farm communities. This includes significantly increasing funding to community health centers that serve immigrant and farmworker populations in rural areas and expanding broadband access. With government support, recently closed rural hospitals could temporarily be reopened, field hospitals could be set up in areas that anticipate care shortages, and multilingual telehealth options could be made available to all—insured or not.</w:t>
      </w:r>
    </w:p>
    <w:p w14:paraId="6CB63F39" w14:textId="77777777" w:rsidR="000B26B7" w:rsidRPr="001F46B8" w:rsidRDefault="000B26B7" w:rsidP="000B26B7">
      <w:pPr>
        <w:rPr>
          <w:sz w:val="12"/>
          <w:szCs w:val="12"/>
        </w:rPr>
      </w:pPr>
      <w:r w:rsidRPr="001F46B8">
        <w:rPr>
          <w:sz w:val="12"/>
          <w:szCs w:val="12"/>
        </w:rPr>
        <w:t>In addition to ensuring access to health care, lawmakers must ensure that workers’ health is protected on the job. First, farms must be required to provide their employees with timely and accurate information about COVID-19 transmission and prevention. Awareness is key to preventing the spread of the virus among farmworkers, who may live and work in close quarters. However, awareness is not enough if workers are not provided with the ability to follow the guidelines. Future legislative responses to the pandemic must enact stricter workplace safety standards, much like the stricter standards imposed in hospitals to protect health care workers. For instance, employers should make sure that their workers have sufficient handwashing stations and restrooms in workplaces and in employer-provided housing. Employers must also be required to implement modified working arrangements that allow for social distancing, such as putting fewer workers at conveyor belts at the same time.</w:t>
      </w:r>
    </w:p>
    <w:p w14:paraId="26A4593B" w14:textId="77777777" w:rsidR="000B26B7" w:rsidRPr="001F46B8" w:rsidRDefault="000B26B7" w:rsidP="000B26B7">
      <w:pPr>
        <w:rPr>
          <w:sz w:val="12"/>
          <w:szCs w:val="12"/>
        </w:rPr>
      </w:pPr>
      <w:r w:rsidRPr="001F46B8">
        <w:rPr>
          <w:sz w:val="12"/>
          <w:szCs w:val="12"/>
        </w:rPr>
        <w:t>Through the Families First Coronavirus Response Act, employees are entitled to 80 hours of emergency paid sick leave and 12 weeks of emergency child care leave—with 10 of the 12 weeks paid. This includes farmworkers who are employees, or H-2A visa holders, for employers with between 50 and 500 employees. However, improvements to the federal emergency paid leave protections must cover employees of all farming operations, regardless of size.24</w:t>
      </w:r>
    </w:p>
    <w:p w14:paraId="09FFF917" w14:textId="77777777" w:rsidR="000B26B7" w:rsidRPr="001F46B8" w:rsidRDefault="000B26B7" w:rsidP="000B26B7">
      <w:pPr>
        <w:rPr>
          <w:sz w:val="12"/>
          <w:szCs w:val="12"/>
        </w:rPr>
      </w:pPr>
      <w:r w:rsidRPr="001F46B8">
        <w:rPr>
          <w:sz w:val="12"/>
          <w:szCs w:val="12"/>
        </w:rPr>
        <w:t>Beyond requiring farm employers to take commonsense health measures, Congress and the Trump administration should deploy resources to provide much-needed aid to workers. The Trump administration should use the Defense Production Act to procure PPE during the pandemic, and once a sufficient supply is established, some of the equipment procured should be set aside to ensure that farmworkers and other essential workers can perform their jobs safely. The USDA’s Rural Housing Service must receive emergency funding to erect temporary housing for farmworkers who are ill or in a high-risk category and to build supplemental housing where accommodations exceed capacity and do not allow for social distancing. Finally, Congress must appropriate additional funds to migrant and seasonal Head Start programs to supply critical child care. These measures will equip these essential workers with the resources they need to stay healthy.</w:t>
      </w:r>
    </w:p>
    <w:p w14:paraId="3C0393DD" w14:textId="77777777" w:rsidR="000B26B7" w:rsidRPr="001F46B8" w:rsidRDefault="000B26B7" w:rsidP="000B26B7">
      <w:pPr>
        <w:rPr>
          <w:sz w:val="12"/>
          <w:szCs w:val="12"/>
        </w:rPr>
      </w:pPr>
      <w:r w:rsidRPr="001F46B8">
        <w:rPr>
          <w:sz w:val="12"/>
          <w:szCs w:val="12"/>
        </w:rPr>
        <w:t>Hazard pay and economic security</w:t>
      </w:r>
    </w:p>
    <w:p w14:paraId="704C5B13" w14:textId="77777777" w:rsidR="000B26B7" w:rsidRPr="001F46B8" w:rsidRDefault="000B26B7" w:rsidP="000B26B7">
      <w:pPr>
        <w:rPr>
          <w:sz w:val="14"/>
        </w:rPr>
      </w:pPr>
      <w:r w:rsidRPr="001F46B8">
        <w:rPr>
          <w:rStyle w:val="StyleUnderline"/>
        </w:rPr>
        <w:t>Farmworkers are essential workers on the front lines of this pandemic</w:t>
      </w:r>
      <w:r w:rsidRPr="001F46B8">
        <w:rPr>
          <w:sz w:val="14"/>
        </w:rPr>
        <w:t>, risking their health to feed the country. Federal law must require all farms to pay the minimum wage—regardless of the size of the operation—and guarantee the right of farmworkers to organize a union and bargain collectively. Currently, less than 1 percent of farmworkers are unionized, which severely hampers workers’ abilities to bargain for fair wages and better working conditions, not to mention enforce labor law.25 Unfortunately, rather than raising wages for these essential workers, the White House is exploring ways to lower wage standards for H-2A workers, according to NPR reporting.26</w:t>
      </w:r>
    </w:p>
    <w:p w14:paraId="3C4EE748" w14:textId="77777777" w:rsidR="000B26B7" w:rsidRPr="001F46B8" w:rsidRDefault="000B26B7" w:rsidP="000B26B7">
      <w:pPr>
        <w:rPr>
          <w:sz w:val="12"/>
          <w:szCs w:val="12"/>
        </w:rPr>
      </w:pPr>
      <w:r w:rsidRPr="001F46B8">
        <w:rPr>
          <w:sz w:val="12"/>
          <w:szCs w:val="12"/>
        </w:rPr>
        <w:t>Moreover, unemployment insurance must be expanded to cover all farmworkers. While farmworkers are recognized under federal law as eligible for unemployment insurance, smaller farms are not covered unless specified in state statutes.27</w:t>
      </w:r>
    </w:p>
    <w:p w14:paraId="3A0B86E7" w14:textId="77777777" w:rsidR="000B26B7" w:rsidRPr="001F46B8" w:rsidRDefault="000B26B7" w:rsidP="000B26B7">
      <w:pPr>
        <w:rPr>
          <w:sz w:val="12"/>
          <w:szCs w:val="12"/>
        </w:rPr>
      </w:pPr>
      <w:r w:rsidRPr="001F46B8">
        <w:rPr>
          <w:sz w:val="12"/>
          <w:szCs w:val="12"/>
        </w:rPr>
        <w:t>Many farms are expecting emergency payments as a result of the third COVID-19 relief bill recently passed by Congress, which raised the borrowing limit of the USDA’s Commodity Credit Corporation, making an additional $14 billion available for emergency payments.28 Congress must require that farms that receive this assistance pay their workers hazard pay equal to twice their usual wage, as well as overtime on top of that. To ensure enforcement of all worker protections, Congress should embed in every USDA office a Department of Labor detailee to serve as a farmworker advocate responsible for directing outreach to farmworkers to inform them of their rights and provide legal aid. To provide additional support, future coronavirus relief packages should also provide increased funding for community organizations that serve farmworkers, particularly those that help enforce labor rights.</w:t>
      </w:r>
    </w:p>
    <w:p w14:paraId="67432C46" w14:textId="77777777" w:rsidR="000B26B7" w:rsidRDefault="000B26B7" w:rsidP="000B26B7">
      <w:r>
        <w:t>Immigration</w:t>
      </w:r>
    </w:p>
    <w:p w14:paraId="170669E6" w14:textId="77777777" w:rsidR="000B26B7" w:rsidRPr="001F46B8" w:rsidRDefault="000B26B7" w:rsidP="000B26B7">
      <w:pPr>
        <w:rPr>
          <w:sz w:val="14"/>
        </w:rPr>
      </w:pPr>
      <w:r w:rsidRPr="001F46B8">
        <w:rPr>
          <w:sz w:val="14"/>
        </w:rPr>
        <w:t>The Department of Homeland Security (</w:t>
      </w:r>
      <w:r w:rsidRPr="001F46B8">
        <w:rPr>
          <w:rStyle w:val="StyleUnderline"/>
        </w:rPr>
        <w:t>DHS</w:t>
      </w:r>
      <w:r w:rsidRPr="001F46B8">
        <w:rPr>
          <w:sz w:val="14"/>
        </w:rPr>
        <w:t xml:space="preserve">) recently issued guidance identifying farmworkers and people involved in food processing and packaging as essential critical infrastructure workers.29 For this reason and others, just as DHS should issue a clear formal statement prohibiting immigration enforcement actions at or near health care facilities, it </w:t>
      </w:r>
      <w:r w:rsidRPr="001F46B8">
        <w:rPr>
          <w:rStyle w:val="StyleUnderline"/>
        </w:rPr>
        <w:t>should refrain from routine immigration enforcement activities on farms and in processing plants</w:t>
      </w:r>
      <w:r w:rsidRPr="001F46B8">
        <w:rPr>
          <w:sz w:val="14"/>
        </w:rPr>
        <w:t xml:space="preserve">.30 </w:t>
      </w:r>
      <w:r w:rsidRPr="001F46B8">
        <w:rPr>
          <w:rStyle w:val="StyleUnderline"/>
        </w:rPr>
        <w:t>In general, civil immigration enforcement actions should be curtailed during the COVID</w:t>
      </w:r>
      <w:r w:rsidRPr="001F46B8">
        <w:rPr>
          <w:sz w:val="14"/>
        </w:rPr>
        <w:t xml:space="preserve">-19 pandemic, </w:t>
      </w:r>
      <w:r w:rsidRPr="001F46B8">
        <w:rPr>
          <w:rStyle w:val="StyleUnderline"/>
        </w:rPr>
        <w:t>unless there is a significant public safety concern that outweighs the dangers of crowded detention facilities.</w:t>
      </w:r>
      <w:r w:rsidRPr="001F46B8">
        <w:rPr>
          <w:sz w:val="14"/>
        </w:rPr>
        <w:t xml:space="preserve">31 The Congressional Hispanic Caucus made a similar ask of the Trump administration recently, noting that preserving the nation’s food supply by protecting farmworkers is a national security imperative.32 </w:t>
      </w:r>
      <w:r w:rsidRPr="001F46B8">
        <w:rPr>
          <w:rStyle w:val="StyleUnderline"/>
        </w:rPr>
        <w:t>Undocumented farmworkers should not live in fear of deportation</w:t>
      </w:r>
      <w:r w:rsidRPr="001F46B8">
        <w:rPr>
          <w:sz w:val="14"/>
        </w:rPr>
        <w:t xml:space="preserve">, nor should they be forced to refrain from accessing vital medical care if they need it. Moreover, </w:t>
      </w:r>
      <w:r w:rsidRPr="001F46B8">
        <w:rPr>
          <w:rStyle w:val="StyleUnderline"/>
        </w:rPr>
        <w:t>these critical workers should not fear retaliation</w:t>
      </w:r>
      <w:r w:rsidRPr="001F46B8">
        <w:rPr>
          <w:sz w:val="14"/>
        </w:rPr>
        <w:t xml:space="preserve"> from employers if they miss work due to feeling unwell. </w:t>
      </w:r>
      <w:r w:rsidRPr="001F46B8">
        <w:rPr>
          <w:rStyle w:val="StyleUnderline"/>
        </w:rPr>
        <w:t>While U.S. Immigration and Customs Enforcement initially announced plans to modify its enforcement practices during the pandemic</w:t>
      </w:r>
      <w:r w:rsidRPr="001F46B8">
        <w:rPr>
          <w:sz w:val="14"/>
        </w:rPr>
        <w:t xml:space="preserve">, tweets from the account of Ken Cuccinelli, </w:t>
      </w:r>
      <w:r w:rsidRPr="001F46B8">
        <w:rPr>
          <w:rStyle w:val="StyleUnderline"/>
        </w:rPr>
        <w:t>the acting deputy secretary</w:t>
      </w:r>
      <w:r w:rsidRPr="001F46B8">
        <w:rPr>
          <w:sz w:val="14"/>
        </w:rPr>
        <w:t xml:space="preserve"> of U.S. Citizenship and Immigration Services, </w:t>
      </w:r>
      <w:r w:rsidRPr="001F46B8">
        <w:rPr>
          <w:rStyle w:val="StyleUnderline"/>
        </w:rPr>
        <w:t>suggest that policy was quickly reversed by higher-ups within DHS and even</w:t>
      </w:r>
      <w:r w:rsidRPr="001F46B8">
        <w:rPr>
          <w:sz w:val="14"/>
        </w:rPr>
        <w:t xml:space="preserve"> President </w:t>
      </w:r>
      <w:r w:rsidRPr="001F46B8">
        <w:rPr>
          <w:rStyle w:val="StyleUnderline"/>
        </w:rPr>
        <w:t>Trump himself</w:t>
      </w:r>
      <w:r w:rsidRPr="001F46B8">
        <w:rPr>
          <w:sz w:val="14"/>
        </w:rPr>
        <w:t>.33</w:t>
      </w:r>
    </w:p>
    <w:p w14:paraId="6C1968AE" w14:textId="77777777" w:rsidR="000B26B7" w:rsidRPr="001F46B8" w:rsidRDefault="000B26B7" w:rsidP="000B26B7">
      <w:pPr>
        <w:rPr>
          <w:sz w:val="14"/>
          <w:szCs w:val="14"/>
        </w:rPr>
      </w:pPr>
      <w:r w:rsidRPr="001F46B8">
        <w:rPr>
          <w:sz w:val="14"/>
          <w:szCs w:val="14"/>
        </w:rPr>
        <w:t>In addition to modifying immigration enforcement practices, the government needs to do more to protect current and new immigrant farmworkers. For workers who are already here on H-2A visas, the State Department should allow for automatic extensions and make it easier for visas to be transferred to a new employer.</w:t>
      </w:r>
    </w:p>
    <w:p w14:paraId="25D1CA08" w14:textId="77777777" w:rsidR="000B26B7" w:rsidRPr="001F46B8" w:rsidRDefault="000B26B7" w:rsidP="000B26B7">
      <w:pPr>
        <w:rPr>
          <w:sz w:val="14"/>
          <w:szCs w:val="14"/>
        </w:rPr>
      </w:pPr>
      <w:r w:rsidRPr="001F46B8">
        <w:rPr>
          <w:sz w:val="14"/>
          <w:szCs w:val="14"/>
        </w:rPr>
        <w:t>Going forward, the federal government should require H-2A employers to take specific measures to protect their workers from the coronavirus. H-2A employers must demonstrate that they have taken the steps outlined in this brief to maintain a clean and safe workplace. Additionally, since many migrant workers live in employer-provided group housing, employers must guarantee that housing is properly ventilated, compliant with capacity limits, and thoroughly disinfected in compliance with CDC guidance. Employers must also guarantee transportation that is regularly sanitized and allows workers to comply with social distancing guidelines. Congress should ensure that farming operations are reimbursed for any extra costs that they incur as a result of taking preventive measures to protect their workers during the pandemic. These conditions must be certified and enforced by U.S. Citizenship and Immigration Services, the federal agency under DHS tasked with approving all visa applications; the Department of Labor; and the USDA. To ensure that permanent reforms are implemented to protect one of the most essential segments of the U.S. workforce, Congress should work toward a successful passage of the Farm Workforce Modernization Act.</w:t>
      </w:r>
    </w:p>
    <w:p w14:paraId="7C406141" w14:textId="77777777" w:rsidR="000B26B7" w:rsidRDefault="000B26B7" w:rsidP="000B26B7">
      <w:r w:rsidRPr="001F46B8">
        <w:rPr>
          <w:sz w:val="14"/>
          <w:szCs w:val="14"/>
        </w:rPr>
        <w:t>Conclusion</w:t>
      </w:r>
    </w:p>
    <w:p w14:paraId="1EF543C1" w14:textId="482D0FAB" w:rsidR="000B26B7" w:rsidRPr="000B26B7" w:rsidRDefault="000B26B7" w:rsidP="00AB6353">
      <w:pPr>
        <w:rPr>
          <w:sz w:val="14"/>
        </w:rPr>
      </w:pPr>
      <w:r w:rsidRPr="001F46B8">
        <w:rPr>
          <w:rStyle w:val="StyleUnderline"/>
        </w:rPr>
        <w:t>Even before the coronavirus pandemic, farmworkers were the backbone of the nation’s food security, providing sustenance for hundreds of millions</w:t>
      </w:r>
      <w:r w:rsidRPr="001F46B8">
        <w:rPr>
          <w:sz w:val="14"/>
        </w:rPr>
        <w:t xml:space="preserve"> of Americans every day. But during the current public health crisis, their work is more important than ever, as farmworkers continue to go to work—at great personal risk to themselves—to keep food in stores and on plates. Failing to protect these essential workers risks the security of the nation’s food supply. Therefore, the United States must ensure that these workers are provided with ample means to protect themselves from the virus and that they have safe and clean workplaces, economic security, and an ability to take paid leave if needed. These measures need to be in place for all farmworkers, regardless of immigration status, to make sure that they are given the opportunity to work safely to put food on American tables.</w:t>
      </w:r>
    </w:p>
    <w:p w14:paraId="29C714B5" w14:textId="6C304F45" w:rsidR="000B26B7" w:rsidRDefault="000B26B7" w:rsidP="000B26B7">
      <w:pPr>
        <w:pStyle w:val="Heading3"/>
      </w:pPr>
      <w:r>
        <w:t>2AC – AT: Remittances Turn</w:t>
      </w:r>
    </w:p>
    <w:p w14:paraId="7704A781" w14:textId="77777777" w:rsidR="006D1153" w:rsidRDefault="006D1153" w:rsidP="006D1153">
      <w:pPr>
        <w:pStyle w:val="Heading4"/>
      </w:pPr>
      <w:r>
        <w:t xml:space="preserve">Deportations </w:t>
      </w:r>
      <w:r w:rsidRPr="003B51DB">
        <w:rPr>
          <w:u w:val="single"/>
        </w:rPr>
        <w:t>reduce remittances</w:t>
      </w:r>
      <w:r>
        <w:t xml:space="preserve"> to Latin America – that results in unemployment, wage decline, and a collapse of trade which </w:t>
      </w:r>
      <w:r w:rsidRPr="003B51DB">
        <w:rPr>
          <w:u w:val="single"/>
        </w:rPr>
        <w:t>fuels instability</w:t>
      </w:r>
      <w:r>
        <w:t>.</w:t>
      </w:r>
    </w:p>
    <w:p w14:paraId="089AE552" w14:textId="77777777" w:rsidR="006D1153" w:rsidRDefault="006D1153" w:rsidP="006D1153">
      <w:r>
        <w:rPr>
          <w:rStyle w:val="Style13ptBold"/>
        </w:rPr>
        <w:t>Diaz-Bonilla et al. 18</w:t>
      </w:r>
      <w:r>
        <w:t xml:space="preserve"> – Eugenio Diaz-Bonilla, Head of IFPRI's Latin American and Caribbean Program, Valeria Pineiro, Senior Research Coordinator in IFPRI's Markets, Trade and Institutions Division, and Sherman Robinson, IFPRI Research Fellow Emeritus, November 9</w:t>
      </w:r>
      <w:r w:rsidRPr="00814C1C">
        <w:rPr>
          <w:vertAlign w:val="superscript"/>
        </w:rPr>
        <w:t>th</w:t>
      </w:r>
      <w:r>
        <w:t xml:space="preserve"> ("U.S. immigration policies may harm economies, worsen poverty in Central American countries," International Food Policy Research Institute, available online at https://www.ifpri.org/blog/us-immigration-policies-may-harm-economies-worsen-poverty-central-american-countries, accessed 7-6-2020) LR</w:t>
      </w:r>
    </w:p>
    <w:p w14:paraId="395C2C2B" w14:textId="77777777" w:rsidR="006D1153" w:rsidRPr="006A18DE" w:rsidRDefault="006D1153" w:rsidP="006D1153">
      <w:pPr>
        <w:rPr>
          <w:sz w:val="16"/>
        </w:rPr>
      </w:pPr>
      <w:r w:rsidRPr="006A18DE">
        <w:rPr>
          <w:sz w:val="16"/>
        </w:rPr>
        <w:t xml:space="preserve">El Salvador, Guatemala and Honduras are among </w:t>
      </w:r>
      <w:r w:rsidRPr="006A18DE">
        <w:rPr>
          <w:rStyle w:val="StyleUnderline"/>
        </w:rPr>
        <w:t>the poorest countries in Latin America</w:t>
      </w:r>
      <w:r w:rsidRPr="006A18DE">
        <w:rPr>
          <w:sz w:val="16"/>
        </w:rPr>
        <w:t xml:space="preserve"> and the Caribbean (LAC), </w:t>
      </w:r>
      <w:r w:rsidRPr="006A18DE">
        <w:rPr>
          <w:rStyle w:val="StyleUnderline"/>
        </w:rPr>
        <w:t>with</w:t>
      </w:r>
      <w:r w:rsidRPr="006A18DE">
        <w:rPr>
          <w:sz w:val="16"/>
        </w:rPr>
        <w:t xml:space="preserve"> worse </w:t>
      </w:r>
      <w:r w:rsidRPr="006A18DE">
        <w:rPr>
          <w:rStyle w:val="StyleUnderline"/>
        </w:rPr>
        <w:t>undernourishment</w:t>
      </w:r>
      <w:r w:rsidRPr="006A18DE">
        <w:rPr>
          <w:sz w:val="16"/>
        </w:rPr>
        <w:t xml:space="preserve"> than the average for the region. </w:t>
      </w:r>
      <w:r w:rsidRPr="006A18DE">
        <w:rPr>
          <w:rStyle w:val="StyleUnderline"/>
        </w:rPr>
        <w:t>Developments in the world economy affect these countries</w:t>
      </w:r>
      <w:r w:rsidRPr="006A18DE">
        <w:rPr>
          <w:sz w:val="16"/>
        </w:rPr>
        <w:t xml:space="preserve"> through a variety of channels, including trade, financial flows, </w:t>
      </w:r>
      <w:r w:rsidRPr="006A18DE">
        <w:rPr>
          <w:rStyle w:val="StyleUnderline"/>
        </w:rPr>
        <w:t>remittances, and migration</w:t>
      </w:r>
      <w:r w:rsidRPr="006A18DE">
        <w:rPr>
          <w:sz w:val="16"/>
        </w:rPr>
        <w:t xml:space="preserve">. This post looks at the potential impacts of changes in U.S. migration policies on these three Central American countries using economy-wide models. The </w:t>
      </w:r>
      <w:r w:rsidRPr="006A18DE">
        <w:rPr>
          <w:rStyle w:val="StyleUnderline"/>
        </w:rPr>
        <w:t>analysis shows</w:t>
      </w:r>
      <w:r w:rsidRPr="006A18DE">
        <w:rPr>
          <w:sz w:val="16"/>
        </w:rPr>
        <w:t xml:space="preserve"> that </w:t>
      </w:r>
      <w:r w:rsidRPr="006A18DE">
        <w:rPr>
          <w:rStyle w:val="StyleUnderline"/>
        </w:rPr>
        <w:t xml:space="preserve">large-scale </w:t>
      </w:r>
      <w:r w:rsidRPr="00184FC5">
        <w:rPr>
          <w:rStyle w:val="Emphasis"/>
        </w:rPr>
        <w:t>deportations</w:t>
      </w:r>
      <w:r w:rsidRPr="006A18DE">
        <w:rPr>
          <w:sz w:val="16"/>
        </w:rPr>
        <w:t xml:space="preserve"> would </w:t>
      </w:r>
      <w:r w:rsidRPr="006A18DE">
        <w:rPr>
          <w:rStyle w:val="StyleUnderline"/>
        </w:rPr>
        <w:t xml:space="preserve">have various </w:t>
      </w:r>
      <w:r w:rsidRPr="00184FC5">
        <w:rPr>
          <w:rStyle w:val="Emphasis"/>
        </w:rPr>
        <w:t>negative economic effects</w:t>
      </w:r>
      <w:r w:rsidRPr="006A18DE">
        <w:rPr>
          <w:rStyle w:val="StyleUnderline"/>
        </w:rPr>
        <w:t xml:space="preserve">, </w:t>
      </w:r>
      <w:r w:rsidRPr="00184FC5">
        <w:rPr>
          <w:rStyle w:val="Emphasis"/>
        </w:rPr>
        <w:t>compounding poverty</w:t>
      </w:r>
      <w:r w:rsidRPr="006A18DE">
        <w:rPr>
          <w:sz w:val="16"/>
        </w:rPr>
        <w:t xml:space="preserve"> in those countries (</w:t>
      </w:r>
      <w:r w:rsidRPr="006A18DE">
        <w:rPr>
          <w:rStyle w:val="StyleUnderline"/>
        </w:rPr>
        <w:t>strengthening incentives to emigrate</w:t>
      </w:r>
      <w:r w:rsidRPr="006A18DE">
        <w:rPr>
          <w:sz w:val="16"/>
        </w:rPr>
        <w:t>). It also argues that the U.S. economy would suffer from resulting declines in exports to those countries (although, given differences in sizes, the scale of the negative impact is limited).</w:t>
      </w:r>
    </w:p>
    <w:p w14:paraId="20173C00" w14:textId="77777777" w:rsidR="006D1153" w:rsidRPr="00CD167E" w:rsidRDefault="006D1153" w:rsidP="006D1153">
      <w:pPr>
        <w:rPr>
          <w:sz w:val="16"/>
        </w:rPr>
      </w:pPr>
      <w:r w:rsidRPr="00CD167E">
        <w:rPr>
          <w:rStyle w:val="StyleUnderline"/>
        </w:rPr>
        <w:t>Currently</w:t>
      </w:r>
      <w:r w:rsidRPr="00CD167E">
        <w:rPr>
          <w:sz w:val="16"/>
        </w:rPr>
        <w:t xml:space="preserve">, about </w:t>
      </w:r>
      <w:r w:rsidRPr="00CD167E">
        <w:rPr>
          <w:rStyle w:val="StyleUnderline"/>
        </w:rPr>
        <w:t>4.3 million people from these countries live in the U</w:t>
      </w:r>
      <w:r w:rsidRPr="00CD167E">
        <w:rPr>
          <w:sz w:val="16"/>
        </w:rPr>
        <w:t xml:space="preserve">nited </w:t>
      </w:r>
      <w:r w:rsidRPr="00CD167E">
        <w:rPr>
          <w:rStyle w:val="StyleUnderline"/>
        </w:rPr>
        <w:t>S</w:t>
      </w:r>
      <w:r w:rsidRPr="00CD167E">
        <w:rPr>
          <w:sz w:val="16"/>
        </w:rPr>
        <w:t xml:space="preserve">tates (either as direct migrants or as descendants of migrants); this represents almost 14 percent of the combined population of the countries of origin. About </w:t>
      </w:r>
      <w:r w:rsidRPr="00CD167E">
        <w:rPr>
          <w:rStyle w:val="StyleUnderline"/>
        </w:rPr>
        <w:t>1.8 million</w:t>
      </w:r>
      <w:r w:rsidRPr="00CD167E">
        <w:rPr>
          <w:sz w:val="16"/>
        </w:rPr>
        <w:t xml:space="preserve"> of them </w:t>
      </w:r>
      <w:r w:rsidRPr="00CD167E">
        <w:rPr>
          <w:rStyle w:val="StyleUnderline"/>
        </w:rPr>
        <w:t>are undocumented and at risk of deportation</w:t>
      </w:r>
      <w:r w:rsidRPr="00CD167E">
        <w:rPr>
          <w:sz w:val="16"/>
        </w:rPr>
        <w:t xml:space="preserve"> under new U.S. immigration policies: More than 800,000 Salvadorans, about 600,000 Guatemalans, and almost 400,000 Hondurans.</w:t>
      </w:r>
    </w:p>
    <w:p w14:paraId="36657F54" w14:textId="77777777" w:rsidR="006D1153" w:rsidRDefault="006D1153" w:rsidP="006D1153">
      <w:r>
        <w:t>**chart omitted**</w:t>
      </w:r>
    </w:p>
    <w:p w14:paraId="6ED27D40" w14:textId="77777777" w:rsidR="006D1153" w:rsidRPr="00CD167E" w:rsidRDefault="006D1153" w:rsidP="006D1153">
      <w:pPr>
        <w:rPr>
          <w:rStyle w:val="StyleUnderline"/>
        </w:rPr>
      </w:pPr>
      <w:r w:rsidRPr="00CD167E">
        <w:rPr>
          <w:sz w:val="16"/>
        </w:rPr>
        <w:t xml:space="preserve">These potential deportees represent about 4 percent of the population in Guatemala and Honduras and more than 13 percent in El Salvador. </w:t>
      </w:r>
      <w:r w:rsidRPr="00CD167E">
        <w:rPr>
          <w:rStyle w:val="StyleUnderline"/>
        </w:rPr>
        <w:t>Deportations</w:t>
      </w:r>
      <w:r w:rsidRPr="00CD167E">
        <w:rPr>
          <w:sz w:val="16"/>
        </w:rPr>
        <w:t xml:space="preserve"> will </w:t>
      </w:r>
      <w:r w:rsidRPr="00CD167E">
        <w:rPr>
          <w:rStyle w:val="StyleUnderline"/>
        </w:rPr>
        <w:t>have important impacts on the economy and society of those countries through several channels.</w:t>
      </w:r>
    </w:p>
    <w:p w14:paraId="1C1BE1E2" w14:textId="77777777" w:rsidR="006D1153" w:rsidRPr="00CD167E" w:rsidRDefault="006D1153" w:rsidP="006D1153">
      <w:pPr>
        <w:rPr>
          <w:sz w:val="16"/>
        </w:rPr>
      </w:pPr>
      <w:r w:rsidRPr="00CD167E">
        <w:rPr>
          <w:sz w:val="16"/>
        </w:rPr>
        <w:t xml:space="preserve">A </w:t>
      </w:r>
      <w:r w:rsidRPr="00184FC5">
        <w:rPr>
          <w:rStyle w:val="Emphasis"/>
        </w:rPr>
        <w:t>reduction in</w:t>
      </w:r>
      <w:r w:rsidRPr="00CD167E">
        <w:rPr>
          <w:sz w:val="16"/>
        </w:rPr>
        <w:t xml:space="preserve"> the value of </w:t>
      </w:r>
      <w:r w:rsidRPr="00184FC5">
        <w:rPr>
          <w:rStyle w:val="Emphasis"/>
        </w:rPr>
        <w:t>remittances</w:t>
      </w:r>
      <w:r w:rsidRPr="00CD167E">
        <w:rPr>
          <w:rStyle w:val="StyleUnderline"/>
        </w:rPr>
        <w:t>. These countries receive between 10 and 17 percent of their GDP in remittances</w:t>
      </w:r>
      <w:r w:rsidRPr="00CD167E">
        <w:rPr>
          <w:sz w:val="16"/>
        </w:rPr>
        <w:t xml:space="preserve"> (far above the norm for LAC and developing countries as a whole), </w:t>
      </w:r>
      <w:r w:rsidRPr="00CD167E">
        <w:rPr>
          <w:rStyle w:val="StyleUnderline"/>
        </w:rPr>
        <w:t>for a combined total of over $12 billion per year on average</w:t>
      </w:r>
      <w:r w:rsidRPr="00CD167E">
        <w:rPr>
          <w:sz w:val="16"/>
        </w:rPr>
        <w:t xml:space="preserve"> during the 2010s.</w:t>
      </w:r>
    </w:p>
    <w:p w14:paraId="74B568A6" w14:textId="77777777" w:rsidR="006D1153" w:rsidRDefault="006D1153" w:rsidP="006D1153">
      <w:r>
        <w:t>**chart omitted*</w:t>
      </w:r>
    </w:p>
    <w:p w14:paraId="6E7CA86E" w14:textId="77777777" w:rsidR="006D1153" w:rsidRDefault="006D1153" w:rsidP="006D1153">
      <w:pPr>
        <w:rPr>
          <w:sz w:val="16"/>
        </w:rPr>
      </w:pPr>
      <w:r w:rsidRPr="0095493D">
        <w:rPr>
          <w:sz w:val="16"/>
        </w:rPr>
        <w:t xml:space="preserve">An </w:t>
      </w:r>
      <w:r w:rsidRPr="00CD167E">
        <w:rPr>
          <w:rStyle w:val="StyleUnderline"/>
        </w:rPr>
        <w:t xml:space="preserve">important expansion of </w:t>
      </w:r>
      <w:r w:rsidRPr="0095493D">
        <w:rPr>
          <w:sz w:val="16"/>
        </w:rPr>
        <w:t xml:space="preserve">the </w:t>
      </w:r>
      <w:r w:rsidRPr="00CD167E">
        <w:rPr>
          <w:rStyle w:val="StyleUnderline"/>
        </w:rPr>
        <w:t>labor supply in the receiving countries</w:t>
      </w:r>
      <w:r w:rsidRPr="0095493D">
        <w:rPr>
          <w:sz w:val="16"/>
        </w:rPr>
        <w:t xml:space="preserve">. The implications of such an expansion will depend on how many find employment and the resulting impacts on production, depending on the age structure of the deportees and their levels of qualifications and experience; and how many will remain unemployed after they return.1 In turn, an </w:t>
      </w:r>
      <w:r w:rsidRPr="00184FC5">
        <w:rPr>
          <w:rStyle w:val="Emphasis"/>
        </w:rPr>
        <w:t>increase in unemployment</w:t>
      </w:r>
      <w:r w:rsidRPr="0095493D">
        <w:rPr>
          <w:sz w:val="16"/>
        </w:rPr>
        <w:t xml:space="preserve"> may impact the overall business climate and private sector capital accumulation. The more negative scenario would be one in which unemployment </w:t>
      </w:r>
      <w:r w:rsidRPr="0095493D">
        <w:rPr>
          <w:rStyle w:val="StyleUnderline"/>
        </w:rPr>
        <w:t xml:space="preserve">leads to </w:t>
      </w:r>
      <w:r w:rsidRPr="00184FC5">
        <w:rPr>
          <w:rStyle w:val="Emphasis"/>
        </w:rPr>
        <w:t>increased crime</w:t>
      </w:r>
      <w:r w:rsidRPr="0095493D">
        <w:rPr>
          <w:rStyle w:val="StyleUnderline"/>
        </w:rPr>
        <w:t>,</w:t>
      </w:r>
      <w:r w:rsidRPr="0095493D">
        <w:rPr>
          <w:sz w:val="16"/>
        </w:rPr>
        <w:t xml:space="preserve"> a general </w:t>
      </w:r>
      <w:r w:rsidRPr="00184FC5">
        <w:rPr>
          <w:rStyle w:val="Emphasis"/>
        </w:rPr>
        <w:t>deterioration of</w:t>
      </w:r>
      <w:r w:rsidRPr="0095493D">
        <w:rPr>
          <w:sz w:val="16"/>
        </w:rPr>
        <w:t xml:space="preserve"> the </w:t>
      </w:r>
      <w:r w:rsidRPr="00184FC5">
        <w:rPr>
          <w:rStyle w:val="Emphasis"/>
        </w:rPr>
        <w:t>business</w:t>
      </w:r>
      <w:r w:rsidRPr="0095493D">
        <w:rPr>
          <w:sz w:val="16"/>
        </w:rPr>
        <w:t xml:space="preserve"> climate, and </w:t>
      </w:r>
      <w:r w:rsidRPr="00184FC5">
        <w:rPr>
          <w:rStyle w:val="Emphasis"/>
        </w:rPr>
        <w:t>declines in private sector investment</w:t>
      </w:r>
      <w:r w:rsidRPr="0095493D">
        <w:rPr>
          <w:sz w:val="16"/>
        </w:rPr>
        <w:t>. On the other hand, returning deportees may bring new qualifications, business networks, and savings from the U.S., spurring investments and growth.</w:t>
      </w:r>
    </w:p>
    <w:p w14:paraId="3F56752E" w14:textId="77777777" w:rsidR="006D1153" w:rsidRDefault="006D1153" w:rsidP="006D1153">
      <w:pPr>
        <w:rPr>
          <w:b/>
          <w:bCs/>
        </w:rPr>
      </w:pPr>
      <w:r>
        <w:rPr>
          <w:b/>
          <w:bCs/>
        </w:rPr>
        <w:t>&lt;&lt;insert footnote 1&gt;&gt;</w:t>
      </w:r>
    </w:p>
    <w:p w14:paraId="72DA2ADE" w14:textId="77777777" w:rsidR="006D1153" w:rsidRDefault="006D1153" w:rsidP="006D1153">
      <w:pPr>
        <w:rPr>
          <w:rStyle w:val="StyleUnderline"/>
        </w:rPr>
      </w:pPr>
      <w:r>
        <w:rPr>
          <w:sz w:val="16"/>
        </w:rPr>
        <w:t xml:space="preserve">Using current data, if all the undocumented are deported, and they do not find jobs, then </w:t>
      </w:r>
      <w:r w:rsidRPr="0095493D">
        <w:rPr>
          <w:rStyle w:val="StyleUnderline"/>
        </w:rPr>
        <w:t>unemployment</w:t>
      </w:r>
      <w:r>
        <w:rPr>
          <w:sz w:val="16"/>
        </w:rPr>
        <w:t xml:space="preserve"> could </w:t>
      </w:r>
      <w:r w:rsidRPr="0095493D">
        <w:rPr>
          <w:rStyle w:val="StyleUnderline"/>
        </w:rPr>
        <w:t>jump to</w:t>
      </w:r>
      <w:r>
        <w:rPr>
          <w:sz w:val="16"/>
        </w:rPr>
        <w:t xml:space="preserve"> about </w:t>
      </w:r>
      <w:r w:rsidRPr="0095493D">
        <w:rPr>
          <w:rStyle w:val="StyleUnderline"/>
        </w:rPr>
        <w:t>34 percent in El Salvador, 11 percent in Guatemala</w:t>
      </w:r>
      <w:r>
        <w:rPr>
          <w:sz w:val="16"/>
        </w:rPr>
        <w:t xml:space="preserve">, and </w:t>
      </w:r>
      <w:r w:rsidRPr="0095493D">
        <w:rPr>
          <w:rStyle w:val="StyleUnderline"/>
        </w:rPr>
        <w:t>17 percent in Honduras.</w:t>
      </w:r>
    </w:p>
    <w:p w14:paraId="36AB7997" w14:textId="77777777" w:rsidR="006D1153" w:rsidRPr="0095493D" w:rsidRDefault="006D1153" w:rsidP="006D1153">
      <w:pPr>
        <w:rPr>
          <w:b/>
          <w:bCs/>
        </w:rPr>
      </w:pPr>
      <w:r>
        <w:rPr>
          <w:b/>
          <w:bCs/>
        </w:rPr>
        <w:t>&lt;&lt;end footnote 1&gt;&gt;</w:t>
      </w:r>
    </w:p>
    <w:p w14:paraId="6B6461E8" w14:textId="77777777" w:rsidR="006D1153" w:rsidRPr="0095493D" w:rsidRDefault="006D1153" w:rsidP="006D1153">
      <w:pPr>
        <w:rPr>
          <w:sz w:val="16"/>
        </w:rPr>
      </w:pPr>
      <w:r w:rsidRPr="0095493D">
        <w:rPr>
          <w:rStyle w:val="StyleUnderline"/>
        </w:rPr>
        <w:t xml:space="preserve">Effects on fiscal accounts. </w:t>
      </w:r>
      <w:r w:rsidRPr="0095493D">
        <w:rPr>
          <w:sz w:val="16"/>
        </w:rPr>
        <w:t xml:space="preserve">For instance, countries may want to provide some basic safety nets to deportees to avoid social unrest. Alternatively, they may </w:t>
      </w:r>
      <w:r w:rsidRPr="0095493D">
        <w:rPr>
          <w:rStyle w:val="StyleUnderline"/>
        </w:rPr>
        <w:t>have to increase expenditures to control crime.</w:t>
      </w:r>
      <w:r w:rsidRPr="0095493D">
        <w:rPr>
          <w:sz w:val="16"/>
        </w:rPr>
        <w:t xml:space="preserve"> On the other hand, those returning and finding productive jobs would expand GDP and fiscal revenues. Therefore, effects on fiscal accounts could be both positive and negative, with implications for taxes and overall public expenditures, including public investments.</w:t>
      </w:r>
    </w:p>
    <w:p w14:paraId="050CE923" w14:textId="77777777" w:rsidR="006D1153" w:rsidRPr="0095493D" w:rsidRDefault="006D1153" w:rsidP="006D1153">
      <w:pPr>
        <w:rPr>
          <w:sz w:val="16"/>
          <w:szCs w:val="16"/>
        </w:rPr>
      </w:pPr>
      <w:r w:rsidRPr="0095493D">
        <w:rPr>
          <w:sz w:val="16"/>
          <w:szCs w:val="16"/>
        </w:rPr>
        <w:t>Using a Computable General Equilibrium (CGE) modelling framework in a comparative static exercise, we consider two scenarios for the levels of deportation and the impact on remittances. The first considers the deportation of all undocumented migrants and the related notional decline in remittances (Scenario 1). Deportation of all undocumented migrants may be infeasible for logistical and political reasons, but serves to establish a benchmark. In the second scenario, only half of the potential deportees are sent back to their home countries with loss of their remittances (Scenario 2). This scenario helps determine whether there are scale or non-linear effects in the shocks simulated.</w:t>
      </w:r>
    </w:p>
    <w:p w14:paraId="5B588DE6" w14:textId="77777777" w:rsidR="006D1153" w:rsidRPr="00AD4FB2" w:rsidRDefault="006D1153" w:rsidP="006D1153">
      <w:pPr>
        <w:rPr>
          <w:sz w:val="16"/>
        </w:rPr>
      </w:pPr>
      <w:r w:rsidRPr="00AD4FB2">
        <w:rPr>
          <w:sz w:val="16"/>
        </w:rPr>
        <w:t xml:space="preserve">In the first scenario, the </w:t>
      </w:r>
      <w:r w:rsidRPr="0095493D">
        <w:rPr>
          <w:rStyle w:val="StyleUnderline"/>
        </w:rPr>
        <w:t>decline in remittances</w:t>
      </w:r>
      <w:r w:rsidRPr="00AD4FB2">
        <w:rPr>
          <w:sz w:val="16"/>
        </w:rPr>
        <w:t xml:space="preserve"> forces a strong adjustment in the three LAC countries, with </w:t>
      </w:r>
      <w:r w:rsidRPr="0095493D">
        <w:rPr>
          <w:rStyle w:val="StyleUnderline"/>
        </w:rPr>
        <w:t>drops</w:t>
      </w:r>
      <w:r w:rsidRPr="00AD4FB2">
        <w:rPr>
          <w:sz w:val="16"/>
        </w:rPr>
        <w:t xml:space="preserve"> in </w:t>
      </w:r>
      <w:r w:rsidRPr="0095493D">
        <w:rPr>
          <w:rStyle w:val="StyleUnderline"/>
        </w:rPr>
        <w:t>all components of domestic absorption</w:t>
      </w:r>
      <w:r w:rsidRPr="00AD4FB2">
        <w:rPr>
          <w:sz w:val="16"/>
        </w:rPr>
        <w:t xml:space="preserve"> (consumption, investment, and government expenditures)</w:t>
      </w:r>
      <w:r w:rsidRPr="00AD4FB2">
        <w:rPr>
          <w:sz w:val="16"/>
          <w:szCs w:val="16"/>
        </w:rPr>
        <w:t xml:space="preserve"> and a </w:t>
      </w:r>
      <w:r w:rsidRPr="00184FC5">
        <w:rPr>
          <w:rStyle w:val="Emphasis"/>
        </w:rPr>
        <w:t>sharp decline</w:t>
      </w:r>
      <w:r w:rsidRPr="00AD4FB2">
        <w:rPr>
          <w:rStyle w:val="StyleUnderline"/>
        </w:rPr>
        <w:t xml:space="preserve"> in </w:t>
      </w:r>
      <w:r w:rsidRPr="00AD4FB2">
        <w:rPr>
          <w:sz w:val="16"/>
          <w:szCs w:val="16"/>
        </w:rPr>
        <w:t xml:space="preserve">the </w:t>
      </w:r>
      <w:r w:rsidRPr="00AD4FB2">
        <w:rPr>
          <w:rStyle w:val="StyleUnderline"/>
        </w:rPr>
        <w:t>trade deficit.</w:t>
      </w:r>
      <w:r w:rsidRPr="00AD4FB2">
        <w:rPr>
          <w:sz w:val="16"/>
          <w:szCs w:val="16"/>
        </w:rPr>
        <w:t xml:space="preserve"> In the case of Guatemala and Honduras, the trade adjustment is generated both by a more competitive real exchange rate2 (expenditure switching) and by</w:t>
      </w:r>
      <w:r w:rsidRPr="00AD4FB2">
        <w:rPr>
          <w:sz w:val="16"/>
        </w:rPr>
        <w:t xml:space="preserve"> the decline in domestic absorption (expenditure reduction).</w:t>
      </w:r>
    </w:p>
    <w:p w14:paraId="6F489482" w14:textId="77777777" w:rsidR="006D1153" w:rsidRPr="00AD4FB2" w:rsidRDefault="006D1153" w:rsidP="006D1153">
      <w:pPr>
        <w:rPr>
          <w:sz w:val="16"/>
        </w:rPr>
      </w:pPr>
      <w:r w:rsidRPr="00AD4FB2">
        <w:rPr>
          <w:sz w:val="16"/>
        </w:rPr>
        <w:t xml:space="preserve">In El Salvador, the adjustment can only come from the decline of domestic prices for goods and services (deflation). In addition, all factors of production see drops in returns to accommodate the shock: Nominal </w:t>
      </w:r>
      <w:r w:rsidRPr="00184FC5">
        <w:rPr>
          <w:rStyle w:val="Emphasis"/>
        </w:rPr>
        <w:t>wages decline</w:t>
      </w:r>
      <w:r w:rsidRPr="00AD4FB2">
        <w:rPr>
          <w:sz w:val="16"/>
        </w:rPr>
        <w:t xml:space="preserve"> by 6.4 percent, return to capital by 3.5 percent, and return to land by 8.5 percent. These results illustrate the fact that if a country dollarizes (El Salvador adopted the U.S. dollar as its currency in 2011), it must have an important level of flexibility in nominal variables to confront external shocks. If that flexibility does not exist, then </w:t>
      </w:r>
      <w:r w:rsidRPr="00AD4FB2">
        <w:rPr>
          <w:rStyle w:val="StyleUnderline"/>
        </w:rPr>
        <w:t>unemployment of labor, capital, and land will all increase.</w:t>
      </w:r>
    </w:p>
    <w:p w14:paraId="4E7624E7" w14:textId="77777777" w:rsidR="006D1153" w:rsidRPr="00AD4FB2" w:rsidRDefault="006D1153" w:rsidP="006D1153">
      <w:pPr>
        <w:rPr>
          <w:sz w:val="16"/>
          <w:szCs w:val="16"/>
        </w:rPr>
      </w:pPr>
      <w:r w:rsidRPr="00AD4FB2">
        <w:rPr>
          <w:sz w:val="16"/>
          <w:szCs w:val="16"/>
        </w:rPr>
        <w:t>In the second scenario of a smaller shock, effects are broadly proportional to the different assumed levels of deportees, with all macroeconomic variables showing impacts about half of those in the first scenario (i.e. we do not find scale or non-linear effects).</w:t>
      </w:r>
    </w:p>
    <w:p w14:paraId="25729E7E" w14:textId="77777777" w:rsidR="006D1153" w:rsidRPr="00AD4FB2" w:rsidRDefault="006D1153" w:rsidP="006D1153">
      <w:pPr>
        <w:rPr>
          <w:sz w:val="16"/>
        </w:rPr>
      </w:pPr>
      <w:r w:rsidRPr="00AD4FB2">
        <w:rPr>
          <w:sz w:val="16"/>
        </w:rPr>
        <w:t xml:space="preserve">In scenario 1, the </w:t>
      </w:r>
      <w:r w:rsidRPr="00184FC5">
        <w:rPr>
          <w:rStyle w:val="Emphasis"/>
        </w:rPr>
        <w:t>decline of GDP per capita</w:t>
      </w:r>
      <w:r w:rsidRPr="00AD4FB2">
        <w:rPr>
          <w:rStyle w:val="StyleUnderline"/>
        </w:rPr>
        <w:t xml:space="preserve"> is substantial</w:t>
      </w:r>
      <w:r w:rsidRPr="00AD4FB2">
        <w:rPr>
          <w:sz w:val="16"/>
        </w:rPr>
        <w:t xml:space="preserve">, ranging </w:t>
      </w:r>
      <w:r w:rsidRPr="00AD4FB2">
        <w:rPr>
          <w:rStyle w:val="StyleUnderline"/>
        </w:rPr>
        <w:t>from 14.7 percent in El Salvador to</w:t>
      </w:r>
      <w:r w:rsidRPr="00AD4FB2">
        <w:rPr>
          <w:sz w:val="16"/>
        </w:rPr>
        <w:t xml:space="preserve"> between about 4</w:t>
      </w:r>
      <w:r w:rsidRPr="00AD4FB2">
        <w:rPr>
          <w:rStyle w:val="StyleUnderline"/>
        </w:rPr>
        <w:t>-6 percent in Honduras and Guatemala</w:t>
      </w:r>
      <w:r w:rsidRPr="00AD4FB2">
        <w:rPr>
          <w:sz w:val="16"/>
        </w:rPr>
        <w:t>. As before, the results for scenario 2 are scaled down by about half.</w:t>
      </w:r>
    </w:p>
    <w:p w14:paraId="393702D1" w14:textId="77777777" w:rsidR="006D1153" w:rsidRPr="00AD4FB2" w:rsidRDefault="006D1153" w:rsidP="006D1153">
      <w:pPr>
        <w:rPr>
          <w:sz w:val="16"/>
          <w:szCs w:val="16"/>
        </w:rPr>
      </w:pPr>
      <w:r w:rsidRPr="00AD4FB2">
        <w:rPr>
          <w:sz w:val="16"/>
          <w:szCs w:val="16"/>
        </w:rPr>
        <w:t>Another impact of the decline in remittances as a result of large deportations is a reduction in the trade deficit: Between about 7 and 10 percentage points as a proportion of GDP in scenario 1 and between about 3.5 and 5 percentage points in scenario 2. These declines stem from a significant expansion of exports and from a compression of imports to compensate for the lack of remittances that previously financed the trade deficit.</w:t>
      </w:r>
    </w:p>
    <w:p w14:paraId="0E73EADD" w14:textId="77777777" w:rsidR="006D1153" w:rsidRPr="00AD4FB2" w:rsidRDefault="006D1153" w:rsidP="006D1153">
      <w:pPr>
        <w:rPr>
          <w:sz w:val="16"/>
          <w:szCs w:val="16"/>
        </w:rPr>
      </w:pPr>
      <w:r w:rsidRPr="00AD4FB2">
        <w:rPr>
          <w:sz w:val="16"/>
          <w:szCs w:val="16"/>
        </w:rPr>
        <w:t>Exports increase as a proportion of GDP by between about 3.6 percentage points (El Salvador) and more than 9 percentage points (Honduras; Guatemala falls in between), while imports decline by between 1-2 percentage points (Guatemala and Honduras) and about 4.5 percentage points (El Salvador). In both scenarios, the trade deficit will persist at lower levels because people living legally in the U.S., as well as in other countries, will still send remittances.</w:t>
      </w:r>
    </w:p>
    <w:p w14:paraId="1005D916" w14:textId="77777777" w:rsidR="006D1153" w:rsidRPr="00AD4FB2" w:rsidRDefault="006D1153" w:rsidP="006D1153">
      <w:pPr>
        <w:rPr>
          <w:sz w:val="16"/>
        </w:rPr>
      </w:pPr>
      <w:r w:rsidRPr="00AD4FB2">
        <w:rPr>
          <w:sz w:val="16"/>
        </w:rPr>
        <w:t xml:space="preserve">These trade adjustments will affect countries’ bilateral trade position with their trading partners. The United States maintains trade surpluses with all three countries, for a total of about $2.6-2.7 billion in 2015-2016. But </w:t>
      </w:r>
      <w:r w:rsidRPr="00AD4FB2">
        <w:rPr>
          <w:rStyle w:val="StyleUnderline"/>
        </w:rPr>
        <w:t>the adjustment</w:t>
      </w:r>
      <w:r w:rsidRPr="00AD4FB2">
        <w:rPr>
          <w:sz w:val="16"/>
        </w:rPr>
        <w:t xml:space="preserve"> in the trade balance </w:t>
      </w:r>
      <w:r w:rsidRPr="00AD4FB2">
        <w:rPr>
          <w:rStyle w:val="StyleUnderline"/>
        </w:rPr>
        <w:t xml:space="preserve">needed to accommodate the </w:t>
      </w:r>
      <w:r w:rsidRPr="00184FC5">
        <w:rPr>
          <w:rStyle w:val="StyleUnderline"/>
        </w:rPr>
        <w:t>shock of</w:t>
      </w:r>
      <w:r w:rsidRPr="00AD4FB2">
        <w:rPr>
          <w:sz w:val="16"/>
        </w:rPr>
        <w:t xml:space="preserve"> the </w:t>
      </w:r>
      <w:r w:rsidRPr="00AD4FB2">
        <w:rPr>
          <w:rStyle w:val="StyleUnderline"/>
        </w:rPr>
        <w:t>deportation and drop in remittances would</w:t>
      </w:r>
      <w:r w:rsidRPr="00AD4FB2">
        <w:rPr>
          <w:sz w:val="16"/>
        </w:rPr>
        <w:t xml:space="preserve"> certainly </w:t>
      </w:r>
      <w:r w:rsidRPr="00AD4FB2">
        <w:rPr>
          <w:rStyle w:val="StyleUnderline"/>
        </w:rPr>
        <w:t>reduce U.S. trade surpluses</w:t>
      </w:r>
      <w:r w:rsidRPr="00AD4FB2">
        <w:rPr>
          <w:sz w:val="16"/>
        </w:rPr>
        <w:t xml:space="preserve"> with those countries. This </w:t>
      </w:r>
      <w:r w:rsidRPr="00AD4FB2">
        <w:rPr>
          <w:rStyle w:val="StyleUnderline"/>
        </w:rPr>
        <w:t xml:space="preserve">will have a </w:t>
      </w:r>
      <w:r w:rsidRPr="00184FC5">
        <w:rPr>
          <w:rStyle w:val="Emphasis"/>
        </w:rPr>
        <w:t>negative impact on U.S. employment</w:t>
      </w:r>
      <w:r w:rsidRPr="00AD4FB2">
        <w:rPr>
          <w:rStyle w:val="StyleUnderline"/>
        </w:rPr>
        <w:t xml:space="preserve"> in the export sector</w:t>
      </w:r>
      <w:r w:rsidRPr="00AD4FB2">
        <w:rPr>
          <w:sz w:val="16"/>
        </w:rPr>
        <w:t>, which tends to pay higher salaries than average. Therefore, from the point of view of the U.S., the postulated improvement in employment generated by the deportation of people from Central America (who usually occupy lower-paid jobs) must be compared with the potential decline in higher-paid export jobs.</w:t>
      </w:r>
    </w:p>
    <w:p w14:paraId="4B65C854" w14:textId="77777777" w:rsidR="006D1153" w:rsidRPr="00AD4FB2" w:rsidRDefault="006D1153" w:rsidP="006D1153">
      <w:pPr>
        <w:rPr>
          <w:rStyle w:val="StyleUnderline"/>
        </w:rPr>
      </w:pPr>
      <w:r w:rsidRPr="00AD4FB2">
        <w:rPr>
          <w:sz w:val="16"/>
        </w:rPr>
        <w:t xml:space="preserve">In summary, </w:t>
      </w:r>
      <w:r w:rsidRPr="00AD4FB2">
        <w:rPr>
          <w:rStyle w:val="StyleUnderline"/>
        </w:rPr>
        <w:t xml:space="preserve">the simulations suggest </w:t>
      </w:r>
      <w:r w:rsidRPr="00184FC5">
        <w:rPr>
          <w:rStyle w:val="Emphasis"/>
        </w:rPr>
        <w:t>strongly negative impacts</w:t>
      </w:r>
      <w:r w:rsidRPr="00AD4FB2">
        <w:rPr>
          <w:rStyle w:val="StyleUnderline"/>
        </w:rPr>
        <w:t xml:space="preserve"> on the economies affected</w:t>
      </w:r>
      <w:r w:rsidRPr="00AD4FB2">
        <w:rPr>
          <w:sz w:val="16"/>
        </w:rPr>
        <w:t xml:space="preserve">. If deportees do not find jobs immediately, the </w:t>
      </w:r>
      <w:r w:rsidRPr="00AD4FB2">
        <w:rPr>
          <w:rStyle w:val="StyleUnderline"/>
        </w:rPr>
        <w:t>declines in GDP</w:t>
      </w:r>
      <w:r w:rsidRPr="00AD4FB2">
        <w:rPr>
          <w:sz w:val="16"/>
        </w:rPr>
        <w:t xml:space="preserve"> per capita may range from almost 15 percent in El Salvador to between 4-6 percent in Guatemala and Honduras. If nominal variables have less flexibility to respond to the shock, </w:t>
      </w:r>
      <w:r w:rsidRPr="00AD4FB2">
        <w:rPr>
          <w:rStyle w:val="StyleUnderline"/>
        </w:rPr>
        <w:t>unemployment</w:t>
      </w:r>
      <w:r w:rsidRPr="00AD4FB2">
        <w:rPr>
          <w:sz w:val="16"/>
        </w:rPr>
        <w:t xml:space="preserve"> levels in all factors of production will increase, </w:t>
      </w:r>
      <w:r w:rsidRPr="00AD4FB2">
        <w:rPr>
          <w:rStyle w:val="StyleUnderline"/>
        </w:rPr>
        <w:t>driving</w:t>
      </w:r>
      <w:r w:rsidRPr="00AD4FB2">
        <w:rPr>
          <w:sz w:val="16"/>
        </w:rPr>
        <w:t xml:space="preserve"> real </w:t>
      </w:r>
      <w:r w:rsidRPr="00AD4FB2">
        <w:rPr>
          <w:rStyle w:val="StyleUnderline"/>
        </w:rPr>
        <w:t>GDP even further downward.</w:t>
      </w:r>
    </w:p>
    <w:p w14:paraId="1AC32638" w14:textId="77777777" w:rsidR="006D1153" w:rsidRPr="00AD4FB2" w:rsidRDefault="006D1153" w:rsidP="006D1153">
      <w:pPr>
        <w:rPr>
          <w:sz w:val="16"/>
        </w:rPr>
      </w:pPr>
      <w:r w:rsidRPr="00AD4FB2">
        <w:rPr>
          <w:sz w:val="16"/>
        </w:rPr>
        <w:t xml:space="preserve">If </w:t>
      </w:r>
      <w:r w:rsidRPr="00AD4FB2">
        <w:rPr>
          <w:rStyle w:val="StyleUnderline"/>
        </w:rPr>
        <w:t>deportees</w:t>
      </w:r>
      <w:r w:rsidRPr="00AD4FB2">
        <w:rPr>
          <w:sz w:val="16"/>
        </w:rPr>
        <w:t xml:space="preserve"> remain unemployed, they face the risk of </w:t>
      </w:r>
      <w:r w:rsidRPr="00AD4FB2">
        <w:rPr>
          <w:rStyle w:val="StyleUnderline"/>
        </w:rPr>
        <w:t xml:space="preserve">dropping </w:t>
      </w:r>
      <w:r w:rsidRPr="00184FC5">
        <w:rPr>
          <w:rStyle w:val="Emphasis"/>
        </w:rPr>
        <w:t>below extreme poverty levels</w:t>
      </w:r>
      <w:r w:rsidRPr="00AD4FB2">
        <w:rPr>
          <w:rStyle w:val="StyleUnderline"/>
        </w:rPr>
        <w:t>.</w:t>
      </w:r>
      <w:r w:rsidRPr="00AD4FB2">
        <w:rPr>
          <w:sz w:val="16"/>
        </w:rPr>
        <w:t xml:space="preserve"> Preventing this by using for instance a cash transfer per capita to all deportees that remain unemployed, as a minimal safety net equivalent to the income level of extreme poverty ($1.90/day in 2011 PPP dollars) would increase fiscal deficits from 0.4 to 1.4 percent of GDP in all three countries.</w:t>
      </w:r>
    </w:p>
    <w:p w14:paraId="4B9DF4CE" w14:textId="77777777" w:rsidR="006D1153" w:rsidRPr="00AD4FB2" w:rsidRDefault="006D1153" w:rsidP="006D1153">
      <w:pPr>
        <w:rPr>
          <w:sz w:val="16"/>
        </w:rPr>
      </w:pPr>
      <w:r w:rsidRPr="00AD4FB2">
        <w:rPr>
          <w:sz w:val="16"/>
        </w:rPr>
        <w:t xml:space="preserve">The </w:t>
      </w:r>
      <w:r w:rsidRPr="00AD4FB2">
        <w:rPr>
          <w:rStyle w:val="StyleUnderline"/>
        </w:rPr>
        <w:t>trade compression caused by deportations</w:t>
      </w:r>
      <w:r w:rsidRPr="00AD4FB2">
        <w:rPr>
          <w:sz w:val="16"/>
        </w:rPr>
        <w:t xml:space="preserve"> suggests that the </w:t>
      </w:r>
      <w:r w:rsidRPr="00AD4FB2">
        <w:rPr>
          <w:rStyle w:val="StyleUnderline"/>
        </w:rPr>
        <w:t>U.S.</w:t>
      </w:r>
      <w:r w:rsidRPr="00AD4FB2">
        <w:rPr>
          <w:sz w:val="16"/>
        </w:rPr>
        <w:t xml:space="preserve"> may </w:t>
      </w:r>
      <w:r w:rsidRPr="00AD4FB2">
        <w:rPr>
          <w:rStyle w:val="StyleUnderline"/>
        </w:rPr>
        <w:t>experience losses of higher-paying export jobs.</w:t>
      </w:r>
      <w:r w:rsidRPr="00AD4FB2">
        <w:rPr>
          <w:sz w:val="16"/>
        </w:rPr>
        <w:t xml:space="preserve"> Based on the aims of the current U.S. administration, these potential losses must be compared with potential gains in jobs with lower skill levels.</w:t>
      </w:r>
    </w:p>
    <w:p w14:paraId="145E0C25" w14:textId="002AC2E5" w:rsidR="006D1153" w:rsidRPr="006D1153" w:rsidRDefault="006D1153" w:rsidP="006D1153">
      <w:pPr>
        <w:rPr>
          <w:u w:val="single"/>
        </w:rPr>
      </w:pPr>
      <w:r w:rsidRPr="00184FC5">
        <w:rPr>
          <w:sz w:val="16"/>
        </w:rPr>
        <w:t xml:space="preserve">At the same time, </w:t>
      </w:r>
      <w:r w:rsidRPr="00184FC5">
        <w:rPr>
          <w:rStyle w:val="StyleUnderline"/>
        </w:rPr>
        <w:t>as real wages in domestic currency fall</w:t>
      </w:r>
      <w:r w:rsidRPr="00184FC5">
        <w:rPr>
          <w:sz w:val="16"/>
        </w:rPr>
        <w:t xml:space="preserve"> in the three Central American countries and as nominal </w:t>
      </w:r>
      <w:r w:rsidRPr="00184FC5">
        <w:rPr>
          <w:rStyle w:val="Emphasis"/>
        </w:rPr>
        <w:t>domestic currencies are devalued</w:t>
      </w:r>
      <w:r w:rsidRPr="00184FC5">
        <w:rPr>
          <w:sz w:val="16"/>
        </w:rPr>
        <w:t xml:space="preserve"> (in Honduras and Guatemala) or stay the same (in El Salvador, because of dollarization), </w:t>
      </w:r>
      <w:r w:rsidRPr="00184FC5">
        <w:rPr>
          <w:rStyle w:val="StyleUnderline"/>
        </w:rPr>
        <w:t>domestic salaries</w:t>
      </w:r>
      <w:r w:rsidRPr="00184FC5">
        <w:rPr>
          <w:sz w:val="16"/>
        </w:rPr>
        <w:t xml:space="preserve"> measured in dollars </w:t>
      </w:r>
      <w:r w:rsidRPr="00184FC5">
        <w:rPr>
          <w:rStyle w:val="StyleUnderline"/>
        </w:rPr>
        <w:t>decline further.</w:t>
      </w:r>
      <w:r w:rsidRPr="00184FC5">
        <w:rPr>
          <w:sz w:val="16"/>
        </w:rPr>
        <w:t xml:space="preserve"> This may </w:t>
      </w:r>
      <w:r w:rsidRPr="00CE19AF">
        <w:rPr>
          <w:rStyle w:val="StyleUnderline"/>
        </w:rPr>
        <w:t>increase incentives to migrate</w:t>
      </w:r>
      <w:r w:rsidRPr="00184FC5">
        <w:rPr>
          <w:sz w:val="16"/>
        </w:rPr>
        <w:t xml:space="preserve">, which could also </w:t>
      </w:r>
      <w:r w:rsidRPr="00184FC5">
        <w:rPr>
          <w:rStyle w:val="StyleUnderline"/>
        </w:rPr>
        <w:t>add to U.S. border control costs.</w:t>
      </w:r>
    </w:p>
    <w:p w14:paraId="4B207D4F" w14:textId="43D84A2C" w:rsidR="000B26B7" w:rsidRDefault="000B26B7" w:rsidP="000B26B7">
      <w:pPr>
        <w:pStyle w:val="Heading4"/>
      </w:pPr>
      <w:r>
        <w:t>Corona uncertainty has halted remittances.</w:t>
      </w:r>
    </w:p>
    <w:p w14:paraId="387410D9" w14:textId="77777777" w:rsidR="000B26B7" w:rsidRPr="00825D03" w:rsidRDefault="000B26B7" w:rsidP="000B26B7">
      <w:r>
        <w:rPr>
          <w:rStyle w:val="Style13ptBold"/>
        </w:rPr>
        <w:t>Semple 4/25</w:t>
      </w:r>
      <w:r>
        <w:rPr>
          <w:rStyle w:val="Style13ptBold"/>
          <w:b w:val="0"/>
          <w:bCs w:val="0"/>
        </w:rPr>
        <w:t xml:space="preserve"> </w:t>
      </w:r>
      <w:r w:rsidRPr="00825D03">
        <w:rPr>
          <w:rStyle w:val="Style13ptBold"/>
        </w:rPr>
        <w:t>—</w:t>
      </w:r>
      <w:r>
        <w:rPr>
          <w:rStyle w:val="Style13ptBold"/>
          <w:b w:val="0"/>
          <w:bCs w:val="0"/>
        </w:rPr>
        <w:t xml:space="preserve"> </w:t>
      </w:r>
      <w:r w:rsidRPr="00825D03">
        <w:t>Krik Semple is a correspondent covering Mexico, Central America and the Caribbean.</w:t>
      </w:r>
      <w:r>
        <w:t xml:space="preserve"> (“Economic Freeze Cuts Remittances, a Lifeline for Migrants’ Families” The New York Times, April 25, 2020. https://www.nytimes.com/2020/04/25/world/americas/virus-migrants-mexico-remittances.html)//JLPark</w:t>
      </w:r>
    </w:p>
    <w:p w14:paraId="57B723CE" w14:textId="77777777" w:rsidR="000B26B7" w:rsidRPr="00825D03" w:rsidRDefault="000B26B7" w:rsidP="000B26B7">
      <w:pPr>
        <w:rPr>
          <w:sz w:val="14"/>
        </w:rPr>
      </w:pPr>
      <w:r w:rsidRPr="00825D03">
        <w:rPr>
          <w:sz w:val="14"/>
        </w:rPr>
        <w:t xml:space="preserve">Migrant workers globally send hundreds of billions of dollars home every year. </w:t>
      </w:r>
      <w:r w:rsidRPr="00825D03">
        <w:rPr>
          <w:rStyle w:val="StyleUnderline"/>
        </w:rPr>
        <w:t>The economic paralysis with the coronavirus</w:t>
      </w:r>
      <w:r w:rsidRPr="00825D03">
        <w:rPr>
          <w:sz w:val="14"/>
        </w:rPr>
        <w:t xml:space="preserve"> pandemic </w:t>
      </w:r>
      <w:r w:rsidRPr="00825D03">
        <w:rPr>
          <w:rStyle w:val="StyleUnderline"/>
        </w:rPr>
        <w:t>threatens that</w:t>
      </w:r>
      <w:r w:rsidRPr="00825D03">
        <w:rPr>
          <w:sz w:val="14"/>
        </w:rPr>
        <w:t>.</w:t>
      </w:r>
    </w:p>
    <w:p w14:paraId="27E580E9" w14:textId="77777777" w:rsidR="000B26B7" w:rsidRPr="00825D03" w:rsidRDefault="000B26B7" w:rsidP="000B26B7">
      <w:pPr>
        <w:rPr>
          <w:sz w:val="14"/>
        </w:rPr>
      </w:pPr>
      <w:r w:rsidRPr="00825D03">
        <w:rPr>
          <w:sz w:val="14"/>
        </w:rPr>
        <w:t xml:space="preserve">ÁPORO, Mexico — </w:t>
      </w:r>
      <w:r w:rsidRPr="00825D03">
        <w:rPr>
          <w:rStyle w:val="StyleUnderline"/>
        </w:rPr>
        <w:t>The money would arrive like clockwork</w:t>
      </w:r>
      <w:r w:rsidRPr="00825D03">
        <w:rPr>
          <w:sz w:val="14"/>
        </w:rPr>
        <w:t>: $300 every couple of weeks, sent by her husband, a day laborer and undocumented immigrant living in Indianapolis.</w:t>
      </w:r>
    </w:p>
    <w:p w14:paraId="2A8F33C7" w14:textId="77777777" w:rsidR="000B26B7" w:rsidRDefault="000B26B7" w:rsidP="000B26B7">
      <w:r>
        <w:t>It was the only source of income for María Alejandre and six other family members in Áporo, a small town in the western Mexican state of Michoacán.</w:t>
      </w:r>
    </w:p>
    <w:p w14:paraId="52C2178F" w14:textId="77777777" w:rsidR="000B26B7" w:rsidRPr="00825D03" w:rsidRDefault="000B26B7" w:rsidP="000B26B7">
      <w:pPr>
        <w:rPr>
          <w:sz w:val="14"/>
        </w:rPr>
      </w:pPr>
      <w:r w:rsidRPr="00825D03">
        <w:rPr>
          <w:sz w:val="14"/>
        </w:rPr>
        <w:t xml:space="preserve">But more than four weeks have gone by since Ms. Alejandre’s husband last sent money, and with his work </w:t>
      </w:r>
      <w:r w:rsidRPr="00825D03">
        <w:rPr>
          <w:rStyle w:val="StyleUnderline"/>
        </w:rPr>
        <w:t>opportunities drying up amid the coronavirus pandemic</w:t>
      </w:r>
      <w:r w:rsidRPr="00825D03">
        <w:rPr>
          <w:sz w:val="14"/>
        </w:rPr>
        <w:t>, Ms. Alejandre is deeply worried.</w:t>
      </w:r>
    </w:p>
    <w:p w14:paraId="7B0EA09D" w14:textId="77777777" w:rsidR="000B26B7" w:rsidRPr="00825D03" w:rsidRDefault="000B26B7" w:rsidP="000B26B7">
      <w:pPr>
        <w:rPr>
          <w:sz w:val="14"/>
        </w:rPr>
      </w:pPr>
      <w:r w:rsidRPr="00825D03">
        <w:rPr>
          <w:sz w:val="14"/>
        </w:rPr>
        <w:t>“</w:t>
      </w:r>
      <w:r w:rsidRPr="00825D03">
        <w:rPr>
          <w:rStyle w:val="StyleUnderline"/>
        </w:rPr>
        <w:t>If the economy gets any more difficult</w:t>
      </w:r>
      <w:r w:rsidRPr="00825D03">
        <w:rPr>
          <w:sz w:val="14"/>
        </w:rPr>
        <w:t>,” she said, “well, we don’t know how we’re going to eat.”</w:t>
      </w:r>
    </w:p>
    <w:p w14:paraId="7B3494CD" w14:textId="77777777" w:rsidR="000B26B7" w:rsidRPr="00825D03" w:rsidRDefault="000B26B7" w:rsidP="000B26B7">
      <w:pPr>
        <w:rPr>
          <w:sz w:val="14"/>
        </w:rPr>
      </w:pPr>
      <w:r w:rsidRPr="00825D03">
        <w:rPr>
          <w:rStyle w:val="StyleUnderline"/>
        </w:rPr>
        <w:t>The pandemic</w:t>
      </w:r>
      <w:r w:rsidRPr="00825D03">
        <w:rPr>
          <w:sz w:val="14"/>
        </w:rPr>
        <w:t xml:space="preserve"> — and government measures to combat it — </w:t>
      </w:r>
      <w:r w:rsidRPr="00825D03">
        <w:rPr>
          <w:rStyle w:val="StyleUnderline"/>
        </w:rPr>
        <w:t>are snapping financial lifelines around the world. As millions of workers in the United States and elsewhere see their hours cut or lose their jobs entirely, many are no longer able to send money to relatives and friends back home who depend on these remittances to survive</w:t>
      </w:r>
      <w:r w:rsidRPr="00825D03">
        <w:rPr>
          <w:sz w:val="14"/>
        </w:rPr>
        <w:t>.</w:t>
      </w:r>
    </w:p>
    <w:p w14:paraId="2B3D80B9" w14:textId="77777777" w:rsidR="000B26B7" w:rsidRPr="00825D03" w:rsidRDefault="000B26B7" w:rsidP="000B26B7">
      <w:pPr>
        <w:rPr>
          <w:sz w:val="14"/>
        </w:rPr>
      </w:pPr>
      <w:r w:rsidRPr="00825D03">
        <w:rPr>
          <w:rStyle w:val="StyleUnderline"/>
        </w:rPr>
        <w:t>Migrants</w:t>
      </w:r>
      <w:r w:rsidRPr="00825D03">
        <w:rPr>
          <w:sz w:val="14"/>
        </w:rPr>
        <w:t xml:space="preserve"> and others </w:t>
      </w:r>
      <w:r w:rsidRPr="00825D03">
        <w:rPr>
          <w:rStyle w:val="StyleUnderline"/>
        </w:rPr>
        <w:t>sent</w:t>
      </w:r>
      <w:r w:rsidRPr="00825D03">
        <w:rPr>
          <w:sz w:val="14"/>
        </w:rPr>
        <w:t xml:space="preserve"> some $</w:t>
      </w:r>
      <w:r w:rsidRPr="00825D03">
        <w:rPr>
          <w:rStyle w:val="StyleUnderline"/>
        </w:rPr>
        <w:t>689 billion in global remittances</w:t>
      </w:r>
      <w:r w:rsidRPr="00825D03">
        <w:rPr>
          <w:sz w:val="14"/>
        </w:rPr>
        <w:t xml:space="preserve"> in 2018, according to the World Bank, helping to reduce poverty in developing countries, boosting household spending on education and health care, and helping to keep social and political discontent at bay.</w:t>
      </w:r>
    </w:p>
    <w:p w14:paraId="7180039C" w14:textId="77777777" w:rsidR="000B26B7" w:rsidRPr="00825D03" w:rsidRDefault="000B26B7" w:rsidP="000B26B7">
      <w:pPr>
        <w:rPr>
          <w:sz w:val="14"/>
        </w:rPr>
      </w:pPr>
      <w:r w:rsidRPr="00825D03">
        <w:rPr>
          <w:sz w:val="14"/>
        </w:rPr>
        <w:t xml:space="preserve">But </w:t>
      </w:r>
      <w:r w:rsidRPr="00825D03">
        <w:rPr>
          <w:rStyle w:val="StyleUnderline"/>
        </w:rPr>
        <w:t>analysts now predict that government lockdowns and other responses to the pandemic are going to severely reduce remittances this year</w:t>
      </w:r>
      <w:r w:rsidRPr="00825D03">
        <w:rPr>
          <w:sz w:val="14"/>
        </w:rPr>
        <w:t xml:space="preserve"> — </w:t>
      </w:r>
      <w:r w:rsidRPr="00825D03">
        <w:rPr>
          <w:rStyle w:val="StyleUnderline"/>
        </w:rPr>
        <w:t>a slowdown that has already begun. The World Bank said Wednesday that global remittances are projected to plummet by about 20 percent</w:t>
      </w:r>
      <w:r w:rsidRPr="00825D03">
        <w:rPr>
          <w:sz w:val="14"/>
        </w:rPr>
        <w:t xml:space="preserve"> this year, in “</w:t>
      </w:r>
      <w:r w:rsidRPr="00825D03">
        <w:rPr>
          <w:rStyle w:val="StyleUnderline"/>
        </w:rPr>
        <w:t>the sharpest decline in recent history</w:t>
      </w:r>
      <w:r w:rsidRPr="00825D03">
        <w:rPr>
          <w:sz w:val="14"/>
        </w:rPr>
        <w:t>.”</w:t>
      </w:r>
    </w:p>
    <w:p w14:paraId="57175FAC" w14:textId="77777777" w:rsidR="000B26B7" w:rsidRPr="00825D03" w:rsidRDefault="000B26B7" w:rsidP="000B26B7">
      <w:pPr>
        <w:rPr>
          <w:sz w:val="14"/>
          <w:szCs w:val="14"/>
        </w:rPr>
      </w:pPr>
      <w:r w:rsidRPr="00825D03">
        <w:rPr>
          <w:sz w:val="14"/>
          <w:szCs w:val="14"/>
        </w:rPr>
        <w:t>A major decrease in remittances could have potentially far-reaching impacts in some poor and developing nations, causing not just economic duress but also political and social tension, said Roy Germano, who teaches international relations at New York University.</w:t>
      </w:r>
    </w:p>
    <w:p w14:paraId="36BE27D2" w14:textId="77777777" w:rsidR="000B26B7" w:rsidRPr="00825D03" w:rsidRDefault="000B26B7" w:rsidP="000B26B7">
      <w:pPr>
        <w:rPr>
          <w:sz w:val="14"/>
          <w:szCs w:val="14"/>
        </w:rPr>
      </w:pPr>
      <w:r w:rsidRPr="00825D03">
        <w:rPr>
          <w:sz w:val="14"/>
          <w:szCs w:val="14"/>
        </w:rPr>
        <w:t>“I don’t think governments want to see this money contract because it functions as a sort of de facto social welfare system,” said Mr. Germano, author of “Outsourcing Welfare,” a book about remittances. “In that way, they take pressure off governments to provide welfare assistance and guarantee a certain standard of living.”</w:t>
      </w:r>
    </w:p>
    <w:p w14:paraId="380A7111" w14:textId="77777777" w:rsidR="000B26B7" w:rsidRPr="00825D03" w:rsidRDefault="000B26B7" w:rsidP="000B26B7">
      <w:pPr>
        <w:rPr>
          <w:sz w:val="14"/>
          <w:szCs w:val="14"/>
        </w:rPr>
      </w:pPr>
      <w:r w:rsidRPr="00825D03">
        <w:rPr>
          <w:sz w:val="14"/>
          <w:szCs w:val="14"/>
        </w:rPr>
        <w:t>A collapse of remittances, he said, could lead in some places to a heightened risk of civil unrest and political instability.</w:t>
      </w:r>
    </w:p>
    <w:p w14:paraId="03A0617C" w14:textId="77777777" w:rsidR="000B26B7" w:rsidRPr="00825D03" w:rsidRDefault="000B26B7" w:rsidP="000B26B7">
      <w:pPr>
        <w:rPr>
          <w:sz w:val="14"/>
          <w:szCs w:val="14"/>
        </w:rPr>
      </w:pPr>
      <w:r w:rsidRPr="00825D03">
        <w:rPr>
          <w:sz w:val="14"/>
          <w:szCs w:val="14"/>
        </w:rPr>
        <w:t>Mexico was the third-largest recipient of remittances among all countries in 2018 — after India and China, according to the World Bank — but the largest recipient of money sent from the United States.</w:t>
      </w:r>
    </w:p>
    <w:p w14:paraId="7212825F" w14:textId="5BA247AF" w:rsidR="000B26B7" w:rsidRDefault="000B26B7" w:rsidP="000B26B7">
      <w:pPr>
        <w:rPr>
          <w:rStyle w:val="StyleUnderline"/>
        </w:rPr>
      </w:pPr>
      <w:r w:rsidRPr="00825D03">
        <w:rPr>
          <w:sz w:val="14"/>
        </w:rPr>
        <w:t xml:space="preserve">And </w:t>
      </w:r>
      <w:r w:rsidRPr="00825D03">
        <w:rPr>
          <w:rStyle w:val="StyleUnderline"/>
        </w:rPr>
        <w:t>amid the American economic slowdown</w:t>
      </w:r>
      <w:r w:rsidRPr="00825D03">
        <w:rPr>
          <w:sz w:val="14"/>
        </w:rPr>
        <w:t xml:space="preserve"> in recent weeks, </w:t>
      </w:r>
      <w:r w:rsidRPr="00825D03">
        <w:rPr>
          <w:rStyle w:val="StyleUnderline"/>
        </w:rPr>
        <w:t>millions of undocumented Mexicans in the U</w:t>
      </w:r>
      <w:r w:rsidRPr="00825D03">
        <w:rPr>
          <w:sz w:val="14"/>
        </w:rPr>
        <w:t xml:space="preserve">nited </w:t>
      </w:r>
      <w:r w:rsidRPr="00825D03">
        <w:rPr>
          <w:rStyle w:val="StyleUnderline"/>
        </w:rPr>
        <w:t>S</w:t>
      </w:r>
      <w:r w:rsidRPr="00825D03">
        <w:rPr>
          <w:sz w:val="14"/>
        </w:rPr>
        <w:t xml:space="preserve">tates, like other immigrant populations, </w:t>
      </w:r>
      <w:r w:rsidRPr="00825D03">
        <w:rPr>
          <w:rStyle w:val="StyleUnderline"/>
        </w:rPr>
        <w:t>have been left particularly vulnerable in the absence of job security provisions and unemployment benefits.</w:t>
      </w:r>
    </w:p>
    <w:p w14:paraId="01092242" w14:textId="77777777" w:rsidR="000B26B7" w:rsidRDefault="000B26B7" w:rsidP="000B26B7">
      <w:pPr>
        <w:pStyle w:val="Heading4"/>
      </w:pPr>
      <w:r>
        <w:t>Remittance theory isn’t true and harms growth</w:t>
      </w:r>
    </w:p>
    <w:p w14:paraId="5673F5F2" w14:textId="77777777" w:rsidR="000B26B7" w:rsidRPr="00F41459" w:rsidRDefault="000B26B7" w:rsidP="000B26B7">
      <w:r>
        <w:rPr>
          <w:rStyle w:val="Style13ptBold"/>
        </w:rPr>
        <w:t xml:space="preserve">Martin 17 — </w:t>
      </w:r>
      <w:r w:rsidRPr="00F41459">
        <w:t>Phillip Martin is is Professor of Agricultural and Resource Economics at the University of California, Davis. He edits Rural Migration News, has served on several federal commissions, and testifies frequently before Congress. He is an award-winning author who works for UN agencies around the world on labor and migration issues.</w:t>
      </w:r>
      <w:r>
        <w:t xml:space="preserve"> (“Merchants of Labor; Recruiters and international Labor Migration” Oxford University Press, 2017, pg. 147-148)</w:t>
      </w:r>
    </w:p>
    <w:p w14:paraId="39AF390E" w14:textId="77777777" w:rsidR="000B26B7" w:rsidRPr="00F41459" w:rsidRDefault="000B26B7" w:rsidP="000B26B7">
      <w:pPr>
        <w:rPr>
          <w:sz w:val="14"/>
        </w:rPr>
      </w:pPr>
      <w:r w:rsidRPr="00F41459">
        <w:rPr>
          <w:rStyle w:val="StyleUnderline"/>
        </w:rPr>
        <w:t>Remittance</w:t>
      </w:r>
      <w:r w:rsidRPr="00F41459">
        <w:rPr>
          <w:sz w:val="14"/>
        </w:rPr>
        <w:t xml:space="preserve"> can improve the lives of families receiving them but </w:t>
      </w:r>
      <w:r w:rsidRPr="00F41459">
        <w:rPr>
          <w:rStyle w:val="StyleUnderline"/>
        </w:rPr>
        <w:t>may not speed the development of migrant-sending countries</w:t>
      </w:r>
      <w:r w:rsidRPr="00F41459">
        <w:rPr>
          <w:sz w:val="14"/>
        </w:rPr>
        <w:t>. An International Monetary Fund (</w:t>
      </w:r>
      <w:r w:rsidRPr="00F41459">
        <w:rPr>
          <w:rStyle w:val="StyleUnderline"/>
        </w:rPr>
        <w:t>IMF</w:t>
      </w:r>
      <w:r w:rsidRPr="00F41459">
        <w:rPr>
          <w:sz w:val="14"/>
        </w:rPr>
        <w:t>) paper concludes that remittances</w:t>
      </w:r>
    </w:p>
    <w:p w14:paraId="122CA1DC" w14:textId="77777777" w:rsidR="000B26B7" w:rsidRPr="00F41459" w:rsidRDefault="000B26B7" w:rsidP="000B26B7">
      <w:pPr>
        <w:ind w:left="360"/>
        <w:rPr>
          <w:sz w:val="14"/>
        </w:rPr>
      </w:pPr>
      <w:r w:rsidRPr="00F41459">
        <w:rPr>
          <w:rStyle w:val="StyleUnderline"/>
        </w:rPr>
        <w:t>have contributed little to economic growth</w:t>
      </w:r>
      <w:r w:rsidRPr="00F41459">
        <w:rPr>
          <w:sz w:val="14"/>
        </w:rPr>
        <w:t xml:space="preserve"> in remittance-receiving economies . . . the most persuasive </w:t>
      </w:r>
      <w:r w:rsidRPr="00F41459">
        <w:rPr>
          <w:rStyle w:val="StyleUnderline"/>
        </w:rPr>
        <w:t>evidence</w:t>
      </w:r>
      <w:r w:rsidRPr="00F41459">
        <w:rPr>
          <w:sz w:val="14"/>
        </w:rPr>
        <w:t xml:space="preserve"> in support of this finding </w:t>
      </w:r>
      <w:r w:rsidRPr="00F41459">
        <w:rPr>
          <w:rStyle w:val="StyleUnderline"/>
        </w:rPr>
        <w:t>is the lack of a single example</w:t>
      </w:r>
      <w:r w:rsidRPr="00F41459">
        <w:rPr>
          <w:sz w:val="14"/>
        </w:rPr>
        <w:t xml:space="preserve"> of a remittances success story: a country in which remittances-led growth contributed significantly to its development . . . </w:t>
      </w:r>
      <w:r w:rsidRPr="00F41459">
        <w:rPr>
          <w:rStyle w:val="StyleUnderline"/>
        </w:rPr>
        <w:t>no nation can credibly claim that remittances have funded or catalyzed significant economic development</w:t>
      </w:r>
      <w:r w:rsidRPr="00F41459">
        <w:rPr>
          <w:sz w:val="14"/>
        </w:rPr>
        <w:t>. (Barajas et al., 2009)</w:t>
      </w:r>
    </w:p>
    <w:p w14:paraId="554A2B3E" w14:textId="77777777" w:rsidR="000B26B7" w:rsidRPr="00F41459" w:rsidRDefault="000B26B7" w:rsidP="000B26B7">
      <w:pPr>
        <w:rPr>
          <w:sz w:val="14"/>
        </w:rPr>
      </w:pPr>
      <w:r w:rsidRPr="00F41459">
        <w:rPr>
          <w:sz w:val="14"/>
        </w:rPr>
        <w:t xml:space="preserve">There are several reasons for this pessimism about remittances transforming economies from poor to rich. The first is simple: </w:t>
      </w:r>
      <w:r w:rsidRPr="00F41459">
        <w:rPr>
          <w:rStyle w:val="StyleUnderline"/>
        </w:rPr>
        <w:t>the dramatic increase in global remittances and remittance flows may reflect better measurement rather than more money flowing to developing countries</w:t>
      </w:r>
      <w:r w:rsidRPr="00F41459">
        <w:rPr>
          <w:sz w:val="14"/>
        </w:rPr>
        <w:t xml:space="preserve">. Second, </w:t>
      </w:r>
      <w:r w:rsidRPr="00F41459">
        <w:rPr>
          <w:rStyle w:val="StyleUnderline"/>
        </w:rPr>
        <w:t>outmigration and remittances can keep entrenched elites in power and slow overall economic growth if the migration escape valve reduces pressure on government to make the policy changes necessary for faster growth</w:t>
      </w:r>
      <w:r w:rsidRPr="00F41459">
        <w:rPr>
          <w:sz w:val="14"/>
        </w:rPr>
        <w:t>. The vice-president of Moldova, the poorest country in Eastern Europe, was quoted in 2004 as saying that if young and ambitious Moldovans could not migrate to Russia and Eastern Europe to work, they may protest at home and force a then-communist dominated government to change its policies. Talani (2014) makes a similar point about vicious circles in North Africa, where outmigration of the most able who cannot get ahead at home allows corrupt elites to remain in power and block the fundamental reforms necessary for sustainable growth.</w:t>
      </w:r>
    </w:p>
    <w:p w14:paraId="1969DDD1" w14:textId="77777777" w:rsidR="000B26B7" w:rsidRPr="00F41459" w:rsidRDefault="000B26B7" w:rsidP="000B26B7">
      <w:pPr>
        <w:rPr>
          <w:sz w:val="14"/>
        </w:rPr>
      </w:pPr>
      <w:r w:rsidRPr="00F41459">
        <w:rPr>
          <w:rStyle w:val="StyleUnderline"/>
        </w:rPr>
        <w:t>Remittances</w:t>
      </w:r>
      <w:r w:rsidRPr="00F41459">
        <w:rPr>
          <w:sz w:val="14"/>
        </w:rPr>
        <w:t xml:space="preserve"> can also be a </w:t>
      </w:r>
      <w:r w:rsidRPr="00F41459">
        <w:rPr>
          <w:rStyle w:val="StyleUnderline"/>
        </w:rPr>
        <w:t>two-edged sword</w:t>
      </w:r>
      <w:r w:rsidRPr="00F41459">
        <w:rPr>
          <w:sz w:val="14"/>
        </w:rPr>
        <w:t xml:space="preserve"> in narrower economic terms. Countries such as Moldova that send workers abroad need to develop other export industries to keep workers at home in the future. However, </w:t>
      </w:r>
      <w:r w:rsidRPr="00F41459">
        <w:rPr>
          <w:rStyle w:val="StyleUnderline"/>
        </w:rPr>
        <w:t>if remittances raise the value of the currencies of migrant-sending countries, exports can fall, displacing workers in export-oriented sectors and choking off their growth</w:t>
      </w:r>
      <w:r w:rsidRPr="00F41459">
        <w:rPr>
          <w:sz w:val="14"/>
        </w:rPr>
        <w:t>.</w:t>
      </w:r>
    </w:p>
    <w:p w14:paraId="0D6F4ACF" w14:textId="77777777" w:rsidR="000B26B7" w:rsidRPr="00F41459" w:rsidRDefault="000B26B7" w:rsidP="000B26B7">
      <w:pPr>
        <w:rPr>
          <w:sz w:val="14"/>
        </w:rPr>
      </w:pPr>
      <w:r w:rsidRPr="00F41459">
        <w:rPr>
          <w:rStyle w:val="StyleUnderline"/>
        </w:rPr>
        <w:t>This is an example of Dutch disease</w:t>
      </w:r>
      <w:r w:rsidRPr="00F41459">
        <w:rPr>
          <w:sz w:val="14"/>
        </w:rPr>
        <w:t xml:space="preserve">: the rising value of the Dutch guilder after natural gas was discovered in the North Sea in the 1950s shrank the manufacturing sector and eliminated factory jobs. </w:t>
      </w:r>
      <w:r w:rsidRPr="00F41459">
        <w:rPr>
          <w:rStyle w:val="StyleUnderline"/>
        </w:rPr>
        <w:t>Many migrants are from countries with small export sectors, and the remittances that benefit migrant families may simultaneously hurt other families whose jobs depend on exporting manufacturing and agricultural goods that become more expensive as remittances drive up the value of the local currency</w:t>
      </w:r>
      <w:r w:rsidRPr="00F41459">
        <w:rPr>
          <w:sz w:val="14"/>
        </w:rPr>
        <w:t xml:space="preserve"> (Acosta et al., 2009; Atoyan et al., 2016: 21).</w:t>
      </w:r>
    </w:p>
    <w:p w14:paraId="01959D4D" w14:textId="77777777" w:rsidR="000B26B7" w:rsidRPr="00825D03" w:rsidRDefault="000B26B7" w:rsidP="000B26B7">
      <w:pPr>
        <w:rPr>
          <w:sz w:val="14"/>
        </w:rPr>
      </w:pPr>
      <w:r w:rsidRPr="00F41459">
        <w:rPr>
          <w:rStyle w:val="StyleUnderline"/>
        </w:rPr>
        <w:t>A shrinking export sector and a higher share</w:t>
      </w:r>
      <w:r w:rsidRPr="00825D03">
        <w:rPr>
          <w:sz w:val="14"/>
        </w:rPr>
        <w:t xml:space="preserve"> of the young and elderly among residents </w:t>
      </w:r>
      <w:r w:rsidRPr="00F41459">
        <w:rPr>
          <w:rStyle w:val="StyleUnderline"/>
        </w:rPr>
        <w:t>who depend on government programs can mean less tax revenue and more demand for government services</w:t>
      </w:r>
      <w:r w:rsidRPr="00825D03">
        <w:rPr>
          <w:sz w:val="14"/>
        </w:rPr>
        <w:t>. Governments must finance services for the elderly and children, and if they do so by raising taxes on ever fewer workers and their employers because many prime-aged workers are abroad, the economy’ s ability to produce goods and services competitively is reduced.</w:t>
      </w:r>
    </w:p>
    <w:p w14:paraId="7BA4EC46" w14:textId="4AF66B8A" w:rsidR="000B26B7" w:rsidRPr="000B26B7" w:rsidRDefault="000B26B7" w:rsidP="000B26B7">
      <w:pPr>
        <w:rPr>
          <w:u w:val="single"/>
        </w:rPr>
      </w:pPr>
      <w:r w:rsidRPr="00825D03">
        <w:rPr>
          <w:sz w:val="14"/>
        </w:rPr>
        <w:t xml:space="preserve">When a developing country produces workers for richer countries, </w:t>
      </w:r>
      <w:r w:rsidRPr="00F41459">
        <w:rPr>
          <w:rStyle w:val="StyleUnderline"/>
        </w:rPr>
        <w:t>the result can be</w:t>
      </w:r>
      <w:r w:rsidRPr="00825D03">
        <w:rPr>
          <w:sz w:val="14"/>
        </w:rPr>
        <w:t xml:space="preserve"> a virtuous circle in which sending workers abroad in one period leads to stay-at-home development later, </w:t>
      </w:r>
      <w:r w:rsidRPr="00F41459">
        <w:rPr>
          <w:rStyle w:val="StyleUnderline"/>
        </w:rPr>
        <w:t>or a vicious circle</w:t>
      </w:r>
      <w:r w:rsidRPr="00825D03">
        <w:rPr>
          <w:sz w:val="14"/>
        </w:rPr>
        <w:t xml:space="preserve"> in which villages turn into nurseries for children and nursing homes for the elderly that depend on external lifelines. There are examples of both virtuous and vicious circles between migration and development, </w:t>
      </w:r>
      <w:r w:rsidRPr="00F41459">
        <w:rPr>
          <w:rStyle w:val="StyleUnderline"/>
        </w:rPr>
        <w:t xml:space="preserve">suggesting skepticism when confronting assertions that migration speeds </w:t>
      </w:r>
      <w:r w:rsidRPr="00825D03">
        <w:rPr>
          <w:sz w:val="14"/>
        </w:rPr>
        <w:t>or slows</w:t>
      </w:r>
      <w:r w:rsidRPr="00F41459">
        <w:rPr>
          <w:rStyle w:val="StyleUnderline"/>
        </w:rPr>
        <w:t xml:space="preserve"> development.</w:t>
      </w:r>
    </w:p>
    <w:p w14:paraId="2BD3EB47" w14:textId="77777777" w:rsidR="00AF7FCA" w:rsidRDefault="00AF7FCA" w:rsidP="00AF7FCA">
      <w:pPr>
        <w:pStyle w:val="Heading3"/>
      </w:pPr>
      <w:r>
        <w:t>2AC – AT: SEC No Enforcement</w:t>
      </w:r>
    </w:p>
    <w:p w14:paraId="7BF5D942" w14:textId="77777777" w:rsidR="00AF7FCA" w:rsidRPr="00B9537F" w:rsidRDefault="00AF7FCA" w:rsidP="00AF7FCA">
      <w:pPr>
        <w:pStyle w:val="Heading4"/>
      </w:pPr>
      <w:r>
        <w:t>SEC prosecutions have hybrid applications.</w:t>
      </w:r>
    </w:p>
    <w:p w14:paraId="219CAA58" w14:textId="77777777" w:rsidR="00AF7FCA" w:rsidRPr="00515584" w:rsidRDefault="00AF7FCA" w:rsidP="00AF7FCA">
      <w:r>
        <w:rPr>
          <w:rStyle w:val="Style13ptBold"/>
        </w:rPr>
        <w:t>Currier 16</w:t>
      </w:r>
      <w:r>
        <w:t xml:space="preserve"> – Anna Currier, J.D. at American University Washington College of Law and Deputy Attorney General at Delaware Department of Justice ("The Rule Of Lenity And The Enforcement Of The Federal Securities Laws,” American University Business Law Review, vol. 5, no. 1, pg. 87, available online at </w:t>
      </w:r>
      <w:hyperlink r:id="rId50" w:history="1">
        <w:r w:rsidRPr="00555308">
          <w:rPr>
            <w:rStyle w:val="Hyperlink"/>
          </w:rPr>
          <w:t>http://digitalcommons.wcl.american.edu/aublr/vol5/iss1/4</w:t>
        </w:r>
      </w:hyperlink>
      <w:r>
        <w:t>, accessed 6-20-2020) LR</w:t>
      </w:r>
    </w:p>
    <w:p w14:paraId="123FC511" w14:textId="77777777" w:rsidR="00AF7FCA" w:rsidRDefault="00AF7FCA" w:rsidP="00AF7FCA">
      <w:pPr>
        <w:rPr>
          <w:sz w:val="16"/>
        </w:rPr>
      </w:pPr>
      <w:r w:rsidRPr="00B9537F">
        <w:rPr>
          <w:rStyle w:val="StyleUnderline"/>
        </w:rPr>
        <w:t>As a civil agency</w:t>
      </w:r>
      <w:r w:rsidRPr="00B9537F">
        <w:rPr>
          <w:sz w:val="16"/>
        </w:rPr>
        <w:t xml:space="preserve">, the </w:t>
      </w:r>
      <w:r w:rsidRPr="00B9537F">
        <w:rPr>
          <w:rStyle w:val="StyleUnderline"/>
        </w:rPr>
        <w:t>SEC's Enforcement Division brings civil suits in both federal court and administrative forums.</w:t>
      </w:r>
      <w:r w:rsidRPr="00B9537F">
        <w:rPr>
          <w:sz w:val="16"/>
        </w:rPr>
        <w:t xml:space="preserve">47 </w:t>
      </w:r>
      <w:r w:rsidRPr="00B9537F">
        <w:rPr>
          <w:rStyle w:val="StyleUnderline"/>
        </w:rPr>
        <w:t>The Commission exercises</w:t>
      </w:r>
      <w:r w:rsidRPr="00B9537F">
        <w:rPr>
          <w:sz w:val="16"/>
        </w:rPr>
        <w:t xml:space="preserve"> its </w:t>
      </w:r>
      <w:r w:rsidRPr="00B9537F">
        <w:rPr>
          <w:rStyle w:val="StyleUnderline"/>
        </w:rPr>
        <w:t>discretion</w:t>
      </w:r>
      <w:r w:rsidRPr="00B9537F">
        <w:rPr>
          <w:sz w:val="16"/>
        </w:rPr>
        <w:t xml:space="preserve"> in </w:t>
      </w:r>
      <w:r w:rsidRPr="00B9537F">
        <w:rPr>
          <w:rStyle w:val="StyleUnderline"/>
        </w:rPr>
        <w:t>determining whether to prosecute</w:t>
      </w:r>
      <w:r w:rsidRPr="00B9537F">
        <w:rPr>
          <w:sz w:val="16"/>
        </w:rPr>
        <w:t xml:space="preserve"> violations </w:t>
      </w:r>
      <w:r w:rsidRPr="00B9537F">
        <w:rPr>
          <w:rStyle w:val="StyleUnderline"/>
        </w:rPr>
        <w:t>in federal court or</w:t>
      </w:r>
      <w:r w:rsidRPr="00B9537F">
        <w:rPr>
          <w:sz w:val="16"/>
        </w:rPr>
        <w:t xml:space="preserve"> in an </w:t>
      </w:r>
      <w:r w:rsidRPr="00B9537F">
        <w:rPr>
          <w:rStyle w:val="StyleUnderline"/>
        </w:rPr>
        <w:t>administrative</w:t>
      </w:r>
      <w:r w:rsidRPr="00B9537F">
        <w:rPr>
          <w:sz w:val="16"/>
        </w:rPr>
        <w:t xml:space="preserve"> </w:t>
      </w:r>
      <w:r w:rsidRPr="00B9537F">
        <w:rPr>
          <w:rStyle w:val="StyleUnderline"/>
        </w:rPr>
        <w:t>proceeding.</w:t>
      </w:r>
      <w:r w:rsidRPr="00B9537F">
        <w:rPr>
          <w:sz w:val="16"/>
        </w:rPr>
        <w:t xml:space="preserve">48  </w:t>
      </w:r>
      <w:r w:rsidRPr="00B9537F">
        <w:rPr>
          <w:rStyle w:val="StyleUnderline"/>
        </w:rPr>
        <w:t>The principal anti-fraud provisions</w:t>
      </w:r>
      <w:r w:rsidRPr="00B9537F">
        <w:rPr>
          <w:sz w:val="16"/>
        </w:rPr>
        <w:t xml:space="preserve"> of the federal securities laws </w:t>
      </w:r>
      <w:r w:rsidRPr="00B9537F">
        <w:rPr>
          <w:rStyle w:val="StyleUnderline"/>
        </w:rPr>
        <w:t xml:space="preserve">have </w:t>
      </w:r>
      <w:r w:rsidRPr="00B9537F">
        <w:rPr>
          <w:rStyle w:val="Emphasis"/>
        </w:rPr>
        <w:t>both civil and criminal applications</w:t>
      </w:r>
      <w:r w:rsidRPr="00B9537F">
        <w:rPr>
          <w:sz w:val="16"/>
        </w:rPr>
        <w:t xml:space="preserve">, and "Congress has expressly authorized the SEC to share information with the [DOJ] to facilitate the investigation and prosecution of crimes., 49 </w:t>
      </w:r>
      <w:r w:rsidRPr="00B9537F">
        <w:rPr>
          <w:rStyle w:val="StyleUnderline"/>
        </w:rPr>
        <w:t>The Commission and the DOJ cooperate in</w:t>
      </w:r>
      <w:r w:rsidRPr="00B9537F">
        <w:rPr>
          <w:sz w:val="16"/>
        </w:rPr>
        <w:t xml:space="preserve"> prosecuting fraud in the securities markets, and the two agencies often conduct </w:t>
      </w:r>
      <w:r w:rsidRPr="00B9537F">
        <w:rPr>
          <w:rStyle w:val="StyleUnderline"/>
        </w:rPr>
        <w:t>concurrent investigations and prosecutions</w:t>
      </w:r>
      <w:r w:rsidRPr="00B9537F">
        <w:rPr>
          <w:sz w:val="16"/>
        </w:rPr>
        <w:t>.5 ° The DOJ frequently utilizes Sections 1341, 1343, and 1348 of Title 18 to prosecute violations of federal securities laws.51 As with Rule lOb-5, these criminal statutes prohibit "a scheme or artifice to defraud., 52 The DOJ can also use Section 371 of Title 18 to charge conspiracies in violation of securities fraud.53</w:t>
      </w:r>
    </w:p>
    <w:p w14:paraId="6C91D650" w14:textId="3DAF5D53" w:rsidR="00456038" w:rsidRDefault="00456038" w:rsidP="00456038">
      <w:pPr>
        <w:pStyle w:val="Heading3"/>
      </w:pPr>
      <w:r>
        <w:t xml:space="preserve">2AC – AT: </w:t>
      </w:r>
      <w:r>
        <w:rPr>
          <w:i/>
          <w:iCs/>
        </w:rPr>
        <w:t>Chevron</w:t>
      </w:r>
      <w:r>
        <w:t xml:space="preserve"> Good for Econ</w:t>
      </w:r>
    </w:p>
    <w:p w14:paraId="7CA5B68C" w14:textId="4CA3D3A8" w:rsidR="00456038" w:rsidRDefault="00456038" w:rsidP="00456038">
      <w:pPr>
        <w:pStyle w:val="Heading4"/>
      </w:pPr>
      <w:r>
        <w:t xml:space="preserve">Overboard agency deference is causing </w:t>
      </w:r>
      <w:r w:rsidRPr="00456038">
        <w:rPr>
          <w:u w:val="single"/>
        </w:rPr>
        <w:t>rapid</w:t>
      </w:r>
      <w:r>
        <w:t xml:space="preserve"> proliferation of regulatory agencies and rules.</w:t>
      </w:r>
    </w:p>
    <w:p w14:paraId="7C591144" w14:textId="77777777" w:rsidR="00456038" w:rsidRPr="004F6DE7" w:rsidRDefault="00456038" w:rsidP="00456038">
      <w:r w:rsidRPr="004F6DE7">
        <w:rPr>
          <w:rStyle w:val="Heading4Char"/>
        </w:rPr>
        <w:t>Baker 18</w:t>
      </w:r>
      <w:r w:rsidRPr="004F6DE7">
        <w:t xml:space="preserve"> – (Ashley Baker is the director of public policy at the </w:t>
      </w:r>
      <w:hyperlink r:id="rId51" w:tgtFrame="_blank" w:history="1">
        <w:r w:rsidRPr="004F6DE7">
          <w:rPr>
            <w:rStyle w:val="Hyperlink"/>
          </w:rPr>
          <w:t>Committee for Justice</w:t>
        </w:r>
      </w:hyperlink>
      <w:r w:rsidRPr="004F6DE7">
        <w:t>, a nonprofit group that seeks to uphold the Constitution and support constitutionalist judges; “Kavanaugh’s administrative law opinions should be given due deference</w:t>
      </w:r>
      <w:r>
        <w:t>”; The Hill; D.A. July 7</w:t>
      </w:r>
      <w:r w:rsidRPr="004F6DE7">
        <w:rPr>
          <w:vertAlign w:val="superscript"/>
        </w:rPr>
        <w:t>th</w:t>
      </w:r>
      <w:r>
        <w:t xml:space="preserve"> 2020, [Published August 27</w:t>
      </w:r>
      <w:r w:rsidRPr="004F6DE7">
        <w:rPr>
          <w:vertAlign w:val="superscript"/>
        </w:rPr>
        <w:t>th</w:t>
      </w:r>
      <w:r>
        <w:t xml:space="preserve"> 2018]; </w:t>
      </w:r>
      <w:hyperlink r:id="rId52" w:history="1">
        <w:r>
          <w:rPr>
            <w:rStyle w:val="Hyperlink"/>
          </w:rPr>
          <w:t>https://thehill.com/opinion/judiciary/403694-kavanaughs-administrative-law-opinions-should-be-given-due-deference</w:t>
        </w:r>
      </w:hyperlink>
      <w:r>
        <w:t>) //LFS—JCM</w:t>
      </w:r>
    </w:p>
    <w:p w14:paraId="7FF85A01" w14:textId="77777777" w:rsidR="00456038" w:rsidRPr="005423CD" w:rsidRDefault="00456038" w:rsidP="00456038">
      <w:pPr>
        <w:rPr>
          <w:sz w:val="16"/>
        </w:rPr>
      </w:pPr>
      <w:r w:rsidRPr="005423CD">
        <w:rPr>
          <w:sz w:val="16"/>
        </w:rPr>
        <w:t>The </w:t>
      </w:r>
      <w:r w:rsidRPr="00456038">
        <w:rPr>
          <w:rStyle w:val="Emphasis"/>
          <w:highlight w:val="cyan"/>
        </w:rPr>
        <w:t>Chevron</w:t>
      </w:r>
      <w:r w:rsidRPr="005423CD">
        <w:rPr>
          <w:sz w:val="16"/>
        </w:rPr>
        <w:t> doctrine, originating in the 1984 Supreme Court ruling </w:t>
      </w:r>
      <w:hyperlink r:id="rId53" w:tgtFrame="_blank" w:history="1">
        <w:r w:rsidRPr="005423CD">
          <w:rPr>
            <w:rStyle w:val="Hyperlink"/>
            <w:sz w:val="16"/>
          </w:rPr>
          <w:t>Chevron v. Natural Resources Defense Council</w:t>
        </w:r>
      </w:hyperlink>
      <w:r w:rsidRPr="005423CD">
        <w:rPr>
          <w:sz w:val="16"/>
        </w:rPr>
        <w:t xml:space="preserve">, </w:t>
      </w:r>
      <w:r w:rsidRPr="00456038">
        <w:rPr>
          <w:rStyle w:val="Emphasis"/>
          <w:highlight w:val="cyan"/>
        </w:rPr>
        <w:t>provides</w:t>
      </w:r>
      <w:r w:rsidRPr="005423CD">
        <w:rPr>
          <w:rStyle w:val="Emphasis"/>
        </w:rPr>
        <w:t xml:space="preserve"> that </w:t>
      </w:r>
      <w:r w:rsidRPr="00456038">
        <w:rPr>
          <w:rStyle w:val="Emphasis"/>
          <w:highlight w:val="cyan"/>
        </w:rPr>
        <w:t>courts must defer</w:t>
      </w:r>
      <w:r w:rsidRPr="00456038">
        <w:rPr>
          <w:rStyle w:val="StyleUnderline"/>
          <w:highlight w:val="cyan"/>
        </w:rPr>
        <w:t xml:space="preserve"> to a</w:t>
      </w:r>
      <w:r w:rsidRPr="005423CD">
        <w:rPr>
          <w:rStyle w:val="StyleUnderline"/>
        </w:rPr>
        <w:t xml:space="preserve"> federal </w:t>
      </w:r>
      <w:r w:rsidRPr="00456038">
        <w:rPr>
          <w:rStyle w:val="StyleUnderline"/>
          <w:highlight w:val="cyan"/>
        </w:rPr>
        <w:t>agency's interpretation</w:t>
      </w:r>
      <w:r w:rsidRPr="005423CD">
        <w:rPr>
          <w:rStyle w:val="StyleUnderline"/>
        </w:rPr>
        <w:t xml:space="preserve"> of a statute</w:t>
      </w:r>
      <w:r w:rsidRPr="005423CD">
        <w:rPr>
          <w:sz w:val="16"/>
        </w:rPr>
        <w:t xml:space="preserve"> when its language is ambiguous. </w:t>
      </w:r>
      <w:r w:rsidRPr="00456038">
        <w:rPr>
          <w:rStyle w:val="StyleUnderline"/>
          <w:highlight w:val="cyan"/>
        </w:rPr>
        <w:t>The doctrine allows</w:t>
      </w:r>
      <w:r w:rsidRPr="005423CD">
        <w:rPr>
          <w:rStyle w:val="StyleUnderline"/>
        </w:rPr>
        <w:t> administrative </w:t>
      </w:r>
      <w:r w:rsidRPr="00456038">
        <w:rPr>
          <w:rStyle w:val="StyleUnderline"/>
          <w:highlight w:val="cyan"/>
        </w:rPr>
        <w:t>agencies to</w:t>
      </w:r>
      <w:r w:rsidRPr="005423CD">
        <w:rPr>
          <w:rStyle w:val="StyleUnderline"/>
        </w:rPr>
        <w:t xml:space="preserve"> hide under</w:t>
      </w:r>
      <w:r w:rsidRPr="005423CD">
        <w:rPr>
          <w:sz w:val="16"/>
        </w:rPr>
        <w:t xml:space="preserve"> the cover of </w:t>
      </w:r>
      <w:r w:rsidRPr="005423CD">
        <w:rPr>
          <w:rStyle w:val="StyleUnderline"/>
        </w:rPr>
        <w:t xml:space="preserve">statutory ambiguity to </w:t>
      </w:r>
      <w:r w:rsidRPr="00456038">
        <w:rPr>
          <w:rStyle w:val="Emphasis"/>
          <w:highlight w:val="cyan"/>
        </w:rPr>
        <w:t>broaden</w:t>
      </w:r>
      <w:r w:rsidRPr="005423CD">
        <w:rPr>
          <w:sz w:val="16"/>
        </w:rPr>
        <w:t xml:space="preserve"> the scope of </w:t>
      </w:r>
      <w:r w:rsidRPr="00456038">
        <w:rPr>
          <w:rStyle w:val="StyleUnderline"/>
          <w:highlight w:val="cyan"/>
        </w:rPr>
        <w:t>their own</w:t>
      </w:r>
      <w:r w:rsidRPr="005423CD">
        <w:rPr>
          <w:rStyle w:val="StyleUnderline"/>
        </w:rPr>
        <w:t xml:space="preserve"> authority and expand</w:t>
      </w:r>
      <w:r w:rsidRPr="005423CD">
        <w:rPr>
          <w:sz w:val="16"/>
        </w:rPr>
        <w:t xml:space="preserve"> their </w:t>
      </w:r>
      <w:r w:rsidRPr="00456038">
        <w:rPr>
          <w:rStyle w:val="Emphasis"/>
          <w:highlight w:val="cyan"/>
        </w:rPr>
        <w:t>regulatory reach</w:t>
      </w:r>
      <w:r w:rsidRPr="005423CD">
        <w:rPr>
          <w:sz w:val="16"/>
        </w:rPr>
        <w:t>.</w:t>
      </w:r>
    </w:p>
    <w:p w14:paraId="75A1E5C0" w14:textId="77777777" w:rsidR="00456038" w:rsidRPr="005423CD" w:rsidRDefault="00456038" w:rsidP="00456038">
      <w:pPr>
        <w:rPr>
          <w:rStyle w:val="Emphasis"/>
        </w:rPr>
      </w:pPr>
      <w:r w:rsidRPr="005423CD">
        <w:rPr>
          <w:sz w:val="16"/>
        </w:rPr>
        <w:t>The </w:t>
      </w:r>
      <w:r w:rsidRPr="005423CD">
        <w:rPr>
          <w:rStyle w:val="StyleUnderline"/>
        </w:rPr>
        <w:t>Chevron</w:t>
      </w:r>
      <w:r w:rsidRPr="005423CD">
        <w:rPr>
          <w:sz w:val="16"/>
        </w:rPr>
        <w:t xml:space="preserve"> doctrine </w:t>
      </w:r>
      <w:r w:rsidRPr="005423CD">
        <w:rPr>
          <w:rStyle w:val="StyleUnderline"/>
        </w:rPr>
        <w:t>and the larger problem of</w:t>
      </w:r>
      <w:r w:rsidRPr="005423CD">
        <w:rPr>
          <w:sz w:val="16"/>
        </w:rPr>
        <w:t xml:space="preserve"> an </w:t>
      </w:r>
      <w:r w:rsidRPr="00456038">
        <w:rPr>
          <w:rStyle w:val="Emphasis"/>
          <w:highlight w:val="cyan"/>
        </w:rPr>
        <w:t>expanding administrative state</w:t>
      </w:r>
      <w:r w:rsidRPr="005423CD">
        <w:rPr>
          <w:rStyle w:val="StyleUnderline"/>
        </w:rPr>
        <w:t xml:space="preserve"> grow out of the assumption of administrative independence</w:t>
      </w:r>
      <w:r w:rsidRPr="005423CD">
        <w:rPr>
          <w:sz w:val="16"/>
        </w:rPr>
        <w:t> born of the New Deal, combined with a </w:t>
      </w:r>
      <w:hyperlink r:id="rId54" w:tgtFrame="_blank" w:history="1">
        <w:r w:rsidRPr="005423CD">
          <w:rPr>
            <w:rStyle w:val="Hyperlink"/>
            <w:sz w:val="16"/>
          </w:rPr>
          <w:t>judiciary</w:t>
        </w:r>
      </w:hyperlink>
      <w:r w:rsidRPr="005423CD">
        <w:rPr>
          <w:sz w:val="16"/>
        </w:rPr>
        <w:t xml:space="preserve"> prone to deference. </w:t>
      </w:r>
      <w:r w:rsidRPr="005423CD">
        <w:rPr>
          <w:rStyle w:val="StyleUnderline"/>
        </w:rPr>
        <w:t>Particularly problematic are</w:t>
      </w:r>
      <w:r w:rsidRPr="005423CD">
        <w:rPr>
          <w:sz w:val="16"/>
        </w:rPr>
        <w:t xml:space="preserve"> the “</w:t>
      </w:r>
      <w:r w:rsidRPr="005423CD">
        <w:rPr>
          <w:rStyle w:val="Emphasis"/>
        </w:rPr>
        <w:t>independent agencies</w:t>
      </w:r>
      <w:r w:rsidRPr="005423CD">
        <w:rPr>
          <w:sz w:val="16"/>
        </w:rPr>
        <w:t xml:space="preserve">” </w:t>
      </w:r>
      <w:r w:rsidRPr="005423CD">
        <w:rPr>
          <w:rStyle w:val="StyleUnderline"/>
        </w:rPr>
        <w:t xml:space="preserve">that </w:t>
      </w:r>
      <w:r w:rsidRPr="00456038">
        <w:rPr>
          <w:rStyle w:val="StyleUnderline"/>
          <w:highlight w:val="cyan"/>
        </w:rPr>
        <w:t>have become unaccountable</w:t>
      </w:r>
      <w:r w:rsidRPr="005423CD">
        <w:rPr>
          <w:sz w:val="16"/>
        </w:rPr>
        <w:t xml:space="preserve">, </w:t>
      </w:r>
      <w:r w:rsidRPr="00456038">
        <w:rPr>
          <w:rStyle w:val="Emphasis"/>
          <w:highlight w:val="cyan"/>
        </w:rPr>
        <w:t>upsetting</w:t>
      </w:r>
      <w:r w:rsidRPr="005423CD">
        <w:rPr>
          <w:rStyle w:val="StyleUnderline"/>
        </w:rPr>
        <w:t xml:space="preserve"> the balance between the three branches in </w:t>
      </w:r>
      <w:r w:rsidRPr="00456038">
        <w:rPr>
          <w:rStyle w:val="Emphasis"/>
          <w:highlight w:val="cyan"/>
        </w:rPr>
        <w:t>our constitutional scheme</w:t>
      </w:r>
      <w:r w:rsidRPr="005423CD">
        <w:rPr>
          <w:rStyle w:val="Emphasis"/>
        </w:rPr>
        <w:t>.</w:t>
      </w:r>
    </w:p>
    <w:p w14:paraId="5EF7EDA9" w14:textId="77777777" w:rsidR="00456038" w:rsidRPr="005423CD" w:rsidRDefault="00456038" w:rsidP="00456038">
      <w:pPr>
        <w:rPr>
          <w:sz w:val="16"/>
          <w:szCs w:val="16"/>
        </w:rPr>
      </w:pPr>
      <w:r w:rsidRPr="005423CD">
        <w:rPr>
          <w:sz w:val="16"/>
          <w:szCs w:val="16"/>
        </w:rPr>
        <w:t>During his 12 years as a federal judge on the U.S. Court of Appeals for the D.C. Circuit, Judge Kavanaugh has heard </w:t>
      </w:r>
      <w:hyperlink r:id="rId55" w:tgtFrame="_blank" w:history="1">
        <w:r w:rsidRPr="005423CD">
          <w:rPr>
            <w:rStyle w:val="Hyperlink"/>
            <w:sz w:val="16"/>
            <w:szCs w:val="16"/>
          </w:rPr>
          <w:t>2,700 cases</w:t>
        </w:r>
      </w:hyperlink>
      <w:r w:rsidRPr="005423CD">
        <w:rPr>
          <w:sz w:val="16"/>
          <w:szCs w:val="16"/>
        </w:rPr>
        <w:t> in what is arguably the most important court for administrative law. Of the 307 opinions Kavanaugh has written, </w:t>
      </w:r>
      <w:hyperlink r:id="rId56" w:tgtFrame="_blank" w:history="1">
        <w:r w:rsidRPr="005423CD">
          <w:rPr>
            <w:rStyle w:val="Hyperlink"/>
            <w:sz w:val="16"/>
            <w:szCs w:val="16"/>
          </w:rPr>
          <w:t>122</w:t>
        </w:r>
      </w:hyperlink>
      <w:r w:rsidRPr="005423CD">
        <w:rPr>
          <w:sz w:val="16"/>
          <w:szCs w:val="16"/>
        </w:rPr>
        <w:t> reviewed agency decisions.</w:t>
      </w:r>
    </w:p>
    <w:p w14:paraId="6865506C" w14:textId="77777777" w:rsidR="00456038" w:rsidRPr="005423CD" w:rsidRDefault="00456038" w:rsidP="00456038">
      <w:pPr>
        <w:rPr>
          <w:sz w:val="16"/>
          <w:szCs w:val="16"/>
        </w:rPr>
      </w:pPr>
      <w:r w:rsidRPr="005423CD">
        <w:rPr>
          <w:sz w:val="16"/>
          <w:szCs w:val="16"/>
        </w:rPr>
        <w:t>In the swirl of partisan rhetoric surrounding the confirmation hearings, it may come as a surprise to learn that Judge Kavanaugh has authored four times as many opinions in cases involving executive agencies than civil liberties, unions, and voting rights combined.   </w:t>
      </w:r>
    </w:p>
    <w:p w14:paraId="11CB2BE2" w14:textId="77777777" w:rsidR="00456038" w:rsidRPr="005423CD" w:rsidRDefault="00456038" w:rsidP="00456038">
      <w:pPr>
        <w:rPr>
          <w:rStyle w:val="StyleUnderline"/>
        </w:rPr>
      </w:pPr>
      <w:r w:rsidRPr="005423CD">
        <w:rPr>
          <w:sz w:val="16"/>
          <w:szCs w:val="16"/>
        </w:rPr>
        <w:t>Throughout his administrative law opinions, Judge Kavanaugh has decried blind deference to executive agency bureaucrats as an abdication of judicial duty and a violation of the constitutional separation of powers. Kavanaugh's response to the Senate Judiciary Committee’s question about which of his cases he considers most significant underscores the importance of the issue of agency deference. Two of the cases he included, </w:t>
      </w:r>
      <w:hyperlink r:id="rId57" w:tgtFrame="_blank" w:history="1">
        <w:r w:rsidRPr="005423CD">
          <w:rPr>
            <w:rStyle w:val="Hyperlink"/>
            <w:sz w:val="16"/>
            <w:szCs w:val="16"/>
          </w:rPr>
          <w:t>Free Enterprise Fund v. PCAOB</w:t>
        </w:r>
      </w:hyperlink>
      <w:r w:rsidRPr="005423CD">
        <w:rPr>
          <w:sz w:val="16"/>
          <w:szCs w:val="16"/>
        </w:rPr>
        <w:t> (2008) and </w:t>
      </w:r>
      <w:hyperlink r:id="rId58" w:tgtFrame="_blank" w:history="1">
        <w:r w:rsidRPr="005423CD">
          <w:rPr>
            <w:rStyle w:val="Hyperlink"/>
            <w:sz w:val="16"/>
            <w:szCs w:val="16"/>
          </w:rPr>
          <w:t>PHH Corp. v. CFPB</w:t>
        </w:r>
      </w:hyperlink>
      <w:r w:rsidRPr="005423CD">
        <w:rPr>
          <w:sz w:val="16"/>
          <w:szCs w:val="16"/>
        </w:rPr>
        <w:t xml:space="preserve"> (2018), involved </w:t>
      </w:r>
      <w:r w:rsidRPr="005423CD">
        <w:rPr>
          <w:rStyle w:val="StyleUnderline"/>
        </w:rPr>
        <w:t>unaccountable independent agencies.</w:t>
      </w:r>
    </w:p>
    <w:p w14:paraId="3A5F3F1D" w14:textId="77777777" w:rsidR="00456038" w:rsidRPr="005423CD" w:rsidRDefault="00456038" w:rsidP="00456038">
      <w:pPr>
        <w:rPr>
          <w:sz w:val="16"/>
        </w:rPr>
      </w:pPr>
      <w:r w:rsidRPr="005423CD">
        <w:rPr>
          <w:rStyle w:val="StyleUnderline"/>
        </w:rPr>
        <w:t xml:space="preserve">Free Enterprise Fund involved </w:t>
      </w:r>
      <w:r w:rsidRPr="00456038">
        <w:rPr>
          <w:rStyle w:val="StyleUnderline"/>
          <w:highlight w:val="cyan"/>
        </w:rPr>
        <w:t>the</w:t>
      </w:r>
      <w:r w:rsidRPr="00456038">
        <w:rPr>
          <w:sz w:val="16"/>
          <w:highlight w:val="cyan"/>
        </w:rPr>
        <w:t> </w:t>
      </w:r>
      <w:r w:rsidRPr="00456038">
        <w:rPr>
          <w:rStyle w:val="Emphasis"/>
          <w:highlight w:val="cyan"/>
        </w:rPr>
        <w:t>Sarbanes-Oxley Act</w:t>
      </w:r>
      <w:r w:rsidRPr="005423CD">
        <w:rPr>
          <w:sz w:val="16"/>
        </w:rPr>
        <w:t xml:space="preserve">, which </w:t>
      </w:r>
      <w:r w:rsidRPr="00456038">
        <w:rPr>
          <w:rStyle w:val="StyleUnderline"/>
          <w:highlight w:val="cyan"/>
        </w:rPr>
        <w:t>created</w:t>
      </w:r>
      <w:r w:rsidRPr="005423CD">
        <w:rPr>
          <w:rStyle w:val="StyleUnderline"/>
        </w:rPr>
        <w:t xml:space="preserve"> the</w:t>
      </w:r>
      <w:r w:rsidRPr="005423CD">
        <w:rPr>
          <w:sz w:val="16"/>
        </w:rPr>
        <w:t xml:space="preserve"> Public Company Accounting Oversight Board (</w:t>
      </w:r>
      <w:r w:rsidRPr="00456038">
        <w:rPr>
          <w:rStyle w:val="Emphasis"/>
          <w:highlight w:val="cyan"/>
        </w:rPr>
        <w:t>PCAOB</w:t>
      </w:r>
      <w:r w:rsidRPr="005423CD">
        <w:rPr>
          <w:sz w:val="16"/>
        </w:rPr>
        <w:t xml:space="preserve">) </w:t>
      </w:r>
      <w:r w:rsidRPr="00456038">
        <w:rPr>
          <w:rStyle w:val="StyleUnderline"/>
          <w:highlight w:val="cyan"/>
        </w:rPr>
        <w:t>within</w:t>
      </w:r>
      <w:r w:rsidRPr="005423CD">
        <w:rPr>
          <w:rStyle w:val="StyleUnderline"/>
        </w:rPr>
        <w:t xml:space="preserve"> the existing structure of </w:t>
      </w:r>
      <w:r w:rsidRPr="00456038">
        <w:rPr>
          <w:rStyle w:val="StyleUnderline"/>
          <w:highlight w:val="cyan"/>
        </w:rPr>
        <w:t>the</w:t>
      </w:r>
      <w:r w:rsidRPr="005423CD">
        <w:rPr>
          <w:rStyle w:val="StyleUnderline"/>
        </w:rPr>
        <w:t xml:space="preserve"> Securities and Exchange Commission</w:t>
      </w:r>
      <w:r w:rsidRPr="005423CD">
        <w:rPr>
          <w:sz w:val="16"/>
        </w:rPr>
        <w:t xml:space="preserve"> (</w:t>
      </w:r>
      <w:r w:rsidRPr="00456038">
        <w:rPr>
          <w:rStyle w:val="Emphasis"/>
          <w:highlight w:val="cyan"/>
        </w:rPr>
        <w:t>SEC</w:t>
      </w:r>
      <w:r w:rsidRPr="005423CD">
        <w:rPr>
          <w:sz w:val="16"/>
        </w:rPr>
        <w:t>). According to the Act, the Board's members were only removable “for cause” by the SEC, whose members, in turn, were only removable “for cause” by the president.</w:t>
      </w:r>
    </w:p>
    <w:p w14:paraId="73051658" w14:textId="77777777" w:rsidR="00456038" w:rsidRPr="005423CD" w:rsidRDefault="00456038" w:rsidP="00456038">
      <w:pPr>
        <w:rPr>
          <w:sz w:val="16"/>
        </w:rPr>
      </w:pPr>
      <w:r w:rsidRPr="005423CD">
        <w:rPr>
          <w:sz w:val="16"/>
        </w:rPr>
        <w:t xml:space="preserve">Dissenting from the D.C. Circuit's ruling, Judge Kavanaugh concluded that </w:t>
      </w:r>
      <w:r w:rsidRPr="005423CD">
        <w:rPr>
          <w:rStyle w:val="StyleUnderline"/>
        </w:rPr>
        <w:t xml:space="preserve">provisions of the </w:t>
      </w:r>
      <w:r w:rsidRPr="005423CD">
        <w:rPr>
          <w:rStyle w:val="Emphasis"/>
        </w:rPr>
        <w:t>Sarbanes-Oxley</w:t>
      </w:r>
      <w:r w:rsidRPr="005423CD">
        <w:rPr>
          <w:rStyle w:val="StyleUnderline"/>
        </w:rPr>
        <w:t xml:space="preserve"> Act </w:t>
      </w:r>
      <w:r w:rsidRPr="00456038">
        <w:rPr>
          <w:rStyle w:val="Emphasis"/>
          <w:highlight w:val="cyan"/>
        </w:rPr>
        <w:t>insulating</w:t>
      </w:r>
      <w:r w:rsidRPr="005423CD">
        <w:rPr>
          <w:rStyle w:val="StyleUnderline"/>
        </w:rPr>
        <w:t xml:space="preserve"> the </w:t>
      </w:r>
      <w:r w:rsidRPr="00456038">
        <w:rPr>
          <w:rStyle w:val="Emphasis"/>
          <w:highlight w:val="cyan"/>
        </w:rPr>
        <w:t>PCAOB from the ex</w:t>
      </w:r>
      <w:r w:rsidRPr="005423CD">
        <w:rPr>
          <w:rStyle w:val="Emphasis"/>
        </w:rPr>
        <w:t>ecutive</w:t>
      </w:r>
      <w:r w:rsidRPr="005423CD">
        <w:rPr>
          <w:rStyle w:val="StyleUnderline"/>
        </w:rPr>
        <w:t xml:space="preserve"> branch</w:t>
      </w:r>
      <w:r w:rsidRPr="005423CD">
        <w:rPr>
          <w:sz w:val="16"/>
        </w:rPr>
        <w:t xml:space="preserve"> through a double for-cause removal structure </w:t>
      </w:r>
      <w:r w:rsidRPr="005423CD">
        <w:rPr>
          <w:rStyle w:val="StyleUnderline"/>
        </w:rPr>
        <w:t>violated</w:t>
      </w:r>
      <w:r w:rsidRPr="005423CD">
        <w:rPr>
          <w:sz w:val="16"/>
        </w:rPr>
        <w:t xml:space="preserve"> the </w:t>
      </w:r>
      <w:r w:rsidRPr="005423CD">
        <w:rPr>
          <w:rStyle w:val="StyleUnderline"/>
        </w:rPr>
        <w:t>President’s</w:t>
      </w:r>
      <w:r w:rsidRPr="005423CD">
        <w:rPr>
          <w:sz w:val="16"/>
        </w:rPr>
        <w:t> </w:t>
      </w:r>
      <w:hyperlink r:id="rId59" w:tgtFrame="_blank" w:history="1">
        <w:r w:rsidRPr="005423CD">
          <w:rPr>
            <w:rStyle w:val="Hyperlink"/>
            <w:sz w:val="16"/>
          </w:rPr>
          <w:t>Article II</w:t>
        </w:r>
      </w:hyperlink>
      <w:r w:rsidRPr="005423CD">
        <w:rPr>
          <w:sz w:val="16"/>
        </w:rPr>
        <w:t> </w:t>
      </w:r>
      <w:r w:rsidRPr="005423CD">
        <w:rPr>
          <w:rStyle w:val="StyleUnderline"/>
        </w:rPr>
        <w:t>authority to supervise the executive branch</w:t>
      </w:r>
      <w:r w:rsidRPr="005423CD">
        <w:rPr>
          <w:sz w:val="16"/>
        </w:rPr>
        <w:t xml:space="preserve">. The </w:t>
      </w:r>
      <w:r w:rsidRPr="00456038">
        <w:rPr>
          <w:rStyle w:val="Emphasis"/>
          <w:highlight w:val="cyan"/>
        </w:rPr>
        <w:t>structure</w:t>
      </w:r>
      <w:r w:rsidRPr="005423CD">
        <w:rPr>
          <w:rStyle w:val="StyleUnderline"/>
        </w:rPr>
        <w:t xml:space="preserve"> had essentially </w:t>
      </w:r>
      <w:r w:rsidRPr="00456038">
        <w:rPr>
          <w:rStyle w:val="Emphasis"/>
          <w:highlight w:val="cyan"/>
        </w:rPr>
        <w:t>created</w:t>
      </w:r>
      <w:r w:rsidRPr="00456038">
        <w:rPr>
          <w:rStyle w:val="StyleUnderline"/>
          <w:highlight w:val="cyan"/>
        </w:rPr>
        <w:t xml:space="preserve"> a </w:t>
      </w:r>
      <w:r w:rsidRPr="00456038">
        <w:rPr>
          <w:rStyle w:val="Emphasis"/>
          <w:highlight w:val="cyan"/>
        </w:rPr>
        <w:t>regulatory</w:t>
      </w:r>
      <w:r w:rsidRPr="005423CD">
        <w:rPr>
          <w:sz w:val="16"/>
        </w:rPr>
        <w:t xml:space="preserve"> Russian </w:t>
      </w:r>
      <w:r w:rsidRPr="00456038">
        <w:rPr>
          <w:rStyle w:val="Emphasis"/>
          <w:highlight w:val="cyan"/>
        </w:rPr>
        <w:t>nesting doll</w:t>
      </w:r>
      <w:r w:rsidRPr="005423CD">
        <w:rPr>
          <w:sz w:val="16"/>
        </w:rPr>
        <w:t>. Kavanaugh wrote that “</w:t>
      </w:r>
      <w:r w:rsidRPr="005423CD">
        <w:rPr>
          <w:rStyle w:val="StyleUnderline"/>
        </w:rPr>
        <w:t xml:space="preserve">the Act renders this Executive Branch agency unaccountable and </w:t>
      </w:r>
      <w:r w:rsidRPr="00456038">
        <w:rPr>
          <w:rStyle w:val="Emphasis"/>
          <w:highlight w:val="cyan"/>
        </w:rPr>
        <w:t>divorced from Presidential control</w:t>
      </w:r>
      <w:r w:rsidRPr="005423CD">
        <w:rPr>
          <w:sz w:val="16"/>
        </w:rPr>
        <w:t xml:space="preserve"> to a degree not previously countenanced in our constitutional structure.”</w:t>
      </w:r>
    </w:p>
    <w:p w14:paraId="253733DE" w14:textId="77777777" w:rsidR="00456038" w:rsidRPr="00F32BC6" w:rsidRDefault="00456038" w:rsidP="00456038">
      <w:pPr>
        <w:rPr>
          <w:sz w:val="16"/>
          <w:szCs w:val="16"/>
        </w:rPr>
      </w:pPr>
      <w:r w:rsidRPr="00F32BC6">
        <w:rPr>
          <w:sz w:val="16"/>
          <w:szCs w:val="16"/>
        </w:rPr>
        <w:t>Those in opposition to Kavanaugh’s confirmation have </w:t>
      </w:r>
      <w:hyperlink r:id="rId60" w:tgtFrame="_blank" w:history="1">
        <w:r w:rsidRPr="00F32BC6">
          <w:rPr>
            <w:rStyle w:val="Hyperlink"/>
            <w:sz w:val="16"/>
            <w:szCs w:val="16"/>
          </w:rPr>
          <w:t>pointed</w:t>
        </w:r>
      </w:hyperlink>
      <w:r w:rsidRPr="00F32BC6">
        <w:rPr>
          <w:sz w:val="16"/>
          <w:szCs w:val="16"/>
        </w:rPr>
        <w:t> to this case as evidence that he will expand </w:t>
      </w:r>
      <w:hyperlink r:id="rId61" w:history="1">
        <w:r w:rsidRPr="00F32BC6">
          <w:rPr>
            <w:rStyle w:val="Hyperlink"/>
            <w:sz w:val="16"/>
            <w:szCs w:val="16"/>
          </w:rPr>
          <w:t>President Trump</w:t>
        </w:r>
      </w:hyperlink>
      <w:r w:rsidRPr="00F32BC6">
        <w:rPr>
          <w:sz w:val="16"/>
          <w:szCs w:val="16"/>
        </w:rPr>
        <w:t>’s power under the unitary executive theory. However, the focus of his opinion was on Congress:</w:t>
      </w:r>
    </w:p>
    <w:p w14:paraId="51CD95E7" w14:textId="77777777" w:rsidR="00456038" w:rsidRPr="00F32BC6" w:rsidRDefault="00456038" w:rsidP="00456038">
      <w:pPr>
        <w:ind w:left="720"/>
        <w:rPr>
          <w:sz w:val="16"/>
        </w:rPr>
      </w:pPr>
      <w:r w:rsidRPr="00F32BC6">
        <w:rPr>
          <w:sz w:val="16"/>
        </w:rPr>
        <w:t xml:space="preserve">This was not inadvertent; Members of Congress designed the </w:t>
      </w:r>
      <w:r w:rsidRPr="00456038">
        <w:rPr>
          <w:rStyle w:val="Emphasis"/>
          <w:highlight w:val="cyan"/>
        </w:rPr>
        <w:t>PCAOB</w:t>
      </w:r>
      <w:r w:rsidRPr="00F32BC6">
        <w:rPr>
          <w:sz w:val="16"/>
        </w:rPr>
        <w:t xml:space="preserve"> to </w:t>
      </w:r>
      <w:r w:rsidRPr="00456038">
        <w:rPr>
          <w:rStyle w:val="StyleUnderline"/>
          <w:highlight w:val="cyan"/>
        </w:rPr>
        <w:t>have</w:t>
      </w:r>
      <w:r w:rsidRPr="00F32BC6">
        <w:rPr>
          <w:rStyle w:val="StyleUnderline"/>
        </w:rPr>
        <w:t xml:space="preserve"> “</w:t>
      </w:r>
      <w:r w:rsidRPr="00456038">
        <w:rPr>
          <w:rStyle w:val="Emphasis"/>
          <w:highlight w:val="cyan"/>
        </w:rPr>
        <w:t>massive</w:t>
      </w:r>
      <w:r w:rsidRPr="00F32BC6">
        <w:rPr>
          <w:rStyle w:val="StyleUnderline"/>
        </w:rPr>
        <w:t xml:space="preserve"> power, </w:t>
      </w:r>
      <w:r w:rsidRPr="00456038">
        <w:rPr>
          <w:rStyle w:val="Emphasis"/>
          <w:highlight w:val="cyan"/>
        </w:rPr>
        <w:t>unchecked power</w:t>
      </w:r>
      <w:r w:rsidRPr="00F32BC6">
        <w:rPr>
          <w:rStyle w:val="StyleUnderline"/>
        </w:rPr>
        <w:t>.”</w:t>
      </w:r>
      <w:r w:rsidRPr="00F32BC6">
        <w:rPr>
          <w:sz w:val="16"/>
        </w:rPr>
        <w:t xml:space="preserve"> Our constitutional structure is premised, however, on the notion that such unaccountable power is </w:t>
      </w:r>
      <w:r w:rsidRPr="00F32BC6">
        <w:rPr>
          <w:rStyle w:val="StyleUnderline"/>
        </w:rPr>
        <w:t>inconsistent with individual liberty</w:t>
      </w:r>
      <w:r w:rsidRPr="00F32BC6">
        <w:rPr>
          <w:sz w:val="16"/>
        </w:rPr>
        <w:t>.</w:t>
      </w:r>
    </w:p>
    <w:p w14:paraId="56FC98FB" w14:textId="77777777" w:rsidR="00456038" w:rsidRPr="00F32BC6" w:rsidRDefault="00456038" w:rsidP="00456038">
      <w:pPr>
        <w:rPr>
          <w:sz w:val="16"/>
        </w:rPr>
      </w:pPr>
      <w:r w:rsidRPr="00F32BC6">
        <w:rPr>
          <w:sz w:val="16"/>
        </w:rPr>
        <w:t xml:space="preserve">In other words, </w:t>
      </w:r>
      <w:r w:rsidRPr="00F32BC6">
        <w:rPr>
          <w:rStyle w:val="StyleUnderline"/>
        </w:rPr>
        <w:t xml:space="preserve">individual liberty is undermined when the </w:t>
      </w:r>
      <w:r w:rsidRPr="00456038">
        <w:rPr>
          <w:rStyle w:val="StyleUnderline"/>
          <w:highlight w:val="cyan"/>
        </w:rPr>
        <w:t>branch</w:t>
      </w:r>
      <w:r w:rsidRPr="00F32BC6">
        <w:rPr>
          <w:rStyle w:val="StyleUnderline"/>
        </w:rPr>
        <w:t xml:space="preserve"> closest to the people </w:t>
      </w:r>
      <w:r w:rsidRPr="00456038">
        <w:rPr>
          <w:rStyle w:val="StyleUnderline"/>
          <w:highlight w:val="cyan"/>
        </w:rPr>
        <w:t>abdicates</w:t>
      </w:r>
      <w:r w:rsidRPr="00F32BC6">
        <w:rPr>
          <w:rStyle w:val="StyleUnderline"/>
        </w:rPr>
        <w:t xml:space="preserve"> the </w:t>
      </w:r>
      <w:r w:rsidRPr="00456038">
        <w:rPr>
          <w:rStyle w:val="StyleUnderline"/>
          <w:highlight w:val="cyan"/>
        </w:rPr>
        <w:t>legislative function</w:t>
      </w:r>
      <w:r w:rsidRPr="00F32BC6">
        <w:rPr>
          <w:sz w:val="16"/>
        </w:rPr>
        <w:t xml:space="preserve"> by </w:t>
      </w:r>
      <w:r w:rsidRPr="00456038">
        <w:rPr>
          <w:rStyle w:val="Emphasis"/>
          <w:highlight w:val="cyan"/>
        </w:rPr>
        <w:t>creating</w:t>
      </w:r>
      <w:r w:rsidRPr="00F32BC6">
        <w:rPr>
          <w:rStyle w:val="Emphasis"/>
        </w:rPr>
        <w:t xml:space="preserve"> an </w:t>
      </w:r>
      <w:r w:rsidRPr="00456038">
        <w:rPr>
          <w:rStyle w:val="Emphasis"/>
          <w:highlight w:val="cyan"/>
        </w:rPr>
        <w:t>independent agency</w:t>
      </w:r>
      <w:r w:rsidRPr="00F32BC6">
        <w:rPr>
          <w:sz w:val="16"/>
        </w:rPr>
        <w:t xml:space="preserve"> as an easy alternative to writing nuanced policy.</w:t>
      </w:r>
    </w:p>
    <w:p w14:paraId="3385BBC3" w14:textId="77777777" w:rsidR="00456038" w:rsidRPr="00F32BC6" w:rsidRDefault="00456038" w:rsidP="00456038">
      <w:pPr>
        <w:rPr>
          <w:sz w:val="16"/>
          <w:szCs w:val="16"/>
        </w:rPr>
      </w:pPr>
      <w:r w:rsidRPr="00F32BC6">
        <w:rPr>
          <w:sz w:val="16"/>
          <w:szCs w:val="16"/>
        </w:rPr>
        <w:t>The Supreme Court ultimately agreed with Judge Kavanaugh’s dissent and </w:t>
      </w:r>
      <w:hyperlink r:id="rId62" w:tgtFrame="_blank" w:history="1">
        <w:r w:rsidRPr="00F32BC6">
          <w:rPr>
            <w:rStyle w:val="Hyperlink"/>
            <w:sz w:val="16"/>
            <w:szCs w:val="16"/>
          </w:rPr>
          <w:t>reversed</w:t>
        </w:r>
      </w:hyperlink>
      <w:r w:rsidRPr="00F32BC6">
        <w:rPr>
          <w:sz w:val="16"/>
          <w:szCs w:val="16"/>
        </w:rPr>
        <w:t> the D.C. Circuit.</w:t>
      </w:r>
    </w:p>
    <w:p w14:paraId="2C80F4DE" w14:textId="77777777" w:rsidR="00456038" w:rsidRPr="00F32BC6" w:rsidRDefault="00456038" w:rsidP="00456038">
      <w:pPr>
        <w:rPr>
          <w:sz w:val="16"/>
        </w:rPr>
      </w:pPr>
      <w:r w:rsidRPr="00F32BC6">
        <w:rPr>
          <w:sz w:val="16"/>
        </w:rPr>
        <w:t>Notably, in this dissent, Kavanaugh warned that “</w:t>
      </w:r>
      <w:r w:rsidRPr="00F32BC6">
        <w:rPr>
          <w:rStyle w:val="StyleUnderline"/>
        </w:rPr>
        <w:t xml:space="preserve">upholding the </w:t>
      </w:r>
      <w:r w:rsidRPr="00456038">
        <w:rPr>
          <w:rStyle w:val="StyleUnderline"/>
          <w:highlight w:val="cyan"/>
        </w:rPr>
        <w:t>PCAOB</w:t>
      </w:r>
      <w:r w:rsidRPr="00F32BC6">
        <w:rPr>
          <w:rStyle w:val="StyleUnderline"/>
        </w:rPr>
        <w:t xml:space="preserve"> here would </w:t>
      </w:r>
      <w:r w:rsidRPr="00456038">
        <w:rPr>
          <w:rStyle w:val="Emphasis"/>
          <w:highlight w:val="cyan"/>
        </w:rPr>
        <w:t>green-light Congress</w:t>
      </w:r>
      <w:r w:rsidRPr="00456038">
        <w:rPr>
          <w:rStyle w:val="StyleUnderline"/>
          <w:highlight w:val="cyan"/>
        </w:rPr>
        <w:t xml:space="preserve"> to </w:t>
      </w:r>
      <w:r w:rsidRPr="00456038">
        <w:rPr>
          <w:rStyle w:val="Emphasis"/>
          <w:highlight w:val="cyan"/>
        </w:rPr>
        <w:t>create</w:t>
      </w:r>
      <w:r w:rsidRPr="00F32BC6">
        <w:rPr>
          <w:rStyle w:val="StyleUnderline"/>
        </w:rPr>
        <w:t xml:space="preserve"> a host of </w:t>
      </w:r>
      <w:r w:rsidRPr="00456038">
        <w:rPr>
          <w:rStyle w:val="Emphasis"/>
          <w:highlight w:val="cyan"/>
        </w:rPr>
        <w:t>similar entities</w:t>
      </w:r>
      <w:r w:rsidRPr="00F32BC6">
        <w:rPr>
          <w:sz w:val="16"/>
        </w:rPr>
        <w:t xml:space="preserve">.” However, </w:t>
      </w:r>
      <w:r w:rsidRPr="00F32BC6">
        <w:rPr>
          <w:rStyle w:val="StyleUnderline"/>
        </w:rPr>
        <w:t>Congress is not easily dissuaded from innovative substitutes for legislation</w:t>
      </w:r>
      <w:r w:rsidRPr="00F32BC6">
        <w:rPr>
          <w:sz w:val="16"/>
        </w:rPr>
        <w:t xml:space="preserve">. Two years later, </w:t>
      </w:r>
      <w:r w:rsidRPr="00456038">
        <w:rPr>
          <w:rStyle w:val="StyleUnderline"/>
          <w:highlight w:val="cyan"/>
        </w:rPr>
        <w:t>it created the</w:t>
      </w:r>
      <w:r w:rsidRPr="00F32BC6">
        <w:rPr>
          <w:rStyle w:val="StyleUnderline"/>
        </w:rPr>
        <w:t xml:space="preserve"> Consumer Financial Protection Bureau</w:t>
      </w:r>
      <w:r w:rsidRPr="00F32BC6">
        <w:rPr>
          <w:sz w:val="16"/>
        </w:rPr>
        <w:t xml:space="preserve"> (</w:t>
      </w:r>
      <w:r w:rsidRPr="00456038">
        <w:rPr>
          <w:rStyle w:val="Emphasis"/>
          <w:highlight w:val="cyan"/>
        </w:rPr>
        <w:t>CFPB</w:t>
      </w:r>
      <w:r w:rsidRPr="00F32BC6">
        <w:rPr>
          <w:sz w:val="16"/>
        </w:rPr>
        <w:t xml:space="preserve">) </w:t>
      </w:r>
      <w:r w:rsidRPr="00456038">
        <w:rPr>
          <w:rStyle w:val="StyleUnderline"/>
          <w:highlight w:val="cyan"/>
        </w:rPr>
        <w:t>through</w:t>
      </w:r>
      <w:r w:rsidRPr="00F32BC6">
        <w:rPr>
          <w:rStyle w:val="StyleUnderline"/>
        </w:rPr>
        <w:t xml:space="preserve"> the</w:t>
      </w:r>
      <w:r w:rsidRPr="00F32BC6">
        <w:rPr>
          <w:sz w:val="16"/>
        </w:rPr>
        <w:t xml:space="preserve"> </w:t>
      </w:r>
      <w:r w:rsidRPr="00456038">
        <w:rPr>
          <w:rStyle w:val="Emphasis"/>
          <w:highlight w:val="cyan"/>
        </w:rPr>
        <w:t>Dodd-Frank Act</w:t>
      </w:r>
      <w:r w:rsidRPr="00F32BC6">
        <w:rPr>
          <w:sz w:val="16"/>
        </w:rPr>
        <w:t>. </w:t>
      </w:r>
    </w:p>
    <w:p w14:paraId="6A3EB7FF" w14:textId="77777777" w:rsidR="00456038" w:rsidRPr="00F32BC6" w:rsidRDefault="00456038" w:rsidP="00456038">
      <w:pPr>
        <w:rPr>
          <w:rStyle w:val="StyleUnderline"/>
        </w:rPr>
      </w:pPr>
      <w:r w:rsidRPr="00F32BC6">
        <w:rPr>
          <w:sz w:val="16"/>
        </w:rPr>
        <w:t xml:space="preserve">Dispensing with the typical multi-member structure that allows leaders of an independent agency to deliberate, </w:t>
      </w:r>
      <w:r w:rsidRPr="00F32BC6">
        <w:rPr>
          <w:rStyle w:val="StyleUnderline"/>
        </w:rPr>
        <w:t>the immense power of the CFPB is concentrated in a single director</w:t>
      </w:r>
      <w:r w:rsidRPr="00F32BC6">
        <w:rPr>
          <w:sz w:val="16"/>
        </w:rPr>
        <w:t xml:space="preserve"> at the top who can only be removed for cause by the President. </w:t>
      </w:r>
      <w:r w:rsidRPr="00F32BC6">
        <w:rPr>
          <w:rStyle w:val="Emphasis"/>
        </w:rPr>
        <w:t>Dodd-Frank</w:t>
      </w:r>
      <w:r w:rsidRPr="00F32BC6">
        <w:rPr>
          <w:sz w:val="16"/>
        </w:rPr>
        <w:t xml:space="preserve"> further </w:t>
      </w:r>
      <w:r w:rsidRPr="00456038">
        <w:rPr>
          <w:rStyle w:val="Emphasis"/>
          <w:highlight w:val="cyan"/>
        </w:rPr>
        <w:t>removed</w:t>
      </w:r>
      <w:r w:rsidRPr="00F32BC6">
        <w:rPr>
          <w:rStyle w:val="Emphasis"/>
        </w:rPr>
        <w:t xml:space="preserve"> the CFPB from </w:t>
      </w:r>
      <w:r w:rsidRPr="00456038">
        <w:rPr>
          <w:rStyle w:val="Emphasis"/>
          <w:highlight w:val="cyan"/>
        </w:rPr>
        <w:t>Congressional review</w:t>
      </w:r>
      <w:r w:rsidRPr="00F32BC6">
        <w:rPr>
          <w:sz w:val="16"/>
        </w:rPr>
        <w:t xml:space="preserve"> by </w:t>
      </w:r>
      <w:r w:rsidRPr="00F32BC6">
        <w:rPr>
          <w:rStyle w:val="StyleUnderline"/>
        </w:rPr>
        <w:t>giving it independent funding through the</w:t>
      </w:r>
      <w:r w:rsidRPr="00F32BC6">
        <w:rPr>
          <w:sz w:val="16"/>
        </w:rPr>
        <w:t xml:space="preserve"> </w:t>
      </w:r>
      <w:r w:rsidRPr="00F32BC6">
        <w:rPr>
          <w:rStyle w:val="StyleUnderline"/>
        </w:rPr>
        <w:t>Federal Reserve rather than through the traditional process of Congressional appropriations.</w:t>
      </w:r>
    </w:p>
    <w:p w14:paraId="0B9C0CDA" w14:textId="5472A153" w:rsidR="00456038" w:rsidRPr="00456038" w:rsidRDefault="00456038" w:rsidP="00456038">
      <w:pPr>
        <w:rPr>
          <w:sz w:val="16"/>
        </w:rPr>
      </w:pPr>
      <w:r w:rsidRPr="00F32BC6">
        <w:rPr>
          <w:sz w:val="16"/>
        </w:rPr>
        <w:t xml:space="preserve">Dissenting again from the D.C. Circuit's holding in PHH Corp. v. CFPB (2018), Judge Kavanaugh found that </w:t>
      </w:r>
      <w:r w:rsidRPr="00456038">
        <w:rPr>
          <w:rStyle w:val="StyleUnderline"/>
          <w:highlight w:val="cyan"/>
        </w:rPr>
        <w:t>this structure violates the separation of powers</w:t>
      </w:r>
      <w:r w:rsidRPr="00F32BC6">
        <w:rPr>
          <w:sz w:val="16"/>
        </w:rPr>
        <w:t xml:space="preserve">, noting that independent </w:t>
      </w:r>
      <w:r w:rsidRPr="00456038">
        <w:rPr>
          <w:rStyle w:val="StyleUnderline"/>
          <w:highlight w:val="cyan"/>
        </w:rPr>
        <w:t>agencies</w:t>
      </w:r>
      <w:r w:rsidRPr="00F32BC6">
        <w:rPr>
          <w:rStyle w:val="StyleUnderline"/>
        </w:rPr>
        <w:t xml:space="preserve"> “</w:t>
      </w:r>
      <w:r w:rsidRPr="00456038">
        <w:rPr>
          <w:rStyle w:val="StyleUnderline"/>
          <w:highlight w:val="cyan"/>
        </w:rPr>
        <w:t>pose a</w:t>
      </w:r>
      <w:r w:rsidRPr="00F32BC6">
        <w:rPr>
          <w:rStyle w:val="StyleUnderline"/>
        </w:rPr>
        <w:t xml:space="preserve"> significant </w:t>
      </w:r>
      <w:r w:rsidRPr="00456038">
        <w:rPr>
          <w:rStyle w:val="StyleUnderline"/>
          <w:highlight w:val="cyan"/>
        </w:rPr>
        <w:t>threat to</w:t>
      </w:r>
      <w:r w:rsidRPr="00F32BC6">
        <w:rPr>
          <w:rStyle w:val="StyleUnderline"/>
        </w:rPr>
        <w:t xml:space="preserve"> individual liberty and to </w:t>
      </w:r>
      <w:r w:rsidRPr="00456038">
        <w:rPr>
          <w:rStyle w:val="StyleUnderline"/>
          <w:highlight w:val="cyan"/>
        </w:rPr>
        <w:t>the constitutional system</w:t>
      </w:r>
      <w:r w:rsidRPr="00F32BC6">
        <w:rPr>
          <w:rStyle w:val="StyleUnderline"/>
        </w:rPr>
        <w:t xml:space="preserve"> of separation of powers</w:t>
      </w:r>
      <w:r w:rsidRPr="00F32BC6">
        <w:rPr>
          <w:sz w:val="16"/>
        </w:rPr>
        <w:t>.” Recently, a district court in New York </w:t>
      </w:r>
      <w:hyperlink r:id="rId63" w:tgtFrame="_blank" w:history="1">
        <w:r w:rsidRPr="00F32BC6">
          <w:rPr>
            <w:rStyle w:val="Hyperlink"/>
            <w:sz w:val="16"/>
          </w:rPr>
          <w:t>relied</w:t>
        </w:r>
      </w:hyperlink>
      <w:r w:rsidRPr="00F32BC6">
        <w:rPr>
          <w:sz w:val="16"/>
        </w:rPr>
        <w:t> on Kavanaugh’s argument in deciding a separate challenge to the CFPB.  </w:t>
      </w:r>
    </w:p>
    <w:p w14:paraId="37474C17" w14:textId="0874313E" w:rsidR="00456038" w:rsidRPr="00473A51" w:rsidRDefault="00456038" w:rsidP="00456038">
      <w:pPr>
        <w:pStyle w:val="Heading3"/>
      </w:pPr>
      <w:r>
        <w:t>2AC – AT: Emerging Tech</w:t>
      </w:r>
    </w:p>
    <w:p w14:paraId="453EECD7" w14:textId="77777777" w:rsidR="00456038" w:rsidRPr="00473A51" w:rsidRDefault="00456038" w:rsidP="00456038">
      <w:pPr>
        <w:pStyle w:val="Heading4"/>
      </w:pPr>
      <w:r w:rsidRPr="00473A51">
        <w:t xml:space="preserve">US economic strength solves global framework for mitigating extinction risks from emerging tech </w:t>
      </w:r>
    </w:p>
    <w:p w14:paraId="1A10CFD2" w14:textId="77777777" w:rsidR="00456038" w:rsidRPr="00473A51" w:rsidRDefault="00456038" w:rsidP="00456038">
      <w:r w:rsidRPr="00473A51">
        <w:rPr>
          <w:rStyle w:val="Style13ptBold"/>
        </w:rPr>
        <w:t>Burrows 16</w:t>
      </w:r>
      <w:r w:rsidRPr="00473A51">
        <w:t xml:space="preserve"> [Mathew Burrows, Director of the Atlantic Council’s Strategic Foresight Initiative, PhD in European History from the University of Cambridge, Appointed Director of the Analysis and Production Staff (APS) in 2010, September 2016, “Global Risks 2035: Mathew J. Burrows Foreword by Brent Scowcroft The Search for a New Normal” Atlantic Council Strategy Papers, http://espas.eu/orbis/sites/default/files/generated/document/en/Global_Risks_2035_web_0922.pdf]</w:t>
      </w:r>
    </w:p>
    <w:p w14:paraId="12016B5B" w14:textId="77777777" w:rsidR="00456038" w:rsidRPr="00473A51" w:rsidRDefault="00456038" w:rsidP="00456038"/>
    <w:p w14:paraId="5B804126" w14:textId="77777777" w:rsidR="00456038" w:rsidRPr="00473A51" w:rsidRDefault="00456038" w:rsidP="00456038">
      <w:pPr>
        <w:rPr>
          <w:rStyle w:val="StyleUnderline"/>
        </w:rPr>
      </w:pPr>
      <w:r w:rsidRPr="00456038">
        <w:rPr>
          <w:rStyle w:val="StyleUnderline"/>
          <w:highlight w:val="cyan"/>
        </w:rPr>
        <w:t xml:space="preserve">The </w:t>
      </w:r>
      <w:r w:rsidRPr="00456038">
        <w:rPr>
          <w:rStyle w:val="Emphasis"/>
          <w:highlight w:val="cyan"/>
        </w:rPr>
        <w:t>multilateralist</w:t>
      </w:r>
      <w:r w:rsidRPr="00473A51">
        <w:t xml:space="preserve"> global </w:t>
      </w:r>
      <w:r w:rsidRPr="00456038">
        <w:rPr>
          <w:rStyle w:val="StyleUnderline"/>
          <w:highlight w:val="cyan"/>
        </w:rPr>
        <w:t>system</w:t>
      </w:r>
      <w:r w:rsidRPr="00473A51">
        <w:rPr>
          <w:rStyle w:val="StyleUnderline"/>
        </w:rPr>
        <w:t xml:space="preserve"> that the </w:t>
      </w:r>
      <w:r w:rsidRPr="00473A51">
        <w:rPr>
          <w:rStyle w:val="Emphasis"/>
        </w:rPr>
        <w:t>U</w:t>
      </w:r>
      <w:r w:rsidRPr="00473A51">
        <w:t xml:space="preserve">nited </w:t>
      </w:r>
      <w:r w:rsidRPr="00473A51">
        <w:rPr>
          <w:rStyle w:val="Emphasis"/>
        </w:rPr>
        <w:t>S</w:t>
      </w:r>
      <w:r w:rsidRPr="00473A51">
        <w:t xml:space="preserve">tates </w:t>
      </w:r>
      <w:r w:rsidRPr="00473A51">
        <w:rPr>
          <w:rStyle w:val="StyleUnderline"/>
        </w:rPr>
        <w:t>and the</w:t>
      </w:r>
      <w:r w:rsidRPr="00473A51">
        <w:t xml:space="preserve"> West built after the end of the Second World War </w:t>
      </w:r>
      <w:r w:rsidRPr="00456038">
        <w:rPr>
          <w:rStyle w:val="StyleUnderline"/>
          <w:highlight w:val="cyan"/>
        </w:rPr>
        <w:t xml:space="preserve">was </w:t>
      </w:r>
      <w:r w:rsidRPr="00456038">
        <w:rPr>
          <w:rStyle w:val="Emphasis"/>
          <w:highlight w:val="cyan"/>
        </w:rPr>
        <w:t>premised on an economically stron</w:t>
      </w:r>
      <w:r w:rsidRPr="00456038">
        <w:rPr>
          <w:rStyle w:val="StyleUnderline"/>
          <w:highlight w:val="cyan"/>
        </w:rPr>
        <w:t xml:space="preserve">g </w:t>
      </w:r>
      <w:r w:rsidRPr="00456038">
        <w:rPr>
          <w:rStyle w:val="Emphasis"/>
          <w:highlight w:val="cyan"/>
        </w:rPr>
        <w:t>U</w:t>
      </w:r>
      <w:r w:rsidRPr="00473A51">
        <w:t xml:space="preserve">nited </w:t>
      </w:r>
      <w:r w:rsidRPr="00456038">
        <w:rPr>
          <w:rStyle w:val="Emphasis"/>
          <w:highlight w:val="cyan"/>
        </w:rPr>
        <w:t>S</w:t>
      </w:r>
      <w:r w:rsidRPr="00473A51">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world’s. Even as non-Western powers grow, it is psychologically hard for the West to think about relinquishing its reins. Demographically, the West has, for a long time, been in the minority. </w:t>
      </w:r>
      <w:r w:rsidRPr="00473A51">
        <w:rPr>
          <w:rStyle w:val="StyleUnderline"/>
        </w:rPr>
        <w:t>What’s more recent is</w:t>
      </w:r>
      <w:r w:rsidRPr="00473A51">
        <w:t xml:space="preserve"> </w:t>
      </w:r>
      <w:r w:rsidRPr="003E0BCF">
        <w:rPr>
          <w:rStyle w:val="StyleUnderline"/>
        </w:rPr>
        <w:t>the aging of the Western population</w:t>
      </w:r>
      <w:r w:rsidRPr="003E0BCF">
        <w:t xml:space="preserve"> (analyzed in chapter 2), which is already occurring in Japan and Europe, </w:t>
      </w:r>
      <w:r w:rsidRPr="003E0BCF">
        <w:rPr>
          <w:rStyle w:val="StyleUnderline"/>
        </w:rPr>
        <w:t>beginning to squeeze the availability of resources</w:t>
      </w:r>
      <w:r w:rsidRPr="003E0BCF">
        <w:t xml:space="preserve"> for anything but health, social s</w:t>
      </w:r>
      <w:r w:rsidRPr="00473A51">
        <w:t xml:space="preserve">ecurity, and interest payments on debt. </w:t>
      </w:r>
      <w:r w:rsidRPr="00473A51">
        <w:rPr>
          <w:rStyle w:val="StyleUnderline"/>
        </w:rPr>
        <w:t xml:space="preserve">Unless </w:t>
      </w:r>
      <w:r w:rsidRPr="00473A51">
        <w:rPr>
          <w:rStyle w:val="Emphasis"/>
        </w:rPr>
        <w:t>healthcare</w:t>
      </w:r>
      <w:r w:rsidRPr="00473A51">
        <w:rPr>
          <w:rStyle w:val="StyleUnderline"/>
        </w:rPr>
        <w:t xml:space="preserve"> becomes </w:t>
      </w:r>
      <w:r w:rsidRPr="00473A51">
        <w:rPr>
          <w:rStyle w:val="Emphasis"/>
        </w:rPr>
        <w:t>far more efficient</w:t>
      </w:r>
      <w:r w:rsidRPr="00473A51">
        <w:rPr>
          <w:rStyle w:val="StyleUnderline"/>
        </w:rPr>
        <w:t xml:space="preserve">, the US </w:t>
      </w:r>
      <w:r w:rsidRPr="00473A51">
        <w:t xml:space="preserve">economy </w:t>
      </w:r>
      <w:r w:rsidRPr="00473A51">
        <w:rPr>
          <w:rStyle w:val="StyleUnderline"/>
        </w:rPr>
        <w:t xml:space="preserve">will be overburdened with </w:t>
      </w:r>
      <w:r w:rsidRPr="00473A51">
        <w:rPr>
          <w:rStyle w:val="Emphasis"/>
        </w:rPr>
        <w:t>healthcare</w:t>
      </w:r>
      <w:r w:rsidRPr="00473A51">
        <w:t xml:space="preserve"> and pension </w:t>
      </w:r>
      <w:r w:rsidRPr="00473A51">
        <w:rPr>
          <w:rStyle w:val="StyleUnderline"/>
        </w:rPr>
        <w:t>costs</w:t>
      </w:r>
      <w:r w:rsidRPr="00473A51">
        <w:t xml:space="preserve"> as the “baby boomer” generation ages. </w:t>
      </w:r>
      <w:r w:rsidRPr="00473A51">
        <w:rPr>
          <w:rStyle w:val="StyleUnderline"/>
        </w:rPr>
        <w:t xml:space="preserve">Healthcare constitutes a whopping </w:t>
      </w:r>
      <w:r w:rsidRPr="00473A51">
        <w:rPr>
          <w:rStyle w:val="Emphasis"/>
        </w:rPr>
        <w:t>18 percent of the US GDP</w:t>
      </w:r>
      <w:r w:rsidRPr="00473A51">
        <w:t xml:space="preserve">—significantly more than is the case for other industrialized countries—without necessarily providing better results. </w:t>
      </w:r>
      <w:r w:rsidRPr="00456038">
        <w:rPr>
          <w:rStyle w:val="StyleUnderline"/>
          <w:highlight w:val="cyan"/>
        </w:rPr>
        <w:t>With more</w:t>
      </w:r>
      <w:r w:rsidRPr="00473A51">
        <w:rPr>
          <w:rStyle w:val="StyleUnderline"/>
        </w:rPr>
        <w:t xml:space="preserve"> going </w:t>
      </w:r>
      <w:r w:rsidRPr="00456038">
        <w:rPr>
          <w:rStyle w:val="StyleUnderline"/>
          <w:highlight w:val="cyan"/>
        </w:rPr>
        <w:t>to health and pensions, there will be less</w:t>
      </w:r>
      <w:r w:rsidRPr="00473A51">
        <w:rPr>
          <w:rStyle w:val="StyleUnderline"/>
        </w:rPr>
        <w:t xml:space="preserve"> capacity </w:t>
      </w:r>
      <w:r w:rsidRPr="00456038">
        <w:rPr>
          <w:rStyle w:val="StyleUnderline"/>
          <w:highlight w:val="cyan"/>
        </w:rPr>
        <w:t>for</w:t>
      </w:r>
      <w:r w:rsidRPr="00473A51">
        <w:rPr>
          <w:rStyle w:val="StyleUnderline"/>
        </w:rPr>
        <w:t xml:space="preserve"> defense and </w:t>
      </w:r>
      <w:r w:rsidRPr="00456038">
        <w:rPr>
          <w:rStyle w:val="Emphasis"/>
          <w:highlight w:val="cyan"/>
        </w:rPr>
        <w:t>military spending</w:t>
      </w:r>
      <w:r w:rsidRPr="00473A51">
        <w:rPr>
          <w:rStyle w:val="StyleUnderline"/>
        </w:rPr>
        <w:t xml:space="preserve">. </w:t>
      </w:r>
      <w:r w:rsidRPr="00473A51">
        <w:rPr>
          <w:szCs w:val="8"/>
        </w:rPr>
        <w:t xml:space="preserve">The United States is the biggest military spender, but China is increasing its portion of worldwide military spending, while the worldwide share of European NATO members is diminishing. China’s military probably will not rival the United States’ power-projection capabilities even by 2035, but it will have greater anti-access and denial powers. In a military contest, </w:t>
      </w:r>
      <w:r w:rsidRPr="00456038">
        <w:rPr>
          <w:rStyle w:val="StyleUnderline"/>
          <w:highlight w:val="cyan"/>
        </w:rPr>
        <w:t>China</w:t>
      </w:r>
      <w:r w:rsidRPr="00473A51">
        <w:rPr>
          <w:szCs w:val="8"/>
        </w:rPr>
        <w:t xml:space="preserve"> may never be able to deliver a knockout blow, but it </w:t>
      </w:r>
      <w:r w:rsidRPr="00456038">
        <w:rPr>
          <w:rStyle w:val="StyleUnderline"/>
          <w:highlight w:val="cyan"/>
        </w:rPr>
        <w:t xml:space="preserve">could tarnish </w:t>
      </w:r>
      <w:r w:rsidRPr="003E0BCF">
        <w:rPr>
          <w:rStyle w:val="StyleUnderline"/>
        </w:rPr>
        <w:t xml:space="preserve">the </w:t>
      </w:r>
      <w:r w:rsidRPr="00456038">
        <w:rPr>
          <w:rStyle w:val="StyleUnderline"/>
          <w:highlight w:val="cyan"/>
        </w:rPr>
        <w:t xml:space="preserve">US </w:t>
      </w:r>
      <w:r w:rsidRPr="003E0BCF">
        <w:rPr>
          <w:rStyle w:val="StyleUnderline"/>
        </w:rPr>
        <w:t xml:space="preserve">image of military </w:t>
      </w:r>
      <w:r w:rsidRPr="00456038">
        <w:rPr>
          <w:rStyle w:val="StyleUnderline"/>
          <w:highlight w:val="cyan"/>
        </w:rPr>
        <w:t>invincibility</w:t>
      </w:r>
      <w:r w:rsidRPr="00473A51">
        <w:rPr>
          <w:szCs w:val="8"/>
        </w:rPr>
        <w:t xml:space="preserve"> in a conventional state-on-state contest held in its region. Equally, a confrontation that results in a Chinese humiliation could set back China’s aspirations for regional leadership, if not trigger a domestic legitimacy crisis for the Communist Party leadership. Biggest Problem Is Domestic The biggest psychological blow to ordinary Western citizens has been their sagging standard of living (more analysis in chapter 1). Despite a much better record of overall growth in the United States since the 2008 financial crisis, those with median incomes have taken a hit. 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r w:rsidRPr="00473A51">
        <w:t xml:space="preserve"> </w:t>
      </w:r>
      <w:r w:rsidRPr="00473A51">
        <w:rPr>
          <w:rStyle w:val="StyleUnderline"/>
        </w:rPr>
        <w:t>Given</w:t>
      </w:r>
      <w:r w:rsidRPr="00473A51">
        <w:t xml:space="preserve"> the record of </w:t>
      </w:r>
      <w:r w:rsidRPr="00456038">
        <w:rPr>
          <w:rStyle w:val="Emphasis"/>
          <w:highlight w:val="cyan"/>
        </w:rPr>
        <w:t>slow</w:t>
      </w:r>
      <w:r w:rsidRPr="003E0BCF">
        <w:rPr>
          <w:rStyle w:val="Emphasis"/>
        </w:rPr>
        <w:t xml:space="preserve">er </w:t>
      </w:r>
      <w:r w:rsidRPr="00456038">
        <w:rPr>
          <w:rStyle w:val="Emphasis"/>
          <w:highlight w:val="cyan"/>
        </w:rPr>
        <w:t>growth</w:t>
      </w:r>
      <w:r w:rsidRPr="00473A51">
        <w:t xml:space="preserve"> and labor-force decline since the 2008 financial crisis, the likelihood of the second scenario is increasing. That scenario anticipated lower growth rates—which </w:t>
      </w:r>
      <w:r w:rsidRPr="00456038">
        <w:rPr>
          <w:rStyle w:val="Emphasis"/>
          <w:highlight w:val="cyan"/>
        </w:rPr>
        <w:t>accelerated</w:t>
      </w:r>
      <w:r w:rsidRPr="00473A51">
        <w:t xml:space="preserve"> </w:t>
      </w:r>
      <w:r w:rsidRPr="00456038">
        <w:rPr>
          <w:rStyle w:val="StyleUnderline"/>
          <w:highlight w:val="cyan"/>
        </w:rPr>
        <w:t>declines in</w:t>
      </w:r>
      <w:r w:rsidRPr="00473A51">
        <w:rPr>
          <w:rStyle w:val="StyleUnderline"/>
        </w:rPr>
        <w:t xml:space="preserve"> average </w:t>
      </w:r>
      <w:r w:rsidRPr="00456038">
        <w:rPr>
          <w:rStyle w:val="StyleUnderline"/>
          <w:highlight w:val="cyan"/>
        </w:rPr>
        <w:t>living standards</w:t>
      </w:r>
      <w:r w:rsidRPr="00456038">
        <w:rPr>
          <w:highlight w:val="cyan"/>
        </w:rPr>
        <w:t>—</w:t>
      </w:r>
      <w:r w:rsidRPr="00456038">
        <w:rPr>
          <w:rStyle w:val="StyleUnderline"/>
          <w:highlight w:val="cyan"/>
        </w:rPr>
        <w:t xml:space="preserve">making it harder to continue </w:t>
      </w:r>
      <w:r w:rsidRPr="00456038">
        <w:rPr>
          <w:rStyle w:val="Emphasis"/>
          <w:highlight w:val="cyan"/>
        </w:rPr>
        <w:t>trade</w:t>
      </w:r>
      <w:r w:rsidRPr="00473A51">
        <w:rPr>
          <w:rStyle w:val="Emphasis"/>
        </w:rPr>
        <w:t xml:space="preserve">-liberalization </w:t>
      </w:r>
      <w:r w:rsidRPr="003E0BCF">
        <w:rPr>
          <w:rStyle w:val="Emphasis"/>
        </w:rPr>
        <w:t>efforts</w:t>
      </w:r>
      <w:r w:rsidRPr="00473A51">
        <w:rPr>
          <w:rStyle w:val="StyleUnderline"/>
        </w:rPr>
        <w:t xml:space="preserve">. </w:t>
      </w:r>
      <w:r w:rsidRPr="00473A51">
        <w:rPr>
          <w:szCs w:val="8"/>
        </w:rPr>
        <w:t xml:space="preserve">Indeed, the IMF warned in June 2016 that </w:t>
      </w:r>
      <w:r w:rsidRPr="00473A51">
        <w:rPr>
          <w:rStyle w:val="StyleUnderline"/>
        </w:rPr>
        <w:t>the United States faces potentially significant longer-term challenges to strong</w:t>
      </w:r>
      <w:r w:rsidRPr="00473A51">
        <w:rPr>
          <w:szCs w:val="8"/>
        </w:rPr>
        <w:t xml:space="preserve"> and sustained </w:t>
      </w:r>
      <w:r w:rsidRPr="00473A51">
        <w:rPr>
          <w:rStyle w:val="StyleUnderline"/>
        </w:rPr>
        <w:t>growth</w:t>
      </w:r>
      <w:r w:rsidRPr="00473A51">
        <w:rPr>
          <w:szCs w:val="8"/>
        </w:rPr>
        <w:t>, saying, “</w:t>
      </w:r>
      <w:r w:rsidRPr="00456038">
        <w:rPr>
          <w:rStyle w:val="StyleUnderline"/>
          <w:highlight w:val="cyan"/>
        </w:rPr>
        <w:t>concerted policy actions are warranted</w:t>
      </w:r>
      <w:r w:rsidRPr="00473A51">
        <w:rPr>
          <w:szCs w:val="8"/>
        </w:rPr>
        <w:t xml:space="preserve">, sooner rather than later… </w:t>
      </w:r>
      <w:r w:rsidRPr="00456038">
        <w:rPr>
          <w:rStyle w:val="StyleUnderline"/>
          <w:highlight w:val="cyan"/>
        </w:rPr>
        <w:t>focusing on</w:t>
      </w:r>
      <w:r w:rsidRPr="00473A51">
        <w:rPr>
          <w:szCs w:val="8"/>
        </w:rPr>
        <w:t xml:space="preserve"> the causes and consequences of falling labor force participation, an increasingly polarized income distribution, high levels of poverty, and </w:t>
      </w:r>
      <w:r w:rsidRPr="00456038">
        <w:rPr>
          <w:rStyle w:val="Emphasis"/>
          <w:highlight w:val="cyan"/>
        </w:rPr>
        <w:t>weak productivity</w:t>
      </w:r>
      <w:r w:rsidRPr="00473A51">
        <w:rPr>
          <w:szCs w:val="8"/>
        </w:rPr>
        <w:t>.”92 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In Europe, the public discontent with high unemployment and declining incomes has helped to spur the rise of antiestablishment far-right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 In both the United States and Europe, there is increasing anti-immigrant sentiment despite documented economic benefits from immigration. According to EU Commission Employment Analyst Dr. Jorg Peschner,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 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of economic disruption. The job churn will continue as more and more skills and professions are automated, also increasing the potential for more “losers” from globalization, greater political polarization, and inequality. The increased competitiveness of the developing world with the West is a particular morale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happens. And a Multipolar Financial Architecture, Too Historically, US and Western power has rested on having a monopoly on reserve currencies and a Westerndominated financial system.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 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 Are There Alternative Visions to Western Order? 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Russia and China, in particular, see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Hemisphere. 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 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 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 What Kind of Post-Western World? Clearly, there is a need to plan for</w:t>
      </w:r>
      <w:r w:rsidRPr="00473A51">
        <w:t xml:space="preserve"> </w:t>
      </w:r>
      <w:r w:rsidRPr="00456038">
        <w:rPr>
          <w:rStyle w:val="StyleUnderline"/>
          <w:highlight w:val="cyan"/>
        </w:rPr>
        <w:t>a world that will not have the West as its</w:t>
      </w:r>
      <w:r w:rsidRPr="00473A51">
        <w:rPr>
          <w:rStyle w:val="StyleUnderline"/>
        </w:rPr>
        <w:t xml:space="preserve"> </w:t>
      </w:r>
      <w:r w:rsidRPr="00473A51">
        <w:rPr>
          <w:rStyle w:val="Emphasis"/>
        </w:rPr>
        <w:t xml:space="preserve">big </w:t>
      </w:r>
      <w:r w:rsidRPr="00456038">
        <w:rPr>
          <w:rStyle w:val="Emphasis"/>
          <w:highlight w:val="cyan"/>
        </w:rPr>
        <w:t>economic powerhouse</w:t>
      </w:r>
      <w:r w:rsidRPr="00473A51">
        <w:rPr>
          <w:rStyle w:val="StyleUnderline"/>
        </w:rPr>
        <w:t>—</w:t>
      </w:r>
      <w:r w:rsidRPr="00473A51">
        <w:rPr>
          <w:rStyle w:val="Emphasis"/>
        </w:rPr>
        <w:t>a prospect hard</w:t>
      </w:r>
      <w:r w:rsidRPr="00473A51">
        <w:rPr>
          <w:rStyle w:val="StyleUnderline"/>
        </w:rPr>
        <w:t xml:space="preserve"> for </w:t>
      </w:r>
      <w:r w:rsidRPr="00473A51">
        <w:rPr>
          <w:rStyle w:val="Emphasis"/>
        </w:rPr>
        <w:t>Western elites</w:t>
      </w:r>
      <w:r w:rsidRPr="00473A51">
        <w:t xml:space="preserve"> </w:t>
      </w:r>
      <w:r w:rsidRPr="00473A51">
        <w:rPr>
          <w:szCs w:val="8"/>
        </w:rPr>
        <w:t>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 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 More and more, the talk among Western elites is about locking in as much as possible the status quo, which favors the West, so that it will be harder for the newcomers to overcome. The TPP was sold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 For Westerners, the challenge will be to plan for a future that will not be solely run by them, but which they can live with.</w:t>
      </w:r>
      <w:r w:rsidRPr="00473A51">
        <w:t xml:space="preserve"> </w:t>
      </w:r>
      <w:r w:rsidRPr="00473A51">
        <w:rPr>
          <w:rStyle w:val="Emphasis"/>
        </w:rPr>
        <w:t>Handovers</w:t>
      </w:r>
      <w:r w:rsidRPr="00473A51">
        <w:rPr>
          <w:rStyle w:val="StyleUnderline"/>
        </w:rPr>
        <w:t xml:space="preserve"> have been </w:t>
      </w:r>
      <w:r w:rsidRPr="00473A51">
        <w:t xml:space="preserve">historically </w:t>
      </w:r>
      <w:r w:rsidRPr="00473A51">
        <w:rPr>
          <w:rStyle w:val="Emphasis"/>
        </w:rPr>
        <w:t>difficult</w:t>
      </w:r>
      <w:r w:rsidRPr="00473A51">
        <w:t xml:space="preserve"> and fraught—more often than not, decided by bloody contests. </w:t>
      </w:r>
      <w:r w:rsidRPr="00473A51">
        <w:rPr>
          <w:rStyle w:val="StyleUnderline"/>
        </w:rPr>
        <w:t xml:space="preserve">One </w:t>
      </w:r>
      <w:r w:rsidRPr="00456038">
        <w:rPr>
          <w:rStyle w:val="StyleUnderline"/>
          <w:highlight w:val="cyan"/>
        </w:rPr>
        <w:t xml:space="preserve">could </w:t>
      </w:r>
      <w:r w:rsidRPr="00456038">
        <w:rPr>
          <w:rStyle w:val="Emphasis"/>
          <w:highlight w:val="cyan"/>
        </w:rPr>
        <w:t>envisage</w:t>
      </w:r>
      <w:r w:rsidRPr="00473A51">
        <w:t xml:space="preserve"> different scenarios, some already described in the earlier chapter on conflict, of </w:t>
      </w:r>
      <w:r w:rsidRPr="00456038">
        <w:rPr>
          <w:rStyle w:val="Emphasis"/>
          <w:highlight w:val="cyan"/>
        </w:rPr>
        <w:t>military contests</w:t>
      </w:r>
      <w:r w:rsidRPr="00456038">
        <w:rPr>
          <w:rStyle w:val="StyleUnderline"/>
          <w:highlight w:val="cyan"/>
        </w:rPr>
        <w:t xml:space="preserve"> between the </w:t>
      </w:r>
      <w:r w:rsidRPr="00456038">
        <w:rPr>
          <w:rStyle w:val="Emphasis"/>
          <w:highlight w:val="cyan"/>
        </w:rPr>
        <w:t>U</w:t>
      </w:r>
      <w:r w:rsidRPr="00473A51">
        <w:t xml:space="preserve">nited </w:t>
      </w:r>
      <w:r w:rsidRPr="00456038">
        <w:rPr>
          <w:rStyle w:val="Emphasis"/>
          <w:highlight w:val="cyan"/>
        </w:rPr>
        <w:t>S</w:t>
      </w:r>
      <w:r w:rsidRPr="00473A51">
        <w:t xml:space="preserve">tates </w:t>
      </w:r>
      <w:r w:rsidRPr="00456038">
        <w:rPr>
          <w:rStyle w:val="StyleUnderline"/>
          <w:highlight w:val="cyan"/>
        </w:rPr>
        <w:t xml:space="preserve">and </w:t>
      </w:r>
      <w:r w:rsidRPr="00456038">
        <w:rPr>
          <w:rStyle w:val="Emphasis"/>
          <w:highlight w:val="cyan"/>
        </w:rPr>
        <w:t>China</w:t>
      </w:r>
      <w:r w:rsidRPr="00473A51">
        <w:t xml:space="preserve">, or the United States and China </w:t>
      </w:r>
      <w:r w:rsidRPr="00456038">
        <w:rPr>
          <w:rStyle w:val="StyleUnderline"/>
          <w:highlight w:val="cyan"/>
        </w:rPr>
        <w:t xml:space="preserve">with </w:t>
      </w:r>
      <w:r w:rsidRPr="00456038">
        <w:rPr>
          <w:rStyle w:val="Emphasis"/>
          <w:highlight w:val="cyan"/>
        </w:rPr>
        <w:t>Russia</w:t>
      </w:r>
      <w:r w:rsidRPr="00473A51">
        <w:rPr>
          <w:rStyle w:val="StyleUnderline"/>
        </w:rPr>
        <w:t>,</w:t>
      </w:r>
      <w:r w:rsidRPr="00473A51">
        <w:t xml:space="preserve"> or the United States with NATO against Russia. Without delivering a knockout blow by one side or the </w:t>
      </w:r>
      <w:r w:rsidRPr="00643868">
        <w:t xml:space="preserve">other, </w:t>
      </w:r>
      <w:r w:rsidRPr="00643868">
        <w:rPr>
          <w:rStyle w:val="StyleUnderline"/>
        </w:rPr>
        <w:t xml:space="preserve">these </w:t>
      </w:r>
      <w:r w:rsidRPr="00643868">
        <w:rPr>
          <w:rStyle w:val="Emphasis"/>
        </w:rPr>
        <w:t>contests</w:t>
      </w:r>
      <w:r w:rsidRPr="00643868">
        <w:rPr>
          <w:rStyle w:val="StyleUnderline"/>
        </w:rPr>
        <w:t xml:space="preserve"> would </w:t>
      </w:r>
      <w:r w:rsidRPr="00643868">
        <w:rPr>
          <w:rStyle w:val="Emphasis"/>
        </w:rPr>
        <w:t>most likely pit</w:t>
      </w:r>
      <w:r w:rsidRPr="00643868">
        <w:t xml:space="preserve"> West against East, </w:t>
      </w:r>
      <w:r w:rsidRPr="00643868">
        <w:rPr>
          <w:rStyle w:val="Emphasis"/>
        </w:rPr>
        <w:t>creating</w:t>
      </w:r>
      <w:r w:rsidRPr="00643868">
        <w:rPr>
          <w:rStyle w:val="StyleUnderline"/>
        </w:rPr>
        <w:t xml:space="preserve"> something </w:t>
      </w:r>
      <w:r w:rsidRPr="00643868">
        <w:rPr>
          <w:rStyle w:val="Emphasis"/>
        </w:rPr>
        <w:t>akin to a new Cold War</w:t>
      </w:r>
      <w:r w:rsidRPr="00643868">
        <w:rPr>
          <w:szCs w:val="8"/>
        </w:rPr>
        <w:t>. Even if there were a knockout blow by the United States against China, it is</w:t>
      </w:r>
      <w:r w:rsidRPr="00473A51">
        <w:rPr>
          <w:szCs w:val="8"/>
        </w:rPr>
        <w:t xml:space="preserve"> hard to imagine a defeated China deferring permanently to the West. Its population has been imbued with such a narrative about the injustices by the West against China that any defeat or setback would be confirmation that the United States and West are dead set against a rising China. Perhaps the most harmful effect of such a contest would be to convince both sides that neither is trustworthy. For the non-West, it would confirm the suspicion that the West does not want to relinquish its leadership position. For the West, it would make it harder to ever reach out and help establish a truly global system. Need for a Second-Generation US and Western Leadership Model War is not, and should not be, inevitable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the international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nurtured—all the more dangerous in China’s case because of its underlying “century of humiliation” mental complex. As emerging technologies come online, the lack of a truly global institutional framework could be particularly dangerous. Assuring the future security of the Internet is particularly important in this regard, because all the new emerging technologies—bio, 3D printing, robotics, big data—take for granted a secure, global Internet. Everyone loses if cyber crime and cyber terrorism undermine the Internet. In the worstcase scenarios, in which cyber crime proliferates or strong national borders fragment the Internet, an Atlantic Council study, as mentioned, found that the economic costs could be as much as $90 trillion out to 2030, in addition to the risk of open conflict.102 Besides bringing the emerging powers into leadership roles in the panoply of multilateral institutions, the United States will need to temper its often “exemptionalist”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No country has the networks and connections that the United States does, but the system is now polycentric, rather than unipolar, and others resent the “exceptional” privileges that the United States claims. The Global Trends works have talked about the need for a new model of US global leadership.</w:t>
      </w:r>
      <w:r w:rsidRPr="00473A51">
        <w:t xml:space="preserve"> </w:t>
      </w:r>
      <w:r w:rsidRPr="00456038">
        <w:rPr>
          <w:rStyle w:val="StyleUnderline"/>
          <w:highlight w:val="cyan"/>
        </w:rPr>
        <w:t xml:space="preserve">The </w:t>
      </w:r>
      <w:r w:rsidRPr="00456038">
        <w:rPr>
          <w:rStyle w:val="Emphasis"/>
          <w:highlight w:val="cyan"/>
        </w:rPr>
        <w:t>U</w:t>
      </w:r>
      <w:r w:rsidRPr="00473A51">
        <w:t xml:space="preserve">nited </w:t>
      </w:r>
      <w:r w:rsidRPr="00456038">
        <w:rPr>
          <w:rStyle w:val="Emphasis"/>
          <w:highlight w:val="cyan"/>
        </w:rPr>
        <w:t>S</w:t>
      </w:r>
      <w:r w:rsidRPr="00473A51">
        <w:t xml:space="preserve">tates </w:t>
      </w:r>
      <w:r w:rsidRPr="00456038">
        <w:rPr>
          <w:rStyle w:val="Emphasis"/>
          <w:highlight w:val="cyan"/>
        </w:rPr>
        <w:t>needs to be guiding</w:t>
      </w:r>
      <w:r w:rsidRPr="00456038">
        <w:rPr>
          <w:rStyle w:val="StyleUnderline"/>
          <w:highlight w:val="cyan"/>
        </w:rPr>
        <w:t xml:space="preserve"> the </w:t>
      </w:r>
      <w:r w:rsidRPr="00643868">
        <w:rPr>
          <w:rStyle w:val="StyleUnderline"/>
        </w:rPr>
        <w:t xml:space="preserve">international </w:t>
      </w:r>
      <w:r w:rsidRPr="00456038">
        <w:rPr>
          <w:rStyle w:val="StyleUnderline"/>
          <w:highlight w:val="cyan"/>
        </w:rPr>
        <w:t xml:space="preserve">system as </w:t>
      </w:r>
      <w:r w:rsidRPr="00456038">
        <w:rPr>
          <w:rStyle w:val="Emphasis"/>
          <w:highlight w:val="cyan"/>
        </w:rPr>
        <w:t>a “first among equals,”</w:t>
      </w:r>
      <w:r w:rsidRPr="00473A51">
        <w:t xml:space="preserve"> and willing to play by its own rules. Paradoxically, </w:t>
      </w:r>
      <w:r w:rsidRPr="00456038">
        <w:rPr>
          <w:rStyle w:val="StyleUnderline"/>
          <w:highlight w:val="cyan"/>
        </w:rPr>
        <w:t>there is</w:t>
      </w:r>
      <w:r w:rsidRPr="00473A51">
        <w:t xml:space="preserve"> likely to be </w:t>
      </w:r>
      <w:r w:rsidRPr="00456038">
        <w:rPr>
          <w:rStyle w:val="Emphasis"/>
          <w:highlight w:val="cyan"/>
        </w:rPr>
        <w:t xml:space="preserve">no </w:t>
      </w:r>
      <w:r w:rsidRPr="00643868">
        <w:rPr>
          <w:rStyle w:val="Emphasis"/>
        </w:rPr>
        <w:t xml:space="preserve">vibrant </w:t>
      </w:r>
      <w:r w:rsidRPr="00456038">
        <w:rPr>
          <w:rStyle w:val="Emphasis"/>
          <w:highlight w:val="cyan"/>
        </w:rPr>
        <w:t>global-governance</w:t>
      </w:r>
      <w:r w:rsidRPr="00456038">
        <w:rPr>
          <w:rStyle w:val="StyleUnderline"/>
          <w:highlight w:val="cyan"/>
        </w:rPr>
        <w:t xml:space="preserve"> system without US</w:t>
      </w:r>
      <w:r w:rsidRPr="00473A51">
        <w:t xml:space="preserve"> and Western </w:t>
      </w:r>
      <w:r w:rsidRPr="00456038">
        <w:rPr>
          <w:rStyle w:val="StyleUnderline"/>
          <w:highlight w:val="cyan"/>
        </w:rPr>
        <w:t>leadership</w:t>
      </w:r>
      <w:r w:rsidRPr="00473A51">
        <w:t xml:space="preserve">, but too much domineering behavior could doom it. 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 The speed with which </w:t>
      </w:r>
      <w:r w:rsidRPr="00456038">
        <w:rPr>
          <w:rStyle w:val="Emphasis"/>
          <w:highlight w:val="cyan"/>
        </w:rPr>
        <w:t>new tech</w:t>
      </w:r>
      <w:r w:rsidRPr="00473A51">
        <w:t>nologies are coming online and becoming an important political, military, and economic tool—for both good and bad—</w:t>
      </w:r>
      <w:r w:rsidRPr="00456038">
        <w:rPr>
          <w:rStyle w:val="StyleUnderline"/>
          <w:highlight w:val="cyan"/>
        </w:rPr>
        <w:t xml:space="preserve">carries </w:t>
      </w:r>
      <w:r w:rsidRPr="00456038">
        <w:rPr>
          <w:rStyle w:val="Emphasis"/>
          <w:highlight w:val="cyan"/>
        </w:rPr>
        <w:t>big risks</w:t>
      </w:r>
      <w:r w:rsidRPr="00473A51">
        <w:t xml:space="preserve"> for global governance. Stewart Patrick lists four potential new technologies that “cry out for regulation”: </w:t>
      </w:r>
      <w:r w:rsidRPr="00456038">
        <w:rPr>
          <w:rStyle w:val="Emphasis"/>
          <w:highlight w:val="cyan"/>
        </w:rPr>
        <w:t>geoengineering</w:t>
      </w:r>
      <w:r w:rsidRPr="00473A51">
        <w:t xml:space="preserve">, drones, </w:t>
      </w:r>
      <w:r w:rsidRPr="00456038">
        <w:rPr>
          <w:rStyle w:val="Emphasis"/>
          <w:highlight w:val="cyan"/>
        </w:rPr>
        <w:t>synthetic biology</w:t>
      </w:r>
      <w:r w:rsidRPr="00456038">
        <w:rPr>
          <w:rStyle w:val="StyleUnderline"/>
          <w:highlight w:val="cyan"/>
        </w:rPr>
        <w:t xml:space="preserve">, and </w:t>
      </w:r>
      <w:r w:rsidRPr="00456038">
        <w:rPr>
          <w:rStyle w:val="Emphasis"/>
          <w:highlight w:val="cyan"/>
        </w:rPr>
        <w:t>nanotechn</w:t>
      </w:r>
      <w:r w:rsidRPr="00473A51">
        <w:rPr>
          <w:szCs w:val="2"/>
        </w:rPr>
        <w:t>ology</w:t>
      </w:r>
      <w:r w:rsidRPr="00473A51">
        <w:t xml:space="preserve">. </w:t>
      </w:r>
      <w:r w:rsidRPr="00456038">
        <w:rPr>
          <w:rStyle w:val="StyleUnderline"/>
          <w:highlight w:val="cyan"/>
        </w:rPr>
        <w:t>Without</w:t>
      </w:r>
      <w:r w:rsidRPr="00473A51">
        <w:t xml:space="preserve"> some </w:t>
      </w:r>
      <w:r w:rsidRPr="00473A51">
        <w:rPr>
          <w:rStyle w:val="Emphasis"/>
        </w:rPr>
        <w:t xml:space="preserve">setting of </w:t>
      </w:r>
      <w:r w:rsidRPr="00456038">
        <w:rPr>
          <w:rStyle w:val="Emphasis"/>
          <w:highlight w:val="cyan"/>
        </w:rPr>
        <w:t>rules</w:t>
      </w:r>
      <w:r w:rsidRPr="00473A51">
        <w:t xml:space="preserve"> for their operation, </w:t>
      </w:r>
      <w:r w:rsidRPr="00456038">
        <w:rPr>
          <w:rStyle w:val="StyleUnderline"/>
          <w:highlight w:val="cyan"/>
        </w:rPr>
        <w:t>there is</w:t>
      </w:r>
      <w:r w:rsidRPr="00473A51">
        <w:rPr>
          <w:rStyle w:val="StyleUnderline"/>
        </w:rPr>
        <w:t xml:space="preserve"> the risk of </w:t>
      </w:r>
      <w:r w:rsidRPr="00456038">
        <w:rPr>
          <w:rStyle w:val="Emphasis"/>
          <w:highlight w:val="cyan"/>
        </w:rPr>
        <w:t>major disruptions</w:t>
      </w:r>
      <w:r w:rsidRPr="00473A51">
        <w:t xml:space="preserve">, if not catastrophes, stemming from their abuse. The recent advances in synthetic biology lower the bar to abuse by amateurs and terrorists alike, forever affecting human DNA. Geoengineering involves planetaryscale interventions that could interfere with complex climatic systems. However cumbersome, politically unpopular, and ineffective at times, </w:t>
      </w:r>
      <w:r w:rsidRPr="00456038">
        <w:rPr>
          <w:rStyle w:val="StyleUnderline"/>
          <w:highlight w:val="cyan"/>
        </w:rPr>
        <w:t xml:space="preserve">there is </w:t>
      </w:r>
      <w:r w:rsidRPr="00456038">
        <w:rPr>
          <w:rStyle w:val="Emphasis"/>
          <w:highlight w:val="cyan"/>
        </w:rPr>
        <w:t>little alternative</w:t>
      </w:r>
      <w:r w:rsidRPr="00456038">
        <w:rPr>
          <w:rStyle w:val="StyleUnderline"/>
          <w:highlight w:val="cyan"/>
        </w:rPr>
        <w:t xml:space="preserve"> to</w:t>
      </w:r>
      <w:r w:rsidRPr="00473A51">
        <w:rPr>
          <w:rStyle w:val="StyleUnderline"/>
        </w:rPr>
        <w:t xml:space="preserve"> </w:t>
      </w:r>
      <w:r w:rsidRPr="00473A51">
        <w:rPr>
          <w:rStyle w:val="Emphasis"/>
        </w:rPr>
        <w:t xml:space="preserve">increased </w:t>
      </w:r>
      <w:r w:rsidRPr="00456038">
        <w:rPr>
          <w:rStyle w:val="Emphasis"/>
          <w:highlight w:val="cyan"/>
        </w:rPr>
        <w:t>global cooperation</w:t>
      </w:r>
      <w:r w:rsidRPr="00456038">
        <w:rPr>
          <w:rStyle w:val="StyleUnderline"/>
          <w:highlight w:val="cyan"/>
        </w:rPr>
        <w:t xml:space="preserve"> if one does not want</w:t>
      </w:r>
      <w:r w:rsidRPr="00643868">
        <w:rPr>
          <w:rStyle w:val="StyleUnderline"/>
        </w:rPr>
        <w:t xml:space="preserve"> </w:t>
      </w:r>
      <w:r w:rsidRPr="00473A51">
        <w:t xml:space="preserve">to see </w:t>
      </w:r>
      <w:r w:rsidRPr="00473A51">
        <w:rPr>
          <w:rStyle w:val="Emphasis"/>
        </w:rPr>
        <w:t xml:space="preserve">higher risks of </w:t>
      </w:r>
      <w:r w:rsidRPr="00643868">
        <w:rPr>
          <w:rStyle w:val="Emphasis"/>
        </w:rPr>
        <w:t>conflict</w:t>
      </w:r>
      <w:r w:rsidRPr="00643868">
        <w:rPr>
          <w:rStyle w:val="StyleUnderline"/>
        </w:rPr>
        <w:t xml:space="preserve"> and</w:t>
      </w:r>
      <w:r w:rsidRPr="00473A51">
        <w:t xml:space="preserve"> economic degradation. Without some sort of bolstered global governance, the West would end up with less sovereignty in </w:t>
      </w:r>
      <w:r w:rsidRPr="00456038">
        <w:rPr>
          <w:rStyle w:val="StyleUnderline"/>
          <w:highlight w:val="cyan"/>
        </w:rPr>
        <w:t xml:space="preserve">a </w:t>
      </w:r>
      <w:r w:rsidRPr="00456038">
        <w:rPr>
          <w:rStyle w:val="Emphasis"/>
          <w:highlight w:val="cyan"/>
        </w:rPr>
        <w:t>“dog-eat-dog” world</w:t>
      </w:r>
      <w:r w:rsidRPr="00473A51">
        <w:t xml:space="preserve">, in which it was increasingly in the minority. But </w:t>
      </w:r>
      <w:r w:rsidRPr="00473A51">
        <w:rPr>
          <w:rStyle w:val="StyleUnderline"/>
        </w:rPr>
        <w:t xml:space="preserve">can the </w:t>
      </w:r>
      <w:r w:rsidRPr="00473A51">
        <w:rPr>
          <w:rStyle w:val="Emphasis"/>
        </w:rPr>
        <w:t>U</w:t>
      </w:r>
      <w:r w:rsidRPr="00473A51">
        <w:t xml:space="preserve">nited </w:t>
      </w:r>
      <w:r w:rsidRPr="00473A51">
        <w:rPr>
          <w:rStyle w:val="Emphasis"/>
        </w:rPr>
        <w:t>S</w:t>
      </w:r>
      <w:r w:rsidRPr="00473A51">
        <w:t xml:space="preserve">tates and the West </w:t>
      </w:r>
      <w:r w:rsidRPr="00473A51">
        <w:rPr>
          <w:rStyle w:val="Emphasis"/>
        </w:rPr>
        <w:t>rise to the challenge</w:t>
      </w:r>
      <w:r w:rsidRPr="00473A51">
        <w:t xml:space="preserve"> of investing in a global-governance system that will not always favor their interests on every issue? Historically, the United States could be especially generous because it was on top of the world in about everything after the Second World War. Europeans came to truly believe in pooling sovereignty and joint governance after centuries of internecine conflict. The </w:t>
      </w:r>
      <w:r w:rsidRPr="00456038">
        <w:rPr>
          <w:rStyle w:val="Emphasis"/>
          <w:highlight w:val="cyan"/>
        </w:rPr>
        <w:t>tough economic times</w:t>
      </w:r>
      <w:r w:rsidRPr="00473A51">
        <w:t xml:space="preserve"> at home </w:t>
      </w:r>
      <w:r w:rsidRPr="00456038">
        <w:rPr>
          <w:rStyle w:val="StyleUnderline"/>
          <w:highlight w:val="cyan"/>
        </w:rPr>
        <w:t>have seen US</w:t>
      </w:r>
      <w:r w:rsidRPr="00473A51">
        <w:rPr>
          <w:rStyle w:val="StyleUnderline"/>
        </w:rPr>
        <w:t xml:space="preserve"> </w:t>
      </w:r>
      <w:r w:rsidRPr="00473A51">
        <w:t xml:space="preserve">and European publics </w:t>
      </w:r>
      <w:r w:rsidRPr="00456038">
        <w:rPr>
          <w:rStyle w:val="StyleUnderline"/>
          <w:highlight w:val="cyan"/>
        </w:rPr>
        <w:t xml:space="preserve">become </w:t>
      </w:r>
      <w:r w:rsidRPr="00456038">
        <w:rPr>
          <w:rStyle w:val="Emphasis"/>
          <w:highlight w:val="cyan"/>
        </w:rPr>
        <w:t>distrustful</w:t>
      </w:r>
      <w:r w:rsidRPr="00456038">
        <w:rPr>
          <w:rStyle w:val="StyleUnderline"/>
          <w:highlight w:val="cyan"/>
        </w:rPr>
        <w:t xml:space="preserve"> of</w:t>
      </w:r>
      <w:r w:rsidRPr="00473A51">
        <w:t xml:space="preserve"> overarching </w:t>
      </w:r>
      <w:r w:rsidRPr="00456038">
        <w:rPr>
          <w:rStyle w:val="StyleUnderline"/>
          <w:highlight w:val="cyan"/>
        </w:rPr>
        <w:t>multilateral institutions</w:t>
      </w:r>
      <w:r w:rsidRPr="00473A51">
        <w:t xml:space="preserve">, believing the will of the United States or individual European countries will not be served. It is oftentimes easier for political leaders to fall in with the public mood rather than display leadership that might appear to work against it. Over time, </w:t>
      </w:r>
      <w:r w:rsidRPr="00473A51">
        <w:rPr>
          <w:rStyle w:val="Emphasis"/>
        </w:rPr>
        <w:t>economic power</w:t>
      </w:r>
      <w:r w:rsidRPr="00473A51">
        <w:t xml:space="preserve"> will also be </w:t>
      </w:r>
      <w:r w:rsidRPr="00473A51">
        <w:rPr>
          <w:rStyle w:val="Emphasis"/>
        </w:rPr>
        <w:t>consolidated</w:t>
      </w:r>
      <w:r w:rsidRPr="00473A51">
        <w:rPr>
          <w:rStyle w:val="StyleUnderline"/>
        </w:rPr>
        <w:t xml:space="preserve"> in Asia</w:t>
      </w:r>
      <w:r w:rsidRPr="00473A51">
        <w:t xml:space="preserve">, replicating the situation three centuries ago, when China and India were the biggest economic powers in the world, and the center of the global economy was in the East. Over a longer term, one could also see a concentration in just three countries: </w:t>
      </w:r>
      <w:r w:rsidRPr="00473A51">
        <w:rPr>
          <w:rStyle w:val="StyleUnderline"/>
        </w:rPr>
        <w:t xml:space="preserve">The </w:t>
      </w:r>
      <w:r w:rsidRPr="00473A51">
        <w:rPr>
          <w:rStyle w:val="Emphasis"/>
        </w:rPr>
        <w:t>breakdown</w:t>
      </w:r>
      <w:r w:rsidRPr="00473A51">
        <w:t xml:space="preserve"> of the post-Cold War political and security order </w:t>
      </w:r>
      <w:r w:rsidRPr="00473A51">
        <w:rPr>
          <w:rStyle w:val="StyleUnderline"/>
        </w:rPr>
        <w:t xml:space="preserve">is </w:t>
      </w:r>
      <w:r w:rsidRPr="00473A51">
        <w:rPr>
          <w:rStyle w:val="Emphasis"/>
        </w:rPr>
        <w:t>irrevocable</w:t>
      </w:r>
      <w:r w:rsidRPr="00473A51">
        <w:rPr>
          <w:rStyle w:val="StyleUnderline"/>
        </w:rPr>
        <w:t>.</w:t>
      </w:r>
      <w:r w:rsidRPr="00473A51">
        <w:t xml:space="preserve"> Not only are there new powers—particularly China—that do not share the West’s vision of a liberal order, but Western publics themselves have turned against globalization, which has been the overall megatrend of the past three decades. The geopolitical landscape ahead will be much different. The best case is looking at multipolarity with limited multilateralism. In the worst case, that multipolarity evolves into bipolarity with China, Russia, and their partners pitted against the United States, Europe, Japan, and other allies. In that scenario, </w:t>
      </w:r>
      <w:r w:rsidRPr="00456038">
        <w:rPr>
          <w:rStyle w:val="StyleUnderline"/>
          <w:highlight w:val="cyan"/>
        </w:rPr>
        <w:t>conflict would be</w:t>
      </w:r>
      <w:r w:rsidRPr="00473A51">
        <w:rPr>
          <w:rStyle w:val="StyleUnderline"/>
        </w:rPr>
        <w:t xml:space="preserve"> </w:t>
      </w:r>
      <w:r w:rsidRPr="00473A51">
        <w:rPr>
          <w:rStyle w:val="Emphasis"/>
        </w:rPr>
        <w:t xml:space="preserve">almost </w:t>
      </w:r>
      <w:r w:rsidRPr="00456038">
        <w:rPr>
          <w:rStyle w:val="Emphasis"/>
          <w:highlight w:val="cyan"/>
        </w:rPr>
        <w:t>inevitable</w:t>
      </w:r>
      <w:r w:rsidRPr="00473A51">
        <w:rPr>
          <w:rStyle w:val="StyleUnderline"/>
          <w:sz w:val="16"/>
          <w:u w:val="none"/>
        </w:rPr>
        <w:t>.</w:t>
      </w:r>
    </w:p>
    <w:p w14:paraId="62502665" w14:textId="77777777" w:rsidR="00456038" w:rsidRPr="00456038" w:rsidRDefault="00456038" w:rsidP="00456038"/>
    <w:p w14:paraId="3377E183" w14:textId="2BBEAD71" w:rsidR="00AF7FCA" w:rsidRDefault="00AD1257" w:rsidP="00AD1257">
      <w:pPr>
        <w:pStyle w:val="Heading3"/>
      </w:pPr>
      <w:r>
        <w:t>2AC – AT: Soft Left Framing</w:t>
      </w:r>
    </w:p>
    <w:p w14:paraId="36D49D0F" w14:textId="77777777" w:rsidR="00AD1257" w:rsidRPr="00ED624F" w:rsidRDefault="00AD1257" w:rsidP="00AD1257">
      <w:pPr>
        <w:pStyle w:val="Heading4"/>
      </w:pPr>
      <w:r>
        <w:t>Consequentialism first.</w:t>
      </w:r>
    </w:p>
    <w:p w14:paraId="159A0CA3" w14:textId="77777777" w:rsidR="00AD1257" w:rsidRPr="00ED624F" w:rsidRDefault="00AD1257" w:rsidP="00AD1257">
      <w:r w:rsidRPr="00ED624F">
        <w:rPr>
          <w:rStyle w:val="Style13ptBold"/>
        </w:rPr>
        <w:t>Greene 7</w:t>
      </w:r>
      <w:r>
        <w:t xml:space="preserve"> – Joshua D. Greene, Psychology Professor at Harvard University. [The Secret Joke of Kant’s Soul, Chapter 2 of </w:t>
      </w:r>
      <w:r w:rsidRPr="00ED624F">
        <w:rPr>
          <w:i/>
          <w:iCs/>
        </w:rPr>
        <w:t>Moral Psychology Volume 3</w:t>
      </w:r>
      <w:r>
        <w:t>, edited by Walter Sinnott-Armstrong, Phil Papers]</w:t>
      </w:r>
    </w:p>
    <w:p w14:paraId="51E387EE" w14:textId="77777777" w:rsidR="00AD1257" w:rsidRPr="00ED624F" w:rsidRDefault="00AD1257" w:rsidP="00AD1257">
      <w:pPr>
        <w:rPr>
          <w:sz w:val="16"/>
        </w:rPr>
      </w:pPr>
      <w:r w:rsidRPr="00ED624F">
        <w:rPr>
          <w:sz w:val="16"/>
        </w:rPr>
        <w:t xml:space="preserve">What turn-of-the-millennium science is telling us is that human moral judgment is not a pristine rational enterprise—that our </w:t>
      </w:r>
      <w:r w:rsidRPr="00F521A6">
        <w:rPr>
          <w:rStyle w:val="Emphasis"/>
        </w:rPr>
        <w:t xml:space="preserve">moral </w:t>
      </w:r>
      <w:r w:rsidRPr="00456038">
        <w:rPr>
          <w:rStyle w:val="Emphasis"/>
          <w:highlight w:val="cyan"/>
        </w:rPr>
        <w:t>judgments</w:t>
      </w:r>
      <w:r w:rsidRPr="00456038">
        <w:rPr>
          <w:rStyle w:val="StyleUnderline"/>
          <w:highlight w:val="cyan"/>
        </w:rPr>
        <w:t xml:space="preserve"> are driven by</w:t>
      </w:r>
      <w:r w:rsidRPr="00F521A6">
        <w:rPr>
          <w:rStyle w:val="StyleUnderline"/>
        </w:rPr>
        <w:t xml:space="preserve"> </w:t>
      </w:r>
      <w:r w:rsidRPr="00F521A6">
        <w:rPr>
          <w:rStyle w:val="Emphasis"/>
        </w:rPr>
        <w:t>a hodgepodge</w:t>
      </w:r>
      <w:r w:rsidRPr="00F521A6">
        <w:rPr>
          <w:rStyle w:val="StyleUnderline"/>
        </w:rPr>
        <w:t xml:space="preserve"> of </w:t>
      </w:r>
      <w:r w:rsidRPr="00F521A6">
        <w:rPr>
          <w:rStyle w:val="Emphasis"/>
        </w:rPr>
        <w:t>emotional dispositions</w:t>
      </w:r>
      <w:r w:rsidRPr="00ED624F">
        <w:rPr>
          <w:sz w:val="16"/>
        </w:rPr>
        <w:t xml:space="preserve">, which themselves were </w:t>
      </w:r>
      <w:r w:rsidRPr="00F521A6">
        <w:rPr>
          <w:rStyle w:val="StyleUnderline"/>
        </w:rPr>
        <w:t xml:space="preserve">shaped by </w:t>
      </w:r>
      <w:r w:rsidRPr="00F521A6">
        <w:rPr>
          <w:rStyle w:val="Emphasis"/>
        </w:rPr>
        <w:t>a hodgepodge</w:t>
      </w:r>
      <w:r w:rsidRPr="00F521A6">
        <w:rPr>
          <w:rStyle w:val="StyleUnderline"/>
        </w:rPr>
        <w:t xml:space="preserve"> of </w:t>
      </w:r>
      <w:r w:rsidRPr="00456038">
        <w:rPr>
          <w:rStyle w:val="Emphasis"/>
          <w:highlight w:val="cyan"/>
        </w:rPr>
        <w:t>evolutionary forces</w:t>
      </w:r>
      <w:r w:rsidRPr="00ED624F">
        <w:rPr>
          <w:sz w:val="16"/>
        </w:rPr>
        <w:t xml:space="preserve">, both biological and cultural. Because of this, </w:t>
      </w:r>
      <w:r w:rsidRPr="00456038">
        <w:rPr>
          <w:rStyle w:val="StyleUnderline"/>
          <w:highlight w:val="cyan"/>
        </w:rPr>
        <w:t>it is</w:t>
      </w:r>
      <w:r w:rsidRPr="00F521A6">
        <w:rPr>
          <w:rStyle w:val="StyleUnderline"/>
        </w:rPr>
        <w:t xml:space="preserve"> </w:t>
      </w:r>
      <w:r w:rsidRPr="00F521A6">
        <w:rPr>
          <w:rStyle w:val="Emphasis"/>
        </w:rPr>
        <w:t xml:space="preserve">exceedingly </w:t>
      </w:r>
      <w:r w:rsidRPr="00456038">
        <w:rPr>
          <w:rStyle w:val="Emphasis"/>
          <w:highlight w:val="cyan"/>
        </w:rPr>
        <w:t>unlikely</w:t>
      </w:r>
      <w:r w:rsidRPr="00ED624F">
        <w:rPr>
          <w:sz w:val="16"/>
        </w:rPr>
        <w:t xml:space="preserve"> that </w:t>
      </w:r>
      <w:r w:rsidRPr="00F521A6">
        <w:rPr>
          <w:rStyle w:val="StyleUnderline"/>
        </w:rPr>
        <w:t xml:space="preserve">there is </w:t>
      </w:r>
      <w:r w:rsidRPr="00456038">
        <w:rPr>
          <w:rStyle w:val="Emphasis"/>
          <w:highlight w:val="cyan"/>
        </w:rPr>
        <w:t>any</w:t>
      </w:r>
      <w:r w:rsidRPr="00F521A6">
        <w:rPr>
          <w:rStyle w:val="Emphasis"/>
        </w:rPr>
        <w:t xml:space="preserve"> rationally coherent normative moral </w:t>
      </w:r>
      <w:r w:rsidRPr="00456038">
        <w:rPr>
          <w:rStyle w:val="Emphasis"/>
          <w:highlight w:val="cyan"/>
        </w:rPr>
        <w:t>theory</w:t>
      </w:r>
      <w:r w:rsidRPr="00F521A6">
        <w:rPr>
          <w:rStyle w:val="StyleUnderline"/>
        </w:rPr>
        <w:t xml:space="preserve"> that </w:t>
      </w:r>
      <w:r w:rsidRPr="00456038">
        <w:rPr>
          <w:rStyle w:val="StyleUnderline"/>
          <w:highlight w:val="cyan"/>
        </w:rPr>
        <w:t>can accommodate</w:t>
      </w:r>
      <w:r w:rsidRPr="00ED624F">
        <w:rPr>
          <w:sz w:val="16"/>
        </w:rPr>
        <w:t xml:space="preserve"> our </w:t>
      </w:r>
      <w:r w:rsidRPr="00F521A6">
        <w:rPr>
          <w:rStyle w:val="Emphasis"/>
        </w:rPr>
        <w:t xml:space="preserve">moral </w:t>
      </w:r>
      <w:r w:rsidRPr="00456038">
        <w:rPr>
          <w:rStyle w:val="Emphasis"/>
          <w:highlight w:val="cyan"/>
        </w:rPr>
        <w:t>intuitions</w:t>
      </w:r>
      <w:r w:rsidRPr="00ED624F">
        <w:rPr>
          <w:sz w:val="16"/>
        </w:rPr>
        <w:t>. Moreover, anyone who claims to have such a theory, or even part of one, almost certainly does not. Instead, what that person probably has is a moral rationalization.</w:t>
      </w:r>
    </w:p>
    <w:p w14:paraId="20E29093" w14:textId="77777777" w:rsidR="00AD1257" w:rsidRPr="00ED624F" w:rsidRDefault="00AD1257" w:rsidP="00AD1257">
      <w:pPr>
        <w:rPr>
          <w:sz w:val="16"/>
        </w:rPr>
      </w:pPr>
      <w:r w:rsidRPr="00ED624F">
        <w:rPr>
          <w:sz w:val="16"/>
        </w:rPr>
        <w:t>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w:t>
      </w:r>
    </w:p>
    <w:p w14:paraId="2ED12C73" w14:textId="77777777" w:rsidR="00AD1257" w:rsidRPr="00ED624F" w:rsidRDefault="00AD1257" w:rsidP="00AD1257">
      <w:pPr>
        <w:rPr>
          <w:sz w:val="16"/>
        </w:rPr>
      </w:pPr>
      <w:r w:rsidRPr="00ED624F">
        <w:rPr>
          <w:sz w:val="16"/>
        </w:rPr>
        <w:t>Missing the Deontological Point</w:t>
      </w:r>
    </w:p>
    <w:p w14:paraId="29A2F179" w14:textId="77777777" w:rsidR="00AD1257" w:rsidRPr="00ED624F" w:rsidRDefault="00AD1257" w:rsidP="00AD1257">
      <w:pPr>
        <w:rPr>
          <w:sz w:val="16"/>
        </w:rPr>
      </w:pPr>
      <w:r w:rsidRPr="00ED624F">
        <w:rPr>
          <w:sz w:val="16"/>
        </w:rPr>
        <w:t xml:space="preserve">I suspect that rationalist </w:t>
      </w:r>
      <w:r w:rsidRPr="00BD23D0">
        <w:rPr>
          <w:rStyle w:val="StyleUnderline"/>
        </w:rPr>
        <w:t>deontologists</w:t>
      </w:r>
      <w:r w:rsidRPr="00F521A6">
        <w:rPr>
          <w:rStyle w:val="StyleUnderline"/>
        </w:rPr>
        <w:t xml:space="preserve"> will remain </w:t>
      </w:r>
      <w:r w:rsidRPr="00F521A6">
        <w:rPr>
          <w:rStyle w:val="Emphasis"/>
        </w:rPr>
        <w:t>unmoved</w:t>
      </w:r>
      <w:r w:rsidRPr="00ED624F">
        <w:rPr>
          <w:sz w:val="16"/>
        </w:rPr>
        <w:t xml:space="preserve"> by the arguments presented here. Instead, I suspect, </w:t>
      </w:r>
      <w:r w:rsidRPr="00F521A6">
        <w:rPr>
          <w:rStyle w:val="StyleUnderline"/>
        </w:rPr>
        <w:t>they will insist</w:t>
      </w:r>
      <w:r w:rsidRPr="00ED624F">
        <w:rPr>
          <w:sz w:val="16"/>
        </w:rPr>
        <w:t xml:space="preserve"> that </w:t>
      </w:r>
      <w:r w:rsidRPr="00F521A6">
        <w:rPr>
          <w:rStyle w:val="StyleUnderline"/>
        </w:rPr>
        <w:t xml:space="preserve">I have </w:t>
      </w:r>
      <w:r w:rsidRPr="00F521A6">
        <w:rPr>
          <w:rStyle w:val="Emphasis"/>
        </w:rPr>
        <w:t>simply misunderstood</w:t>
      </w:r>
      <w:r w:rsidRPr="00ED624F">
        <w:rPr>
          <w:sz w:val="16"/>
        </w:rPr>
        <w:t xml:space="preserve"> what Kant and like-minded deontologists are all about. </w:t>
      </w:r>
      <w:r w:rsidRPr="00F521A6">
        <w:rPr>
          <w:rStyle w:val="StyleUnderline"/>
        </w:rPr>
        <w:t xml:space="preserve">Deontology, </w:t>
      </w:r>
      <w:r w:rsidRPr="00456038">
        <w:rPr>
          <w:rStyle w:val="StyleUnderline"/>
          <w:highlight w:val="cyan"/>
        </w:rPr>
        <w:t>they</w:t>
      </w:r>
      <w:r w:rsidRPr="00F521A6">
        <w:rPr>
          <w:rStyle w:val="StyleUnderline"/>
        </w:rPr>
        <w:t xml:space="preserve"> will say</w:t>
      </w:r>
      <w:r w:rsidRPr="00ED624F">
        <w:rPr>
          <w:sz w:val="16"/>
        </w:rPr>
        <w:t xml:space="preserve">, isn’t about this intuition or that intuition. It’s not defined by its normative differences with consequentialism. Rather, deontology is about taking humanity seriously. Above all else, </w:t>
      </w:r>
      <w:r w:rsidRPr="00F521A6">
        <w:rPr>
          <w:rStyle w:val="StyleUnderline"/>
        </w:rPr>
        <w:t>it’s about respect for persons</w:t>
      </w:r>
      <w:r w:rsidRPr="00ED624F">
        <w:rPr>
          <w:sz w:val="16"/>
        </w:rPr>
        <w:t>. It’s about treating others as fellow rational creatures rather than as mere objects, about acting for reasons that rational beings can share; and so on (Korsgaard, 1996a, 1996b).</w:t>
      </w:r>
    </w:p>
    <w:p w14:paraId="6B16838C" w14:textId="77777777" w:rsidR="00AD1257" w:rsidRPr="00ED624F" w:rsidRDefault="00AD1257" w:rsidP="00AD1257">
      <w:pPr>
        <w:rPr>
          <w:sz w:val="16"/>
        </w:rPr>
      </w:pPr>
      <w:r w:rsidRPr="00ED624F">
        <w:rPr>
          <w:sz w:val="16"/>
        </w:rPr>
        <w:t xml:space="preserve">This is, no doubt, how many deontologists see deontology. However, this insider’s view, as I have suggested, may be misleading. </w:t>
      </w:r>
      <w:r w:rsidRPr="00F521A6">
        <w:rPr>
          <w:rStyle w:val="StyleUnderline"/>
        </w:rPr>
        <w:t>The problem</w:t>
      </w:r>
      <w:r w:rsidRPr="00ED624F">
        <w:rPr>
          <w:sz w:val="16"/>
        </w:rPr>
        <w:t xml:space="preserve">, more specifically, </w:t>
      </w:r>
      <w:r w:rsidRPr="00F521A6">
        <w:rPr>
          <w:rStyle w:val="StyleUnderline"/>
        </w:rPr>
        <w:t>is</w:t>
      </w:r>
      <w:r w:rsidRPr="00ED624F">
        <w:rPr>
          <w:sz w:val="16"/>
        </w:rPr>
        <w:t xml:space="preserve"> that </w:t>
      </w:r>
      <w:r w:rsidRPr="00F521A6">
        <w:rPr>
          <w:rStyle w:val="StyleUnderline"/>
        </w:rPr>
        <w:t xml:space="preserve">it </w:t>
      </w:r>
      <w:r w:rsidRPr="00456038">
        <w:rPr>
          <w:rStyle w:val="StyleUnderline"/>
          <w:highlight w:val="cyan"/>
        </w:rPr>
        <w:t>define</w:t>
      </w:r>
      <w:r w:rsidRPr="00BD23D0">
        <w:rPr>
          <w:rStyle w:val="StyleUnderline"/>
        </w:rPr>
        <w:t>s</w:t>
      </w:r>
      <w:r w:rsidRPr="00F521A6">
        <w:rPr>
          <w:rStyle w:val="StyleUnderline"/>
        </w:rPr>
        <w:t xml:space="preserve"> </w:t>
      </w:r>
      <w:r w:rsidRPr="00456038">
        <w:rPr>
          <w:rStyle w:val="StyleUnderline"/>
          <w:highlight w:val="cyan"/>
        </w:rPr>
        <w:t>deontology in</w:t>
      </w:r>
      <w:r w:rsidRPr="00F521A6">
        <w:rPr>
          <w:rStyle w:val="StyleUnderline"/>
        </w:rPr>
        <w:t xml:space="preserve"> terms of </w:t>
      </w:r>
      <w:r w:rsidRPr="00456038">
        <w:rPr>
          <w:rStyle w:val="StyleUnderline"/>
          <w:highlight w:val="cyan"/>
        </w:rPr>
        <w:t>values</w:t>
      </w:r>
      <w:r w:rsidRPr="00F521A6">
        <w:rPr>
          <w:rStyle w:val="StyleUnderline"/>
        </w:rPr>
        <w:t xml:space="preserve"> that are </w:t>
      </w:r>
      <w:r w:rsidRPr="00456038">
        <w:rPr>
          <w:rStyle w:val="StyleUnderline"/>
          <w:highlight w:val="cyan"/>
        </w:rPr>
        <w:t>not</w:t>
      </w:r>
      <w:r w:rsidRPr="00F521A6">
        <w:rPr>
          <w:rStyle w:val="StyleUnderline"/>
        </w:rPr>
        <w:t xml:space="preserve"> </w:t>
      </w:r>
      <w:r w:rsidRPr="00F521A6">
        <w:rPr>
          <w:rStyle w:val="Emphasis"/>
        </w:rPr>
        <w:t xml:space="preserve">distinctively </w:t>
      </w:r>
      <w:r w:rsidRPr="00456038">
        <w:rPr>
          <w:rStyle w:val="Emphasis"/>
          <w:highlight w:val="cyan"/>
        </w:rPr>
        <w:t>deontological</w:t>
      </w:r>
      <w:r w:rsidRPr="00ED624F">
        <w:rPr>
          <w:sz w:val="16"/>
        </w:rPr>
        <w:t>,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w:t>
      </w:r>
    </w:p>
    <w:p w14:paraId="59C194D5" w14:textId="77777777" w:rsidR="00AD1257" w:rsidRPr="00ED624F" w:rsidRDefault="00AD1257" w:rsidP="00AD1257">
      <w:pPr>
        <w:rPr>
          <w:sz w:val="16"/>
        </w:rPr>
      </w:pPr>
      <w:r w:rsidRPr="00ED624F">
        <w:rPr>
          <w:sz w:val="16"/>
        </w:rPr>
        <w:t xml:space="preserve">In the same way, I believe that most of the standard </w:t>
      </w:r>
      <w:r w:rsidRPr="00ED624F">
        <w:rPr>
          <w:rStyle w:val="StyleUnderline"/>
        </w:rPr>
        <w:t>deontological</w:t>
      </w:r>
      <w:r w:rsidRPr="00ED624F">
        <w:rPr>
          <w:sz w:val="16"/>
        </w:rPr>
        <w:t>/Kantian self-</w:t>
      </w:r>
      <w:r w:rsidRPr="00ED624F">
        <w:rPr>
          <w:rStyle w:val="StyleUnderline"/>
        </w:rPr>
        <w:t>characterizations fail to distinguish deontology from other approaches</w:t>
      </w:r>
      <w:r w:rsidRPr="00ED624F">
        <w:rPr>
          <w:sz w:val="16"/>
        </w:rPr>
        <w:t xml:space="preserve"> to ethics. (See also Kagan, 1997, pp. 70–78, on the difficulty of defining deontology.) It seems to me that </w:t>
      </w:r>
      <w:r w:rsidRPr="00ED624F">
        <w:rPr>
          <w:rStyle w:val="Emphasis"/>
        </w:rPr>
        <w:t>consequentialists, as much as anyone else</w:t>
      </w:r>
      <w:r w:rsidRPr="00ED624F">
        <w:rPr>
          <w:rStyle w:val="StyleUnderline"/>
        </w:rPr>
        <w:t>, have respect for pe</w:t>
      </w:r>
      <w:r w:rsidRPr="00F521A6">
        <w:rPr>
          <w:rStyle w:val="StyleUnderline"/>
        </w:rPr>
        <w:t>rsons</w:t>
      </w:r>
      <w:r w:rsidRPr="00ED624F">
        <w:rPr>
          <w:sz w:val="16"/>
        </w:rPr>
        <w:t xml:space="preserve">, are </w:t>
      </w:r>
      <w:r w:rsidRPr="00F521A6">
        <w:rPr>
          <w:rStyle w:val="StyleUnderline"/>
        </w:rPr>
        <w:t>against treating people as mere objects</w:t>
      </w:r>
      <w:r w:rsidRPr="00ED624F">
        <w:rPr>
          <w:sz w:val="16"/>
        </w:rPr>
        <w:t xml:space="preserve">, wish to act for reasons that rational creatures can share, etc. </w:t>
      </w:r>
      <w:r w:rsidRPr="00F521A6">
        <w:rPr>
          <w:rStyle w:val="StyleUnderline"/>
        </w:rPr>
        <w:t xml:space="preserve">A </w:t>
      </w:r>
      <w:r w:rsidRPr="00456038">
        <w:rPr>
          <w:rStyle w:val="StyleUnderline"/>
          <w:highlight w:val="cyan"/>
        </w:rPr>
        <w:t xml:space="preserve">consequentialist </w:t>
      </w:r>
      <w:r w:rsidRPr="00456038">
        <w:rPr>
          <w:rStyle w:val="Emphasis"/>
          <w:highlight w:val="cyan"/>
        </w:rPr>
        <w:t>respects</w:t>
      </w:r>
      <w:r w:rsidRPr="00ED624F">
        <w:rPr>
          <w:rStyle w:val="StyleUnderline"/>
        </w:rPr>
        <w:t xml:space="preserve"> other </w:t>
      </w:r>
      <w:r w:rsidRPr="00456038">
        <w:rPr>
          <w:rStyle w:val="StyleUnderline"/>
          <w:highlight w:val="cyan"/>
        </w:rPr>
        <w:t>persons</w:t>
      </w:r>
      <w:r w:rsidRPr="00ED624F">
        <w:rPr>
          <w:rStyle w:val="StyleUnderline"/>
        </w:rPr>
        <w:t xml:space="preserve"> and refrains from treating them as </w:t>
      </w:r>
      <w:r w:rsidRPr="00ED624F">
        <w:rPr>
          <w:rStyle w:val="Emphasis"/>
        </w:rPr>
        <w:t>mere objects</w:t>
      </w:r>
      <w:r w:rsidRPr="00ED624F">
        <w:rPr>
          <w:rStyle w:val="StyleUnderline"/>
        </w:rPr>
        <w:t xml:space="preserve"> </w:t>
      </w:r>
      <w:r w:rsidRPr="00456038">
        <w:rPr>
          <w:rStyle w:val="StyleUnderline"/>
          <w:highlight w:val="cyan"/>
        </w:rPr>
        <w:t xml:space="preserve">by counting </w:t>
      </w:r>
      <w:r w:rsidRPr="00456038">
        <w:rPr>
          <w:rStyle w:val="Emphasis"/>
          <w:highlight w:val="cyan"/>
        </w:rPr>
        <w:t>every</w:t>
      </w:r>
      <w:r w:rsidRPr="00ED624F">
        <w:rPr>
          <w:rStyle w:val="Emphasis"/>
        </w:rPr>
        <w:t xml:space="preserve"> person’s </w:t>
      </w:r>
      <w:r w:rsidRPr="00456038">
        <w:rPr>
          <w:rStyle w:val="Emphasis"/>
          <w:highlight w:val="cyan"/>
        </w:rPr>
        <w:t>well-being</w:t>
      </w:r>
      <w:r w:rsidRPr="00ED624F">
        <w:rPr>
          <w:sz w:val="16"/>
        </w:rPr>
        <w:t xml:space="preserve"> in the decision-making process. Likewise, </w:t>
      </w:r>
      <w:r w:rsidRPr="00ED624F">
        <w:rPr>
          <w:rStyle w:val="StyleUnderline"/>
        </w:rPr>
        <w:t xml:space="preserve">a consequentialist attempts to act according to reasons that </w:t>
      </w:r>
      <w:r w:rsidRPr="00ED624F">
        <w:rPr>
          <w:rStyle w:val="Emphasis"/>
        </w:rPr>
        <w:t>rational creatures</w:t>
      </w:r>
      <w:r w:rsidRPr="00ED624F">
        <w:rPr>
          <w:rStyle w:val="StyleUnderline"/>
        </w:rPr>
        <w:t xml:space="preserve"> can share</w:t>
      </w:r>
      <w:r w:rsidRPr="00F521A6">
        <w:rPr>
          <w:rStyle w:val="StyleUnderline"/>
        </w:rPr>
        <w:t xml:space="preserve"> by acting according to principles that give </w:t>
      </w:r>
      <w:r w:rsidRPr="00F521A6">
        <w:rPr>
          <w:rStyle w:val="Emphasis"/>
        </w:rPr>
        <w:t>equal weight</w:t>
      </w:r>
      <w:r w:rsidRPr="00F521A6">
        <w:rPr>
          <w:rStyle w:val="StyleUnderline"/>
        </w:rPr>
        <w:t xml:space="preserve"> to </w:t>
      </w:r>
      <w:r w:rsidRPr="00F521A6">
        <w:rPr>
          <w:rStyle w:val="Emphasis"/>
        </w:rPr>
        <w:t>everyone’s interests</w:t>
      </w:r>
      <w:r w:rsidRPr="00ED624F">
        <w:rPr>
          <w:sz w:val="16"/>
        </w:rPr>
        <w:t xml:space="preserve">, i.e., </w:t>
      </w:r>
      <w:r w:rsidRPr="00F521A6">
        <w:rPr>
          <w:rStyle w:val="StyleUnderline"/>
        </w:rPr>
        <w:t xml:space="preserve">that are </w:t>
      </w:r>
      <w:r w:rsidRPr="00F521A6">
        <w:rPr>
          <w:rStyle w:val="Emphasis"/>
        </w:rPr>
        <w:t>impartial</w:t>
      </w:r>
      <w:r w:rsidRPr="00ED624F">
        <w:rPr>
          <w:sz w:val="16"/>
        </w:rPr>
        <w:t>. This is not to say that consequentialists and deontologists do not differ. They do. It’s just that the real differences may not be what deontologists often take them to be.</w:t>
      </w:r>
    </w:p>
    <w:p w14:paraId="72779CB2" w14:textId="77777777" w:rsidR="00AD1257" w:rsidRPr="00ED624F" w:rsidRDefault="00AD1257" w:rsidP="00AD1257">
      <w:pPr>
        <w:rPr>
          <w:sz w:val="16"/>
        </w:rPr>
      </w:pPr>
      <w:r w:rsidRPr="00ED624F">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456038">
        <w:rPr>
          <w:rStyle w:val="StyleUnderline"/>
          <w:highlight w:val="cyan"/>
        </w:rPr>
        <w:t xml:space="preserve">If you ask </w:t>
      </w:r>
      <w:r w:rsidRPr="00456038">
        <w:rPr>
          <w:rStyle w:val="Emphasis"/>
          <w:highlight w:val="cyan"/>
        </w:rPr>
        <w:t>a</w:t>
      </w:r>
      <w:r w:rsidRPr="00F521A6">
        <w:rPr>
          <w:rStyle w:val="Emphasis"/>
        </w:rPr>
        <w:t xml:space="preserve"> deontologically minded </w:t>
      </w:r>
      <w:r w:rsidRPr="00456038">
        <w:rPr>
          <w:rStyle w:val="Emphasis"/>
          <w:highlight w:val="cyan"/>
        </w:rPr>
        <w:t>person</w:t>
      </w:r>
      <w:r w:rsidRPr="00456038">
        <w:rPr>
          <w:rStyle w:val="StyleUnderline"/>
          <w:highlight w:val="cyan"/>
        </w:rPr>
        <w:t xml:space="preserve"> why it is wrong to push someone in front of speeding trolley</w:t>
      </w:r>
      <w:r w:rsidRPr="00F521A6">
        <w:rPr>
          <w:rStyle w:val="StyleUnderline"/>
        </w:rPr>
        <w:t xml:space="preserve"> in order </w:t>
      </w:r>
      <w:r w:rsidRPr="00456038">
        <w:rPr>
          <w:rStyle w:val="StyleUnderline"/>
          <w:highlight w:val="cyan"/>
        </w:rPr>
        <w:t xml:space="preserve">to save </w:t>
      </w:r>
      <w:r w:rsidRPr="00456038">
        <w:rPr>
          <w:rStyle w:val="Emphasis"/>
          <w:highlight w:val="cyan"/>
        </w:rPr>
        <w:t>five others</w:t>
      </w:r>
      <w:r w:rsidRPr="00456038">
        <w:rPr>
          <w:rStyle w:val="StyleUnderline"/>
          <w:highlight w:val="cyan"/>
        </w:rPr>
        <w:t>, you will get</w:t>
      </w:r>
      <w:r w:rsidRPr="00F521A6">
        <w:rPr>
          <w:rStyle w:val="StyleUnderline"/>
        </w:rPr>
        <w:t xml:space="preserve"> </w:t>
      </w:r>
      <w:r w:rsidRPr="00F521A6">
        <w:rPr>
          <w:rStyle w:val="Emphasis"/>
        </w:rPr>
        <w:t xml:space="preserve">characteristically </w:t>
      </w:r>
      <w:r w:rsidRPr="00456038">
        <w:rPr>
          <w:rStyle w:val="Emphasis"/>
          <w:highlight w:val="cyan"/>
        </w:rPr>
        <w:t>deontological answers</w:t>
      </w:r>
      <w:r w:rsidRPr="00456038">
        <w:rPr>
          <w:rStyle w:val="StyleUnderline"/>
          <w:highlight w:val="cyan"/>
        </w:rPr>
        <w:t xml:space="preserve">. Some will be </w:t>
      </w:r>
      <w:r w:rsidRPr="00456038">
        <w:rPr>
          <w:rStyle w:val="Emphasis"/>
          <w:highlight w:val="cyan"/>
        </w:rPr>
        <w:t>tautological</w:t>
      </w:r>
      <w:r w:rsidRPr="00F521A6">
        <w:rPr>
          <w:rStyle w:val="StyleUnderline"/>
        </w:rPr>
        <w:t>:</w:t>
      </w:r>
      <w:r w:rsidRPr="00ED624F">
        <w:rPr>
          <w:sz w:val="16"/>
        </w:rPr>
        <w:t xml:space="preserve"> </w:t>
      </w:r>
      <w:r w:rsidRPr="00F521A6">
        <w:rPr>
          <w:rStyle w:val="StyleUnderline"/>
        </w:rPr>
        <w:t>“Because it’s murder!”</w:t>
      </w:r>
      <w:r w:rsidRPr="00ED624F">
        <w:rPr>
          <w:sz w:val="16"/>
        </w:rPr>
        <w:t xml:space="preserve"> Others will be more sophisticated: </w:t>
      </w:r>
      <w:r w:rsidRPr="00F521A6">
        <w:rPr>
          <w:rStyle w:val="StyleUnderline"/>
        </w:rPr>
        <w:t>“The ends don’t justify the means.” “You have to respect people’s rights.”</w:t>
      </w:r>
      <w:r w:rsidRPr="00ED624F">
        <w:rPr>
          <w:sz w:val="16"/>
        </w:rPr>
        <w:t xml:space="preserve"> As we know, </w:t>
      </w:r>
      <w:r w:rsidRPr="00F521A6">
        <w:rPr>
          <w:rStyle w:val="StyleUnderline"/>
        </w:rPr>
        <w:t xml:space="preserve">these </w:t>
      </w:r>
      <w:r w:rsidRPr="00456038">
        <w:rPr>
          <w:rStyle w:val="StyleUnderline"/>
          <w:highlight w:val="cyan"/>
        </w:rPr>
        <w:t>answers don’t</w:t>
      </w:r>
      <w:r w:rsidRPr="00F521A6">
        <w:rPr>
          <w:rStyle w:val="StyleUnderline"/>
        </w:rPr>
        <w:t xml:space="preserve"> </w:t>
      </w:r>
      <w:r w:rsidRPr="00F521A6">
        <w:rPr>
          <w:rStyle w:val="Emphasis"/>
        </w:rPr>
        <w:t xml:space="preserve">really </w:t>
      </w:r>
      <w:r w:rsidRPr="00456038">
        <w:rPr>
          <w:rStyle w:val="Emphasis"/>
          <w:highlight w:val="cyan"/>
        </w:rPr>
        <w:t>explain</w:t>
      </w:r>
      <w:r w:rsidRPr="00F521A6">
        <w:rPr>
          <w:rStyle w:val="Emphasis"/>
        </w:rPr>
        <w:t xml:space="preserve"> anything</w:t>
      </w:r>
      <w:r w:rsidRPr="00F521A6">
        <w:rPr>
          <w:rStyle w:val="StyleUnderline"/>
        </w:rPr>
        <w:t xml:space="preserve">, </w:t>
      </w:r>
      <w:r w:rsidRPr="00456038">
        <w:rPr>
          <w:rStyle w:val="StyleUnderline"/>
          <w:highlight w:val="cyan"/>
        </w:rPr>
        <w:t>because if you give</w:t>
      </w:r>
      <w:r w:rsidRPr="00ED624F">
        <w:rPr>
          <w:rStyle w:val="StyleUnderline"/>
        </w:rPr>
        <w:t xml:space="preserve"> </w:t>
      </w:r>
      <w:r w:rsidRPr="00ED624F">
        <w:rPr>
          <w:rStyle w:val="Emphasis"/>
        </w:rPr>
        <w:t>the same</w:t>
      </w:r>
      <w:r w:rsidRPr="00F521A6">
        <w:rPr>
          <w:rStyle w:val="Emphasis"/>
        </w:rPr>
        <w:t xml:space="preserve"> </w:t>
      </w:r>
      <w:r w:rsidRPr="00456038">
        <w:rPr>
          <w:rStyle w:val="Emphasis"/>
          <w:highlight w:val="cyan"/>
        </w:rPr>
        <w:t>people</w:t>
      </w:r>
      <w:r w:rsidRPr="00ED624F">
        <w:rPr>
          <w:sz w:val="16"/>
        </w:rPr>
        <w:t xml:space="preserve"> (on different occasions) </w:t>
      </w:r>
      <w:r w:rsidRPr="00456038">
        <w:rPr>
          <w:rStyle w:val="StyleUnderline"/>
          <w:highlight w:val="cyan"/>
        </w:rPr>
        <w:t>the</w:t>
      </w:r>
      <w:r w:rsidRPr="00ED624F">
        <w:rPr>
          <w:sz w:val="16"/>
        </w:rPr>
        <w:t xml:space="preserve"> trolley </w:t>
      </w:r>
      <w:r w:rsidRPr="00456038">
        <w:rPr>
          <w:rStyle w:val="StyleUnderline"/>
          <w:highlight w:val="cyan"/>
        </w:rPr>
        <w:t>case</w:t>
      </w:r>
      <w:r w:rsidRPr="00ED624F">
        <w:rPr>
          <w:sz w:val="16"/>
        </w:rPr>
        <w:t xml:space="preserve"> or the loop case (see earlier discussion), </w:t>
      </w:r>
      <w:r w:rsidRPr="00456038">
        <w:rPr>
          <w:rStyle w:val="StyleUnderline"/>
          <w:highlight w:val="cyan"/>
        </w:rPr>
        <w:t>they</w:t>
      </w:r>
      <w:r w:rsidRPr="00F521A6">
        <w:rPr>
          <w:rStyle w:val="StyleUnderline"/>
        </w:rPr>
        <w:t xml:space="preserve"> will </w:t>
      </w:r>
      <w:r w:rsidRPr="00456038">
        <w:rPr>
          <w:rStyle w:val="StyleUnderline"/>
          <w:highlight w:val="cyan"/>
        </w:rPr>
        <w:t xml:space="preserve">make </w:t>
      </w:r>
      <w:r w:rsidRPr="00456038">
        <w:rPr>
          <w:rStyle w:val="Emphasis"/>
          <w:highlight w:val="cyan"/>
        </w:rPr>
        <w:t>the opposite judgment</w:t>
      </w:r>
      <w:r w:rsidRPr="00456038">
        <w:rPr>
          <w:rStyle w:val="StyleUnderline"/>
          <w:highlight w:val="cyan"/>
        </w:rPr>
        <w:t xml:space="preserve">, even though </w:t>
      </w:r>
      <w:r w:rsidRPr="00456038">
        <w:rPr>
          <w:rStyle w:val="Emphasis"/>
          <w:highlight w:val="cyan"/>
        </w:rPr>
        <w:t>their</w:t>
      </w:r>
      <w:r w:rsidRPr="00F521A6">
        <w:rPr>
          <w:rStyle w:val="Emphasis"/>
        </w:rPr>
        <w:t xml:space="preserve"> initial </w:t>
      </w:r>
      <w:r w:rsidRPr="00456038">
        <w:rPr>
          <w:rStyle w:val="Emphasis"/>
          <w:highlight w:val="cyan"/>
        </w:rPr>
        <w:t>explanation</w:t>
      </w:r>
      <w:r w:rsidRPr="00ED624F">
        <w:rPr>
          <w:sz w:val="16"/>
        </w:rPr>
        <w:t xml:space="preserve"> concerning the footbridge case </w:t>
      </w:r>
      <w:r w:rsidRPr="00456038">
        <w:rPr>
          <w:rStyle w:val="StyleUnderline"/>
          <w:highlight w:val="cyan"/>
        </w:rPr>
        <w:t>applies</w:t>
      </w:r>
      <w:r w:rsidRPr="00F521A6">
        <w:rPr>
          <w:rStyle w:val="StyleUnderline"/>
        </w:rPr>
        <w:t xml:space="preserve"> </w:t>
      </w:r>
      <w:r w:rsidRPr="00F521A6">
        <w:rPr>
          <w:rStyle w:val="Emphasis"/>
        </w:rPr>
        <w:t xml:space="preserve">equally </w:t>
      </w:r>
      <w:r w:rsidRPr="00456038">
        <w:rPr>
          <w:rStyle w:val="Emphasis"/>
          <w:highlight w:val="cyan"/>
        </w:rPr>
        <w:t>well</w:t>
      </w:r>
      <w:r w:rsidRPr="00456038">
        <w:rPr>
          <w:rStyle w:val="StyleUnderline"/>
          <w:highlight w:val="cyan"/>
        </w:rPr>
        <w:t xml:space="preserve"> to</w:t>
      </w:r>
      <w:r w:rsidRPr="00ED624F">
        <w:rPr>
          <w:sz w:val="16"/>
        </w:rPr>
        <w:t xml:space="preserve"> one or </w:t>
      </w:r>
      <w:r w:rsidRPr="00456038">
        <w:rPr>
          <w:rStyle w:val="StyleUnderline"/>
          <w:highlight w:val="cyan"/>
        </w:rPr>
        <w:t>both</w:t>
      </w:r>
      <w:r w:rsidRPr="00ED624F">
        <w:rPr>
          <w:sz w:val="16"/>
        </w:rPr>
        <w:t xml:space="preserve"> of these </w:t>
      </w:r>
      <w:r w:rsidRPr="00456038">
        <w:rPr>
          <w:rStyle w:val="StyleUnderline"/>
          <w:highlight w:val="cyan"/>
        </w:rPr>
        <w:t>cases</w:t>
      </w:r>
      <w:r w:rsidRPr="00ED624F">
        <w:rPr>
          <w:sz w:val="16"/>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5C050531" w14:textId="77777777" w:rsidR="00AD1257" w:rsidRPr="00BD54F4" w:rsidRDefault="00AD1257" w:rsidP="00AD1257">
      <w:pPr>
        <w:pStyle w:val="Heading4"/>
        <w:rPr>
          <w:rFonts w:asciiTheme="minorHAnsi" w:hAnsiTheme="minorHAnsi" w:cstheme="minorHAnsi"/>
        </w:rPr>
      </w:pPr>
      <w:r>
        <w:rPr>
          <w:rFonts w:asciiTheme="minorHAnsi" w:hAnsiTheme="minorHAnsi" w:cstheme="minorHAnsi"/>
        </w:rPr>
        <w:t>Existential risks outweigh.</w:t>
      </w:r>
    </w:p>
    <w:p w14:paraId="47A511B3" w14:textId="77777777" w:rsidR="00AD1257" w:rsidRPr="00857B10" w:rsidRDefault="00AD1257" w:rsidP="00AD1257">
      <w:pPr>
        <w:rPr>
          <w:rFonts w:asciiTheme="minorHAnsi" w:hAnsiTheme="minorHAnsi" w:cstheme="minorHAnsi"/>
        </w:rPr>
      </w:pPr>
      <w:r w:rsidRPr="00610023">
        <w:rPr>
          <w:rStyle w:val="Style13ptBold"/>
        </w:rPr>
        <w:t>Ord 20</w:t>
      </w:r>
      <w:r w:rsidRPr="00E23A1A">
        <w:rPr>
          <w:rStyle w:val="Style13ptBold"/>
          <w:rFonts w:asciiTheme="minorHAnsi" w:hAnsiTheme="minorHAnsi" w:cstheme="minorHAnsi"/>
          <w:sz w:val="24"/>
          <w:szCs w:val="20"/>
        </w:rPr>
        <w:t>.</w:t>
      </w:r>
      <w:r w:rsidRPr="00857B10">
        <w:rPr>
          <w:rFonts w:asciiTheme="minorHAnsi" w:hAnsiTheme="minorHAnsi" w:cstheme="minorHAnsi"/>
        </w:rPr>
        <w:t xml:space="preserve"> </w:t>
      </w:r>
      <w:r w:rsidRPr="00E23A1A">
        <w:rPr>
          <w:rFonts w:asciiTheme="minorHAnsi" w:hAnsiTheme="minorHAnsi" w:cstheme="minorHAnsi"/>
          <w:sz w:val="20"/>
          <w:szCs w:val="20"/>
        </w:rPr>
        <w:t xml:space="preserve">Toby Ord, Senior Research Fellow in Philosophy at Oxford University &amp; world-renowned risk-assessment expert who’s advised the World Health Organization, the World Bank, the World Economic Forum, the US National Intelligence Council and the UK Prime Minister’s Office. (3-3-2020, “The Precipice: Existential Risk and the Future of Humanity,” Hachette Book Group &amp; Bloomsbury Publishing, </w:t>
      </w:r>
      <w:hyperlink r:id="rId64" w:history="1">
        <w:r w:rsidRPr="00E23A1A">
          <w:rPr>
            <w:rStyle w:val="Hyperlink"/>
            <w:rFonts w:asciiTheme="minorHAnsi" w:hAnsiTheme="minorHAnsi" w:cstheme="minorHAnsi"/>
            <w:sz w:val="20"/>
            <w:szCs w:val="20"/>
          </w:rPr>
          <w:t>https://www.google.com/books/edition/The_Precipice/3aSiDwAAQBAJ?hl=en&amp;gbpv=0</w:t>
        </w:r>
      </w:hyperlink>
      <w:r w:rsidRPr="00E23A1A">
        <w:rPr>
          <w:rFonts w:asciiTheme="minorHAnsi" w:hAnsiTheme="minorHAnsi" w:cstheme="minorHAnsi"/>
          <w:sz w:val="20"/>
          <w:szCs w:val="20"/>
        </w:rPr>
        <w:t>, Google Books)//pacc + AM *bracketed for clarity*</w:t>
      </w:r>
    </w:p>
    <w:p w14:paraId="22A4E542" w14:textId="77777777" w:rsidR="00AD1257" w:rsidRPr="00BD54F4" w:rsidRDefault="00AD1257" w:rsidP="00AD1257">
      <w:pPr>
        <w:rPr>
          <w:rStyle w:val="StyleUnderline"/>
        </w:rPr>
      </w:pPr>
      <w:r w:rsidRPr="00BD54F4">
        <w:rPr>
          <w:rStyle w:val="StyleUnderline"/>
        </w:rPr>
        <w:t>UNDERSTANDING EXISTENTIAL RISK</w:t>
      </w:r>
    </w:p>
    <w:p w14:paraId="2AFBD7AA" w14:textId="77777777" w:rsidR="00AD1257" w:rsidRPr="007A7B22" w:rsidRDefault="00AD1257" w:rsidP="00AD1257">
      <w:pPr>
        <w:rPr>
          <w:rFonts w:asciiTheme="minorHAnsi" w:hAnsiTheme="minorHAnsi" w:cstheme="minorHAnsi"/>
          <w:sz w:val="16"/>
        </w:rPr>
      </w:pPr>
      <w:r w:rsidRPr="00BD54F4">
        <w:rPr>
          <w:rFonts w:asciiTheme="minorHAnsi" w:hAnsiTheme="minorHAnsi" w:cstheme="minorHAnsi"/>
          <w:u w:val="single"/>
        </w:rPr>
        <w:t xml:space="preserve">Humanity’s future is </w:t>
      </w:r>
      <w:r w:rsidRPr="00BD54F4">
        <w:rPr>
          <w:rStyle w:val="Emphasis"/>
          <w:rFonts w:asciiTheme="minorHAnsi" w:hAnsiTheme="minorHAnsi" w:cstheme="minorHAnsi"/>
        </w:rPr>
        <w:t>ripe</w:t>
      </w:r>
      <w:r w:rsidRPr="00BD54F4">
        <w:rPr>
          <w:rFonts w:asciiTheme="minorHAnsi" w:hAnsiTheme="minorHAnsi" w:cstheme="minorHAnsi"/>
          <w:u w:val="single"/>
        </w:rPr>
        <w:t xml:space="preserve"> with </w:t>
      </w:r>
      <w:r w:rsidRPr="00BD54F4">
        <w:rPr>
          <w:rStyle w:val="Emphasis"/>
          <w:rFonts w:asciiTheme="minorHAnsi" w:hAnsiTheme="minorHAnsi" w:cstheme="minorHAnsi"/>
        </w:rPr>
        <w:t>possibility</w:t>
      </w:r>
      <w:r w:rsidRPr="007A7B22">
        <w:rPr>
          <w:rFonts w:asciiTheme="minorHAnsi" w:hAnsiTheme="minorHAnsi" w:cstheme="minorHAnsi"/>
          <w:sz w:val="16"/>
        </w:rPr>
        <w:t xml:space="preserve">. </w:t>
      </w:r>
      <w:r w:rsidRPr="00BD54F4">
        <w:rPr>
          <w:rFonts w:asciiTheme="minorHAnsi" w:hAnsiTheme="minorHAnsi" w:cstheme="minorHAnsi"/>
          <w:u w:val="single"/>
        </w:rPr>
        <w:t>We have achieved a rich understanding of the world</w:t>
      </w:r>
      <w:r w:rsidRPr="007A7B22">
        <w:rPr>
          <w:rFonts w:asciiTheme="minorHAnsi" w:hAnsiTheme="minorHAnsi" w:cstheme="minorHAnsi"/>
          <w:sz w:val="16"/>
        </w:rPr>
        <w:t xml:space="preserve"> we inhabit </w:t>
      </w:r>
      <w:r w:rsidRPr="00BD54F4">
        <w:rPr>
          <w:rFonts w:asciiTheme="minorHAnsi" w:hAnsiTheme="minorHAnsi" w:cstheme="minorHAnsi"/>
          <w:u w:val="single"/>
        </w:rPr>
        <w:t>and a level of</w:t>
      </w:r>
      <w:r w:rsidRPr="007A7B22">
        <w:rPr>
          <w:rFonts w:asciiTheme="minorHAnsi" w:hAnsiTheme="minorHAnsi" w:cstheme="minorHAnsi"/>
          <w:sz w:val="16"/>
        </w:rPr>
        <w:t xml:space="preserve"> health and </w:t>
      </w:r>
      <w:r w:rsidRPr="00BD54F4">
        <w:rPr>
          <w:rFonts w:asciiTheme="minorHAnsi" w:hAnsiTheme="minorHAnsi" w:cstheme="minorHAnsi"/>
          <w:u w:val="single"/>
        </w:rPr>
        <w:t>prosperity of which our ancestors could only dream</w:t>
      </w:r>
      <w:r w:rsidRPr="007A7B22">
        <w:rPr>
          <w:rFonts w:asciiTheme="minorHAnsi" w:hAnsiTheme="minorHAnsi" w:cstheme="minorHAnsi"/>
          <w:sz w:val="16"/>
        </w:rPr>
        <w:t xml:space="preserve">. We have begun to explore the other worlds in the heavens above us, and to create virtual worlds completely beyond our ancestors’ comprehension. </w:t>
      </w:r>
      <w:r w:rsidRPr="00BD54F4">
        <w:rPr>
          <w:rFonts w:asciiTheme="minorHAnsi" w:hAnsiTheme="minorHAnsi" w:cstheme="minorHAnsi"/>
          <w:u w:val="single"/>
        </w:rPr>
        <w:t>We know of</w:t>
      </w:r>
      <w:r w:rsidRPr="007A7B22">
        <w:rPr>
          <w:rFonts w:asciiTheme="minorHAnsi" w:hAnsiTheme="minorHAnsi" w:cstheme="minorHAnsi"/>
          <w:sz w:val="16"/>
        </w:rPr>
        <w:t xml:space="preserve"> almost </w:t>
      </w:r>
      <w:r w:rsidRPr="00BD54F4">
        <w:rPr>
          <w:rStyle w:val="Emphasis"/>
          <w:rFonts w:asciiTheme="minorHAnsi" w:hAnsiTheme="minorHAnsi" w:cstheme="minorHAnsi"/>
        </w:rPr>
        <w:t>no limits</w:t>
      </w:r>
      <w:r w:rsidRPr="00BD54F4">
        <w:rPr>
          <w:rFonts w:asciiTheme="minorHAnsi" w:hAnsiTheme="minorHAnsi" w:cstheme="minorHAnsi"/>
          <w:u w:val="single"/>
        </w:rPr>
        <w:t xml:space="preserve"> to</w:t>
      </w:r>
      <w:r w:rsidRPr="00857B10">
        <w:rPr>
          <w:rFonts w:asciiTheme="minorHAnsi" w:hAnsiTheme="minorHAnsi" w:cstheme="minorHAnsi"/>
          <w:u w:val="single"/>
        </w:rPr>
        <w:t xml:space="preserve"> what we might ultimately achieve</w:t>
      </w:r>
      <w:r w:rsidRPr="007A7B22">
        <w:rPr>
          <w:rFonts w:asciiTheme="minorHAnsi" w:hAnsiTheme="minorHAnsi" w:cstheme="minorHAnsi"/>
          <w:sz w:val="16"/>
        </w:rPr>
        <w:t xml:space="preserve">. </w:t>
      </w:r>
    </w:p>
    <w:p w14:paraId="1A8D6190" w14:textId="77777777" w:rsidR="00AD1257" w:rsidRPr="007A7B22" w:rsidRDefault="00AD1257" w:rsidP="00AD1257">
      <w:pPr>
        <w:rPr>
          <w:rFonts w:asciiTheme="minorHAnsi" w:hAnsiTheme="minorHAnsi" w:cstheme="minorHAnsi"/>
          <w:sz w:val="16"/>
        </w:rPr>
      </w:pPr>
      <w:r w:rsidRPr="007A7B22">
        <w:rPr>
          <w:rFonts w:asciiTheme="minorHAnsi" w:hAnsiTheme="minorHAnsi" w:cstheme="minorHAnsi"/>
          <w:sz w:val="16"/>
        </w:rPr>
        <w:t xml:space="preserve">Human </w:t>
      </w:r>
      <w:r w:rsidRPr="00456038">
        <w:rPr>
          <w:rStyle w:val="Emphasis"/>
          <w:rFonts w:asciiTheme="minorHAnsi" w:hAnsiTheme="minorHAnsi" w:cstheme="minorHAnsi"/>
          <w:highlight w:val="cyan"/>
        </w:rPr>
        <w:t>extinction</w:t>
      </w:r>
      <w:r w:rsidRPr="00456038">
        <w:rPr>
          <w:rFonts w:asciiTheme="minorHAnsi" w:hAnsiTheme="minorHAnsi" w:cstheme="minorHAnsi"/>
          <w:highlight w:val="cyan"/>
          <w:u w:val="single"/>
        </w:rPr>
        <w:t xml:space="preserve"> would</w:t>
      </w:r>
      <w:r w:rsidRPr="00857B10">
        <w:rPr>
          <w:rFonts w:asciiTheme="minorHAnsi" w:hAnsiTheme="minorHAnsi" w:cstheme="minorHAnsi"/>
          <w:u w:val="single"/>
        </w:rPr>
        <w:t xml:space="preserve"> </w:t>
      </w:r>
      <w:r w:rsidRPr="00857B10">
        <w:rPr>
          <w:rStyle w:val="Emphasis"/>
          <w:rFonts w:asciiTheme="minorHAnsi" w:hAnsiTheme="minorHAnsi" w:cstheme="minorHAnsi"/>
        </w:rPr>
        <w:t>foreclose</w:t>
      </w:r>
      <w:r w:rsidRPr="00857B10">
        <w:rPr>
          <w:rFonts w:asciiTheme="minorHAnsi" w:hAnsiTheme="minorHAnsi" w:cstheme="minorHAnsi"/>
          <w:u w:val="single"/>
        </w:rPr>
        <w:t xml:space="preserve"> our </w:t>
      </w:r>
      <w:r w:rsidRPr="00857B10">
        <w:rPr>
          <w:rStyle w:val="Emphasis"/>
          <w:rFonts w:asciiTheme="minorHAnsi" w:hAnsiTheme="minorHAnsi" w:cstheme="minorHAnsi"/>
        </w:rPr>
        <w:t>future</w:t>
      </w:r>
      <w:r w:rsidRPr="007A7B22">
        <w:rPr>
          <w:rFonts w:asciiTheme="minorHAnsi" w:hAnsiTheme="minorHAnsi" w:cstheme="minorHAnsi"/>
          <w:sz w:val="16"/>
        </w:rPr>
        <w:t xml:space="preserve">. It would </w:t>
      </w:r>
      <w:r w:rsidRPr="00857B10">
        <w:rPr>
          <w:rFonts w:asciiTheme="minorHAnsi" w:hAnsiTheme="minorHAnsi" w:cstheme="minorHAnsi"/>
          <w:u w:val="single"/>
        </w:rPr>
        <w:t>destroy our potential</w:t>
      </w:r>
      <w:r w:rsidRPr="007A7B22">
        <w:rPr>
          <w:rFonts w:asciiTheme="minorHAnsi" w:hAnsiTheme="minorHAnsi" w:cstheme="minorHAnsi"/>
          <w:sz w:val="16"/>
        </w:rPr>
        <w:t xml:space="preserve">. It would </w:t>
      </w:r>
      <w:r w:rsidRPr="00456038">
        <w:rPr>
          <w:rStyle w:val="Emphasis"/>
          <w:rFonts w:asciiTheme="minorHAnsi" w:hAnsiTheme="minorHAnsi" w:cstheme="minorHAnsi"/>
          <w:highlight w:val="cyan"/>
        </w:rPr>
        <w:t>eliminate all possibilities</w:t>
      </w:r>
      <w:r w:rsidRPr="00857B10">
        <w:rPr>
          <w:rFonts w:asciiTheme="minorHAnsi" w:hAnsiTheme="minorHAnsi" w:cstheme="minorHAnsi"/>
          <w:u w:val="single"/>
        </w:rPr>
        <w:t xml:space="preserve"> but one: a world</w:t>
      </w:r>
      <w:r w:rsidRPr="007A7B22">
        <w:rPr>
          <w:rFonts w:asciiTheme="minorHAnsi" w:hAnsiTheme="minorHAnsi" w:cstheme="minorHAnsi"/>
          <w:sz w:val="16"/>
        </w:rPr>
        <w:t xml:space="preserve"> </w:t>
      </w:r>
      <w:r w:rsidRPr="007A7B22">
        <w:rPr>
          <w:rFonts w:asciiTheme="minorHAnsi" w:hAnsiTheme="minorHAnsi" w:cstheme="minorHAnsi"/>
          <w:strike/>
          <w:sz w:val="16"/>
        </w:rPr>
        <w:t>bereft</w:t>
      </w:r>
      <w:r w:rsidRPr="00857B10">
        <w:rPr>
          <w:rFonts w:asciiTheme="minorHAnsi" w:hAnsiTheme="minorHAnsi" w:cstheme="minorHAnsi"/>
          <w:u w:val="single"/>
        </w:rPr>
        <w:t xml:space="preserve"> [lacking]</w:t>
      </w:r>
      <w:r w:rsidRPr="007A7B22">
        <w:rPr>
          <w:rFonts w:asciiTheme="minorHAnsi" w:hAnsiTheme="minorHAnsi" w:cstheme="minorHAnsi"/>
          <w:sz w:val="16"/>
        </w:rPr>
        <w:t xml:space="preserve"> of </w:t>
      </w:r>
      <w:r w:rsidRPr="00857B10">
        <w:rPr>
          <w:rFonts w:asciiTheme="minorHAnsi" w:hAnsiTheme="minorHAnsi" w:cstheme="minorHAnsi"/>
          <w:u w:val="single"/>
        </w:rPr>
        <w:t>human flourishing</w:t>
      </w:r>
      <w:r w:rsidRPr="007A7B22">
        <w:rPr>
          <w:rFonts w:asciiTheme="minorHAnsi" w:hAnsiTheme="minorHAnsi" w:cstheme="minorHAnsi"/>
          <w:sz w:val="16"/>
        </w:rPr>
        <w:t xml:space="preserve">. </w:t>
      </w:r>
      <w:r w:rsidRPr="00857B10">
        <w:rPr>
          <w:rStyle w:val="Emphasis"/>
          <w:rFonts w:asciiTheme="minorHAnsi" w:hAnsiTheme="minorHAnsi" w:cstheme="minorHAnsi"/>
        </w:rPr>
        <w:t>Extinction</w:t>
      </w:r>
      <w:r w:rsidRPr="007A7B22">
        <w:rPr>
          <w:rFonts w:asciiTheme="minorHAnsi" w:hAnsiTheme="minorHAnsi" w:cstheme="minorHAnsi"/>
          <w:sz w:val="16"/>
        </w:rPr>
        <w:t xml:space="preserve"> would bring about this failed world and lock it in </w:t>
      </w:r>
      <w:r w:rsidRPr="00456038">
        <w:rPr>
          <w:rStyle w:val="Emphasis"/>
          <w:rFonts w:asciiTheme="minorHAnsi" w:hAnsiTheme="minorHAnsi" w:cstheme="minorHAnsi"/>
          <w:szCs w:val="24"/>
          <w:highlight w:val="cyan"/>
        </w:rPr>
        <w:t>forever</w:t>
      </w:r>
      <w:r w:rsidRPr="007A7B22">
        <w:rPr>
          <w:rFonts w:asciiTheme="minorHAnsi" w:hAnsiTheme="minorHAnsi" w:cstheme="minorHAnsi"/>
          <w:sz w:val="16"/>
        </w:rPr>
        <w:t>—</w:t>
      </w:r>
      <w:r w:rsidRPr="00857B10">
        <w:rPr>
          <w:rFonts w:asciiTheme="minorHAnsi" w:hAnsiTheme="minorHAnsi" w:cstheme="minorHAnsi"/>
          <w:u w:val="single"/>
        </w:rPr>
        <w:t>there woul</w:t>
      </w:r>
      <w:r w:rsidRPr="00BD54F4">
        <w:rPr>
          <w:rFonts w:asciiTheme="minorHAnsi" w:hAnsiTheme="minorHAnsi" w:cstheme="minorHAnsi"/>
          <w:u w:val="single"/>
        </w:rPr>
        <w:t>d be</w:t>
      </w:r>
      <w:r w:rsidRPr="00BD54F4">
        <w:rPr>
          <w:rStyle w:val="StyleUnderline"/>
        </w:rPr>
        <w:t xml:space="preserve"> </w:t>
      </w:r>
      <w:r w:rsidRPr="00BD54F4">
        <w:rPr>
          <w:rStyle w:val="Emphasis"/>
          <w:rFonts w:asciiTheme="minorHAnsi" w:hAnsiTheme="minorHAnsi" w:cstheme="minorHAnsi"/>
          <w:szCs w:val="24"/>
        </w:rPr>
        <w:t>no coming back</w:t>
      </w:r>
      <w:r w:rsidRPr="007A7B22">
        <w:rPr>
          <w:rFonts w:asciiTheme="minorHAnsi" w:hAnsiTheme="minorHAnsi" w:cstheme="minorHAnsi"/>
          <w:sz w:val="16"/>
        </w:rPr>
        <w:t xml:space="preserve">. </w:t>
      </w:r>
    </w:p>
    <w:p w14:paraId="3CE48BC2" w14:textId="77777777" w:rsidR="00AD1257" w:rsidRPr="007A7B22" w:rsidRDefault="00AD1257" w:rsidP="00AD1257">
      <w:pPr>
        <w:rPr>
          <w:rFonts w:asciiTheme="minorHAnsi" w:hAnsiTheme="minorHAnsi" w:cstheme="minorHAnsi"/>
          <w:sz w:val="16"/>
        </w:rPr>
      </w:pPr>
      <w:r w:rsidRPr="007A7B22">
        <w:rPr>
          <w:rFonts w:asciiTheme="minorHAnsi" w:hAnsiTheme="minorHAnsi" w:cstheme="minorHAnsi"/>
          <w:sz w:val="16"/>
        </w:rPr>
        <w:t xml:space="preserve">The philosopher Nick </w:t>
      </w:r>
      <w:r w:rsidRPr="00857B10">
        <w:rPr>
          <w:rStyle w:val="Emphasis"/>
          <w:rFonts w:asciiTheme="minorHAnsi" w:hAnsiTheme="minorHAnsi" w:cstheme="minorHAnsi"/>
        </w:rPr>
        <w:t>Bostrom</w:t>
      </w:r>
      <w:r w:rsidRPr="00857B10">
        <w:rPr>
          <w:rFonts w:asciiTheme="minorHAnsi" w:hAnsiTheme="minorHAnsi" w:cstheme="minorHAnsi"/>
          <w:u w:val="single"/>
        </w:rPr>
        <w:t xml:space="preserve"> showed that</w:t>
      </w:r>
      <w:r w:rsidRPr="007A7B22">
        <w:rPr>
          <w:rFonts w:asciiTheme="minorHAnsi" w:hAnsiTheme="minorHAnsi" w:cstheme="minorHAnsi"/>
          <w:sz w:val="16"/>
        </w:rPr>
        <w:t xml:space="preserve"> extinction is not the only way this could happen: there are other catastrophic outcomes in which we lose not just the present, but all our potential for the future. </w:t>
      </w:r>
    </w:p>
    <w:p w14:paraId="26D25F07" w14:textId="77777777" w:rsidR="00AD1257" w:rsidRPr="007A7B22" w:rsidRDefault="00AD1257" w:rsidP="00AD1257">
      <w:pPr>
        <w:rPr>
          <w:rFonts w:asciiTheme="minorHAnsi" w:hAnsiTheme="minorHAnsi" w:cstheme="minorHAnsi"/>
          <w:sz w:val="16"/>
        </w:rPr>
      </w:pPr>
      <w:r w:rsidRPr="007A7B22">
        <w:rPr>
          <w:rFonts w:asciiTheme="minorHAnsi" w:hAnsiTheme="minorHAnsi" w:cstheme="minorHAnsi"/>
          <w:sz w:val="16"/>
        </w:rPr>
        <w:t xml:space="preserve">Consider a world in ruins: </w:t>
      </w:r>
      <w:r w:rsidRPr="00857B10">
        <w:rPr>
          <w:rFonts w:asciiTheme="minorHAnsi" w:hAnsiTheme="minorHAnsi" w:cstheme="minorHAnsi"/>
          <w:u w:val="single"/>
        </w:rPr>
        <w:t xml:space="preserve">an immense catastrophe has triggered a global </w:t>
      </w:r>
      <w:r w:rsidRPr="00857B10">
        <w:rPr>
          <w:rStyle w:val="Emphasis"/>
          <w:rFonts w:asciiTheme="minorHAnsi" w:hAnsiTheme="minorHAnsi" w:cstheme="minorHAnsi"/>
        </w:rPr>
        <w:t>collapse of civilization</w:t>
      </w:r>
      <w:r w:rsidRPr="00857B10">
        <w:rPr>
          <w:rFonts w:asciiTheme="minorHAnsi" w:hAnsiTheme="minorHAnsi" w:cstheme="minorHAnsi"/>
          <w:u w:val="single"/>
        </w:rPr>
        <w:t xml:space="preserve">, </w:t>
      </w:r>
      <w:r w:rsidRPr="00456038">
        <w:rPr>
          <w:rFonts w:asciiTheme="minorHAnsi" w:hAnsiTheme="minorHAnsi" w:cstheme="minorHAnsi"/>
          <w:highlight w:val="cyan"/>
          <w:u w:val="single"/>
        </w:rPr>
        <w:t xml:space="preserve">reducing humanity to a </w:t>
      </w:r>
      <w:r w:rsidRPr="00456038">
        <w:rPr>
          <w:rStyle w:val="Emphasis"/>
          <w:rFonts w:asciiTheme="minorHAnsi" w:hAnsiTheme="minorHAnsi" w:cstheme="minorHAnsi"/>
          <w:highlight w:val="cyan"/>
        </w:rPr>
        <w:t>pre-ag</w:t>
      </w:r>
      <w:r w:rsidRPr="00BD54F4">
        <w:rPr>
          <w:rStyle w:val="Emphasis"/>
          <w:rFonts w:asciiTheme="minorHAnsi" w:hAnsiTheme="minorHAnsi" w:cstheme="minorHAnsi"/>
        </w:rPr>
        <w:t xml:space="preserve">ricultural </w:t>
      </w:r>
      <w:r w:rsidRPr="00456038">
        <w:rPr>
          <w:rStyle w:val="Emphasis"/>
          <w:rFonts w:asciiTheme="minorHAnsi" w:hAnsiTheme="minorHAnsi" w:cstheme="minorHAnsi"/>
          <w:highlight w:val="cyan"/>
        </w:rPr>
        <w:t>state</w:t>
      </w:r>
      <w:r w:rsidRPr="007A7B22">
        <w:rPr>
          <w:rFonts w:asciiTheme="minorHAnsi" w:hAnsiTheme="minorHAnsi" w:cstheme="minorHAnsi"/>
          <w:sz w:val="16"/>
        </w:rPr>
        <w:t xml:space="preserve">. During this catastrophe, the Earth’s environment was damaged so severely that </w:t>
      </w:r>
      <w:r w:rsidRPr="00857B10">
        <w:rPr>
          <w:rFonts w:asciiTheme="minorHAnsi" w:hAnsiTheme="minorHAnsi" w:cstheme="minorHAnsi"/>
          <w:u w:val="single"/>
        </w:rPr>
        <w:t xml:space="preserve">it has become </w:t>
      </w:r>
      <w:r w:rsidRPr="00857B10">
        <w:rPr>
          <w:rStyle w:val="Emphasis"/>
          <w:rFonts w:asciiTheme="minorHAnsi" w:hAnsiTheme="minorHAnsi" w:cstheme="minorHAnsi"/>
        </w:rPr>
        <w:t>impossible</w:t>
      </w:r>
      <w:r w:rsidRPr="00857B10">
        <w:rPr>
          <w:rFonts w:asciiTheme="minorHAnsi" w:hAnsiTheme="minorHAnsi" w:cstheme="minorHAnsi"/>
          <w:u w:val="single"/>
        </w:rPr>
        <w:t xml:space="preserve"> for the survivors </w:t>
      </w:r>
      <w:r w:rsidRPr="00857B10">
        <w:rPr>
          <w:rStyle w:val="Emphasis"/>
          <w:rFonts w:asciiTheme="minorHAnsi" w:hAnsiTheme="minorHAnsi" w:cstheme="minorHAnsi"/>
        </w:rPr>
        <w:t>to</w:t>
      </w:r>
      <w:r w:rsidRPr="00857B10">
        <w:rPr>
          <w:rFonts w:asciiTheme="minorHAnsi" w:hAnsiTheme="minorHAnsi" w:cstheme="minorHAnsi"/>
          <w:u w:val="single"/>
        </w:rPr>
        <w:t xml:space="preserve"> ever </w:t>
      </w:r>
      <w:r w:rsidRPr="00857B10">
        <w:rPr>
          <w:rStyle w:val="Emphasis"/>
          <w:rFonts w:asciiTheme="minorHAnsi" w:hAnsiTheme="minorHAnsi" w:cstheme="minorHAnsi"/>
        </w:rPr>
        <w:t>reestablish civilization</w:t>
      </w:r>
      <w:r w:rsidRPr="007A7B22">
        <w:rPr>
          <w:rFonts w:asciiTheme="minorHAnsi" w:hAnsiTheme="minorHAnsi" w:cstheme="minorHAnsi"/>
          <w:sz w:val="16"/>
        </w:rPr>
        <w:t xml:space="preserve">. </w:t>
      </w:r>
      <w:r w:rsidRPr="00857B10">
        <w:rPr>
          <w:rStyle w:val="Emphasis"/>
          <w:rFonts w:asciiTheme="minorHAnsi" w:hAnsiTheme="minorHAnsi" w:cstheme="minorHAnsi"/>
        </w:rPr>
        <w:t>Even if</w:t>
      </w:r>
      <w:r w:rsidRPr="00857B10">
        <w:rPr>
          <w:rFonts w:asciiTheme="minorHAnsi" w:hAnsiTheme="minorHAnsi" w:cstheme="minorHAnsi"/>
          <w:u w:val="single"/>
        </w:rPr>
        <w:t xml:space="preserve"> such a catastrophe did </w:t>
      </w:r>
      <w:r w:rsidRPr="00857B10">
        <w:rPr>
          <w:rStyle w:val="Emphasis"/>
          <w:rFonts w:asciiTheme="minorHAnsi" w:hAnsiTheme="minorHAnsi" w:cstheme="minorHAnsi"/>
        </w:rPr>
        <w:t>not</w:t>
      </w:r>
      <w:r w:rsidRPr="00857B10">
        <w:rPr>
          <w:rFonts w:asciiTheme="minorHAnsi" w:hAnsiTheme="minorHAnsi" w:cstheme="minorHAnsi"/>
          <w:u w:val="single"/>
        </w:rPr>
        <w:t xml:space="preserve"> cause our </w:t>
      </w:r>
      <w:r w:rsidRPr="00857B10">
        <w:rPr>
          <w:rStyle w:val="Emphasis"/>
          <w:rFonts w:asciiTheme="minorHAnsi" w:hAnsiTheme="minorHAnsi" w:cstheme="minorHAnsi"/>
        </w:rPr>
        <w:t>extinction</w:t>
      </w:r>
      <w:r w:rsidRPr="00857B10">
        <w:rPr>
          <w:rFonts w:asciiTheme="minorHAnsi" w:hAnsiTheme="minorHAnsi" w:cstheme="minorHAnsi"/>
          <w:u w:val="single"/>
        </w:rPr>
        <w:t>,</w:t>
      </w:r>
      <w:r w:rsidRPr="007A7B22">
        <w:rPr>
          <w:rFonts w:asciiTheme="minorHAnsi" w:hAnsiTheme="minorHAnsi" w:cstheme="minorHAnsi"/>
          <w:sz w:val="16"/>
        </w:rPr>
        <w:t xml:space="preserve"> it would have a similar effect on our future. </w:t>
      </w:r>
      <w:r w:rsidRPr="00857B10">
        <w:rPr>
          <w:rFonts w:asciiTheme="minorHAnsi" w:hAnsiTheme="minorHAnsi" w:cstheme="minorHAnsi"/>
          <w:u w:val="single"/>
        </w:rPr>
        <w:t xml:space="preserve">The </w:t>
      </w:r>
      <w:r w:rsidRPr="00857B10">
        <w:rPr>
          <w:rStyle w:val="Emphasis"/>
          <w:rFonts w:asciiTheme="minorHAnsi" w:hAnsiTheme="minorHAnsi" w:cstheme="minorHAnsi"/>
        </w:rPr>
        <w:t>vast</w:t>
      </w:r>
      <w:r w:rsidRPr="00857B10">
        <w:rPr>
          <w:rFonts w:asciiTheme="minorHAnsi" w:hAnsiTheme="minorHAnsi" w:cstheme="minorHAnsi"/>
          <w:u w:val="single"/>
        </w:rPr>
        <w:t xml:space="preserve"> realm of </w:t>
      </w:r>
      <w:r w:rsidRPr="00456038">
        <w:rPr>
          <w:rStyle w:val="Emphasis"/>
          <w:rFonts w:asciiTheme="minorHAnsi" w:hAnsiTheme="minorHAnsi" w:cstheme="minorHAnsi"/>
          <w:highlight w:val="cyan"/>
        </w:rPr>
        <w:t>futures</w:t>
      </w:r>
      <w:r w:rsidRPr="00857B10">
        <w:rPr>
          <w:rFonts w:asciiTheme="minorHAnsi" w:hAnsiTheme="minorHAnsi" w:cstheme="minorHAnsi"/>
          <w:u w:val="single"/>
        </w:rPr>
        <w:t xml:space="preserve"> currently open to us </w:t>
      </w:r>
      <w:r w:rsidRPr="00456038">
        <w:rPr>
          <w:rStyle w:val="Emphasis"/>
          <w:rFonts w:asciiTheme="minorHAnsi" w:hAnsiTheme="minorHAnsi" w:cstheme="minorHAnsi"/>
          <w:highlight w:val="cyan"/>
        </w:rPr>
        <w:t>would</w:t>
      </w:r>
      <w:r w:rsidRPr="00857B10">
        <w:rPr>
          <w:rFonts w:asciiTheme="minorHAnsi" w:hAnsiTheme="minorHAnsi" w:cstheme="minorHAnsi"/>
          <w:u w:val="single"/>
        </w:rPr>
        <w:t xml:space="preserve"> have</w:t>
      </w:r>
      <w:r w:rsidRPr="00BD54F4">
        <w:rPr>
          <w:rStyle w:val="StyleUnderline"/>
        </w:rPr>
        <w:t xml:space="preserve"> </w:t>
      </w:r>
      <w:r w:rsidRPr="00456038">
        <w:rPr>
          <w:rStyle w:val="Emphasis"/>
          <w:rFonts w:asciiTheme="minorHAnsi" w:hAnsiTheme="minorHAnsi" w:cstheme="minorHAnsi"/>
          <w:highlight w:val="cyan"/>
        </w:rPr>
        <w:t>collapse</w:t>
      </w:r>
      <w:r w:rsidRPr="00857B10">
        <w:rPr>
          <w:rFonts w:asciiTheme="minorHAnsi" w:hAnsiTheme="minorHAnsi" w:cstheme="minorHAnsi"/>
          <w:u w:val="single"/>
        </w:rPr>
        <w:t xml:space="preserve">d </w:t>
      </w:r>
      <w:r w:rsidRPr="00456038">
        <w:rPr>
          <w:rStyle w:val="StyleUnderline"/>
          <w:rFonts w:asciiTheme="minorHAnsi" w:hAnsiTheme="minorHAnsi" w:cstheme="minorHAnsi"/>
          <w:highlight w:val="cyan"/>
        </w:rPr>
        <w:t>to</w:t>
      </w:r>
      <w:r w:rsidRPr="00857B10">
        <w:rPr>
          <w:rStyle w:val="StyleUnderline"/>
          <w:rFonts w:asciiTheme="minorHAnsi" w:hAnsiTheme="minorHAnsi" w:cstheme="minorHAnsi"/>
        </w:rPr>
        <w:t xml:space="preserve"> a narrow range of </w:t>
      </w:r>
      <w:r w:rsidRPr="00456038">
        <w:rPr>
          <w:rStyle w:val="StyleUnderline"/>
          <w:rFonts w:asciiTheme="minorHAnsi" w:hAnsiTheme="minorHAnsi" w:cstheme="minorHAnsi"/>
          <w:highlight w:val="cyan"/>
        </w:rPr>
        <w:t>meager options</w:t>
      </w:r>
      <w:r w:rsidRPr="007A7B22">
        <w:rPr>
          <w:rFonts w:asciiTheme="minorHAnsi" w:hAnsiTheme="minorHAnsi" w:cstheme="minorHAnsi"/>
          <w:sz w:val="16"/>
        </w:rPr>
        <w:t xml:space="preserve">. </w:t>
      </w:r>
      <w:r w:rsidRPr="00BD54F4">
        <w:rPr>
          <w:rFonts w:asciiTheme="minorHAnsi" w:hAnsiTheme="minorHAnsi" w:cstheme="minorHAnsi"/>
          <w:u w:val="single"/>
        </w:rPr>
        <w:t xml:space="preserve">We would have </w:t>
      </w:r>
      <w:r w:rsidRPr="00456038">
        <w:rPr>
          <w:rFonts w:asciiTheme="minorHAnsi" w:hAnsiTheme="minorHAnsi" w:cstheme="minorHAnsi"/>
          <w:highlight w:val="cyan"/>
          <w:u w:val="single"/>
        </w:rPr>
        <w:t xml:space="preserve">a </w:t>
      </w:r>
      <w:r w:rsidRPr="00456038">
        <w:rPr>
          <w:rStyle w:val="Emphasis"/>
          <w:rFonts w:asciiTheme="minorHAnsi" w:hAnsiTheme="minorHAnsi" w:cstheme="minorHAnsi"/>
          <w:highlight w:val="cyan"/>
        </w:rPr>
        <w:t>failed world</w:t>
      </w:r>
      <w:r w:rsidRPr="00857B10">
        <w:rPr>
          <w:rFonts w:asciiTheme="minorHAnsi" w:hAnsiTheme="minorHAnsi" w:cstheme="minorHAnsi"/>
          <w:u w:val="single"/>
        </w:rPr>
        <w:t xml:space="preserve"> with </w:t>
      </w:r>
      <w:r w:rsidRPr="00456038">
        <w:rPr>
          <w:rStyle w:val="Emphasis"/>
          <w:rFonts w:asciiTheme="minorHAnsi" w:hAnsiTheme="minorHAnsi" w:cstheme="minorHAnsi"/>
          <w:highlight w:val="cyan"/>
        </w:rPr>
        <w:t>no way back</w:t>
      </w:r>
      <w:r w:rsidRPr="007A7B22">
        <w:rPr>
          <w:rFonts w:asciiTheme="minorHAnsi" w:hAnsiTheme="minorHAnsi" w:cstheme="minorHAnsi"/>
          <w:sz w:val="16"/>
        </w:rPr>
        <w:t xml:space="preserve">. </w:t>
      </w:r>
    </w:p>
    <w:p w14:paraId="6F94694E"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 xml:space="preserve">Or consider a world in chains: in a future reminiscent of George Orwell’s Nineteen Eighty-Four, 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 With everyone on Earth living under such rule, the regime is stable from threats, internal and external. If such a regime could be maintained indefinitely, then descent into this totalitarian future would also have much in common with extinction: just a narrow range of terrible futures remaining, and no way out. </w:t>
      </w:r>
    </w:p>
    <w:p w14:paraId="2B98C668"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 xml:space="preserve">[FIGURE 2.1 Omitted] </w:t>
      </w:r>
    </w:p>
    <w:p w14:paraId="1F003B01" w14:textId="77777777" w:rsidR="00AD1257" w:rsidRPr="007A7B22" w:rsidRDefault="00AD1257" w:rsidP="00AD1257">
      <w:pPr>
        <w:rPr>
          <w:rFonts w:asciiTheme="minorHAnsi" w:hAnsiTheme="minorHAnsi" w:cstheme="minorHAnsi"/>
          <w:sz w:val="16"/>
        </w:rPr>
      </w:pPr>
      <w:r w:rsidRPr="00857B10">
        <w:rPr>
          <w:rFonts w:asciiTheme="minorHAnsi" w:hAnsiTheme="minorHAnsi" w:cstheme="minorHAnsi"/>
          <w:u w:val="single"/>
        </w:rPr>
        <w:t>Following Bostrom,</w:t>
      </w:r>
      <w:r w:rsidRPr="007A7B22">
        <w:rPr>
          <w:rFonts w:asciiTheme="minorHAnsi" w:hAnsiTheme="minorHAnsi" w:cstheme="minorHAnsi"/>
          <w:sz w:val="16"/>
        </w:rPr>
        <w:t xml:space="preserve"> I shall call these “existential catastrophes,” defining them as follows: 3 </w:t>
      </w:r>
    </w:p>
    <w:p w14:paraId="66E46A2E"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 xml:space="preserve">An existential catastrophe is the destruction of humanity’s longterm potential. </w:t>
      </w:r>
    </w:p>
    <w:p w14:paraId="63CA583A" w14:textId="77777777" w:rsidR="00AD1257" w:rsidRPr="007A7B22" w:rsidRDefault="00AD1257" w:rsidP="00AD1257">
      <w:pPr>
        <w:rPr>
          <w:rFonts w:asciiTheme="minorHAnsi" w:hAnsiTheme="minorHAnsi" w:cstheme="minorHAnsi"/>
          <w:sz w:val="16"/>
        </w:rPr>
      </w:pPr>
      <w:r w:rsidRPr="00857B10">
        <w:rPr>
          <w:rFonts w:asciiTheme="minorHAnsi" w:hAnsiTheme="minorHAnsi" w:cstheme="minorHAnsi"/>
          <w:u w:val="single"/>
        </w:rPr>
        <w:t xml:space="preserve">An </w:t>
      </w:r>
      <w:r w:rsidRPr="00857B10">
        <w:rPr>
          <w:rStyle w:val="Emphasis"/>
          <w:rFonts w:asciiTheme="minorHAnsi" w:hAnsiTheme="minorHAnsi" w:cstheme="minorHAnsi"/>
        </w:rPr>
        <w:t>existential risk</w:t>
      </w:r>
      <w:r w:rsidRPr="00857B10">
        <w:rPr>
          <w:rFonts w:asciiTheme="minorHAnsi" w:hAnsiTheme="minorHAnsi" w:cstheme="minorHAnsi"/>
          <w:u w:val="single"/>
        </w:rPr>
        <w:t xml:space="preserve"> is a risk that </w:t>
      </w:r>
      <w:r w:rsidRPr="00857B10">
        <w:rPr>
          <w:rStyle w:val="Emphasis"/>
          <w:rFonts w:asciiTheme="minorHAnsi" w:hAnsiTheme="minorHAnsi" w:cstheme="minorHAnsi"/>
        </w:rPr>
        <w:t>threatens</w:t>
      </w:r>
      <w:r w:rsidRPr="00857B10">
        <w:rPr>
          <w:rFonts w:asciiTheme="minorHAnsi" w:hAnsiTheme="minorHAnsi" w:cstheme="minorHAnsi"/>
          <w:u w:val="single"/>
        </w:rPr>
        <w:t xml:space="preserve"> the destruction of humanity’s </w:t>
      </w:r>
      <w:r w:rsidRPr="00857B10">
        <w:rPr>
          <w:rStyle w:val="Emphasis"/>
          <w:rFonts w:asciiTheme="minorHAnsi" w:hAnsiTheme="minorHAnsi" w:cstheme="minorHAnsi"/>
        </w:rPr>
        <w:t>longterm potential</w:t>
      </w:r>
      <w:r w:rsidRPr="007A7B22">
        <w:rPr>
          <w:rFonts w:asciiTheme="minorHAnsi" w:hAnsiTheme="minorHAnsi" w:cstheme="minorHAnsi"/>
          <w:sz w:val="16"/>
        </w:rPr>
        <w:t xml:space="preserve">. </w:t>
      </w:r>
    </w:p>
    <w:p w14:paraId="64A78A07" w14:textId="77777777" w:rsidR="00AD1257" w:rsidRPr="007A7B22" w:rsidRDefault="00AD1257" w:rsidP="00AD1257">
      <w:pPr>
        <w:rPr>
          <w:rFonts w:asciiTheme="minorHAnsi" w:hAnsiTheme="minorHAnsi" w:cstheme="minorHAnsi"/>
          <w:sz w:val="16"/>
        </w:rPr>
      </w:pPr>
      <w:r w:rsidRPr="00857B10">
        <w:rPr>
          <w:rFonts w:asciiTheme="minorHAnsi" w:hAnsiTheme="minorHAnsi" w:cstheme="minorHAnsi"/>
          <w:u w:val="single"/>
        </w:rPr>
        <w:t>These</w:t>
      </w:r>
      <w:r w:rsidRPr="007A7B22">
        <w:rPr>
          <w:rFonts w:asciiTheme="minorHAnsi" w:hAnsiTheme="minorHAnsi" w:cstheme="minorHAnsi"/>
          <w:sz w:val="16"/>
        </w:rPr>
        <w:t xml:space="preserve"> definitions </w:t>
      </w:r>
      <w:r w:rsidRPr="00857B10">
        <w:rPr>
          <w:rFonts w:asciiTheme="minorHAnsi" w:hAnsiTheme="minorHAnsi" w:cstheme="minorHAnsi"/>
          <w:u w:val="single"/>
        </w:rPr>
        <w:t xml:space="preserve">capture the idea that the outcome of an existential catastrophe is both </w:t>
      </w:r>
      <w:r w:rsidRPr="00857B10">
        <w:rPr>
          <w:rStyle w:val="Emphasis"/>
          <w:rFonts w:asciiTheme="minorHAnsi" w:hAnsiTheme="minorHAnsi" w:cstheme="minorHAnsi"/>
        </w:rPr>
        <w:t>dismal</w:t>
      </w:r>
      <w:r w:rsidRPr="00857B10">
        <w:rPr>
          <w:rFonts w:asciiTheme="minorHAnsi" w:hAnsiTheme="minorHAnsi" w:cstheme="minorHAnsi"/>
          <w:u w:val="single"/>
        </w:rPr>
        <w:t xml:space="preserve"> and </w:t>
      </w:r>
      <w:r w:rsidRPr="00857B10">
        <w:rPr>
          <w:rStyle w:val="Emphasis"/>
          <w:rFonts w:asciiTheme="minorHAnsi" w:hAnsiTheme="minorHAnsi" w:cstheme="minorHAnsi"/>
        </w:rPr>
        <w:t>irrevocable</w:t>
      </w:r>
      <w:r w:rsidRPr="007A7B22">
        <w:rPr>
          <w:rFonts w:asciiTheme="minorHAnsi" w:hAnsiTheme="minorHAnsi" w:cstheme="minorHAnsi"/>
          <w:sz w:val="16"/>
        </w:rPr>
        <w:t xml:space="preserve">. </w:t>
      </w:r>
      <w:r w:rsidRPr="00857B10">
        <w:rPr>
          <w:rFonts w:asciiTheme="minorHAnsi" w:hAnsiTheme="minorHAnsi" w:cstheme="minorHAnsi"/>
          <w:u w:val="single"/>
        </w:rPr>
        <w:t>We will not just fail to fulfill our potential, but this</w:t>
      </w:r>
      <w:r w:rsidRPr="007A7B22">
        <w:rPr>
          <w:rFonts w:asciiTheme="minorHAnsi" w:hAnsiTheme="minorHAnsi" w:cstheme="minorHAnsi"/>
          <w:sz w:val="16"/>
        </w:rPr>
        <w:t xml:space="preserve"> very </w:t>
      </w:r>
      <w:r w:rsidRPr="00857B10">
        <w:rPr>
          <w:rFonts w:asciiTheme="minorHAnsi" w:hAnsiTheme="minorHAnsi" w:cstheme="minorHAnsi"/>
          <w:u w:val="single"/>
        </w:rPr>
        <w:t>potential</w:t>
      </w:r>
      <w:r w:rsidRPr="007A7B22">
        <w:rPr>
          <w:rFonts w:asciiTheme="minorHAnsi" w:hAnsiTheme="minorHAnsi" w:cstheme="minorHAnsi"/>
          <w:sz w:val="16"/>
        </w:rPr>
        <w:t xml:space="preserve"> itself </w:t>
      </w:r>
      <w:r w:rsidRPr="00857B10">
        <w:rPr>
          <w:rFonts w:asciiTheme="minorHAnsi" w:hAnsiTheme="minorHAnsi" w:cstheme="minorHAnsi"/>
          <w:u w:val="single"/>
        </w:rPr>
        <w:t xml:space="preserve">will be </w:t>
      </w:r>
      <w:r w:rsidRPr="00857B10">
        <w:rPr>
          <w:rStyle w:val="Emphasis"/>
          <w:rFonts w:asciiTheme="minorHAnsi" w:hAnsiTheme="minorHAnsi" w:cstheme="minorHAnsi"/>
        </w:rPr>
        <w:t>permanently lost</w:t>
      </w:r>
      <w:r w:rsidRPr="007A7B22">
        <w:rPr>
          <w:rFonts w:asciiTheme="minorHAnsi" w:hAnsiTheme="minorHAnsi" w:cstheme="minorHAnsi"/>
          <w:sz w:val="16"/>
        </w:rPr>
        <w:t xml:space="preserve">. While I want to keep the official definitions succinct, there are several areas that warrant clarification. </w:t>
      </w:r>
    </w:p>
    <w:p w14:paraId="0A670A09" w14:textId="77777777" w:rsidR="00AD1257" w:rsidRPr="007A7B22" w:rsidRDefault="00AD1257" w:rsidP="00AD1257">
      <w:pPr>
        <w:rPr>
          <w:rFonts w:asciiTheme="minorHAnsi" w:hAnsiTheme="minorHAnsi" w:cstheme="minorHAnsi"/>
          <w:sz w:val="16"/>
        </w:rPr>
      </w:pPr>
      <w:r w:rsidRPr="007A7B22">
        <w:rPr>
          <w:rFonts w:asciiTheme="minorHAnsi" w:hAnsiTheme="minorHAnsi" w:cstheme="minorHAnsi"/>
          <w:sz w:val="16"/>
        </w:rPr>
        <w:t xml:space="preserve">First, I am understanding humanity’s longterm potential in terms of the set of all possible futures that remain open to us. 4 This is an expansive idea of possibility, </w:t>
      </w:r>
      <w:r w:rsidRPr="00BD54F4">
        <w:rPr>
          <w:rFonts w:asciiTheme="minorHAnsi" w:hAnsiTheme="minorHAnsi" w:cstheme="minorHAnsi"/>
          <w:u w:val="single"/>
        </w:rPr>
        <w:t xml:space="preserve">including </w:t>
      </w:r>
      <w:r w:rsidRPr="00BD54F4">
        <w:rPr>
          <w:rStyle w:val="Emphasis"/>
          <w:rFonts w:asciiTheme="minorHAnsi" w:hAnsiTheme="minorHAnsi" w:cstheme="minorHAnsi"/>
        </w:rPr>
        <w:t>everything</w:t>
      </w:r>
      <w:r w:rsidRPr="00BD54F4">
        <w:rPr>
          <w:rFonts w:asciiTheme="minorHAnsi" w:hAnsiTheme="minorHAnsi" w:cstheme="minorHAnsi"/>
          <w:u w:val="single"/>
        </w:rPr>
        <w:t xml:space="preserve"> that humanity could eventually achieve, even if we have yet to invent the means of achieving it</w:t>
      </w:r>
      <w:r w:rsidRPr="007A7B22">
        <w:rPr>
          <w:rFonts w:asciiTheme="minorHAnsi" w:hAnsiTheme="minorHAnsi" w:cstheme="minorHAnsi"/>
          <w:sz w:val="16"/>
        </w:rPr>
        <w:t xml:space="preserve">. 5 But it follows that while our choices can lock things in, closing off possibilities, they can’t open up new ones. So any reduction in humanity’s potential </w:t>
      </w:r>
      <w:r w:rsidRPr="00BD54F4">
        <w:rPr>
          <w:rFonts w:asciiTheme="minorHAnsi" w:hAnsiTheme="minorHAnsi" w:cstheme="minorHAnsi"/>
          <w:u w:val="single"/>
        </w:rPr>
        <w:t xml:space="preserve">should be understood as </w:t>
      </w:r>
      <w:r w:rsidRPr="00BD54F4">
        <w:rPr>
          <w:rStyle w:val="Emphasis"/>
          <w:rFonts w:asciiTheme="minorHAnsi" w:hAnsiTheme="minorHAnsi" w:cstheme="minorHAnsi"/>
        </w:rPr>
        <w:t>permanent</w:t>
      </w:r>
      <w:r w:rsidRPr="007A7B22">
        <w:rPr>
          <w:rFonts w:asciiTheme="minorHAnsi" w:hAnsiTheme="minorHAnsi" w:cstheme="minorHAnsi"/>
          <w:sz w:val="16"/>
        </w:rPr>
        <w:t xml:space="preserve">. </w:t>
      </w:r>
      <w:r w:rsidRPr="00BD54F4">
        <w:rPr>
          <w:rFonts w:asciiTheme="minorHAnsi" w:hAnsiTheme="minorHAnsi" w:cstheme="minorHAnsi"/>
          <w:u w:val="single"/>
        </w:rPr>
        <w:t xml:space="preserve">The challenge </w:t>
      </w:r>
      <w:r w:rsidRPr="007A7B22">
        <w:rPr>
          <w:rFonts w:asciiTheme="minorHAnsi" w:hAnsiTheme="minorHAnsi" w:cstheme="minorHAnsi"/>
          <w:sz w:val="16"/>
        </w:rPr>
        <w:t xml:space="preserve">of our time </w:t>
      </w:r>
      <w:r w:rsidRPr="00BD54F4">
        <w:rPr>
          <w:rFonts w:asciiTheme="minorHAnsi" w:hAnsiTheme="minorHAnsi" w:cstheme="minorHAnsi"/>
          <w:u w:val="single"/>
        </w:rPr>
        <w:t xml:space="preserve">is to </w:t>
      </w:r>
      <w:r w:rsidRPr="00BD54F4">
        <w:rPr>
          <w:rStyle w:val="Emphasis"/>
          <w:rFonts w:asciiTheme="minorHAnsi" w:hAnsiTheme="minorHAnsi" w:cstheme="minorHAnsi"/>
        </w:rPr>
        <w:t>preserve</w:t>
      </w:r>
      <w:r w:rsidRPr="00BD54F4">
        <w:rPr>
          <w:rFonts w:asciiTheme="minorHAnsi" w:hAnsiTheme="minorHAnsi" w:cstheme="minorHAnsi"/>
          <w:u w:val="single"/>
        </w:rPr>
        <w:t xml:space="preserve"> our vast potential, and</w:t>
      </w:r>
      <w:r w:rsidRPr="007A7B22">
        <w:rPr>
          <w:rFonts w:asciiTheme="minorHAnsi" w:hAnsiTheme="minorHAnsi" w:cstheme="minorHAnsi"/>
          <w:sz w:val="16"/>
        </w:rPr>
        <w:t xml:space="preserve"> to protect it against the risk of future destruction. The ultimate purpose is </w:t>
      </w:r>
      <w:r w:rsidRPr="00BD54F4">
        <w:rPr>
          <w:rFonts w:asciiTheme="minorHAnsi" w:hAnsiTheme="minorHAnsi" w:cstheme="minorHAnsi"/>
          <w:u w:val="single"/>
        </w:rPr>
        <w:t xml:space="preserve">to allow our </w:t>
      </w:r>
      <w:r w:rsidRPr="00BD54F4">
        <w:rPr>
          <w:rStyle w:val="Emphasis"/>
          <w:rFonts w:asciiTheme="minorHAnsi" w:hAnsiTheme="minorHAnsi" w:cstheme="minorHAnsi"/>
        </w:rPr>
        <w:t>descendants</w:t>
      </w:r>
      <w:r w:rsidRPr="00BD54F4">
        <w:rPr>
          <w:rFonts w:asciiTheme="minorHAnsi" w:hAnsiTheme="minorHAnsi" w:cstheme="minorHAnsi"/>
          <w:u w:val="single"/>
        </w:rPr>
        <w:t xml:space="preserve"> to </w:t>
      </w:r>
      <w:r w:rsidRPr="00BD54F4">
        <w:rPr>
          <w:rStyle w:val="Emphasis"/>
          <w:rFonts w:asciiTheme="minorHAnsi" w:hAnsiTheme="minorHAnsi" w:cstheme="minorHAnsi"/>
        </w:rPr>
        <w:t>fulfill</w:t>
      </w:r>
      <w:r w:rsidRPr="00BD54F4">
        <w:rPr>
          <w:rFonts w:asciiTheme="minorHAnsi" w:hAnsiTheme="minorHAnsi" w:cstheme="minorHAnsi"/>
          <w:u w:val="single"/>
        </w:rPr>
        <w:t xml:space="preserve"> our </w:t>
      </w:r>
      <w:r w:rsidRPr="00BD54F4">
        <w:rPr>
          <w:rStyle w:val="Emphasis"/>
          <w:rFonts w:asciiTheme="minorHAnsi" w:hAnsiTheme="minorHAnsi" w:cstheme="minorHAnsi"/>
        </w:rPr>
        <w:t>potential</w:t>
      </w:r>
      <w:r w:rsidRPr="00BD54F4">
        <w:rPr>
          <w:rFonts w:asciiTheme="minorHAnsi" w:hAnsiTheme="minorHAnsi" w:cstheme="minorHAnsi"/>
          <w:u w:val="single"/>
        </w:rPr>
        <w:t>, realizing one of the</w:t>
      </w:r>
      <w:r w:rsidRPr="00857B10">
        <w:rPr>
          <w:rFonts w:asciiTheme="minorHAnsi" w:hAnsiTheme="minorHAnsi" w:cstheme="minorHAnsi"/>
          <w:u w:val="single"/>
        </w:rPr>
        <w:t xml:space="preserve"> </w:t>
      </w:r>
      <w:r w:rsidRPr="00857B10">
        <w:rPr>
          <w:rStyle w:val="Emphasis"/>
          <w:rFonts w:asciiTheme="minorHAnsi" w:hAnsiTheme="minorHAnsi" w:cstheme="minorHAnsi"/>
        </w:rPr>
        <w:t>best possible futures</w:t>
      </w:r>
      <w:r w:rsidRPr="00857B10">
        <w:rPr>
          <w:rFonts w:asciiTheme="minorHAnsi" w:hAnsiTheme="minorHAnsi" w:cstheme="minorHAnsi"/>
          <w:u w:val="single"/>
        </w:rPr>
        <w:t xml:space="preserve"> open to us</w:t>
      </w:r>
      <w:r w:rsidRPr="007A7B22">
        <w:rPr>
          <w:rFonts w:asciiTheme="minorHAnsi" w:hAnsiTheme="minorHAnsi" w:cstheme="minorHAnsi"/>
          <w:sz w:val="16"/>
        </w:rPr>
        <w:t xml:space="preserve">. </w:t>
      </w:r>
    </w:p>
    <w:p w14:paraId="2DF8A66E"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 xml:space="preserve">While it may seem abstract at this scale, this is really a familiar idea that we encounter every day. Consider a child with high longterm potential: with futures open to her in which she leads a great life. It is important that her potential is preserved: that her best futures aren’t cut off due to accident, trauma or lack of education. It is important that her potential is protected: that we build in safeguards to make such a loss of potential extremely unlikely. And it is important that she ultimately fulfills her potential: that she ends up taking one of the best paths open to her. So too for humanity. </w:t>
      </w:r>
    </w:p>
    <w:p w14:paraId="3715956A" w14:textId="77777777" w:rsidR="00AD1257" w:rsidRPr="007A7B22" w:rsidRDefault="00AD1257" w:rsidP="00AD1257">
      <w:pPr>
        <w:rPr>
          <w:rFonts w:asciiTheme="minorHAnsi" w:hAnsiTheme="minorHAnsi" w:cstheme="minorHAnsi"/>
          <w:sz w:val="16"/>
        </w:rPr>
      </w:pPr>
      <w:r w:rsidRPr="007A7B22">
        <w:rPr>
          <w:rFonts w:asciiTheme="minorHAnsi" w:hAnsiTheme="minorHAnsi" w:cstheme="minorHAnsi"/>
          <w:sz w:val="16"/>
        </w:rPr>
        <w:t xml:space="preserve">Existential risks threaten the destruction of humanity’s potential. This includes cases where this destruction is complete (such as extinction) and where it is nearly complete, such as a permanent collapse of civilization in which the possibility for some very minor types of flourishing remain, or where there remains some remote chance of recovery. 6 </w:t>
      </w:r>
      <w:r w:rsidRPr="00857B10">
        <w:rPr>
          <w:rFonts w:asciiTheme="minorHAnsi" w:hAnsiTheme="minorHAnsi" w:cstheme="minorHAnsi"/>
          <w:u w:val="single"/>
        </w:rPr>
        <w:t xml:space="preserve">I </w:t>
      </w:r>
      <w:r w:rsidRPr="00456038">
        <w:rPr>
          <w:rFonts w:asciiTheme="minorHAnsi" w:hAnsiTheme="minorHAnsi" w:cstheme="minorHAnsi"/>
          <w:highlight w:val="cyan"/>
          <w:u w:val="single"/>
        </w:rPr>
        <w:t>leave the thresholds vague</w:t>
      </w:r>
      <w:r w:rsidRPr="00857B10">
        <w:rPr>
          <w:rFonts w:asciiTheme="minorHAnsi" w:hAnsiTheme="minorHAnsi" w:cstheme="minorHAnsi"/>
          <w:u w:val="single"/>
        </w:rPr>
        <w:t xml:space="preserve">, but it should be understood that in any existential catastrophe the greater part of our </w:t>
      </w:r>
      <w:r w:rsidRPr="00857B10">
        <w:rPr>
          <w:rStyle w:val="Emphasis"/>
          <w:rFonts w:asciiTheme="minorHAnsi" w:hAnsiTheme="minorHAnsi" w:cstheme="minorHAnsi"/>
        </w:rPr>
        <w:t>potential</w:t>
      </w:r>
      <w:r w:rsidRPr="00857B10">
        <w:rPr>
          <w:rFonts w:asciiTheme="minorHAnsi" w:hAnsiTheme="minorHAnsi" w:cstheme="minorHAnsi"/>
          <w:u w:val="single"/>
        </w:rPr>
        <w:t xml:space="preserve"> is </w:t>
      </w:r>
      <w:r w:rsidRPr="00857B10">
        <w:rPr>
          <w:rStyle w:val="Emphasis"/>
          <w:rFonts w:asciiTheme="minorHAnsi" w:hAnsiTheme="minorHAnsi" w:cstheme="minorHAnsi"/>
        </w:rPr>
        <w:t>gone</w:t>
      </w:r>
      <w:r w:rsidRPr="00857B10">
        <w:rPr>
          <w:rFonts w:asciiTheme="minorHAnsi" w:hAnsiTheme="minorHAnsi" w:cstheme="minorHAnsi"/>
          <w:u w:val="single"/>
        </w:rPr>
        <w:t xml:space="preserve"> and </w:t>
      </w:r>
      <w:r w:rsidRPr="00857B10">
        <w:rPr>
          <w:rStyle w:val="Emphasis"/>
          <w:rFonts w:asciiTheme="minorHAnsi" w:hAnsiTheme="minorHAnsi" w:cstheme="minorHAnsi"/>
        </w:rPr>
        <w:t>very little remains</w:t>
      </w:r>
      <w:r w:rsidRPr="007A7B22">
        <w:rPr>
          <w:rFonts w:asciiTheme="minorHAnsi" w:hAnsiTheme="minorHAnsi" w:cstheme="minorHAnsi"/>
          <w:sz w:val="16"/>
        </w:rPr>
        <w:t>.</w:t>
      </w:r>
    </w:p>
    <w:p w14:paraId="5211D9F9" w14:textId="77777777" w:rsidR="00AD1257" w:rsidRPr="007A7B22" w:rsidRDefault="00AD1257" w:rsidP="00AD1257">
      <w:pPr>
        <w:rPr>
          <w:sz w:val="16"/>
        </w:rPr>
      </w:pPr>
      <w:r w:rsidRPr="007A7B22">
        <w:rPr>
          <w:sz w:val="16"/>
        </w:rPr>
        <w:t xml:space="preserve">Second, </w:t>
      </w:r>
      <w:r w:rsidRPr="00857B10">
        <w:rPr>
          <w:u w:val="single"/>
        </w:rPr>
        <w:t xml:space="preserve">my focus on humanity in the definitions is </w:t>
      </w:r>
      <w:r w:rsidRPr="00857B10">
        <w:rPr>
          <w:rStyle w:val="Emphasis"/>
          <w:rFonts w:asciiTheme="minorHAnsi" w:hAnsiTheme="minorHAnsi" w:cstheme="minorHAnsi"/>
        </w:rPr>
        <w:t>not supposed to exclude</w:t>
      </w:r>
      <w:r w:rsidRPr="00BD54F4">
        <w:rPr>
          <w:rStyle w:val="StyleUnderline"/>
        </w:rPr>
        <w:t xml:space="preserve"> </w:t>
      </w:r>
      <w:r w:rsidRPr="00857B10">
        <w:rPr>
          <w:u w:val="single"/>
        </w:rPr>
        <w:t xml:space="preserve">considerations of the value of the </w:t>
      </w:r>
      <w:r w:rsidRPr="00BD54F4">
        <w:rPr>
          <w:rStyle w:val="Emphasis"/>
        </w:rPr>
        <w:t>environment</w:t>
      </w:r>
      <w:r w:rsidRPr="007A7B22">
        <w:rPr>
          <w:sz w:val="16"/>
        </w:rPr>
        <w:t xml:space="preserve">, other animals, successors to Homo sapiens, or creatures elsewhere in the cosmos. It is not that I think only humans count. Instead, it is that </w:t>
      </w:r>
      <w:r w:rsidRPr="00857B10">
        <w:rPr>
          <w:u w:val="single"/>
        </w:rPr>
        <w:t xml:space="preserve">humans are the only beings we know of that are </w:t>
      </w:r>
      <w:r w:rsidRPr="00857B10">
        <w:rPr>
          <w:rStyle w:val="Emphasis"/>
          <w:rFonts w:asciiTheme="minorHAnsi" w:hAnsiTheme="minorHAnsi" w:cstheme="minorHAnsi"/>
        </w:rPr>
        <w:t>responsive to moral reasons</w:t>
      </w:r>
      <w:r w:rsidRPr="00857B10">
        <w:rPr>
          <w:u w:val="single"/>
        </w:rPr>
        <w:t xml:space="preserve"> and moral argument</w:t>
      </w:r>
      <w:r w:rsidRPr="007A7B22">
        <w:rPr>
          <w:sz w:val="16"/>
        </w:rPr>
        <w:t xml:space="preserve">—the beings who can examine the world and decide to do what is best. </w:t>
      </w:r>
      <w:r w:rsidRPr="00BD54F4">
        <w:rPr>
          <w:rStyle w:val="Emphasis"/>
          <w:rFonts w:asciiTheme="minorHAnsi" w:hAnsiTheme="minorHAnsi" w:cstheme="minorHAnsi"/>
        </w:rPr>
        <w:t>If we fail</w:t>
      </w:r>
      <w:r w:rsidRPr="007A7B22">
        <w:rPr>
          <w:sz w:val="16"/>
        </w:rPr>
        <w:t xml:space="preserve">, that upward force, </w:t>
      </w:r>
      <w:r w:rsidRPr="00BD54F4">
        <w:rPr>
          <w:u w:val="single"/>
        </w:rPr>
        <w:t xml:space="preserve">that capacity </w:t>
      </w:r>
      <w:r w:rsidRPr="00BD54F4">
        <w:rPr>
          <w:rStyle w:val="Emphasis"/>
          <w:rFonts w:asciiTheme="minorHAnsi" w:hAnsiTheme="minorHAnsi" w:cstheme="minorHAnsi"/>
          <w:b w:val="0"/>
          <w:bCs/>
        </w:rPr>
        <w:t>to</w:t>
      </w:r>
      <w:r w:rsidRPr="00BD54F4">
        <w:rPr>
          <w:rStyle w:val="Emphasis"/>
          <w:rFonts w:asciiTheme="minorHAnsi" w:hAnsiTheme="minorHAnsi" w:cstheme="minorHAnsi"/>
        </w:rPr>
        <w:t xml:space="preserve"> push</w:t>
      </w:r>
      <w:r w:rsidRPr="00BD54F4">
        <w:rPr>
          <w:u w:val="single"/>
        </w:rPr>
        <w:t xml:space="preserve"> toward what is </w:t>
      </w:r>
      <w:r w:rsidRPr="007A7B22">
        <w:rPr>
          <w:sz w:val="16"/>
        </w:rPr>
        <w:t xml:space="preserve">best or what is </w:t>
      </w:r>
      <w:r w:rsidRPr="00BD54F4">
        <w:rPr>
          <w:rStyle w:val="Emphasis"/>
          <w:rFonts w:asciiTheme="minorHAnsi" w:hAnsiTheme="minorHAnsi" w:cstheme="minorHAnsi"/>
        </w:rPr>
        <w:t>just</w:t>
      </w:r>
      <w:r w:rsidRPr="00BD54F4">
        <w:rPr>
          <w:u w:val="single"/>
        </w:rPr>
        <w:t xml:space="preserve">, will </w:t>
      </w:r>
      <w:r w:rsidRPr="00BD54F4">
        <w:rPr>
          <w:rStyle w:val="Emphasis"/>
          <w:rFonts w:asciiTheme="minorHAnsi" w:hAnsiTheme="minorHAnsi" w:cstheme="minorHAnsi"/>
        </w:rPr>
        <w:t>vanish</w:t>
      </w:r>
      <w:r w:rsidRPr="007A7B22">
        <w:rPr>
          <w:sz w:val="16"/>
        </w:rPr>
        <w:t xml:space="preserve"> from the world. </w:t>
      </w:r>
    </w:p>
    <w:p w14:paraId="11E416D4" w14:textId="77777777" w:rsidR="00AD1257" w:rsidRPr="007A7B22" w:rsidRDefault="00AD1257" w:rsidP="00AD1257">
      <w:pPr>
        <w:rPr>
          <w:rFonts w:asciiTheme="minorHAnsi" w:hAnsiTheme="minorHAnsi" w:cstheme="minorHAnsi"/>
          <w:sz w:val="16"/>
        </w:rPr>
      </w:pPr>
      <w:r w:rsidRPr="00857B10">
        <w:rPr>
          <w:rFonts w:asciiTheme="minorHAnsi" w:hAnsiTheme="minorHAnsi" w:cstheme="minorHAnsi"/>
          <w:u w:val="single"/>
        </w:rPr>
        <w:t xml:space="preserve">Our </w:t>
      </w:r>
      <w:r w:rsidRPr="00BD54F4">
        <w:rPr>
          <w:rFonts w:asciiTheme="minorHAnsi" w:hAnsiTheme="minorHAnsi" w:cstheme="minorHAnsi"/>
          <w:u w:val="single"/>
        </w:rPr>
        <w:t xml:space="preserve">potential is a matter of what humanity can achieve through the combined actions of </w:t>
      </w:r>
      <w:r w:rsidRPr="00BD54F4">
        <w:rPr>
          <w:rStyle w:val="Emphasis"/>
          <w:rFonts w:asciiTheme="minorHAnsi" w:hAnsiTheme="minorHAnsi" w:cstheme="minorHAnsi"/>
          <w:szCs w:val="24"/>
        </w:rPr>
        <w:t>each and every human</w:t>
      </w:r>
      <w:r w:rsidRPr="007A7B22">
        <w:rPr>
          <w:rFonts w:asciiTheme="minorHAnsi" w:hAnsiTheme="minorHAnsi" w:cstheme="minorHAnsi"/>
          <w:sz w:val="16"/>
        </w:rPr>
        <w:t xml:space="preserve">. The value of our actions will stem in part from what we do to and for humans, but it will depend on the effects of our actions on non-humans too. If we somehow give rise to new kinds of moral agents in the future, the term “humanity” in my definition should be taken to include them. </w:t>
      </w:r>
    </w:p>
    <w:p w14:paraId="764C6FAB"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My focus on humanity prevents threats to a single country or culture from counting as existential risks. There is a similar term that gets used this way—when people say that something is “an existential threat to this country.” Setting aside the fact that these claims are usually hyperbole, they are expressing a similar idea: that something threatens to permanently destroy the longterm potential of a country or culture.</w:t>
      </w:r>
    </w:p>
    <w:p w14:paraId="6D64FD36" w14:textId="77777777" w:rsidR="00AD1257" w:rsidRPr="007A7B22" w:rsidRDefault="00AD1257" w:rsidP="00AD1257">
      <w:pPr>
        <w:rPr>
          <w:rFonts w:asciiTheme="minorHAnsi" w:hAnsiTheme="minorHAnsi" w:cstheme="minorHAnsi"/>
          <w:sz w:val="16"/>
        </w:rPr>
      </w:pPr>
      <w:r w:rsidRPr="007A7B22">
        <w:rPr>
          <w:rFonts w:asciiTheme="minorHAnsi" w:hAnsiTheme="minorHAnsi" w:cstheme="minorHAnsi"/>
          <w:sz w:val="16"/>
        </w:rPr>
        <w:t xml:space="preserve">Third, any notion of </w:t>
      </w:r>
      <w:r w:rsidRPr="00857B10">
        <w:rPr>
          <w:rFonts w:asciiTheme="minorHAnsi" w:hAnsiTheme="minorHAnsi" w:cstheme="minorHAnsi"/>
          <w:u w:val="single"/>
        </w:rPr>
        <w:t>risk must involve some kind of probability</w:t>
      </w:r>
      <w:r w:rsidRPr="007A7B22">
        <w:rPr>
          <w:rFonts w:asciiTheme="minorHAnsi" w:hAnsiTheme="minorHAnsi" w:cstheme="minorHAnsi"/>
          <w:sz w:val="16"/>
        </w:rPr>
        <w:t xml:space="preserve">. What kind is involved in existential risk? </w:t>
      </w:r>
      <w:r w:rsidRPr="00857B10">
        <w:rPr>
          <w:rFonts w:asciiTheme="minorHAnsi" w:hAnsiTheme="minorHAnsi" w:cstheme="minorHAnsi"/>
          <w:u w:val="single"/>
        </w:rPr>
        <w:t>Understanding</w:t>
      </w:r>
      <w:r w:rsidRPr="007A7B22">
        <w:rPr>
          <w:rFonts w:asciiTheme="minorHAnsi" w:hAnsiTheme="minorHAnsi" w:cstheme="minorHAnsi"/>
          <w:sz w:val="16"/>
        </w:rPr>
        <w:t xml:space="preserve"> the </w:t>
      </w:r>
      <w:r w:rsidRPr="00857B10">
        <w:rPr>
          <w:rFonts w:asciiTheme="minorHAnsi" w:hAnsiTheme="minorHAnsi" w:cstheme="minorHAnsi"/>
          <w:u w:val="single"/>
        </w:rPr>
        <w:t>probability in terms of objective long-run frequencies won’t work, as</w:t>
      </w:r>
      <w:r w:rsidRPr="007A7B22">
        <w:rPr>
          <w:rFonts w:asciiTheme="minorHAnsi" w:hAnsiTheme="minorHAnsi" w:cstheme="minorHAnsi"/>
          <w:sz w:val="16"/>
        </w:rPr>
        <w:t xml:space="preserve"> the </w:t>
      </w:r>
      <w:r w:rsidRPr="003961A1">
        <w:rPr>
          <w:rFonts w:asciiTheme="minorHAnsi" w:hAnsiTheme="minorHAnsi" w:cstheme="minorHAnsi"/>
          <w:u w:val="single"/>
        </w:rPr>
        <w:t>existential catastrophes</w:t>
      </w:r>
      <w:r w:rsidRPr="007A7B22">
        <w:rPr>
          <w:rFonts w:asciiTheme="minorHAnsi" w:hAnsiTheme="minorHAnsi" w:cstheme="minorHAnsi"/>
          <w:sz w:val="16"/>
        </w:rPr>
        <w:t xml:space="preserve"> we are concerned with </w:t>
      </w:r>
      <w:r w:rsidRPr="00857B10">
        <w:rPr>
          <w:rFonts w:asciiTheme="minorHAnsi" w:hAnsiTheme="minorHAnsi" w:cstheme="minorHAnsi"/>
          <w:u w:val="single"/>
        </w:rPr>
        <w:t xml:space="preserve">can only ever happen once, and </w:t>
      </w:r>
      <w:r w:rsidRPr="003961A1">
        <w:rPr>
          <w:rFonts w:asciiTheme="minorHAnsi" w:hAnsiTheme="minorHAnsi" w:cstheme="minorHAnsi"/>
          <w:u w:val="single"/>
        </w:rPr>
        <w:t>will</w:t>
      </w:r>
      <w:r w:rsidRPr="00857B10">
        <w:rPr>
          <w:rFonts w:asciiTheme="minorHAnsi" w:hAnsiTheme="minorHAnsi" w:cstheme="minorHAnsi"/>
          <w:u w:val="single"/>
        </w:rPr>
        <w:t xml:space="preserve"> always </w:t>
      </w:r>
      <w:r w:rsidRPr="003961A1">
        <w:rPr>
          <w:rFonts w:asciiTheme="minorHAnsi" w:hAnsiTheme="minorHAnsi" w:cstheme="minorHAnsi"/>
          <w:u w:val="single"/>
        </w:rPr>
        <w:t xml:space="preserve">be </w:t>
      </w:r>
      <w:r w:rsidRPr="00456038">
        <w:rPr>
          <w:rStyle w:val="Emphasis"/>
          <w:rFonts w:asciiTheme="minorHAnsi" w:hAnsiTheme="minorHAnsi" w:cstheme="minorHAnsi"/>
          <w:highlight w:val="cyan"/>
        </w:rPr>
        <w:t>unprecedented</w:t>
      </w:r>
      <w:r w:rsidRPr="00456038">
        <w:rPr>
          <w:rFonts w:asciiTheme="minorHAnsi" w:hAnsiTheme="minorHAnsi" w:cstheme="minorHAnsi"/>
          <w:highlight w:val="cyan"/>
          <w:u w:val="single"/>
        </w:rPr>
        <w:t xml:space="preserve"> until</w:t>
      </w:r>
      <w:r w:rsidRPr="00857B10">
        <w:rPr>
          <w:rFonts w:asciiTheme="minorHAnsi" w:hAnsiTheme="minorHAnsi" w:cstheme="minorHAnsi"/>
          <w:u w:val="single"/>
        </w:rPr>
        <w:t xml:space="preserve"> the moment it is </w:t>
      </w:r>
      <w:r w:rsidRPr="00456038">
        <w:rPr>
          <w:rStyle w:val="Emphasis"/>
          <w:rFonts w:asciiTheme="minorHAnsi" w:hAnsiTheme="minorHAnsi" w:cstheme="minorHAnsi"/>
          <w:highlight w:val="cyan"/>
        </w:rPr>
        <w:t>too late</w:t>
      </w:r>
      <w:r w:rsidRPr="007A7B22">
        <w:rPr>
          <w:rFonts w:asciiTheme="minorHAnsi" w:hAnsiTheme="minorHAnsi" w:cstheme="minorHAnsi"/>
          <w:sz w:val="16"/>
        </w:rPr>
        <w:t xml:space="preserve">. </w:t>
      </w:r>
      <w:r w:rsidRPr="00857B10">
        <w:rPr>
          <w:rFonts w:asciiTheme="minorHAnsi" w:hAnsiTheme="minorHAnsi" w:cstheme="minorHAnsi"/>
          <w:u w:val="single"/>
        </w:rPr>
        <w:t>We can’t say</w:t>
      </w:r>
      <w:r w:rsidRPr="007A7B22">
        <w:rPr>
          <w:rFonts w:asciiTheme="minorHAnsi" w:hAnsiTheme="minorHAnsi" w:cstheme="minorHAnsi"/>
          <w:sz w:val="16"/>
        </w:rPr>
        <w:t xml:space="preserve"> the </w:t>
      </w:r>
      <w:r w:rsidRPr="00857B10">
        <w:rPr>
          <w:rStyle w:val="Emphasis"/>
          <w:rFonts w:asciiTheme="minorHAnsi" w:hAnsiTheme="minorHAnsi" w:cstheme="minorHAnsi"/>
        </w:rPr>
        <w:t>probability</w:t>
      </w:r>
      <w:r w:rsidRPr="00857B10">
        <w:rPr>
          <w:rFonts w:asciiTheme="minorHAnsi" w:hAnsiTheme="minorHAnsi" w:cstheme="minorHAnsi"/>
          <w:u w:val="single"/>
        </w:rPr>
        <w:t xml:space="preserve"> of an existential catastrophe is</w:t>
      </w:r>
      <w:r w:rsidRPr="007A7B22">
        <w:rPr>
          <w:rFonts w:asciiTheme="minorHAnsi" w:hAnsiTheme="minorHAnsi" w:cstheme="minorHAnsi"/>
          <w:sz w:val="16"/>
        </w:rPr>
        <w:t xml:space="preserve"> precisely </w:t>
      </w:r>
      <w:r w:rsidRPr="00857B10">
        <w:rPr>
          <w:rStyle w:val="Emphasis"/>
          <w:rFonts w:asciiTheme="minorHAnsi" w:hAnsiTheme="minorHAnsi" w:cstheme="minorHAnsi"/>
        </w:rPr>
        <w:t>zero</w:t>
      </w:r>
      <w:r w:rsidRPr="00857B10">
        <w:rPr>
          <w:rFonts w:asciiTheme="minorHAnsi" w:hAnsiTheme="minorHAnsi" w:cstheme="minorHAnsi"/>
          <w:u w:val="single"/>
        </w:rPr>
        <w:t xml:space="preserve"> </w:t>
      </w:r>
      <w:r w:rsidRPr="007A7B22">
        <w:rPr>
          <w:rFonts w:asciiTheme="minorHAnsi" w:hAnsiTheme="minorHAnsi" w:cstheme="minorHAnsi"/>
          <w:sz w:val="16"/>
        </w:rPr>
        <w:t>just</w:t>
      </w:r>
      <w:r w:rsidRPr="00857B10">
        <w:rPr>
          <w:rFonts w:asciiTheme="minorHAnsi" w:hAnsiTheme="minorHAnsi" w:cstheme="minorHAnsi"/>
          <w:u w:val="single"/>
        </w:rPr>
        <w:t xml:space="preserve"> because it hasn’t happened yet</w:t>
      </w:r>
      <w:r w:rsidRPr="007A7B22">
        <w:rPr>
          <w:rFonts w:asciiTheme="minorHAnsi" w:hAnsiTheme="minorHAnsi" w:cstheme="minorHAnsi"/>
          <w:sz w:val="16"/>
        </w:rPr>
        <w:t>.</w:t>
      </w:r>
    </w:p>
    <w:p w14:paraId="5652F7D4" w14:textId="77777777" w:rsidR="00AD1257" w:rsidRPr="007A7B22" w:rsidRDefault="00AD1257" w:rsidP="00AD1257">
      <w:pPr>
        <w:rPr>
          <w:rFonts w:asciiTheme="minorHAnsi" w:hAnsiTheme="minorHAnsi" w:cstheme="minorHAnsi"/>
          <w:sz w:val="16"/>
        </w:rPr>
      </w:pPr>
      <w:r w:rsidRPr="007A7B22">
        <w:rPr>
          <w:rFonts w:asciiTheme="minorHAnsi" w:hAnsiTheme="minorHAnsi" w:cstheme="minorHAnsi"/>
          <w:sz w:val="16"/>
        </w:rPr>
        <w:t xml:space="preserve">Situations like </w:t>
      </w:r>
      <w:r w:rsidRPr="00456038">
        <w:rPr>
          <w:rFonts w:asciiTheme="minorHAnsi" w:hAnsiTheme="minorHAnsi" w:cstheme="minorHAnsi"/>
          <w:highlight w:val="cyan"/>
          <w:u w:val="single"/>
        </w:rPr>
        <w:t>these require</w:t>
      </w:r>
      <w:r w:rsidRPr="00857B10">
        <w:rPr>
          <w:rFonts w:asciiTheme="minorHAnsi" w:hAnsiTheme="minorHAnsi" w:cstheme="minorHAnsi"/>
          <w:u w:val="single"/>
        </w:rPr>
        <w:t xml:space="preserve"> </w:t>
      </w:r>
      <w:r w:rsidRPr="00BD54F4">
        <w:rPr>
          <w:rStyle w:val="Emphasis"/>
        </w:rPr>
        <w:t xml:space="preserve">an </w:t>
      </w:r>
      <w:r w:rsidRPr="00456038">
        <w:rPr>
          <w:rStyle w:val="Emphasis"/>
          <w:highlight w:val="cyan"/>
        </w:rPr>
        <w:t>evidential</w:t>
      </w:r>
      <w:r w:rsidRPr="00BD54F4">
        <w:rPr>
          <w:rStyle w:val="Emphasis"/>
        </w:rPr>
        <w:t xml:space="preserve"> sense</w:t>
      </w:r>
      <w:r w:rsidRPr="00857B10">
        <w:rPr>
          <w:rFonts w:asciiTheme="minorHAnsi" w:hAnsiTheme="minorHAnsi" w:cstheme="minorHAnsi"/>
          <w:u w:val="single"/>
        </w:rPr>
        <w:t xml:space="preserve"> of </w:t>
      </w:r>
      <w:r w:rsidRPr="00456038">
        <w:rPr>
          <w:rStyle w:val="Emphasis"/>
          <w:rFonts w:asciiTheme="minorHAnsi" w:hAnsiTheme="minorHAnsi" w:cstheme="minorHAnsi"/>
          <w:highlight w:val="cyan"/>
        </w:rPr>
        <w:t>probability</w:t>
      </w:r>
      <w:r w:rsidRPr="00456038">
        <w:rPr>
          <w:rFonts w:asciiTheme="minorHAnsi" w:hAnsiTheme="minorHAnsi" w:cstheme="minorHAnsi"/>
          <w:highlight w:val="cyan"/>
          <w:u w:val="single"/>
        </w:rPr>
        <w:t>, which describes</w:t>
      </w:r>
      <w:r w:rsidRPr="00857B10">
        <w:rPr>
          <w:rFonts w:asciiTheme="minorHAnsi" w:hAnsiTheme="minorHAnsi" w:cstheme="minorHAnsi"/>
          <w:u w:val="single"/>
        </w:rPr>
        <w:t xml:space="preserve"> the appropriate degree of </w:t>
      </w:r>
      <w:r w:rsidRPr="00456038">
        <w:rPr>
          <w:rFonts w:asciiTheme="minorHAnsi" w:hAnsiTheme="minorHAnsi" w:cstheme="minorHAnsi"/>
          <w:highlight w:val="cyan"/>
          <w:u w:val="single"/>
        </w:rPr>
        <w:t>belief</w:t>
      </w:r>
      <w:r w:rsidRPr="00857B10">
        <w:rPr>
          <w:rFonts w:asciiTheme="minorHAnsi" w:hAnsiTheme="minorHAnsi" w:cstheme="minorHAnsi"/>
          <w:u w:val="single"/>
        </w:rPr>
        <w:t xml:space="preserve"> we should have </w:t>
      </w:r>
      <w:r w:rsidRPr="00456038">
        <w:rPr>
          <w:rFonts w:asciiTheme="minorHAnsi" w:hAnsiTheme="minorHAnsi" w:cstheme="minorHAnsi"/>
          <w:highlight w:val="cyan"/>
          <w:u w:val="single"/>
        </w:rPr>
        <w:t>on</w:t>
      </w:r>
      <w:r w:rsidRPr="00857B10">
        <w:rPr>
          <w:rFonts w:asciiTheme="minorHAnsi" w:hAnsiTheme="minorHAnsi" w:cstheme="minorHAnsi"/>
          <w:u w:val="single"/>
        </w:rPr>
        <w:t xml:space="preserve"> the basis of the </w:t>
      </w:r>
      <w:r w:rsidRPr="00456038">
        <w:rPr>
          <w:rFonts w:asciiTheme="minorHAnsi" w:hAnsiTheme="minorHAnsi" w:cstheme="minorHAnsi"/>
          <w:highlight w:val="cyan"/>
          <w:u w:val="single"/>
        </w:rPr>
        <w:t>available infor</w:t>
      </w:r>
      <w:r w:rsidRPr="00857B10">
        <w:rPr>
          <w:rFonts w:asciiTheme="minorHAnsi" w:hAnsiTheme="minorHAnsi" w:cstheme="minorHAnsi"/>
          <w:u w:val="single"/>
        </w:rPr>
        <w:t>mation</w:t>
      </w:r>
      <w:r w:rsidRPr="007A7B22">
        <w:rPr>
          <w:rFonts w:asciiTheme="minorHAnsi" w:hAnsiTheme="minorHAnsi" w:cstheme="minorHAnsi"/>
          <w:sz w:val="16"/>
        </w:rPr>
        <w:t xml:space="preserve">. This is the familiar type of probability used in courtrooms, banks and betting shops. When I speak of the probability of an existential catastrophe, I will mean </w:t>
      </w:r>
      <w:r w:rsidRPr="00BD54F4">
        <w:rPr>
          <w:rFonts w:asciiTheme="minorHAnsi" w:hAnsiTheme="minorHAnsi" w:cstheme="minorHAnsi"/>
          <w:u w:val="single"/>
        </w:rPr>
        <w:t xml:space="preserve">the </w:t>
      </w:r>
      <w:r w:rsidRPr="00456038">
        <w:rPr>
          <w:rStyle w:val="Emphasis"/>
          <w:rFonts w:asciiTheme="minorHAnsi" w:hAnsiTheme="minorHAnsi" w:cstheme="minorHAnsi"/>
          <w:highlight w:val="cyan"/>
        </w:rPr>
        <w:t>credence</w:t>
      </w:r>
      <w:r w:rsidRPr="00BD54F4">
        <w:rPr>
          <w:rFonts w:asciiTheme="minorHAnsi" w:hAnsiTheme="minorHAnsi" w:cstheme="minorHAnsi"/>
          <w:u w:val="single"/>
        </w:rPr>
        <w:t xml:space="preserve"> humanity</w:t>
      </w:r>
      <w:r w:rsidRPr="00857B10">
        <w:rPr>
          <w:rFonts w:asciiTheme="minorHAnsi" w:hAnsiTheme="minorHAnsi" w:cstheme="minorHAnsi"/>
          <w:u w:val="single"/>
        </w:rPr>
        <w:t xml:space="preserve"> should have </w:t>
      </w:r>
      <w:r w:rsidRPr="00BD54F4">
        <w:rPr>
          <w:rStyle w:val="Emphasis"/>
          <w:rFonts w:asciiTheme="minorHAnsi" w:hAnsiTheme="minorHAnsi" w:cstheme="minorHAnsi"/>
        </w:rPr>
        <w:t xml:space="preserve">that </w:t>
      </w:r>
      <w:r w:rsidRPr="00456038">
        <w:rPr>
          <w:rStyle w:val="Emphasis"/>
          <w:rFonts w:asciiTheme="minorHAnsi" w:hAnsiTheme="minorHAnsi" w:cstheme="minorHAnsi"/>
          <w:highlight w:val="cyan"/>
        </w:rPr>
        <w:t>it will occur</w:t>
      </w:r>
      <w:r w:rsidRPr="00456038">
        <w:rPr>
          <w:rFonts w:asciiTheme="minorHAnsi" w:hAnsiTheme="minorHAnsi" w:cstheme="minorHAnsi"/>
          <w:highlight w:val="cyan"/>
          <w:u w:val="single"/>
        </w:rPr>
        <w:t>, in light of</w:t>
      </w:r>
      <w:r w:rsidRPr="00857B10">
        <w:rPr>
          <w:rFonts w:asciiTheme="minorHAnsi" w:hAnsiTheme="minorHAnsi" w:cstheme="minorHAnsi"/>
          <w:u w:val="single"/>
        </w:rPr>
        <w:t xml:space="preserve"> </w:t>
      </w:r>
      <w:r w:rsidRPr="00BD54F4">
        <w:rPr>
          <w:rStyle w:val="Emphasis"/>
        </w:rPr>
        <w:t xml:space="preserve">our </w:t>
      </w:r>
      <w:r w:rsidRPr="00456038">
        <w:rPr>
          <w:rStyle w:val="Emphasis"/>
          <w:highlight w:val="cyan"/>
        </w:rPr>
        <w:t>best evidence</w:t>
      </w:r>
      <w:r w:rsidRPr="007A7B22">
        <w:rPr>
          <w:rFonts w:asciiTheme="minorHAnsi" w:hAnsiTheme="minorHAnsi" w:cstheme="minorHAnsi"/>
          <w:sz w:val="16"/>
        </w:rPr>
        <w:t>.9</w:t>
      </w:r>
    </w:p>
    <w:p w14:paraId="47FA598E"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There are many utterly terrible outcomes that do not count as existential catastrophes.</w:t>
      </w:r>
    </w:p>
    <w:p w14:paraId="6A4A78BF"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46072143" w14:textId="77777777" w:rsidR="00AD1257" w:rsidRPr="007A7B22" w:rsidRDefault="00AD1257" w:rsidP="00AD1257">
      <w:pPr>
        <w:rPr>
          <w:rFonts w:asciiTheme="minorHAnsi" w:hAnsiTheme="minorHAnsi" w:cstheme="minorHAnsi"/>
          <w:sz w:val="16"/>
        </w:rPr>
      </w:pPr>
      <w:r w:rsidRPr="007A7B22">
        <w:rPr>
          <w:rFonts w:asciiTheme="minorHAnsi" w:hAnsiTheme="minorHAnsi" w:cstheme="minorHAnsi"/>
          <w:sz w:val="16"/>
        </w:rPr>
        <w:t xml:space="preserve">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w:t>
      </w:r>
      <w:r w:rsidRPr="00857B10">
        <w:rPr>
          <w:rFonts w:asciiTheme="minorHAnsi" w:hAnsiTheme="minorHAnsi" w:cstheme="minorHAnsi"/>
          <w:u w:val="single"/>
        </w:rPr>
        <w:t>A true existential catastrophe must by its very nature be the decisive moment of human history—the point where we failed</w:t>
      </w:r>
      <w:r w:rsidRPr="007A7B22">
        <w:rPr>
          <w:rFonts w:asciiTheme="minorHAnsi" w:hAnsiTheme="minorHAnsi" w:cstheme="minorHAnsi"/>
          <w:sz w:val="16"/>
        </w:rPr>
        <w:t>.</w:t>
      </w:r>
    </w:p>
    <w:p w14:paraId="1A93D412"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343B6A04"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665EED1F"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This would be a very severe disaster and extremely hard to trigger. For all the historical pressures on civilizations, never once has this happened— 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62BBBE03"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 13 Moreover, evidence that civilization is possible, and the tools and knowledge to help rebuild, would be scattered across the world.</w:t>
      </w:r>
    </w:p>
    <w:p w14:paraId="57756DAD"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4EFD77F6" w14:textId="77777777" w:rsidR="00AD1257" w:rsidRPr="007A7B22" w:rsidRDefault="00AD1257" w:rsidP="00AD1257">
      <w:pPr>
        <w:rPr>
          <w:rFonts w:asciiTheme="minorHAnsi" w:hAnsiTheme="minorHAnsi" w:cstheme="minorHAnsi"/>
          <w:sz w:val="16"/>
          <w:szCs w:val="14"/>
        </w:rPr>
      </w:pPr>
      <w:r w:rsidRPr="007A7B22">
        <w:rPr>
          <w:rFonts w:asciiTheme="minorHAnsi" w:hAnsiTheme="minorHAnsi" w:cstheme="minorHAnsi"/>
          <w:sz w:val="16"/>
          <w:szCs w:val="14"/>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6CF00AB5" w14:textId="77777777" w:rsidR="00AD1257" w:rsidRPr="007A7B22" w:rsidRDefault="00AD1257" w:rsidP="00AD1257">
      <w:pPr>
        <w:rPr>
          <w:rFonts w:asciiTheme="minorHAnsi" w:hAnsiTheme="minorHAnsi" w:cstheme="minorHAnsi"/>
          <w:sz w:val="16"/>
        </w:rPr>
      </w:pPr>
      <w:r w:rsidRPr="00857B10">
        <w:rPr>
          <w:rFonts w:asciiTheme="minorHAnsi" w:hAnsiTheme="minorHAnsi" w:cstheme="minorHAnsi"/>
          <w:u w:val="single"/>
        </w:rPr>
        <w:t>We rarely think seriously about risks to humanity’s entire potential</w:t>
      </w:r>
      <w:r w:rsidRPr="007A7B22">
        <w:rPr>
          <w:rFonts w:asciiTheme="minorHAnsi" w:hAnsiTheme="minorHAnsi" w:cstheme="minorHAnsi"/>
          <w:sz w:val="16"/>
        </w:rPr>
        <w:t>.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 17 And so in casual contexts people are sometimes flippant about the prospect of human extinction.</w:t>
      </w:r>
    </w:p>
    <w:p w14:paraId="4FD7A2A3" w14:textId="77777777" w:rsidR="00AD1257" w:rsidRPr="007A7B22" w:rsidRDefault="00AD1257" w:rsidP="00AD1257">
      <w:pPr>
        <w:rPr>
          <w:rFonts w:asciiTheme="minorHAnsi" w:hAnsiTheme="minorHAnsi" w:cstheme="minorHAnsi"/>
          <w:sz w:val="16"/>
        </w:rPr>
      </w:pPr>
      <w:r w:rsidRPr="00BD54F4">
        <w:rPr>
          <w:rFonts w:asciiTheme="minorHAnsi" w:hAnsiTheme="minorHAnsi" w:cstheme="minorHAnsi"/>
          <w:u w:val="single"/>
        </w:rPr>
        <w:t>But</w:t>
      </w:r>
      <w:r w:rsidRPr="00857B10">
        <w:rPr>
          <w:rFonts w:asciiTheme="minorHAnsi" w:hAnsiTheme="minorHAnsi" w:cstheme="minorHAnsi"/>
          <w:u w:val="single"/>
        </w:rPr>
        <w:t xml:space="preserve"> when a risk is made vivid </w:t>
      </w:r>
      <w:r w:rsidRPr="00BD54F4">
        <w:rPr>
          <w:rFonts w:asciiTheme="minorHAnsi" w:hAnsiTheme="minorHAnsi" w:cstheme="minorHAnsi"/>
          <w:u w:val="single"/>
        </w:rPr>
        <w:t xml:space="preserve">and credible—when it is clear that </w:t>
      </w:r>
      <w:r w:rsidRPr="00456038">
        <w:rPr>
          <w:rStyle w:val="Emphasis"/>
          <w:rFonts w:asciiTheme="minorHAnsi" w:hAnsiTheme="minorHAnsi" w:cstheme="minorHAnsi"/>
          <w:highlight w:val="cyan"/>
        </w:rPr>
        <w:t>billions</w:t>
      </w:r>
      <w:r w:rsidRPr="00857B10">
        <w:rPr>
          <w:rFonts w:asciiTheme="minorHAnsi" w:hAnsiTheme="minorHAnsi" w:cstheme="minorHAnsi"/>
          <w:u w:val="single"/>
        </w:rPr>
        <w:t xml:space="preserve"> of </w:t>
      </w:r>
      <w:r w:rsidRPr="00857B10">
        <w:rPr>
          <w:rStyle w:val="Emphasis"/>
          <w:rFonts w:asciiTheme="minorHAnsi" w:hAnsiTheme="minorHAnsi" w:cstheme="minorHAnsi"/>
        </w:rPr>
        <w:t>lives</w:t>
      </w:r>
      <w:r w:rsidRPr="00857B10">
        <w:rPr>
          <w:rFonts w:asciiTheme="minorHAnsi" w:hAnsiTheme="minorHAnsi" w:cstheme="minorHAnsi"/>
          <w:u w:val="single"/>
        </w:rPr>
        <w:t xml:space="preserve"> and all </w:t>
      </w:r>
      <w:r w:rsidRPr="00857B10">
        <w:rPr>
          <w:rStyle w:val="Emphasis"/>
          <w:rFonts w:asciiTheme="minorHAnsi" w:hAnsiTheme="minorHAnsi" w:cstheme="minorHAnsi"/>
        </w:rPr>
        <w:t>future generations</w:t>
      </w:r>
      <w:r w:rsidRPr="00857B10">
        <w:rPr>
          <w:rFonts w:asciiTheme="minorHAnsi" w:hAnsiTheme="minorHAnsi" w:cstheme="minorHAnsi"/>
          <w:u w:val="single"/>
        </w:rPr>
        <w:t xml:space="preserve"> </w:t>
      </w:r>
      <w:r w:rsidRPr="00456038">
        <w:rPr>
          <w:rFonts w:asciiTheme="minorHAnsi" w:hAnsiTheme="minorHAnsi" w:cstheme="minorHAnsi"/>
          <w:highlight w:val="cyan"/>
          <w:u w:val="single"/>
        </w:rPr>
        <w:t>are</w:t>
      </w:r>
      <w:r w:rsidRPr="00857B10">
        <w:rPr>
          <w:rFonts w:asciiTheme="minorHAnsi" w:hAnsiTheme="minorHAnsi" w:cstheme="minorHAnsi"/>
          <w:u w:val="single"/>
        </w:rPr>
        <w:t xml:space="preserve"> actually </w:t>
      </w:r>
      <w:r w:rsidRPr="00456038">
        <w:rPr>
          <w:rStyle w:val="Emphasis"/>
          <w:rFonts w:asciiTheme="minorHAnsi" w:hAnsiTheme="minorHAnsi" w:cstheme="minorHAnsi"/>
          <w:highlight w:val="cyan"/>
        </w:rPr>
        <w:t>on the line</w:t>
      </w:r>
      <w:r w:rsidRPr="00857B10">
        <w:rPr>
          <w:rFonts w:asciiTheme="minorHAnsi" w:hAnsiTheme="minorHAnsi" w:cstheme="minorHAnsi"/>
          <w:u w:val="single"/>
        </w:rPr>
        <w:t>—the importance of protecting humanity’s longterm potential is not</w:t>
      </w:r>
      <w:r w:rsidRPr="007A7B22">
        <w:rPr>
          <w:rFonts w:asciiTheme="minorHAnsi" w:hAnsiTheme="minorHAnsi" w:cstheme="minorHAnsi"/>
          <w:sz w:val="16"/>
        </w:rPr>
        <w:t xml:space="preserve">, for most people, </w:t>
      </w:r>
      <w:r w:rsidRPr="00857B10">
        <w:rPr>
          <w:rFonts w:asciiTheme="minorHAnsi" w:hAnsiTheme="minorHAnsi" w:cstheme="minorHAnsi"/>
          <w:u w:val="single"/>
        </w:rPr>
        <w:t>controversial</w:t>
      </w:r>
      <w:r w:rsidRPr="007A7B22">
        <w:rPr>
          <w:rFonts w:asciiTheme="minorHAnsi" w:hAnsiTheme="minorHAnsi" w:cstheme="minorHAnsi"/>
          <w:sz w:val="16"/>
        </w:rPr>
        <w:t xml:space="preserve">.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w:t>
      </w:r>
      <w:r w:rsidRPr="00456038">
        <w:rPr>
          <w:rStyle w:val="Emphasis"/>
          <w:rFonts w:asciiTheme="minorHAnsi" w:hAnsiTheme="minorHAnsi" w:cstheme="minorHAnsi"/>
          <w:highlight w:val="cyan"/>
        </w:rPr>
        <w:t>responding</w:t>
      </w:r>
      <w:r w:rsidRPr="00857B10">
        <w:rPr>
          <w:rFonts w:asciiTheme="minorHAnsi" w:hAnsiTheme="minorHAnsi" w:cstheme="minorHAnsi"/>
          <w:u w:val="single"/>
        </w:rPr>
        <w:t xml:space="preserve"> to the threat </w:t>
      </w:r>
      <w:r w:rsidRPr="00456038">
        <w:rPr>
          <w:rFonts w:asciiTheme="minorHAnsi" w:hAnsiTheme="minorHAnsi" w:cstheme="minorHAnsi"/>
          <w:highlight w:val="cyan"/>
          <w:u w:val="single"/>
        </w:rPr>
        <w:t>would</w:t>
      </w:r>
      <w:r w:rsidRPr="00857B10">
        <w:rPr>
          <w:rFonts w:asciiTheme="minorHAnsi" w:hAnsiTheme="minorHAnsi" w:cstheme="minorHAnsi"/>
          <w:u w:val="single"/>
        </w:rPr>
        <w:t xml:space="preserve"> immediately </w:t>
      </w:r>
      <w:r w:rsidRPr="00456038">
        <w:rPr>
          <w:rFonts w:asciiTheme="minorHAnsi" w:hAnsiTheme="minorHAnsi" w:cstheme="minorHAnsi"/>
          <w:highlight w:val="cyan"/>
          <w:u w:val="single"/>
        </w:rPr>
        <w:t>be</w:t>
      </w:r>
      <w:r w:rsidRPr="00BD54F4">
        <w:rPr>
          <w:rFonts w:asciiTheme="minorHAnsi" w:hAnsiTheme="minorHAnsi" w:cstheme="minorHAnsi"/>
          <w:u w:val="single"/>
        </w:rPr>
        <w:t>come one</w:t>
      </w:r>
      <w:r w:rsidRPr="00857B10">
        <w:rPr>
          <w:rFonts w:asciiTheme="minorHAnsi" w:hAnsiTheme="minorHAnsi" w:cstheme="minorHAnsi"/>
          <w:u w:val="single"/>
        </w:rPr>
        <w:t xml:space="preserve"> of </w:t>
      </w:r>
      <w:r w:rsidRPr="00456038">
        <w:rPr>
          <w:rFonts w:asciiTheme="minorHAnsi" w:hAnsiTheme="minorHAnsi" w:cstheme="minorHAnsi"/>
          <w:highlight w:val="cyan"/>
          <w:u w:val="single"/>
        </w:rPr>
        <w:t>the world’s</w:t>
      </w:r>
      <w:r w:rsidRPr="00857B10">
        <w:rPr>
          <w:rFonts w:asciiTheme="minorHAnsi" w:hAnsiTheme="minorHAnsi" w:cstheme="minorHAnsi"/>
          <w:u w:val="single"/>
        </w:rPr>
        <w:t xml:space="preserve"> </w:t>
      </w:r>
      <w:r w:rsidRPr="00456038">
        <w:rPr>
          <w:rStyle w:val="Emphasis"/>
          <w:rFonts w:asciiTheme="minorHAnsi" w:hAnsiTheme="minorHAnsi" w:cstheme="minorHAnsi"/>
          <w:highlight w:val="cyan"/>
        </w:rPr>
        <w:t>top prioriti</w:t>
      </w:r>
      <w:r w:rsidRPr="007A7B22">
        <w:rPr>
          <w:rFonts w:asciiTheme="minorHAnsi" w:hAnsiTheme="minorHAnsi" w:cstheme="minorHAnsi"/>
          <w:sz w:val="16"/>
        </w:rPr>
        <w:t>es. Thus our lack of concern about these threats is much more to do with not yet believing that there are such threats, than it is about seriously doubting the immensity of the stakes.</w:t>
      </w:r>
    </w:p>
    <w:p w14:paraId="1E871BD0" w14:textId="77777777" w:rsidR="00AD1257" w:rsidRPr="007A7B22" w:rsidRDefault="00AD1257" w:rsidP="00AD1257">
      <w:pPr>
        <w:rPr>
          <w:rFonts w:asciiTheme="minorHAnsi" w:hAnsiTheme="minorHAnsi" w:cstheme="minorHAnsi"/>
          <w:sz w:val="16"/>
        </w:rPr>
      </w:pPr>
      <w:r w:rsidRPr="007A7B22">
        <w:rPr>
          <w:rFonts w:asciiTheme="minorHAnsi" w:hAnsiTheme="minorHAnsi" w:cstheme="minorHAnsi"/>
          <w:sz w:val="16"/>
        </w:rPr>
        <w:t xml:space="preserve">Yet it is important to spend a little while trying to understand more clearly the different sources of this importance. Such an understanding can buttress feeling and inspire action; it can bring to light new considerations; </w:t>
      </w:r>
      <w:r w:rsidRPr="00857B10">
        <w:rPr>
          <w:rFonts w:asciiTheme="minorHAnsi" w:hAnsiTheme="minorHAnsi" w:cstheme="minorHAnsi"/>
          <w:u w:val="single"/>
        </w:rPr>
        <w:t xml:space="preserve">and it can </w:t>
      </w:r>
      <w:r w:rsidRPr="00857B10">
        <w:rPr>
          <w:rStyle w:val="Emphasis"/>
          <w:rFonts w:asciiTheme="minorHAnsi" w:hAnsiTheme="minorHAnsi" w:cstheme="minorHAnsi"/>
        </w:rPr>
        <w:t>aid</w:t>
      </w:r>
      <w:r w:rsidRPr="00857B10">
        <w:rPr>
          <w:rFonts w:asciiTheme="minorHAnsi" w:hAnsiTheme="minorHAnsi" w:cstheme="minorHAnsi"/>
          <w:u w:val="single"/>
        </w:rPr>
        <w:t xml:space="preserve"> in </w:t>
      </w:r>
      <w:r w:rsidRPr="00857B10">
        <w:rPr>
          <w:rStyle w:val="Emphasis"/>
          <w:rFonts w:asciiTheme="minorHAnsi" w:hAnsiTheme="minorHAnsi" w:cstheme="minorHAnsi"/>
        </w:rPr>
        <w:t>decisions</w:t>
      </w:r>
      <w:r w:rsidRPr="00857B10">
        <w:rPr>
          <w:rFonts w:asciiTheme="minorHAnsi" w:hAnsiTheme="minorHAnsi" w:cstheme="minorHAnsi"/>
          <w:u w:val="single"/>
        </w:rPr>
        <w:t xml:space="preserve"> about how to set our </w:t>
      </w:r>
      <w:r w:rsidRPr="00857B10">
        <w:rPr>
          <w:rStyle w:val="Emphasis"/>
          <w:rFonts w:asciiTheme="minorHAnsi" w:hAnsiTheme="minorHAnsi" w:cstheme="minorHAnsi"/>
        </w:rPr>
        <w:t>priorities</w:t>
      </w:r>
      <w:r w:rsidRPr="007A7B22">
        <w:rPr>
          <w:rFonts w:asciiTheme="minorHAnsi" w:hAnsiTheme="minorHAnsi" w:cstheme="minorHAnsi"/>
          <w:sz w:val="16"/>
        </w:rPr>
        <w:t>.</w:t>
      </w:r>
    </w:p>
    <w:p w14:paraId="38FE6A46" w14:textId="77777777" w:rsidR="00586EDF" w:rsidRPr="00456038" w:rsidRDefault="00586EDF" w:rsidP="00586EDF">
      <w:pPr>
        <w:pStyle w:val="Heading2"/>
      </w:pPr>
      <w:r w:rsidRPr="00456038">
        <w:t>Add-Ons</w:t>
      </w:r>
    </w:p>
    <w:p w14:paraId="133FC258" w14:textId="77777777" w:rsidR="00586EDF" w:rsidRDefault="00586EDF" w:rsidP="00586EDF">
      <w:pPr>
        <w:pStyle w:val="Heading3"/>
      </w:pPr>
      <w:r>
        <w:t>2AC – AO – Hybrid Statutes</w:t>
      </w:r>
    </w:p>
    <w:p w14:paraId="100F6551" w14:textId="77777777" w:rsidR="00586EDF" w:rsidRPr="00621D20" w:rsidRDefault="00586EDF" w:rsidP="00586EDF">
      <w:pPr>
        <w:pStyle w:val="Heading4"/>
        <w:rPr>
          <w:lang w:eastAsia="zh-CN"/>
        </w:rPr>
      </w:pPr>
      <w:r>
        <w:rPr>
          <w:lang w:eastAsia="zh-CN"/>
        </w:rPr>
        <w:t xml:space="preserve">Hybrid statutes </w:t>
      </w:r>
      <w:r>
        <w:rPr>
          <w:u w:val="single"/>
          <w:lang w:eastAsia="zh-CN"/>
        </w:rPr>
        <w:t>eviscerate</w:t>
      </w:r>
      <w:r>
        <w:rPr>
          <w:lang w:eastAsia="zh-CN"/>
        </w:rPr>
        <w:t xml:space="preserve"> American democracy.</w:t>
      </w:r>
    </w:p>
    <w:p w14:paraId="39AE8282" w14:textId="77777777" w:rsidR="00586EDF" w:rsidRDefault="00586EDF" w:rsidP="00586EDF">
      <w:pPr>
        <w:rPr>
          <w:lang w:eastAsia="zh-CN"/>
        </w:rPr>
      </w:pPr>
      <w:r>
        <w:rPr>
          <w:rStyle w:val="Style13ptBold"/>
        </w:rPr>
        <w:t>Rakoff 15</w:t>
      </w:r>
      <w:r>
        <w:t xml:space="preserve"> – </w:t>
      </w:r>
      <w:r>
        <w:rPr>
          <w:lang w:eastAsia="zh-CN"/>
        </w:rPr>
        <w:t>Jed S. Rakoff, Senior Judge of the United States District Court for the Southern District of New York, April 17</w:t>
      </w:r>
      <w:r w:rsidRPr="007E37AA">
        <w:rPr>
          <w:vertAlign w:val="superscript"/>
          <w:lang w:eastAsia="zh-CN"/>
        </w:rPr>
        <w:t>th</w:t>
      </w:r>
      <w:r>
        <w:rPr>
          <w:lang w:eastAsia="zh-CN"/>
        </w:rPr>
        <w:t xml:space="preserve"> ("Hybrid Statutes: A Study in Uncertainty,” New York University School of Law, available online at https://www.law.nyu.edu/sites/default/files/upload_documents/Judge%20Rakoff%27s%20Address%20NYU%202015-04-17.pdf, accessed 6-28-2020) LR</w:t>
      </w:r>
    </w:p>
    <w:p w14:paraId="76D183E6" w14:textId="77777777" w:rsidR="00586EDF" w:rsidRPr="000C278A" w:rsidRDefault="00586EDF" w:rsidP="00586EDF">
      <w:pPr>
        <w:rPr>
          <w:rStyle w:val="StyleUnderline"/>
        </w:rPr>
      </w:pPr>
      <w:r w:rsidRPr="000C278A">
        <w:rPr>
          <w:sz w:val="16"/>
          <w:lang w:eastAsia="zh-CN"/>
        </w:rPr>
        <w:t xml:space="preserve">But in practice, I suggest, it </w:t>
      </w:r>
      <w:r w:rsidRPr="000C278A">
        <w:rPr>
          <w:rStyle w:val="StyleUnderline"/>
        </w:rPr>
        <w:t>leads to material inconsistencies</w:t>
      </w:r>
      <w:r w:rsidRPr="000C278A">
        <w:rPr>
          <w:sz w:val="16"/>
          <w:lang w:eastAsia="zh-CN"/>
        </w:rPr>
        <w:t xml:space="preserve"> and </w:t>
      </w:r>
      <w:r w:rsidRPr="000C278A">
        <w:rPr>
          <w:rStyle w:val="StyleUnderline"/>
        </w:rPr>
        <w:t>strange results</w:t>
      </w:r>
      <w:r w:rsidRPr="000C278A">
        <w:rPr>
          <w:sz w:val="16"/>
          <w:lang w:eastAsia="zh-CN"/>
        </w:rPr>
        <w:t xml:space="preserve"> that both </w:t>
      </w:r>
      <w:r w:rsidRPr="000C278A">
        <w:rPr>
          <w:rStyle w:val="StyleUnderline"/>
        </w:rPr>
        <w:t>undercut its effectiveness</w:t>
      </w:r>
      <w:r w:rsidRPr="000C278A">
        <w:rPr>
          <w:sz w:val="16"/>
          <w:lang w:eastAsia="zh-CN"/>
        </w:rPr>
        <w:t xml:space="preserve"> and </w:t>
      </w:r>
      <w:r w:rsidRPr="000C278A">
        <w:rPr>
          <w:rStyle w:val="StyleUnderline"/>
        </w:rPr>
        <w:t>create major legal headaches</w:t>
      </w:r>
      <w:r w:rsidRPr="000C278A">
        <w:rPr>
          <w:sz w:val="16"/>
          <w:lang w:eastAsia="zh-CN"/>
        </w:rPr>
        <w:t xml:space="preserve">.  The fundamental reason for these problems is that </w:t>
      </w:r>
      <w:r w:rsidRPr="000C278A">
        <w:rPr>
          <w:rStyle w:val="StyleUnderline"/>
        </w:rPr>
        <w:t>the legal system has long prescribed totally different</w:t>
      </w:r>
      <w:r w:rsidRPr="000C278A">
        <w:rPr>
          <w:sz w:val="16"/>
          <w:lang w:eastAsia="zh-CN"/>
        </w:rPr>
        <w:t xml:space="preserve"> rules for the </w:t>
      </w:r>
      <w:r w:rsidRPr="000C278A">
        <w:rPr>
          <w:rStyle w:val="StyleUnderline"/>
        </w:rPr>
        <w:t>interpretation of civil and criminal statutes that</w:t>
      </w:r>
      <w:r w:rsidRPr="000C278A">
        <w:rPr>
          <w:sz w:val="16"/>
          <w:lang w:eastAsia="zh-CN"/>
        </w:rPr>
        <w:t xml:space="preserve"> often </w:t>
      </w:r>
      <w:r w:rsidRPr="000C278A">
        <w:rPr>
          <w:rStyle w:val="StyleUnderline"/>
        </w:rPr>
        <w:t xml:space="preserve">make it </w:t>
      </w:r>
      <w:r w:rsidRPr="00EF0BC0">
        <w:rPr>
          <w:rStyle w:val="Emphasis"/>
        </w:rPr>
        <w:t>impossible</w:t>
      </w:r>
      <w:r w:rsidRPr="000C278A">
        <w:rPr>
          <w:rStyle w:val="StyleUnderline"/>
        </w:rPr>
        <w:t xml:space="preserve"> for courts to interpret hybrid</w:t>
      </w:r>
      <w:r w:rsidRPr="000C278A">
        <w:rPr>
          <w:sz w:val="16"/>
          <w:lang w:eastAsia="zh-CN"/>
        </w:rPr>
        <w:t xml:space="preserve"> civil/criminal </w:t>
      </w:r>
      <w:r w:rsidRPr="000C278A">
        <w:rPr>
          <w:rStyle w:val="StyleUnderline"/>
        </w:rPr>
        <w:t>statute in a coherent way.</w:t>
      </w:r>
    </w:p>
    <w:p w14:paraId="5EBE041E" w14:textId="77777777" w:rsidR="00586EDF" w:rsidRPr="00EF0BC0" w:rsidRDefault="00586EDF" w:rsidP="00586EDF">
      <w:pPr>
        <w:rPr>
          <w:rStyle w:val="Emphasis"/>
        </w:rPr>
      </w:pPr>
      <w:r w:rsidRPr="00EF0BC0">
        <w:rPr>
          <w:sz w:val="16"/>
          <w:lang w:eastAsia="zh-CN"/>
        </w:rPr>
        <w:t xml:space="preserve">In particular, </w:t>
      </w:r>
      <w:r w:rsidRPr="00EF0BC0">
        <w:rPr>
          <w:rStyle w:val="StyleUnderline"/>
        </w:rPr>
        <w:t>it is</w:t>
      </w:r>
      <w:r w:rsidRPr="00EF0BC0">
        <w:rPr>
          <w:sz w:val="16"/>
          <w:lang w:eastAsia="zh-CN"/>
        </w:rPr>
        <w:t xml:space="preserve"> a </w:t>
      </w:r>
      <w:r w:rsidRPr="00EF0BC0">
        <w:rPr>
          <w:rStyle w:val="StyleUnderline"/>
        </w:rPr>
        <w:t xml:space="preserve">well-settled principle of United States law that </w:t>
      </w:r>
      <w:r w:rsidRPr="00EF0BC0">
        <w:rPr>
          <w:rStyle w:val="Emphasis"/>
        </w:rPr>
        <w:t>criminal statutes</w:t>
      </w:r>
      <w:r w:rsidRPr="00EF0BC0">
        <w:rPr>
          <w:sz w:val="16"/>
          <w:lang w:eastAsia="zh-CN"/>
        </w:rPr>
        <w:t xml:space="preserve"> are </w:t>
      </w:r>
      <w:r w:rsidRPr="00EF0BC0">
        <w:rPr>
          <w:rStyle w:val="StyleUnderline"/>
        </w:rPr>
        <w:t xml:space="preserve">to be interpreted </w:t>
      </w:r>
      <w:r w:rsidRPr="00EF0BC0">
        <w:rPr>
          <w:rStyle w:val="Emphasis"/>
        </w:rPr>
        <w:t>narrowly</w:t>
      </w:r>
      <w:r w:rsidRPr="00EF0BC0">
        <w:rPr>
          <w:sz w:val="16"/>
          <w:lang w:eastAsia="zh-CN"/>
        </w:rPr>
        <w:t xml:space="preserve">, so as </w:t>
      </w:r>
      <w:r w:rsidRPr="00EF0BC0">
        <w:rPr>
          <w:rStyle w:val="StyleUnderline"/>
        </w:rPr>
        <w:t>to provide fair notice</w:t>
      </w:r>
      <w:r w:rsidRPr="00EF0BC0">
        <w:rPr>
          <w:sz w:val="16"/>
          <w:lang w:eastAsia="zh-CN"/>
        </w:rPr>
        <w:t xml:space="preserve">, avoid over-criminalization, and </w:t>
      </w:r>
      <w:r w:rsidRPr="00EF0BC0">
        <w:rPr>
          <w:rStyle w:val="StyleUnderline"/>
        </w:rPr>
        <w:t xml:space="preserve">protect the innocent.  A corollary of this </w:t>
      </w:r>
      <w:r w:rsidRPr="00EF0BC0">
        <w:rPr>
          <w:sz w:val="16"/>
          <w:lang w:eastAsia="zh-CN"/>
        </w:rPr>
        <w:t xml:space="preserve">principle, frequently invoked by the Supreme Court, </w:t>
      </w:r>
      <w:r w:rsidRPr="00EF0BC0">
        <w:rPr>
          <w:rStyle w:val="StyleUnderline"/>
        </w:rPr>
        <w:t>is the “</w:t>
      </w:r>
      <w:r w:rsidRPr="00EF0BC0">
        <w:rPr>
          <w:rStyle w:val="Emphasis"/>
        </w:rPr>
        <w:t>rule of lenity</w:t>
      </w:r>
      <w:r w:rsidRPr="00EF0BC0">
        <w:rPr>
          <w:rStyle w:val="StyleUnderline"/>
        </w:rPr>
        <w:t>,”</w:t>
      </w:r>
      <w:r w:rsidRPr="00EF0BC0">
        <w:rPr>
          <w:sz w:val="16"/>
          <w:lang w:eastAsia="zh-CN"/>
        </w:rPr>
        <w:t xml:space="preserve"> by which if a criminal statute can be reasonably interpreted in either of two ways, the </w:t>
      </w:r>
      <w:r w:rsidRPr="00EF0BC0">
        <w:rPr>
          <w:rStyle w:val="StyleUnderline"/>
        </w:rPr>
        <w:t>narrower interpretation must be adopted</w:t>
      </w:r>
      <w:r w:rsidRPr="00EF0BC0">
        <w:rPr>
          <w:sz w:val="16"/>
          <w:lang w:eastAsia="zh-CN"/>
        </w:rPr>
        <w:t xml:space="preserve">, again to help provide fair notice, protect the innocent, avoid governmental overreaching, and the like. </w:t>
      </w:r>
    </w:p>
    <w:p w14:paraId="3AB0CC97" w14:textId="77777777" w:rsidR="00586EDF" w:rsidRPr="00EF0BC0" w:rsidRDefault="00586EDF" w:rsidP="00586EDF">
      <w:pPr>
        <w:rPr>
          <w:sz w:val="16"/>
          <w:lang w:eastAsia="zh-CN"/>
        </w:rPr>
      </w:pPr>
      <w:r w:rsidRPr="00EF0BC0">
        <w:rPr>
          <w:rStyle w:val="StyleUnderline"/>
        </w:rPr>
        <w:t>By contrast</w:t>
      </w:r>
      <w:r w:rsidRPr="00EF0BC0">
        <w:rPr>
          <w:sz w:val="16"/>
          <w:lang w:eastAsia="zh-CN"/>
        </w:rPr>
        <w:t xml:space="preserve">, it is an </w:t>
      </w:r>
      <w:r w:rsidRPr="00EF0BC0">
        <w:rPr>
          <w:rStyle w:val="StyleUnderline"/>
        </w:rPr>
        <w:t>equally well-settled principle</w:t>
      </w:r>
      <w:r w:rsidRPr="00EF0BC0">
        <w:rPr>
          <w:sz w:val="16"/>
          <w:lang w:eastAsia="zh-CN"/>
        </w:rPr>
        <w:t xml:space="preserve"> of United States law </w:t>
      </w:r>
      <w:r w:rsidRPr="00EF0BC0">
        <w:rPr>
          <w:rStyle w:val="StyleUnderline"/>
        </w:rPr>
        <w:t xml:space="preserve">that </w:t>
      </w:r>
      <w:r w:rsidRPr="00EF0BC0">
        <w:rPr>
          <w:rStyle w:val="Emphasis"/>
        </w:rPr>
        <w:t>civil statutes</w:t>
      </w:r>
      <w:r w:rsidRPr="00EF0BC0">
        <w:rPr>
          <w:sz w:val="16"/>
          <w:lang w:eastAsia="zh-CN"/>
        </w:rPr>
        <w:t xml:space="preserve"> serving a remedial or regulatory function </w:t>
      </w:r>
      <w:r w:rsidRPr="00EF0BC0">
        <w:rPr>
          <w:rStyle w:val="StyleUnderline"/>
        </w:rPr>
        <w:t xml:space="preserve">should be </w:t>
      </w:r>
      <w:r w:rsidRPr="00EF0BC0">
        <w:rPr>
          <w:rStyle w:val="Emphasis"/>
        </w:rPr>
        <w:t>broadly</w:t>
      </w:r>
      <w:r w:rsidRPr="00EF0BC0">
        <w:rPr>
          <w:rStyle w:val="StyleUnderline"/>
        </w:rPr>
        <w:t xml:space="preserve"> interpreted</w:t>
      </w:r>
      <w:r w:rsidRPr="00EF0BC0">
        <w:rPr>
          <w:sz w:val="16"/>
          <w:lang w:eastAsia="zh-CN"/>
        </w:rPr>
        <w:t xml:space="preserve"> so as to effectuate their remedial purposes</w:t>
      </w:r>
      <w:r w:rsidRPr="00EF0BC0">
        <w:rPr>
          <w:sz w:val="16"/>
        </w:rPr>
        <w:t xml:space="preserve">.  </w:t>
      </w:r>
      <w:r w:rsidRPr="00EF0BC0">
        <w:rPr>
          <w:rStyle w:val="StyleUnderline"/>
        </w:rPr>
        <w:t>“Loopholes” should be avoided</w:t>
      </w:r>
      <w:r w:rsidRPr="00EF0BC0">
        <w:rPr>
          <w:sz w:val="16"/>
          <w:lang w:eastAsia="zh-CN"/>
        </w:rPr>
        <w:t xml:space="preserve"> and narrow statutory interpretations should be eschewed, for otherwise the remedial or regulatory function of the statute will be undercut. </w:t>
      </w:r>
    </w:p>
    <w:p w14:paraId="2BA58098" w14:textId="77777777" w:rsidR="00586EDF" w:rsidRPr="00621D20" w:rsidRDefault="00586EDF" w:rsidP="00586EDF">
      <w:pPr>
        <w:rPr>
          <w:sz w:val="16"/>
          <w:lang w:eastAsia="zh-CN"/>
        </w:rPr>
      </w:pPr>
      <w:r w:rsidRPr="00EF0BC0">
        <w:rPr>
          <w:rStyle w:val="StyleUnderline"/>
        </w:rPr>
        <w:t>These principles</w:t>
      </w:r>
      <w:r w:rsidRPr="00EF0BC0">
        <w:rPr>
          <w:sz w:val="16"/>
          <w:lang w:eastAsia="zh-CN"/>
        </w:rPr>
        <w:t xml:space="preserve">, which trace back to the common law, </w:t>
      </w:r>
      <w:r w:rsidRPr="00EF0BC0">
        <w:rPr>
          <w:rStyle w:val="StyleUnderline"/>
        </w:rPr>
        <w:t>reflect</w:t>
      </w:r>
      <w:r w:rsidRPr="00EF0BC0">
        <w:rPr>
          <w:sz w:val="16"/>
          <w:lang w:eastAsia="zh-CN"/>
        </w:rPr>
        <w:t xml:space="preserve"> the </w:t>
      </w:r>
      <w:r w:rsidRPr="00EF0BC0">
        <w:rPr>
          <w:rStyle w:val="StyleUnderline"/>
        </w:rPr>
        <w:t>fundamental differences between civil and criminal law</w:t>
      </w:r>
      <w:r w:rsidRPr="00EF0BC0">
        <w:rPr>
          <w:sz w:val="16"/>
          <w:lang w:eastAsia="zh-CN"/>
        </w:rPr>
        <w:t xml:space="preserve"> that underlie a great deal of our legal system.  But in </w:t>
      </w:r>
      <w:r w:rsidRPr="00EF0BC0">
        <w:rPr>
          <w:rStyle w:val="StyleUnderline"/>
        </w:rPr>
        <w:t xml:space="preserve">the case of </w:t>
      </w:r>
      <w:r w:rsidRPr="00EF0BC0">
        <w:rPr>
          <w:rStyle w:val="Emphasis"/>
        </w:rPr>
        <w:t>hybrid statutes</w:t>
      </w:r>
      <w:r w:rsidRPr="00EF0BC0">
        <w:rPr>
          <w:rStyle w:val="StyleUnderline"/>
        </w:rPr>
        <w:t xml:space="preserve">, they are </w:t>
      </w:r>
      <w:r w:rsidRPr="00EF0BC0">
        <w:rPr>
          <w:rStyle w:val="Emphasis"/>
        </w:rPr>
        <w:t>set at odds</w:t>
      </w:r>
      <w:r w:rsidRPr="00EF0BC0">
        <w:rPr>
          <w:rStyle w:val="StyleUnderline"/>
        </w:rPr>
        <w:t>.  If a statute contains</w:t>
      </w:r>
      <w:r w:rsidRPr="00EF0BC0">
        <w:rPr>
          <w:sz w:val="16"/>
          <w:lang w:eastAsia="zh-CN"/>
        </w:rPr>
        <w:t xml:space="preserve"> some </w:t>
      </w:r>
      <w:r w:rsidRPr="00EF0BC0">
        <w:rPr>
          <w:rStyle w:val="Emphasis"/>
        </w:rPr>
        <w:t>ambiguity</w:t>
      </w:r>
      <w:r w:rsidRPr="00EF0BC0">
        <w:rPr>
          <w:sz w:val="16"/>
          <w:lang w:eastAsia="zh-CN"/>
        </w:rPr>
        <w:t xml:space="preserve"> – </w:t>
      </w:r>
      <w:r w:rsidRPr="00EF0BC0">
        <w:rPr>
          <w:rStyle w:val="StyleUnderline"/>
        </w:rPr>
        <w:t>which</w:t>
      </w:r>
      <w:r w:rsidRPr="00EF0BC0">
        <w:rPr>
          <w:sz w:val="16"/>
          <w:lang w:eastAsia="zh-CN"/>
        </w:rPr>
        <w:t xml:space="preserve">, regretfully, </w:t>
      </w:r>
      <w:r w:rsidRPr="00EF0BC0">
        <w:rPr>
          <w:rStyle w:val="StyleUnderline"/>
        </w:rPr>
        <w:t>is true of most</w:t>
      </w:r>
      <w:r w:rsidRPr="00EF0BC0">
        <w:rPr>
          <w:sz w:val="16"/>
          <w:lang w:eastAsia="zh-CN"/>
        </w:rPr>
        <w:t xml:space="preserve"> statutes -- a </w:t>
      </w:r>
      <w:r w:rsidRPr="00EF0BC0">
        <w:rPr>
          <w:rStyle w:val="StyleUnderline"/>
        </w:rPr>
        <w:t>court</w:t>
      </w:r>
      <w:r w:rsidRPr="00EF0BC0">
        <w:rPr>
          <w:sz w:val="16"/>
          <w:lang w:eastAsia="zh-CN"/>
        </w:rPr>
        <w:t xml:space="preserve"> is </w:t>
      </w:r>
      <w:r w:rsidRPr="00EF0BC0">
        <w:rPr>
          <w:rStyle w:val="StyleUnderline"/>
        </w:rPr>
        <w:t>directed to resolve</w:t>
      </w:r>
      <w:r w:rsidRPr="00EF0BC0">
        <w:rPr>
          <w:sz w:val="16"/>
          <w:lang w:eastAsia="zh-CN"/>
        </w:rPr>
        <w:t xml:space="preserve"> the ambiguity </w:t>
      </w:r>
      <w:r w:rsidRPr="00EF0BC0">
        <w:rPr>
          <w:rStyle w:val="StyleUnderline"/>
        </w:rPr>
        <w:t>by applying</w:t>
      </w:r>
      <w:r w:rsidRPr="00EF0BC0">
        <w:rPr>
          <w:sz w:val="16"/>
          <w:lang w:eastAsia="zh-CN"/>
        </w:rPr>
        <w:t xml:space="preserve"> equal but </w:t>
      </w:r>
      <w:r w:rsidRPr="00EF0BC0">
        <w:rPr>
          <w:rStyle w:val="Emphasis"/>
        </w:rPr>
        <w:t>opposite</w:t>
      </w:r>
      <w:r w:rsidRPr="00EF0BC0">
        <w:rPr>
          <w:rStyle w:val="StyleUnderline"/>
        </w:rPr>
        <w:t xml:space="preserve"> canons of construction.</w:t>
      </w:r>
      <w:r w:rsidRPr="00EF0BC0">
        <w:rPr>
          <w:sz w:val="16"/>
          <w:lang w:eastAsia="zh-CN"/>
        </w:rPr>
        <w:t xml:space="preserve">  What’s a poor judge to do?  Well, as you might suspect, </w:t>
      </w:r>
      <w:r w:rsidRPr="00EF0BC0">
        <w:rPr>
          <w:rStyle w:val="StyleUnderline"/>
        </w:rPr>
        <w:t>if</w:t>
      </w:r>
      <w:r w:rsidRPr="00EF0BC0">
        <w:rPr>
          <w:sz w:val="16"/>
          <w:lang w:eastAsia="zh-CN"/>
        </w:rPr>
        <w:t xml:space="preserve"> the </w:t>
      </w:r>
      <w:r w:rsidRPr="00EF0BC0">
        <w:rPr>
          <w:rStyle w:val="StyleUnderline"/>
        </w:rPr>
        <w:t xml:space="preserve">hybrid statutes comes before </w:t>
      </w:r>
      <w:r w:rsidRPr="00EF0BC0">
        <w:rPr>
          <w:sz w:val="16"/>
          <w:lang w:eastAsia="zh-CN"/>
        </w:rPr>
        <w:t xml:space="preserve">the </w:t>
      </w:r>
      <w:r w:rsidRPr="00EF0BC0">
        <w:rPr>
          <w:rStyle w:val="StyleUnderline"/>
        </w:rPr>
        <w:t>judge in a criminal case,</w:t>
      </w:r>
      <w:r w:rsidRPr="00EF0BC0">
        <w:rPr>
          <w:sz w:val="16"/>
          <w:lang w:eastAsia="zh-CN"/>
        </w:rPr>
        <w:t xml:space="preserve"> the </w:t>
      </w:r>
      <w:r w:rsidRPr="00EF0BC0">
        <w:rPr>
          <w:rStyle w:val="StyleUnderline"/>
        </w:rPr>
        <w:t>judge interprets</w:t>
      </w:r>
      <w:r w:rsidRPr="00EF0BC0">
        <w:rPr>
          <w:sz w:val="16"/>
          <w:lang w:eastAsia="zh-CN"/>
        </w:rPr>
        <w:t xml:space="preserve"> the hybrid statute </w:t>
      </w:r>
      <w:r w:rsidRPr="00EF0BC0">
        <w:rPr>
          <w:rStyle w:val="StyleUnderline"/>
        </w:rPr>
        <w:t>narrowly, and if</w:t>
      </w:r>
      <w:r w:rsidRPr="00EF0BC0">
        <w:rPr>
          <w:sz w:val="16"/>
          <w:lang w:eastAsia="zh-CN"/>
        </w:rPr>
        <w:t xml:space="preserve"> the </w:t>
      </w:r>
      <w:r w:rsidRPr="00EF0BC0">
        <w:rPr>
          <w:rStyle w:val="StyleUnderline"/>
        </w:rPr>
        <w:t>same statute comes before</w:t>
      </w:r>
      <w:r w:rsidRPr="00EF0BC0">
        <w:rPr>
          <w:sz w:val="16"/>
          <w:lang w:eastAsia="zh-CN"/>
        </w:rPr>
        <w:t xml:space="preserve"> the judge in a </w:t>
      </w:r>
      <w:r w:rsidRPr="00EF0BC0">
        <w:rPr>
          <w:rStyle w:val="StyleUnderline"/>
        </w:rPr>
        <w:t>civil case</w:t>
      </w:r>
      <w:r w:rsidRPr="00EF0BC0">
        <w:rPr>
          <w:sz w:val="16"/>
          <w:lang w:eastAsia="zh-CN"/>
        </w:rPr>
        <w:t xml:space="preserve">, the </w:t>
      </w:r>
      <w:r w:rsidRPr="00EF0BC0">
        <w:rPr>
          <w:rStyle w:val="StyleUnderline"/>
        </w:rPr>
        <w:t>judge interprets</w:t>
      </w:r>
      <w:r w:rsidRPr="00EF0BC0">
        <w:rPr>
          <w:sz w:val="16"/>
          <w:lang w:eastAsia="zh-CN"/>
        </w:rPr>
        <w:t xml:space="preserve"> the </w:t>
      </w:r>
      <w:r w:rsidRPr="00EF0BC0">
        <w:rPr>
          <w:rStyle w:val="StyleUnderline"/>
        </w:rPr>
        <w:t>very same statute broadly</w:t>
      </w:r>
      <w:r w:rsidRPr="00EF0BC0">
        <w:rPr>
          <w:sz w:val="16"/>
          <w:lang w:eastAsia="zh-CN"/>
        </w:rPr>
        <w:t xml:space="preserve"> – </w:t>
      </w:r>
      <w:r w:rsidRPr="00EF0BC0">
        <w:rPr>
          <w:rStyle w:val="StyleUnderline"/>
        </w:rPr>
        <w:t xml:space="preserve">leading to </w:t>
      </w:r>
      <w:r w:rsidRPr="00EF0BC0">
        <w:rPr>
          <w:rStyle w:val="Emphasis"/>
        </w:rPr>
        <w:t>inconsistent results</w:t>
      </w:r>
      <w:r w:rsidRPr="00EF0BC0">
        <w:rPr>
          <w:rStyle w:val="StyleUnderline"/>
        </w:rPr>
        <w:t>.  And sometimes the judge gets so befuddled that</w:t>
      </w:r>
      <w:r w:rsidRPr="00EF0BC0">
        <w:rPr>
          <w:sz w:val="16"/>
          <w:lang w:eastAsia="zh-CN"/>
        </w:rPr>
        <w:t xml:space="preserve"> the </w:t>
      </w:r>
      <w:r w:rsidRPr="00EF0BC0">
        <w:rPr>
          <w:rStyle w:val="StyleUnderline"/>
        </w:rPr>
        <w:t>results are</w:t>
      </w:r>
      <w:r w:rsidRPr="00EF0BC0">
        <w:rPr>
          <w:sz w:val="16"/>
          <w:lang w:eastAsia="zh-CN"/>
        </w:rPr>
        <w:t xml:space="preserve"> simply </w:t>
      </w:r>
      <w:r w:rsidRPr="00EF0BC0">
        <w:rPr>
          <w:rStyle w:val="Emphasis"/>
        </w:rPr>
        <w:t>bewildering</w:t>
      </w:r>
      <w:r w:rsidRPr="00EF0BC0">
        <w:rPr>
          <w:rStyle w:val="StyleUnderline"/>
        </w:rPr>
        <w:t>.</w:t>
      </w:r>
      <w:r w:rsidRPr="00EF0BC0">
        <w:rPr>
          <w:sz w:val="16"/>
          <w:lang w:eastAsia="zh-CN"/>
        </w:rPr>
        <w:t xml:space="preserve">  </w:t>
      </w:r>
    </w:p>
    <w:p w14:paraId="0743027E" w14:textId="77777777" w:rsidR="00586EDF" w:rsidRPr="000D25BD" w:rsidRDefault="00586EDF" w:rsidP="00586EDF">
      <w:pPr>
        <w:pStyle w:val="Heading4"/>
      </w:pPr>
      <w:r>
        <w:t>The plan solves.</w:t>
      </w:r>
    </w:p>
    <w:p w14:paraId="30C342E3" w14:textId="77777777" w:rsidR="00586EDF" w:rsidRPr="005B44C7" w:rsidRDefault="00586EDF" w:rsidP="00586EDF">
      <w:r w:rsidRPr="00E7574B">
        <w:rPr>
          <w:rStyle w:val="Style13ptBold"/>
        </w:rPr>
        <w:t>Miller 17</w:t>
      </w:r>
      <w:r>
        <w:t xml:space="preserve"> – Caitlin Miller, JD at Hofstra University the same year. [The Balancing Act Between Chevron Deference and The Rule of Lenity, 18 Tex. Tech. Admin. L. J. 193, Nexis Uni]//BPS</w:t>
      </w:r>
    </w:p>
    <w:p w14:paraId="4DE9D143" w14:textId="77777777" w:rsidR="00586EDF" w:rsidRPr="005B44C7" w:rsidRDefault="00586EDF" w:rsidP="00586EDF">
      <w:pPr>
        <w:rPr>
          <w:sz w:val="16"/>
        </w:rPr>
      </w:pPr>
      <w:r w:rsidRPr="005B44C7">
        <w:rPr>
          <w:sz w:val="16"/>
        </w:rPr>
        <w:t xml:space="preserve">B. </w:t>
      </w:r>
      <w:r w:rsidRPr="00595928">
        <w:rPr>
          <w:rStyle w:val="StyleUnderline"/>
        </w:rPr>
        <w:t xml:space="preserve">Using Chevron Deference Over the Rule of Lenity Allows the Legislature to Create </w:t>
      </w:r>
      <w:r w:rsidRPr="00595928">
        <w:rPr>
          <w:rStyle w:val="Emphasis"/>
        </w:rPr>
        <w:t>Ambiguous Laws</w:t>
      </w:r>
    </w:p>
    <w:p w14:paraId="1E0DC62B" w14:textId="77777777" w:rsidR="00586EDF" w:rsidRPr="005B44C7" w:rsidRDefault="00586EDF" w:rsidP="00586EDF">
      <w:pPr>
        <w:rPr>
          <w:sz w:val="16"/>
        </w:rPr>
      </w:pPr>
      <w:r w:rsidRPr="00595928">
        <w:rPr>
          <w:rStyle w:val="StyleUnderline"/>
        </w:rPr>
        <w:t xml:space="preserve">When the courts use Chevron Deference to interpret a statute, they are allowing the use of </w:t>
      </w:r>
      <w:r w:rsidRPr="00595928">
        <w:rPr>
          <w:rStyle w:val="Emphasis"/>
        </w:rPr>
        <w:t>a vague and unclear law</w:t>
      </w:r>
      <w:r w:rsidRPr="005B44C7">
        <w:rPr>
          <w:sz w:val="16"/>
        </w:rPr>
        <w:t xml:space="preserve"> in a situation that is not clear to all the parties involved until the end. </w:t>
      </w:r>
      <w:r w:rsidRPr="00595928">
        <w:rPr>
          <w:rStyle w:val="StyleUnderline"/>
        </w:rPr>
        <w:t>Chevron</w:t>
      </w:r>
      <w:r w:rsidRPr="005B44C7">
        <w:rPr>
          <w:sz w:val="16"/>
        </w:rPr>
        <w:t xml:space="preserve"> Deference is not a bad practice; it allows agencies and courts to be concise and the agencies can have their purpose fulfilled by courts using the intended interpretation. However, the rule also </w:t>
      </w:r>
      <w:r w:rsidRPr="00595928">
        <w:rPr>
          <w:rStyle w:val="StyleUnderline"/>
        </w:rPr>
        <w:t>allows courts to interpret laws that</w:t>
      </w:r>
      <w:r w:rsidRPr="005B44C7">
        <w:rPr>
          <w:sz w:val="16"/>
        </w:rPr>
        <w:t xml:space="preserve"> in their nature </w:t>
      </w:r>
      <w:r w:rsidRPr="00595928">
        <w:rPr>
          <w:rStyle w:val="StyleUnderline"/>
        </w:rPr>
        <w:t xml:space="preserve">are </w:t>
      </w:r>
      <w:r w:rsidRPr="00595928">
        <w:rPr>
          <w:rStyle w:val="Emphasis"/>
        </w:rPr>
        <w:t>vague</w:t>
      </w:r>
      <w:r w:rsidRPr="00595928">
        <w:rPr>
          <w:rStyle w:val="StyleUnderline"/>
        </w:rPr>
        <w:t xml:space="preserve"> and </w:t>
      </w:r>
      <w:r w:rsidRPr="00595928">
        <w:rPr>
          <w:rStyle w:val="Emphasis"/>
        </w:rPr>
        <w:t>legally ambiguous</w:t>
      </w:r>
      <w:r w:rsidRPr="005B44C7">
        <w:rPr>
          <w:sz w:val="16"/>
        </w:rPr>
        <w:t xml:space="preserve"> in a way that is not clear to the public, </w:t>
      </w:r>
      <w:r w:rsidRPr="00595928">
        <w:rPr>
          <w:rStyle w:val="StyleUnderline"/>
        </w:rPr>
        <w:t xml:space="preserve">which leads to </w:t>
      </w:r>
      <w:r w:rsidRPr="00595928">
        <w:rPr>
          <w:rStyle w:val="Emphasis"/>
        </w:rPr>
        <w:t>confusion</w:t>
      </w:r>
      <w:r w:rsidRPr="00595928">
        <w:rPr>
          <w:rStyle w:val="StyleUnderline"/>
        </w:rPr>
        <w:t xml:space="preserve"> and </w:t>
      </w:r>
      <w:r w:rsidRPr="00595928">
        <w:rPr>
          <w:rStyle w:val="Emphasis"/>
        </w:rPr>
        <w:t>uncertainty</w:t>
      </w:r>
      <w:r w:rsidRPr="005B44C7">
        <w:rPr>
          <w:sz w:val="16"/>
        </w:rPr>
        <w:t xml:space="preserve"> in the law. Noticeably this is not the desired outcome, but the outcome nonetheless. </w:t>
      </w:r>
      <w:r w:rsidRPr="00595928">
        <w:rPr>
          <w:rStyle w:val="StyleUnderline"/>
        </w:rPr>
        <w:t>By</w:t>
      </w:r>
      <w:r w:rsidRPr="005B44C7">
        <w:rPr>
          <w:sz w:val="16"/>
        </w:rPr>
        <w:t xml:space="preserve"> courts </w:t>
      </w:r>
      <w:r w:rsidRPr="00595928">
        <w:rPr>
          <w:rStyle w:val="StyleUnderline"/>
        </w:rPr>
        <w:t xml:space="preserve">using the agencies' own interpretations, it is </w:t>
      </w:r>
      <w:r w:rsidRPr="00595928">
        <w:rPr>
          <w:rStyle w:val="Emphasis"/>
        </w:rPr>
        <w:t>rewarding</w:t>
      </w:r>
      <w:r w:rsidRPr="00595928">
        <w:rPr>
          <w:rStyle w:val="StyleUnderline"/>
        </w:rPr>
        <w:t xml:space="preserve"> the legislature for making </w:t>
      </w:r>
      <w:r w:rsidRPr="00595928">
        <w:rPr>
          <w:rStyle w:val="Emphasis"/>
        </w:rPr>
        <w:t>imprecise laws</w:t>
      </w:r>
      <w:r w:rsidRPr="00595928">
        <w:rPr>
          <w:rStyle w:val="StyleUnderline"/>
        </w:rPr>
        <w:t xml:space="preserve"> that</w:t>
      </w:r>
      <w:r w:rsidRPr="005B44C7">
        <w:rPr>
          <w:sz w:val="16"/>
        </w:rPr>
        <w:t xml:space="preserve"> in turn </w:t>
      </w:r>
      <w:r w:rsidRPr="00595928">
        <w:rPr>
          <w:rStyle w:val="StyleUnderline"/>
        </w:rPr>
        <w:t xml:space="preserve">allows agencies to use those interpretations to </w:t>
      </w:r>
      <w:r w:rsidRPr="00595928">
        <w:rPr>
          <w:rStyle w:val="Emphasis"/>
        </w:rPr>
        <w:t>benefit themselves</w:t>
      </w:r>
      <w:r w:rsidRPr="005B44C7">
        <w:rPr>
          <w:sz w:val="16"/>
        </w:rPr>
        <w:t>. In the civil context this is not desired, but it does not have as serious repercussions as it does in the criminal context.</w:t>
      </w:r>
    </w:p>
    <w:p w14:paraId="11781666" w14:textId="77777777" w:rsidR="00586EDF" w:rsidRDefault="00586EDF" w:rsidP="00586EDF">
      <w:pPr>
        <w:rPr>
          <w:sz w:val="16"/>
        </w:rPr>
      </w:pPr>
      <w:r w:rsidRPr="005B44C7">
        <w:rPr>
          <w:sz w:val="16"/>
        </w:rPr>
        <w:t xml:space="preserve">In order for all laws to be effective, their meanings must be clear to people reading them, using them, and understanding them. In the criminal context, when a law is not well defined or well written, it leads to conflicting interpretations and applications. Although Chevron Deference has the potential to make a clear and concise pathway for interpretations because there would only be one interpretation from one agency, it creates a different type of confusion. Unless the interpretation is well known, </w:t>
      </w:r>
      <w:r w:rsidRPr="005B44C7">
        <w:rPr>
          <w:rStyle w:val="StyleUnderline"/>
        </w:rPr>
        <w:t xml:space="preserve">defendants will be caught </w:t>
      </w:r>
      <w:r w:rsidRPr="005B44C7">
        <w:rPr>
          <w:rStyle w:val="Emphasis"/>
        </w:rPr>
        <w:t>off-guard</w:t>
      </w:r>
      <w:r w:rsidRPr="005B44C7">
        <w:rPr>
          <w:sz w:val="16"/>
        </w:rPr>
        <w:t xml:space="preserve"> and have no forewarning about how the law will apply. Because of this, </w:t>
      </w:r>
      <w:r w:rsidRPr="005B44C7">
        <w:rPr>
          <w:rStyle w:val="StyleUnderline"/>
        </w:rPr>
        <w:t>courts should</w:t>
      </w:r>
      <w:r w:rsidRPr="005B44C7">
        <w:rPr>
          <w:sz w:val="16"/>
        </w:rPr>
        <w:t xml:space="preserve"> not reward the legislature for making unclear laws by allowing the use of Chevron Deference in criminal cases, and </w:t>
      </w:r>
      <w:r w:rsidRPr="005B44C7">
        <w:rPr>
          <w:rStyle w:val="Emphasis"/>
        </w:rPr>
        <w:t>instead</w:t>
      </w:r>
      <w:r w:rsidRPr="005B44C7">
        <w:rPr>
          <w:rStyle w:val="StyleUnderline"/>
        </w:rPr>
        <w:t>, apply the rule of lenity. This will</w:t>
      </w:r>
      <w:r w:rsidRPr="005B44C7">
        <w:rPr>
          <w:sz w:val="16"/>
        </w:rPr>
        <w:t xml:space="preserve"> most likely </w:t>
      </w:r>
      <w:r w:rsidRPr="005B44C7">
        <w:rPr>
          <w:rStyle w:val="StyleUnderline"/>
        </w:rPr>
        <w:t xml:space="preserve">make the legislature </w:t>
      </w:r>
      <w:r w:rsidRPr="005B44C7">
        <w:rPr>
          <w:rStyle w:val="Emphasis"/>
        </w:rPr>
        <w:t>more interested</w:t>
      </w:r>
      <w:r w:rsidRPr="005B44C7">
        <w:rPr>
          <w:rStyle w:val="StyleUnderline"/>
        </w:rPr>
        <w:t xml:space="preserve"> in making laws that are </w:t>
      </w:r>
      <w:r w:rsidRPr="005B44C7">
        <w:rPr>
          <w:rStyle w:val="Emphasis"/>
        </w:rPr>
        <w:t>succinct</w:t>
      </w:r>
      <w:r w:rsidRPr="005B44C7">
        <w:rPr>
          <w:rStyle w:val="StyleUnderline"/>
        </w:rPr>
        <w:t xml:space="preserve"> and </w:t>
      </w:r>
      <w:r w:rsidRPr="005B44C7">
        <w:rPr>
          <w:rStyle w:val="Emphasis"/>
        </w:rPr>
        <w:t>clear</w:t>
      </w:r>
      <w:r w:rsidRPr="005B44C7">
        <w:rPr>
          <w:sz w:val="16"/>
        </w:rPr>
        <w:t xml:space="preserve"> on their meaning and application.</w:t>
      </w:r>
    </w:p>
    <w:p w14:paraId="46FFF210" w14:textId="77777777" w:rsidR="00586EDF" w:rsidRDefault="00586EDF" w:rsidP="00586EDF">
      <w:pPr>
        <w:pStyle w:val="Heading3"/>
      </w:pPr>
      <w:r>
        <w:t>2AC – AO – Federalism</w:t>
      </w:r>
    </w:p>
    <w:p w14:paraId="63F633B1" w14:textId="77777777" w:rsidR="00586EDF" w:rsidRPr="007C6F40" w:rsidRDefault="00586EDF" w:rsidP="00586EDF">
      <w:pPr>
        <w:pStyle w:val="Heading4"/>
      </w:pPr>
      <w:r w:rsidRPr="007C6F40">
        <w:t>Lenity helps sustain values of federalism</w:t>
      </w:r>
      <w:r>
        <w:t>.</w:t>
      </w:r>
    </w:p>
    <w:p w14:paraId="7729EC02" w14:textId="77777777" w:rsidR="00586EDF" w:rsidRPr="007C6F40" w:rsidRDefault="00586EDF" w:rsidP="00586EDF">
      <w:r w:rsidRPr="007C6F40">
        <w:t xml:space="preserve">Julian R. </w:t>
      </w:r>
      <w:r w:rsidRPr="007C6F40">
        <w:rPr>
          <w:rStyle w:val="Style13ptBold"/>
        </w:rPr>
        <w:t>Murphy 19</w:t>
      </w:r>
      <w:r w:rsidRPr="007C6F40">
        <w:t xml:space="preserve"> (, Aug 24, 2019, "LENITY AND THE CONSTITUTION: COULD CONGRESS ABROGATE THE RULE OF LENITY", Harvard Journal, https://harvardjol.com/wp-content/uploads/sites/17/2019/08/HLL204_crop.pdf, accessed: 6-24-2020)//yeed</w:t>
      </w:r>
    </w:p>
    <w:p w14:paraId="1E4FF959" w14:textId="77777777" w:rsidR="00586EDF" w:rsidRPr="007C6F40" w:rsidRDefault="00586EDF" w:rsidP="00586EDF">
      <w:r w:rsidRPr="007C6F40">
        <w:t xml:space="preserve">It is occasionally claimed that the fact that </w:t>
      </w:r>
      <w:r w:rsidRPr="007C6F40">
        <w:rPr>
          <w:rStyle w:val="StyleUnderline"/>
        </w:rPr>
        <w:t xml:space="preserve">the rule can operate to </w:t>
      </w:r>
      <w:r w:rsidRPr="007C6F40">
        <w:rPr>
          <w:rStyle w:val="Emphasis"/>
        </w:rPr>
        <w:t>give effect to values of federalism</w:t>
      </w:r>
      <w:r w:rsidRPr="007C6F40">
        <w:rPr>
          <w:rStyle w:val="StyleUnderline"/>
        </w:rPr>
        <w:t xml:space="preserve"> provides additional constitutional support</w:t>
      </w:r>
      <w:r w:rsidRPr="007C6F40">
        <w:t>. On</w:t>
      </w:r>
      <w:r w:rsidRPr="007C6F40">
        <w:rPr>
          <w:sz w:val="12"/>
        </w:rPr>
        <w:t xml:space="preserve"> </w:t>
      </w:r>
      <w:r w:rsidRPr="007C6F40">
        <w:t xml:space="preserve">this account, </w:t>
      </w:r>
      <w:r w:rsidRPr="007C6F40">
        <w:rPr>
          <w:rStyle w:val="StyleUnderline"/>
        </w:rPr>
        <w:t>federal criminal laws ought to be interpreted strictly so as to limit federal legislative incursion into a field traditionally left to the states.</w:t>
      </w:r>
      <w:r w:rsidRPr="007C6F40">
        <w:rPr>
          <w:sz w:val="12"/>
        </w:rPr>
        <w:t xml:space="preserve"> </w:t>
      </w:r>
      <w:r w:rsidRPr="007C6F40">
        <w:t>Kahan articulates the values underlying this reasoning in the following</w:t>
      </w:r>
      <w:r w:rsidRPr="007C6F40">
        <w:rPr>
          <w:sz w:val="12"/>
        </w:rPr>
        <w:t xml:space="preserve"> </w:t>
      </w:r>
      <w:r w:rsidRPr="007C6F40">
        <w:t>terms:</w:t>
      </w:r>
    </w:p>
    <w:p w14:paraId="7D1D7F1B" w14:textId="77777777" w:rsidR="00586EDF" w:rsidRPr="005E5433" w:rsidRDefault="00586EDF" w:rsidP="00586EDF">
      <w:r w:rsidRPr="007C6F40">
        <w:rPr>
          <w:rStyle w:val="StyleUnderline"/>
        </w:rPr>
        <w:t xml:space="preserve">What conduct a state </w:t>
      </w:r>
      <w:r w:rsidRPr="007C6F40">
        <w:t xml:space="preserve">chooses to </w:t>
      </w:r>
      <w:r w:rsidRPr="007C6F40">
        <w:rPr>
          <w:rStyle w:val="StyleUnderline"/>
        </w:rPr>
        <w:t xml:space="preserve">criminalize and how </w:t>
      </w:r>
      <w:r w:rsidRPr="007C6F40">
        <w:t>severely</w:t>
      </w:r>
      <w:r w:rsidRPr="007C6F40">
        <w:rPr>
          <w:rStyle w:val="StyleUnderline"/>
        </w:rPr>
        <w:t xml:space="preserve"> it chooses to punish it are </w:t>
      </w:r>
      <w:r w:rsidRPr="007C6F40">
        <w:t>matters</w:t>
      </w:r>
      <w:r w:rsidRPr="007C6F40">
        <w:rPr>
          <w:rStyle w:val="StyleUnderline"/>
        </w:rPr>
        <w:t xml:space="preserve"> critical to </w:t>
      </w:r>
      <w:r w:rsidRPr="007C6F40">
        <w:t xml:space="preserve">the experience of </w:t>
      </w:r>
      <w:r w:rsidRPr="007C6F40">
        <w:rPr>
          <w:rStyle w:val="StyleUnderline"/>
        </w:rPr>
        <w:t>deliberative democracy within that state</w:t>
      </w:r>
      <w:r w:rsidRPr="007C6F40">
        <w:t>. Because Federal criminal law</w:t>
      </w:r>
      <w:r w:rsidRPr="007C6F40">
        <w:rPr>
          <w:sz w:val="12"/>
        </w:rPr>
        <w:t xml:space="preserve"> </w:t>
      </w:r>
      <w:r w:rsidRPr="007C6F40">
        <w:t xml:space="preserve">dictates uniform, national answers to such questions, </w:t>
      </w:r>
      <w:r w:rsidRPr="007C6F40">
        <w:rPr>
          <w:rStyle w:val="StyleUnderline"/>
        </w:rPr>
        <w:t>expansive readings of federal criminal law</w:t>
      </w:r>
      <w:r w:rsidRPr="007C6F40">
        <w:t xml:space="preserve"> threaten to </w:t>
      </w:r>
      <w:r w:rsidRPr="007C6F40">
        <w:rPr>
          <w:rStyle w:val="StyleUnderline"/>
        </w:rPr>
        <w:t>extinguish</w:t>
      </w:r>
      <w:r w:rsidRPr="007C6F40">
        <w:t xml:space="preserve"> the </w:t>
      </w:r>
      <w:r w:rsidRPr="007C6F40">
        <w:rPr>
          <w:rStyle w:val="StyleUnderline"/>
        </w:rPr>
        <w:t>opportunity</w:t>
      </w:r>
      <w:r w:rsidRPr="007C6F40">
        <w:t xml:space="preserve"> </w:t>
      </w:r>
      <w:r w:rsidRPr="007C6F40">
        <w:rPr>
          <w:rStyle w:val="StyleUnderline"/>
        </w:rPr>
        <w:t>that states have to use criminal law to express and shape local ideals</w:t>
      </w:r>
      <w:r w:rsidRPr="007C6F40">
        <w:t>.86</w:t>
      </w:r>
    </w:p>
    <w:p w14:paraId="6FA21C5A" w14:textId="77777777" w:rsidR="00586EDF" w:rsidRDefault="00586EDF" w:rsidP="00586EDF">
      <w:pPr>
        <w:pStyle w:val="Heading3"/>
      </w:pPr>
      <w:r>
        <w:t>2AC – AO – Deregulation</w:t>
      </w:r>
    </w:p>
    <w:p w14:paraId="3926981D" w14:textId="77777777" w:rsidR="00586EDF" w:rsidRPr="00456038" w:rsidRDefault="00586EDF" w:rsidP="00586EDF">
      <w:pPr>
        <w:pStyle w:val="Heading4"/>
      </w:pPr>
      <w:r>
        <w:t xml:space="preserve">Econ’s recovering with </w:t>
      </w:r>
      <w:r>
        <w:rPr>
          <w:u w:val="single"/>
        </w:rPr>
        <w:t>slow growth</w:t>
      </w:r>
      <w:r>
        <w:t>.</w:t>
      </w:r>
    </w:p>
    <w:p w14:paraId="18A66E46" w14:textId="77777777" w:rsidR="00586EDF" w:rsidRPr="0081373A" w:rsidRDefault="00586EDF" w:rsidP="00586EDF">
      <w:r w:rsidRPr="0081373A">
        <w:rPr>
          <w:rStyle w:val="Heading4Char"/>
        </w:rPr>
        <w:t>Pickert et al. 7-6</w:t>
      </w:r>
      <w:r w:rsidRPr="0081373A">
        <w:t>-20 – (Reade Pickert, economic reporter for Bloomberg news; Yue Qiu; Alexander McIntyre; “U.S. Coronavirus Surge Beginning to Show Up in Recovery Data</w:t>
      </w:r>
      <w:r>
        <w:t>”; Bloomberg; D.A. July 7</w:t>
      </w:r>
      <w:r w:rsidRPr="0081373A">
        <w:rPr>
          <w:vertAlign w:val="superscript"/>
        </w:rPr>
        <w:t>th</w:t>
      </w:r>
      <w:r>
        <w:t xml:space="preserve"> 2020, [Published July 6</w:t>
      </w:r>
      <w:r w:rsidRPr="0081373A">
        <w:rPr>
          <w:vertAlign w:val="superscript"/>
        </w:rPr>
        <w:t>th</w:t>
      </w:r>
      <w:r>
        <w:t xml:space="preserve"> 2020]; </w:t>
      </w:r>
      <w:hyperlink r:id="rId65" w:history="1">
        <w:r>
          <w:rPr>
            <w:rStyle w:val="Hyperlink"/>
          </w:rPr>
          <w:t>https://www.bloomberg.com/graphics/recovery-tracker/</w:t>
        </w:r>
      </w:hyperlink>
      <w:r>
        <w:t>) //LFS—JCM</w:t>
      </w:r>
    </w:p>
    <w:p w14:paraId="43E12FD2" w14:textId="77777777" w:rsidR="00586EDF" w:rsidRPr="00CD69A2" w:rsidRDefault="00586EDF" w:rsidP="00586EDF">
      <w:pPr>
        <w:rPr>
          <w:sz w:val="16"/>
        </w:rPr>
      </w:pPr>
      <w:r w:rsidRPr="00456038">
        <w:rPr>
          <w:rStyle w:val="StyleUnderline"/>
          <w:highlight w:val="cyan"/>
        </w:rPr>
        <w:t>The</w:t>
      </w:r>
      <w:r w:rsidRPr="00CD69A2">
        <w:rPr>
          <w:rStyle w:val="StyleUnderline"/>
        </w:rPr>
        <w:t xml:space="preserve"> U.S. </w:t>
      </w:r>
      <w:r w:rsidRPr="00456038">
        <w:rPr>
          <w:rStyle w:val="Emphasis"/>
          <w:highlight w:val="cyan"/>
        </w:rPr>
        <w:t>economy is gradually recovering</w:t>
      </w:r>
      <w:r w:rsidRPr="00CD69A2">
        <w:rPr>
          <w:sz w:val="16"/>
        </w:rPr>
        <w:t xml:space="preserve"> as </w:t>
      </w:r>
      <w:r w:rsidRPr="00456038">
        <w:rPr>
          <w:rStyle w:val="StyleUnderline"/>
          <w:highlight w:val="cyan"/>
        </w:rPr>
        <w:t>businesses reboot</w:t>
      </w:r>
      <w:r w:rsidRPr="00CD69A2">
        <w:rPr>
          <w:sz w:val="16"/>
        </w:rPr>
        <w:t xml:space="preserve"> and scores of </w:t>
      </w:r>
      <w:r w:rsidRPr="00456038">
        <w:rPr>
          <w:rStyle w:val="StyleUnderline"/>
          <w:highlight w:val="cyan"/>
        </w:rPr>
        <w:t>Americans head back to work</w:t>
      </w:r>
      <w:r w:rsidRPr="00CD69A2">
        <w:rPr>
          <w:sz w:val="16"/>
        </w:rPr>
        <w:t>, but a record surge in virus cases threatens to upend that improvement as reopening efforts stall in some places.</w:t>
      </w:r>
    </w:p>
    <w:p w14:paraId="30F47491" w14:textId="77777777" w:rsidR="00586EDF" w:rsidRPr="00CD69A2" w:rsidRDefault="00586EDF" w:rsidP="00586EDF">
      <w:pPr>
        <w:rPr>
          <w:sz w:val="16"/>
        </w:rPr>
      </w:pPr>
      <w:r w:rsidRPr="00CD69A2">
        <w:rPr>
          <w:sz w:val="16"/>
        </w:rPr>
        <w:t xml:space="preserve">Bloomberg Economics created a weekly dashboard of high-frequency, alternative and </w:t>
      </w:r>
      <w:r w:rsidRPr="00456038">
        <w:rPr>
          <w:rStyle w:val="StyleUnderline"/>
          <w:highlight w:val="cyan"/>
        </w:rPr>
        <w:t>market</w:t>
      </w:r>
      <w:r w:rsidRPr="00CD69A2">
        <w:rPr>
          <w:rStyle w:val="StyleUnderline"/>
        </w:rPr>
        <w:t xml:space="preserve">-based </w:t>
      </w:r>
      <w:r w:rsidRPr="00456038">
        <w:rPr>
          <w:rStyle w:val="StyleUnderline"/>
          <w:highlight w:val="cyan"/>
        </w:rPr>
        <w:t>data</w:t>
      </w:r>
      <w:r w:rsidRPr="00CD69A2">
        <w:rPr>
          <w:sz w:val="16"/>
        </w:rPr>
        <w:t xml:space="preserve"> to </w:t>
      </w:r>
      <w:r w:rsidRPr="00CD69A2">
        <w:rPr>
          <w:rStyle w:val="StyleUnderline"/>
        </w:rPr>
        <w:t>track the economy’s</w:t>
      </w:r>
      <w:r w:rsidRPr="00CD69A2">
        <w:rPr>
          <w:sz w:val="16"/>
        </w:rPr>
        <w:t xml:space="preserve"> plunge into recession and eventual </w:t>
      </w:r>
      <w:r w:rsidRPr="00CD69A2">
        <w:rPr>
          <w:rStyle w:val="StyleUnderline"/>
        </w:rPr>
        <w:t>recovery</w:t>
      </w:r>
      <w:r w:rsidRPr="00CD69A2">
        <w:rPr>
          <w:sz w:val="16"/>
        </w:rPr>
        <w:t xml:space="preserve">. </w:t>
      </w:r>
      <w:r w:rsidRPr="00CD69A2">
        <w:rPr>
          <w:rStyle w:val="StyleUnderline"/>
        </w:rPr>
        <w:t>Most</w:t>
      </w:r>
      <w:r w:rsidRPr="00CD69A2">
        <w:rPr>
          <w:sz w:val="16"/>
        </w:rPr>
        <w:t xml:space="preserve"> of the dashboard’s </w:t>
      </w:r>
      <w:r w:rsidRPr="00CD69A2">
        <w:rPr>
          <w:rStyle w:val="StyleUnderline"/>
        </w:rPr>
        <w:t>indicators</w:t>
      </w:r>
      <w:r w:rsidRPr="00CD69A2">
        <w:rPr>
          <w:sz w:val="16"/>
        </w:rPr>
        <w:t xml:space="preserve">, including applications for jobless benefits, consumer confidence and public-transportation usage, </w:t>
      </w:r>
      <w:r w:rsidRPr="00456038">
        <w:rPr>
          <w:rStyle w:val="StyleUnderline"/>
          <w:highlight w:val="cyan"/>
        </w:rPr>
        <w:t>point to modest</w:t>
      </w:r>
      <w:r w:rsidRPr="00CD69A2">
        <w:rPr>
          <w:rStyle w:val="StyleUnderline"/>
        </w:rPr>
        <w:t xml:space="preserve">, </w:t>
      </w:r>
      <w:r w:rsidRPr="00456038">
        <w:rPr>
          <w:rStyle w:val="StyleUnderline"/>
          <w:highlight w:val="cyan"/>
        </w:rPr>
        <w:t>incremental improvement</w:t>
      </w:r>
      <w:r w:rsidRPr="00CD69A2">
        <w:rPr>
          <w:sz w:val="16"/>
        </w:rPr>
        <w:t>. But some measures, including restaurant bookings, have slightly worsened.</w:t>
      </w:r>
    </w:p>
    <w:p w14:paraId="2D289A05" w14:textId="77777777" w:rsidR="00586EDF" w:rsidRPr="00CD69A2" w:rsidRDefault="00586EDF" w:rsidP="00586EDF">
      <w:pPr>
        <w:rPr>
          <w:sz w:val="16"/>
        </w:rPr>
      </w:pPr>
      <w:r w:rsidRPr="00CD69A2">
        <w:rPr>
          <w:sz w:val="16"/>
        </w:rPr>
        <w:t xml:space="preserve">Recent </w:t>
      </w:r>
      <w:r w:rsidRPr="00CD69A2">
        <w:rPr>
          <w:rStyle w:val="StyleUnderline"/>
        </w:rPr>
        <w:t>reopenings paired with government-sponsored small-business loans have helped bolster hiring</w:t>
      </w:r>
      <w:r w:rsidRPr="00CD69A2">
        <w:rPr>
          <w:sz w:val="16"/>
        </w:rPr>
        <w:t xml:space="preserve"> across the nation. In June, </w:t>
      </w:r>
      <w:r w:rsidRPr="00456038">
        <w:rPr>
          <w:rStyle w:val="Emphasis"/>
          <w:highlight w:val="cyan"/>
        </w:rPr>
        <w:t>U.S. employers added</w:t>
      </w:r>
      <w:r w:rsidRPr="00CD69A2">
        <w:rPr>
          <w:rStyle w:val="Emphasis"/>
        </w:rPr>
        <w:t xml:space="preserve"> a record </w:t>
      </w:r>
      <w:r w:rsidRPr="00456038">
        <w:rPr>
          <w:rStyle w:val="Emphasis"/>
          <w:highlight w:val="cyan"/>
        </w:rPr>
        <w:t>4.8 million workers</w:t>
      </w:r>
      <w:r w:rsidRPr="00CD69A2">
        <w:rPr>
          <w:rStyle w:val="Emphasis"/>
        </w:rPr>
        <w:t xml:space="preserve"> to payrolls</w:t>
      </w:r>
      <w:r w:rsidRPr="00CD69A2">
        <w:rPr>
          <w:sz w:val="16"/>
        </w:rPr>
        <w:t xml:space="preserve">. Even so, </w:t>
      </w:r>
      <w:r w:rsidRPr="00CD69A2">
        <w:rPr>
          <w:rStyle w:val="StyleUnderline"/>
        </w:rPr>
        <w:t>America’s jobs engine is still far short of where it was</w:t>
      </w:r>
      <w:r w:rsidRPr="00CD69A2">
        <w:rPr>
          <w:sz w:val="16"/>
        </w:rPr>
        <w:t xml:space="preserve"> before the pandemic.</w:t>
      </w:r>
    </w:p>
    <w:p w14:paraId="09A98644" w14:textId="77777777" w:rsidR="00586EDF" w:rsidRPr="00CD69A2" w:rsidRDefault="00586EDF" w:rsidP="00586EDF">
      <w:pPr>
        <w:rPr>
          <w:sz w:val="16"/>
        </w:rPr>
      </w:pPr>
      <w:r w:rsidRPr="00CD69A2">
        <w:rPr>
          <w:sz w:val="16"/>
        </w:rPr>
        <w:t xml:space="preserve">As many Americans are finding themselves getting rehired, layoffs are continuing at an alarming rate. The June employment report showed almost 3 million of the </w:t>
      </w:r>
      <w:r w:rsidRPr="00CD69A2">
        <w:rPr>
          <w:rStyle w:val="StyleUnderline"/>
        </w:rPr>
        <w:t>unemployed</w:t>
      </w:r>
      <w:r w:rsidRPr="00CD69A2">
        <w:rPr>
          <w:sz w:val="16"/>
        </w:rPr>
        <w:t xml:space="preserve"> were permanent job losers, an </w:t>
      </w:r>
      <w:r w:rsidRPr="00CD69A2">
        <w:rPr>
          <w:rStyle w:val="StyleUnderline"/>
        </w:rPr>
        <w:t>increase of 588,000 from the prior month</w:t>
      </w:r>
      <w:r w:rsidRPr="00CD69A2">
        <w:rPr>
          <w:sz w:val="16"/>
        </w:rPr>
        <w:t>.</w:t>
      </w:r>
    </w:p>
    <w:p w14:paraId="47908704" w14:textId="77777777" w:rsidR="00586EDF" w:rsidRDefault="00586EDF" w:rsidP="00586EDF">
      <w:r>
        <w:rPr>
          <w:noProof/>
        </w:rPr>
        <w:drawing>
          <wp:inline distT="0" distB="0" distL="0" distR="0" wp14:anchorId="21964707" wp14:editId="1D2F9A62">
            <wp:extent cx="9308615" cy="4328143"/>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9319617" cy="4333259"/>
                    </a:xfrm>
                    <a:prstGeom prst="rect">
                      <a:avLst/>
                    </a:prstGeom>
                  </pic:spPr>
                </pic:pic>
              </a:graphicData>
            </a:graphic>
          </wp:inline>
        </w:drawing>
      </w:r>
    </w:p>
    <w:p w14:paraId="0E9873A8" w14:textId="77777777" w:rsidR="00586EDF" w:rsidRPr="00CD69A2" w:rsidRDefault="00586EDF" w:rsidP="00586EDF">
      <w:pPr>
        <w:rPr>
          <w:sz w:val="16"/>
        </w:rPr>
      </w:pPr>
      <w:r w:rsidRPr="00CD69A2">
        <w:rPr>
          <w:sz w:val="16"/>
        </w:rPr>
        <w:t xml:space="preserve">Applications for unemployment insurance show a similar picture. </w:t>
      </w:r>
      <w:r w:rsidRPr="00CD69A2">
        <w:rPr>
          <w:rStyle w:val="StyleUnderline"/>
        </w:rPr>
        <w:t>Initial jobless claims for regular state programs have held around 1.5 million per week</w:t>
      </w:r>
      <w:r w:rsidRPr="00CD69A2">
        <w:rPr>
          <w:sz w:val="16"/>
        </w:rPr>
        <w:t xml:space="preserve"> during June, more than double the worst week in the 2007-2009 recession. That figure also doesn’t include the hundreds of thousands of applications for Pandemic Unemployment Assistance each week, the federal program that expands benefits to those not previously eligible like self-employed workers.</w:t>
      </w:r>
    </w:p>
    <w:p w14:paraId="0999A749" w14:textId="77777777" w:rsidR="00586EDF" w:rsidRPr="00CD69A2" w:rsidRDefault="00586EDF" w:rsidP="00586EDF">
      <w:pPr>
        <w:rPr>
          <w:sz w:val="16"/>
        </w:rPr>
      </w:pPr>
      <w:r w:rsidRPr="00CD69A2">
        <w:rPr>
          <w:sz w:val="16"/>
        </w:rPr>
        <w:t>“</w:t>
      </w:r>
      <w:r w:rsidRPr="00CD69A2">
        <w:rPr>
          <w:rStyle w:val="StyleUnderline"/>
        </w:rPr>
        <w:t xml:space="preserve">The latest </w:t>
      </w:r>
      <w:r w:rsidRPr="00456038">
        <w:rPr>
          <w:rStyle w:val="Emphasis"/>
          <w:highlight w:val="cyan"/>
        </w:rPr>
        <w:t>data show</w:t>
      </w:r>
      <w:r w:rsidRPr="00456038">
        <w:rPr>
          <w:rStyle w:val="StyleUnderline"/>
          <w:highlight w:val="cyan"/>
        </w:rPr>
        <w:t xml:space="preserve"> that </w:t>
      </w:r>
      <w:r w:rsidRPr="00456038">
        <w:rPr>
          <w:rStyle w:val="Emphasis"/>
          <w:highlight w:val="cyan"/>
        </w:rPr>
        <w:t>economic activity is losing</w:t>
      </w:r>
      <w:r w:rsidRPr="00CD69A2">
        <w:rPr>
          <w:rStyle w:val="StyleUnderline"/>
        </w:rPr>
        <w:t xml:space="preserve"> some </w:t>
      </w:r>
      <w:r w:rsidRPr="00456038">
        <w:rPr>
          <w:rStyle w:val="Emphasis"/>
          <w:highlight w:val="cyan"/>
        </w:rPr>
        <w:t>momentum</w:t>
      </w:r>
      <w:r w:rsidRPr="00CD69A2">
        <w:rPr>
          <w:sz w:val="16"/>
        </w:rPr>
        <w:t xml:space="preserve"> as new virus cases are rising,” Bloomberg economist Eliza Winger said. “</w:t>
      </w:r>
      <w:r w:rsidRPr="00CD69A2">
        <w:rPr>
          <w:rStyle w:val="StyleUnderline"/>
        </w:rPr>
        <w:t>Layoffs are at extremely elevated levels</w:t>
      </w:r>
      <w:r w:rsidRPr="00CD69A2">
        <w:rPr>
          <w:sz w:val="16"/>
        </w:rPr>
        <w:t xml:space="preserve">. The coming weeks will indicate whether the </w:t>
      </w:r>
      <w:r w:rsidRPr="00CD69A2">
        <w:rPr>
          <w:rStyle w:val="StyleUnderline"/>
        </w:rPr>
        <w:t>recent reacceleration in Covid-19 cases results in widespread business closures</w:t>
      </w:r>
      <w:r w:rsidRPr="00CD69A2">
        <w:rPr>
          <w:sz w:val="16"/>
        </w:rPr>
        <w:t xml:space="preserve"> and a consequent loss of jobs and a dent to consumer confidence and spending.”</w:t>
      </w:r>
    </w:p>
    <w:p w14:paraId="66B35849" w14:textId="77777777" w:rsidR="00586EDF" w:rsidRPr="00456038" w:rsidRDefault="00586EDF" w:rsidP="00586EDF">
      <w:pPr>
        <w:rPr>
          <w:sz w:val="16"/>
        </w:rPr>
      </w:pPr>
      <w:r w:rsidRPr="00CD69A2">
        <w:rPr>
          <w:sz w:val="16"/>
        </w:rPr>
        <w:t xml:space="preserve">Even so, financial markets are paying little heed to warning signs, amid Federal Reserve stimulus and a Monday </w:t>
      </w:r>
      <w:r w:rsidRPr="00CD69A2">
        <w:rPr>
          <w:rStyle w:val="StyleUnderline"/>
        </w:rPr>
        <w:t xml:space="preserve">pronouncement from </w:t>
      </w:r>
      <w:r w:rsidRPr="00CD69A2">
        <w:rPr>
          <w:rStyle w:val="Emphasis"/>
        </w:rPr>
        <w:t>China</w:t>
      </w:r>
      <w:r w:rsidRPr="00CD69A2">
        <w:rPr>
          <w:rStyle w:val="StyleUnderline"/>
        </w:rPr>
        <w:t xml:space="preserve"> that </w:t>
      </w:r>
      <w:r w:rsidRPr="00456038">
        <w:rPr>
          <w:rStyle w:val="Emphasis"/>
          <w:highlight w:val="cyan"/>
        </w:rPr>
        <w:t>fostering a “healthy” bull market is important</w:t>
      </w:r>
      <w:r w:rsidRPr="00CD69A2">
        <w:rPr>
          <w:rStyle w:val="StyleUnderline"/>
        </w:rPr>
        <w:t>. “</w:t>
      </w:r>
      <w:r w:rsidRPr="00456038">
        <w:rPr>
          <w:rStyle w:val="StyleUnderline"/>
          <w:highlight w:val="cyan"/>
        </w:rPr>
        <w:t xml:space="preserve">The </w:t>
      </w:r>
      <w:r w:rsidRPr="00456038">
        <w:rPr>
          <w:rStyle w:val="Emphasis"/>
          <w:highlight w:val="cyan"/>
        </w:rPr>
        <w:t>market is forward looking and Asia is</w:t>
      </w:r>
      <w:r w:rsidRPr="00CD69A2">
        <w:rPr>
          <w:rStyle w:val="StyleUnderline"/>
        </w:rPr>
        <w:t xml:space="preserve"> maybe eight to 12 </w:t>
      </w:r>
      <w:r w:rsidRPr="00456038">
        <w:rPr>
          <w:rStyle w:val="Emphasis"/>
          <w:highlight w:val="cyan"/>
        </w:rPr>
        <w:t>weeks</w:t>
      </w:r>
      <w:r w:rsidRPr="00CD69A2">
        <w:rPr>
          <w:rStyle w:val="StyleUnderline"/>
        </w:rPr>
        <w:t xml:space="preserve"> or so </w:t>
      </w:r>
      <w:r w:rsidRPr="00456038">
        <w:rPr>
          <w:rStyle w:val="Emphasis"/>
          <w:highlight w:val="cyan"/>
        </w:rPr>
        <w:t>ahead of us</w:t>
      </w:r>
      <w:r w:rsidRPr="00456038">
        <w:rPr>
          <w:sz w:val="16"/>
          <w:highlight w:val="cyan"/>
        </w:rPr>
        <w:t>,”</w:t>
      </w:r>
      <w:r w:rsidRPr="00CD69A2">
        <w:rPr>
          <w:sz w:val="16"/>
        </w:rPr>
        <w:t xml:space="preserve"> said JJ Kinahan, chief market strategist at TD Ameritrade.</w:t>
      </w:r>
    </w:p>
    <w:p w14:paraId="094ECE47" w14:textId="77777777" w:rsidR="00586EDF" w:rsidRDefault="00586EDF" w:rsidP="00586EDF"/>
    <w:p w14:paraId="2F4C2088" w14:textId="77777777" w:rsidR="00586EDF" w:rsidRDefault="00586EDF" w:rsidP="00586EDF"/>
    <w:p w14:paraId="1688D7BA" w14:textId="77777777" w:rsidR="00586EDF" w:rsidRPr="00456038" w:rsidRDefault="00586EDF" w:rsidP="00586EDF">
      <w:pPr>
        <w:pStyle w:val="Heading4"/>
      </w:pPr>
      <w:r>
        <w:t xml:space="preserve">Regulation </w:t>
      </w:r>
      <w:r>
        <w:rPr>
          <w:u w:val="single"/>
        </w:rPr>
        <w:t>strangles</w:t>
      </w:r>
      <w:r>
        <w:t xml:space="preserve"> markets.</w:t>
      </w:r>
    </w:p>
    <w:p w14:paraId="1AC8B7A4" w14:textId="77777777" w:rsidR="00586EDF" w:rsidRPr="00E12F3A" w:rsidRDefault="00586EDF" w:rsidP="00586EDF">
      <w:r w:rsidRPr="00E12F3A">
        <w:rPr>
          <w:rStyle w:val="Heading4Char"/>
        </w:rPr>
        <w:t>Tucker 18</w:t>
      </w:r>
      <w:r w:rsidRPr="00E12F3A">
        <w:t xml:space="preserve"> – (Garland S. Tucker III is Retired Chairman/CEO of Triangle Capital Corporation, author of Conservative Heroes: Fourteen Leaders Who Changed America – Jefferson to Reagan, and Senior Fellow at the John Locke Foundation; “Sarbanes-Oxley Is Suffocating Our Essential Capital Markets</w:t>
      </w:r>
      <w:r>
        <w:t>”; Real Clear Markets; D.A. July 7</w:t>
      </w:r>
      <w:r w:rsidRPr="00E12F3A">
        <w:rPr>
          <w:vertAlign w:val="superscript"/>
        </w:rPr>
        <w:t>th</w:t>
      </w:r>
      <w:r>
        <w:t xml:space="preserve"> 2020, [Published May 11</w:t>
      </w:r>
      <w:r w:rsidRPr="00E12F3A">
        <w:rPr>
          <w:vertAlign w:val="superscript"/>
        </w:rPr>
        <w:t>th</w:t>
      </w:r>
      <w:r>
        <w:t xml:space="preserve"> 2018]; </w:t>
      </w:r>
      <w:hyperlink r:id="rId67" w:history="1">
        <w:r>
          <w:rPr>
            <w:rStyle w:val="Hyperlink"/>
          </w:rPr>
          <w:t>https://www.realclearmarkets.com/articles/2018/05/11/sarbanes-oxley_is_suffocating_our_essential_capital_markets_103255.html</w:t>
        </w:r>
      </w:hyperlink>
      <w:r>
        <w:t>) //LFS—JCM</w:t>
      </w:r>
    </w:p>
    <w:p w14:paraId="2139C37B" w14:textId="77777777" w:rsidR="00586EDF" w:rsidRPr="00F32BC6" w:rsidRDefault="00586EDF" w:rsidP="00586EDF">
      <w:pPr>
        <w:rPr>
          <w:sz w:val="16"/>
        </w:rPr>
      </w:pPr>
      <w:r w:rsidRPr="00F32BC6">
        <w:rPr>
          <w:sz w:val="16"/>
        </w:rPr>
        <w:t xml:space="preserve">Their power to fuel </w:t>
      </w:r>
      <w:r w:rsidRPr="00456038">
        <w:rPr>
          <w:rStyle w:val="Emphasis"/>
          <w:highlight w:val="cyan"/>
        </w:rPr>
        <w:t>economic growth</w:t>
      </w:r>
      <w:r w:rsidRPr="00F32BC6">
        <w:rPr>
          <w:rStyle w:val="StyleUnderline"/>
        </w:rPr>
        <w:t xml:space="preserve"> has </w:t>
      </w:r>
      <w:r w:rsidRPr="00456038">
        <w:rPr>
          <w:rStyle w:val="StyleUnderline"/>
          <w:highlight w:val="cyan"/>
        </w:rPr>
        <w:t>made</w:t>
      </w:r>
      <w:r w:rsidRPr="00F32BC6">
        <w:rPr>
          <w:sz w:val="16"/>
        </w:rPr>
        <w:t xml:space="preserve"> the U. S. </w:t>
      </w:r>
      <w:r w:rsidRPr="00456038">
        <w:rPr>
          <w:rStyle w:val="Emphasis"/>
          <w:highlight w:val="cyan"/>
        </w:rPr>
        <w:t>capital markets</w:t>
      </w:r>
      <w:r w:rsidRPr="00F32BC6">
        <w:rPr>
          <w:rStyle w:val="StyleUnderline"/>
        </w:rPr>
        <w:t xml:space="preserve"> the </w:t>
      </w:r>
      <w:r w:rsidRPr="00456038">
        <w:rPr>
          <w:rStyle w:val="Emphasis"/>
          <w:highlight w:val="cyan"/>
        </w:rPr>
        <w:t>8th wonder of the world</w:t>
      </w:r>
      <w:r w:rsidRPr="00F32BC6">
        <w:rPr>
          <w:sz w:val="16"/>
        </w:rPr>
        <w:t xml:space="preserve">. But today </w:t>
      </w:r>
      <w:r w:rsidRPr="00456038">
        <w:rPr>
          <w:rStyle w:val="Emphasis"/>
          <w:highlight w:val="cyan"/>
        </w:rPr>
        <w:t>that power is endangered</w:t>
      </w:r>
      <w:r w:rsidRPr="00F32BC6">
        <w:rPr>
          <w:sz w:val="16"/>
        </w:rPr>
        <w:t>, and the potential consequences are ominous.</w:t>
      </w:r>
    </w:p>
    <w:p w14:paraId="400D024D" w14:textId="77777777" w:rsidR="00586EDF" w:rsidRPr="00F32BC6" w:rsidRDefault="00586EDF" w:rsidP="00586EDF">
      <w:pPr>
        <w:rPr>
          <w:rStyle w:val="StyleUnderline"/>
        </w:rPr>
      </w:pPr>
      <w:r w:rsidRPr="000E5464">
        <w:rPr>
          <w:sz w:val="16"/>
        </w:rPr>
        <w:t xml:space="preserve">There is no doubt </w:t>
      </w:r>
      <w:r w:rsidRPr="00456038">
        <w:rPr>
          <w:rStyle w:val="StyleUnderline"/>
          <w:highlight w:val="cyan"/>
        </w:rPr>
        <w:t>the</w:t>
      </w:r>
      <w:r w:rsidRPr="00F32BC6">
        <w:rPr>
          <w:rStyle w:val="StyleUnderline"/>
        </w:rPr>
        <w:t xml:space="preserve"> </w:t>
      </w:r>
      <w:r w:rsidRPr="00456038">
        <w:rPr>
          <w:rStyle w:val="StyleUnderline"/>
          <w:highlight w:val="cyan"/>
        </w:rPr>
        <w:t>U</w:t>
      </w:r>
      <w:r w:rsidRPr="00F32BC6">
        <w:rPr>
          <w:rStyle w:val="StyleUnderline"/>
        </w:rPr>
        <w:t xml:space="preserve">nited </w:t>
      </w:r>
      <w:r w:rsidRPr="00456038">
        <w:rPr>
          <w:rStyle w:val="StyleUnderline"/>
          <w:highlight w:val="cyan"/>
        </w:rPr>
        <w:t>S</w:t>
      </w:r>
      <w:r w:rsidRPr="00F32BC6">
        <w:rPr>
          <w:rStyle w:val="StyleUnderline"/>
        </w:rPr>
        <w:t xml:space="preserve">tates has </w:t>
      </w:r>
      <w:r w:rsidRPr="00456038">
        <w:rPr>
          <w:rStyle w:val="Emphasis"/>
          <w:highlight w:val="cyan"/>
        </w:rPr>
        <w:t>led the world</w:t>
      </w:r>
      <w:r w:rsidRPr="000E5464">
        <w:rPr>
          <w:sz w:val="16"/>
        </w:rPr>
        <w:t xml:space="preserve"> for many decades now </w:t>
      </w:r>
      <w:r w:rsidRPr="00456038">
        <w:rPr>
          <w:rStyle w:val="StyleUnderline"/>
          <w:highlight w:val="cyan"/>
        </w:rPr>
        <w:t>in</w:t>
      </w:r>
      <w:r w:rsidRPr="00F32BC6">
        <w:rPr>
          <w:rStyle w:val="StyleUnderline"/>
        </w:rPr>
        <w:t xml:space="preserve"> </w:t>
      </w:r>
      <w:r w:rsidRPr="000E5464">
        <w:rPr>
          <w:rStyle w:val="Emphasis"/>
        </w:rPr>
        <w:t xml:space="preserve">economic </w:t>
      </w:r>
      <w:r w:rsidRPr="00456038">
        <w:rPr>
          <w:rStyle w:val="Emphasis"/>
          <w:highlight w:val="cyan"/>
        </w:rPr>
        <w:t>growth</w:t>
      </w:r>
      <w:r w:rsidRPr="000E5464">
        <w:rPr>
          <w:rStyle w:val="Emphasis"/>
        </w:rPr>
        <w:t xml:space="preserve"> and development</w:t>
      </w:r>
      <w:r w:rsidRPr="000E5464">
        <w:rPr>
          <w:sz w:val="16"/>
        </w:rPr>
        <w:t xml:space="preserve">. </w:t>
      </w:r>
      <w:r w:rsidRPr="00F32BC6">
        <w:rPr>
          <w:rStyle w:val="StyleUnderline"/>
        </w:rPr>
        <w:t xml:space="preserve">America’s </w:t>
      </w:r>
      <w:r w:rsidRPr="00456038">
        <w:rPr>
          <w:rStyle w:val="StyleUnderline"/>
          <w:highlight w:val="cyan"/>
        </w:rPr>
        <w:t>greatest contribution</w:t>
      </w:r>
      <w:r w:rsidRPr="00F32BC6">
        <w:rPr>
          <w:rStyle w:val="StyleUnderline"/>
        </w:rPr>
        <w:t xml:space="preserve"> to the economic well-being</w:t>
      </w:r>
      <w:r w:rsidRPr="000E5464">
        <w:rPr>
          <w:sz w:val="16"/>
        </w:rPr>
        <w:t xml:space="preserve"> of its own citizens and of much of the rest of the world </w:t>
      </w:r>
      <w:r w:rsidRPr="00F32BC6">
        <w:rPr>
          <w:rStyle w:val="StyleUnderline"/>
        </w:rPr>
        <w:t>has been the development of</w:t>
      </w:r>
      <w:r w:rsidRPr="000E5464">
        <w:rPr>
          <w:sz w:val="16"/>
        </w:rPr>
        <w:t xml:space="preserve"> efficient, deep, public </w:t>
      </w:r>
      <w:r w:rsidRPr="00456038">
        <w:rPr>
          <w:rStyle w:val="Emphasis"/>
          <w:highlight w:val="cyan"/>
        </w:rPr>
        <w:t>capital markets</w:t>
      </w:r>
      <w:r w:rsidRPr="000E5464">
        <w:rPr>
          <w:sz w:val="16"/>
        </w:rPr>
        <w:t xml:space="preserve">. </w:t>
      </w:r>
      <w:r w:rsidRPr="00F32BC6">
        <w:rPr>
          <w:rStyle w:val="StyleUnderline"/>
        </w:rPr>
        <w:t>These American capital markets have</w:t>
      </w:r>
      <w:r w:rsidRPr="000E5464">
        <w:rPr>
          <w:sz w:val="16"/>
        </w:rPr>
        <w:t xml:space="preserve"> for over a century </w:t>
      </w:r>
      <w:r w:rsidRPr="000E5464">
        <w:rPr>
          <w:rStyle w:val="Emphasis"/>
        </w:rPr>
        <w:t>been the envy</w:t>
      </w:r>
      <w:r w:rsidRPr="00F32BC6">
        <w:rPr>
          <w:rStyle w:val="StyleUnderline"/>
        </w:rPr>
        <w:t xml:space="preserve"> of the free world</w:t>
      </w:r>
      <w:r w:rsidRPr="000E5464">
        <w:rPr>
          <w:sz w:val="16"/>
        </w:rPr>
        <w:t xml:space="preserve"> – maybe even the 8th wonder. They have </w:t>
      </w:r>
      <w:r w:rsidRPr="00F32BC6">
        <w:rPr>
          <w:rStyle w:val="StyleUnderline"/>
        </w:rPr>
        <w:t>provided the most efficient access to</w:t>
      </w:r>
      <w:r w:rsidRPr="000E5464">
        <w:rPr>
          <w:sz w:val="16"/>
        </w:rPr>
        <w:t xml:space="preserve">, and allocation of, </w:t>
      </w:r>
      <w:r w:rsidRPr="00F32BC6">
        <w:rPr>
          <w:rStyle w:val="StyleUnderline"/>
        </w:rPr>
        <w:t>capital in human history</w:t>
      </w:r>
      <w:r w:rsidRPr="000E5464">
        <w:rPr>
          <w:sz w:val="16"/>
        </w:rPr>
        <w:t xml:space="preserve">. They have </w:t>
      </w:r>
      <w:r w:rsidRPr="00456038">
        <w:rPr>
          <w:rStyle w:val="StyleUnderline"/>
          <w:highlight w:val="cyan"/>
        </w:rPr>
        <w:t>been the</w:t>
      </w:r>
      <w:r w:rsidRPr="00F32BC6">
        <w:rPr>
          <w:rStyle w:val="StyleUnderline"/>
        </w:rPr>
        <w:t xml:space="preserve"> </w:t>
      </w:r>
      <w:r w:rsidRPr="000E5464">
        <w:rPr>
          <w:rStyle w:val="Emphasis"/>
        </w:rPr>
        <w:t xml:space="preserve">very </w:t>
      </w:r>
      <w:r w:rsidRPr="00456038">
        <w:rPr>
          <w:rStyle w:val="Emphasis"/>
          <w:highlight w:val="cyan"/>
        </w:rPr>
        <w:t>engine that drives</w:t>
      </w:r>
      <w:r w:rsidRPr="00F32BC6">
        <w:rPr>
          <w:rStyle w:val="StyleUnderline"/>
        </w:rPr>
        <w:t xml:space="preserve"> economic </w:t>
      </w:r>
      <w:r w:rsidRPr="00456038">
        <w:rPr>
          <w:rStyle w:val="Emphasis"/>
          <w:highlight w:val="cyan"/>
        </w:rPr>
        <w:t>growth</w:t>
      </w:r>
      <w:r w:rsidRPr="00F32BC6">
        <w:rPr>
          <w:rStyle w:val="StyleUnderline"/>
        </w:rPr>
        <w:t>, innovation, and prosperity.</w:t>
      </w:r>
    </w:p>
    <w:p w14:paraId="4E1E1BCA" w14:textId="77777777" w:rsidR="00586EDF" w:rsidRPr="000E5464" w:rsidRDefault="00586EDF" w:rsidP="00586EDF">
      <w:pPr>
        <w:rPr>
          <w:sz w:val="16"/>
        </w:rPr>
      </w:pPr>
      <w:r w:rsidRPr="000E5464">
        <w:rPr>
          <w:sz w:val="16"/>
        </w:rPr>
        <w:t xml:space="preserve">A major recent trend was highlighted in a Wall Street Journal piece, “Powering U.S. Business: Private Capital.” The article reported a reversal over the last decade in the roles played by private versus public capital raises. Substantially </w:t>
      </w:r>
      <w:r w:rsidRPr="000E5464">
        <w:rPr>
          <w:rStyle w:val="Emphasis"/>
        </w:rPr>
        <w:t>more capital is raised</w:t>
      </w:r>
      <w:r w:rsidRPr="000E5464">
        <w:rPr>
          <w:rStyle w:val="StyleUnderline"/>
        </w:rPr>
        <w:t xml:space="preserve"> today in the </w:t>
      </w:r>
      <w:r w:rsidRPr="000E5464">
        <w:rPr>
          <w:rStyle w:val="Emphasis"/>
        </w:rPr>
        <w:t>private markets</w:t>
      </w:r>
      <w:r w:rsidRPr="000E5464">
        <w:rPr>
          <w:rStyle w:val="StyleUnderline"/>
        </w:rPr>
        <w:t xml:space="preserve"> than in the public markets</w:t>
      </w:r>
      <w:r w:rsidRPr="000E5464">
        <w:rPr>
          <w:sz w:val="16"/>
        </w:rPr>
        <w:t xml:space="preserve"> – as opposed to the decades prior to 2010. </w:t>
      </w:r>
      <w:r w:rsidRPr="000E5464">
        <w:rPr>
          <w:rStyle w:val="StyleUnderline"/>
        </w:rPr>
        <w:t xml:space="preserve">As private capital raises have increased, public </w:t>
      </w:r>
      <w:r w:rsidRPr="00456038">
        <w:rPr>
          <w:rStyle w:val="Emphasis"/>
          <w:highlight w:val="cyan"/>
        </w:rPr>
        <w:t>markets have shrunk</w:t>
      </w:r>
      <w:r w:rsidRPr="000E5464">
        <w:rPr>
          <w:sz w:val="16"/>
        </w:rPr>
        <w:t xml:space="preserve">. Since 1996, the number of publicly traded </w:t>
      </w:r>
      <w:r w:rsidRPr="000E5464">
        <w:rPr>
          <w:rStyle w:val="Emphasis"/>
        </w:rPr>
        <w:t>companies has fallen</w:t>
      </w:r>
      <w:r w:rsidRPr="000E5464">
        <w:rPr>
          <w:rStyle w:val="StyleUnderline"/>
        </w:rPr>
        <w:t xml:space="preserve"> by more than half</w:t>
      </w:r>
      <w:r w:rsidRPr="000E5464">
        <w:rPr>
          <w:sz w:val="16"/>
        </w:rPr>
        <w:t>. “</w:t>
      </w:r>
      <w:r w:rsidRPr="00456038">
        <w:rPr>
          <w:rStyle w:val="StyleUnderline"/>
          <w:highlight w:val="cyan"/>
        </w:rPr>
        <w:t xml:space="preserve">There are </w:t>
      </w:r>
      <w:r w:rsidRPr="00456038">
        <w:rPr>
          <w:rStyle w:val="Emphasis"/>
          <w:highlight w:val="cyan"/>
        </w:rPr>
        <w:t>fewer investment</w:t>
      </w:r>
      <w:r w:rsidRPr="000E5464">
        <w:rPr>
          <w:rStyle w:val="Emphasis"/>
        </w:rPr>
        <w:t xml:space="preserve"> opportunitie</w:t>
      </w:r>
      <w:r w:rsidRPr="00456038">
        <w:rPr>
          <w:rStyle w:val="Emphasis"/>
          <w:highlight w:val="cyan"/>
        </w:rPr>
        <w:t>s</w:t>
      </w:r>
      <w:r w:rsidRPr="000E5464">
        <w:rPr>
          <w:rStyle w:val="StyleUnderline"/>
        </w:rPr>
        <w:t xml:space="preserve"> </w:t>
      </w:r>
      <w:r w:rsidRPr="00456038">
        <w:rPr>
          <w:rStyle w:val="StyleUnderline"/>
          <w:highlight w:val="cyan"/>
        </w:rPr>
        <w:t>for</w:t>
      </w:r>
      <w:r w:rsidRPr="000E5464">
        <w:rPr>
          <w:rStyle w:val="StyleUnderline"/>
        </w:rPr>
        <w:t xml:space="preserve"> </w:t>
      </w:r>
      <w:r w:rsidRPr="00456038">
        <w:rPr>
          <w:rStyle w:val="Emphasis"/>
          <w:highlight w:val="cyan"/>
        </w:rPr>
        <w:t>Main Street</w:t>
      </w:r>
      <w:r w:rsidRPr="000E5464">
        <w:rPr>
          <w:rStyle w:val="Emphasis"/>
        </w:rPr>
        <w:t xml:space="preserve"> </w:t>
      </w:r>
      <w:r w:rsidRPr="00456038">
        <w:rPr>
          <w:rStyle w:val="Emphasis"/>
          <w:highlight w:val="cyan"/>
        </w:rPr>
        <w:t>investors</w:t>
      </w:r>
      <w:r w:rsidRPr="000E5464">
        <w:rPr>
          <w:sz w:val="16"/>
        </w:rPr>
        <w:t>,” Securities and Exchange Commission Chairman Jay Clayton reported to Congress last year.</w:t>
      </w:r>
    </w:p>
    <w:p w14:paraId="741CE9B9" w14:textId="77777777" w:rsidR="00586EDF" w:rsidRPr="000E5464" w:rsidRDefault="00586EDF" w:rsidP="00586EDF">
      <w:pPr>
        <w:rPr>
          <w:sz w:val="16"/>
        </w:rPr>
      </w:pPr>
      <w:r w:rsidRPr="000E5464">
        <w:rPr>
          <w:sz w:val="16"/>
        </w:rPr>
        <w:t xml:space="preserve">Because </w:t>
      </w:r>
      <w:r w:rsidRPr="000E5464">
        <w:rPr>
          <w:rStyle w:val="StyleUnderline"/>
        </w:rPr>
        <w:t>private offerings are generally restricted to institutional investors</w:t>
      </w:r>
      <w:r w:rsidRPr="000E5464">
        <w:rPr>
          <w:sz w:val="16"/>
        </w:rPr>
        <w:t xml:space="preserve"> (pension plans, insurance companies, hedge funds, etc.) and </w:t>
      </w:r>
      <w:r w:rsidRPr="000E5464">
        <w:rPr>
          <w:rStyle w:val="StyleUnderline"/>
        </w:rPr>
        <w:t xml:space="preserve">high net worth individual </w:t>
      </w:r>
      <w:r w:rsidRPr="00456038">
        <w:rPr>
          <w:rStyle w:val="Emphasis"/>
          <w:highlight w:val="cyan"/>
        </w:rPr>
        <w:t>investors</w:t>
      </w:r>
      <w:r w:rsidRPr="000E5464">
        <w:rPr>
          <w:rStyle w:val="StyleUnderline"/>
        </w:rPr>
        <w:t xml:space="preserve">, small individual investors are </w:t>
      </w:r>
      <w:r w:rsidRPr="00456038">
        <w:rPr>
          <w:rStyle w:val="Emphasis"/>
          <w:highlight w:val="cyan"/>
        </w:rPr>
        <w:t>being shut out of high-growth</w:t>
      </w:r>
      <w:r w:rsidRPr="000E5464">
        <w:rPr>
          <w:rStyle w:val="StyleUnderline"/>
        </w:rPr>
        <w:t xml:space="preserve">, early-stage </w:t>
      </w:r>
      <w:r w:rsidRPr="00456038">
        <w:rPr>
          <w:rStyle w:val="Emphasis"/>
          <w:highlight w:val="cyan"/>
        </w:rPr>
        <w:t>investments</w:t>
      </w:r>
      <w:r w:rsidRPr="000E5464">
        <w:rPr>
          <w:sz w:val="16"/>
        </w:rPr>
        <w:t xml:space="preserve">. These high-growth </w:t>
      </w:r>
      <w:r w:rsidRPr="00456038">
        <w:rPr>
          <w:rStyle w:val="Emphasis"/>
          <w:highlight w:val="cyan"/>
        </w:rPr>
        <w:t>companies</w:t>
      </w:r>
      <w:r w:rsidRPr="000E5464">
        <w:rPr>
          <w:rStyle w:val="StyleUnderline"/>
        </w:rPr>
        <w:t xml:space="preserve"> are waiting much longer before going public</w:t>
      </w:r>
      <w:r w:rsidRPr="000E5464">
        <w:rPr>
          <w:sz w:val="16"/>
        </w:rPr>
        <w:t xml:space="preserve"> - or perhaps </w:t>
      </w:r>
      <w:r w:rsidRPr="00456038">
        <w:rPr>
          <w:rStyle w:val="Emphasis"/>
          <w:highlight w:val="cyan"/>
        </w:rPr>
        <w:t>never going public</w:t>
      </w:r>
      <w:r w:rsidRPr="000E5464">
        <w:rPr>
          <w:sz w:val="16"/>
        </w:rPr>
        <w:t xml:space="preserve">. The number of U.S. private companies worth over $1 billion has more than trebled over the past four years. </w:t>
      </w:r>
      <w:r w:rsidRPr="000E5464">
        <w:rPr>
          <w:rStyle w:val="StyleUnderline"/>
        </w:rPr>
        <w:t xml:space="preserve">Individual investors are now forced to invest in a </w:t>
      </w:r>
      <w:r w:rsidRPr="000E5464">
        <w:rPr>
          <w:rStyle w:val="Emphasis"/>
        </w:rPr>
        <w:t>dwindling pool of companies</w:t>
      </w:r>
      <w:r w:rsidRPr="000E5464">
        <w:rPr>
          <w:sz w:val="16"/>
        </w:rPr>
        <w:t xml:space="preserve">. As Duke University Professor Elizabeth de Fontenay explained, the </w:t>
      </w:r>
      <w:r w:rsidRPr="00456038">
        <w:rPr>
          <w:rStyle w:val="Emphasis"/>
          <w:highlight w:val="cyan"/>
        </w:rPr>
        <w:t>public markets</w:t>
      </w:r>
      <w:r w:rsidRPr="000E5464">
        <w:rPr>
          <w:rStyle w:val="StyleUnderline"/>
        </w:rPr>
        <w:t xml:space="preserve"> have become</w:t>
      </w:r>
      <w:r w:rsidRPr="000E5464">
        <w:rPr>
          <w:sz w:val="16"/>
        </w:rPr>
        <w:t xml:space="preserve"> “</w:t>
      </w:r>
      <w:r w:rsidRPr="00456038">
        <w:rPr>
          <w:rStyle w:val="Emphasis"/>
          <w:highlight w:val="cyan"/>
        </w:rPr>
        <w:t>a holding pen for</w:t>
      </w:r>
      <w:r w:rsidRPr="000E5464">
        <w:rPr>
          <w:rStyle w:val="Emphasis"/>
        </w:rPr>
        <w:t xml:space="preserve"> massive, </w:t>
      </w:r>
      <w:r w:rsidRPr="00456038">
        <w:rPr>
          <w:rStyle w:val="Emphasis"/>
          <w:highlight w:val="cyan"/>
        </w:rPr>
        <w:t>sleepy corporations</w:t>
      </w:r>
      <w:r w:rsidRPr="000E5464">
        <w:rPr>
          <w:sz w:val="16"/>
        </w:rPr>
        <w:t>.”</w:t>
      </w:r>
    </w:p>
    <w:p w14:paraId="143F5A24" w14:textId="77777777" w:rsidR="00586EDF" w:rsidRPr="000E5464" w:rsidRDefault="00586EDF" w:rsidP="00586EDF">
      <w:pPr>
        <w:rPr>
          <w:sz w:val="16"/>
        </w:rPr>
      </w:pPr>
      <w:r w:rsidRPr="000E5464">
        <w:rPr>
          <w:rStyle w:val="StyleUnderline"/>
        </w:rPr>
        <w:t>This phenomenon is definitely bad for</w:t>
      </w:r>
      <w:r w:rsidRPr="000E5464">
        <w:rPr>
          <w:sz w:val="16"/>
        </w:rPr>
        <w:t xml:space="preserve"> individual </w:t>
      </w:r>
      <w:r w:rsidRPr="000E5464">
        <w:rPr>
          <w:rStyle w:val="StyleUnderline"/>
        </w:rPr>
        <w:t>investors</w:t>
      </w:r>
      <w:r w:rsidRPr="000E5464">
        <w:rPr>
          <w:sz w:val="16"/>
        </w:rPr>
        <w:t xml:space="preserve">, but </w:t>
      </w:r>
      <w:r w:rsidRPr="00456038">
        <w:rPr>
          <w:rStyle w:val="StyleUnderline"/>
          <w:highlight w:val="cyan"/>
        </w:rPr>
        <w:t>it</w:t>
      </w:r>
      <w:r w:rsidRPr="000E5464">
        <w:rPr>
          <w:rStyle w:val="StyleUnderline"/>
        </w:rPr>
        <w:t xml:space="preserve"> also </w:t>
      </w:r>
      <w:r w:rsidRPr="00456038">
        <w:rPr>
          <w:rStyle w:val="Emphasis"/>
          <w:highlight w:val="cyan"/>
        </w:rPr>
        <w:t>represents</w:t>
      </w:r>
      <w:r w:rsidRPr="00456038">
        <w:rPr>
          <w:rStyle w:val="StyleUnderline"/>
          <w:highlight w:val="cyan"/>
        </w:rPr>
        <w:t xml:space="preserve"> a</w:t>
      </w:r>
      <w:r w:rsidRPr="000E5464">
        <w:rPr>
          <w:rStyle w:val="StyleUnderline"/>
        </w:rPr>
        <w:t xml:space="preserve"> </w:t>
      </w:r>
      <w:r w:rsidRPr="000E5464">
        <w:rPr>
          <w:rStyle w:val="Emphasis"/>
        </w:rPr>
        <w:t xml:space="preserve">serious </w:t>
      </w:r>
      <w:r w:rsidRPr="00456038">
        <w:rPr>
          <w:rStyle w:val="Emphasis"/>
          <w:highlight w:val="cyan"/>
        </w:rPr>
        <w:t>threat to</w:t>
      </w:r>
      <w:r w:rsidRPr="000E5464">
        <w:rPr>
          <w:rStyle w:val="Emphasis"/>
        </w:rPr>
        <w:t xml:space="preserve"> American </w:t>
      </w:r>
      <w:r w:rsidRPr="00456038">
        <w:rPr>
          <w:rStyle w:val="Emphasis"/>
          <w:highlight w:val="cyan"/>
        </w:rPr>
        <w:t>capitalism</w:t>
      </w:r>
      <w:r w:rsidRPr="000E5464">
        <w:rPr>
          <w:sz w:val="16"/>
        </w:rPr>
        <w:t xml:space="preserve">. If it continues, </w:t>
      </w:r>
      <w:r w:rsidRPr="000E5464">
        <w:rPr>
          <w:rStyle w:val="StyleUnderline"/>
        </w:rPr>
        <w:t xml:space="preserve">the </w:t>
      </w:r>
      <w:r w:rsidRPr="00456038">
        <w:rPr>
          <w:rStyle w:val="StyleUnderline"/>
          <w:highlight w:val="cyan"/>
        </w:rPr>
        <w:t>decline of</w:t>
      </w:r>
      <w:r w:rsidRPr="000E5464">
        <w:rPr>
          <w:rStyle w:val="StyleUnderline"/>
        </w:rPr>
        <w:t xml:space="preserve"> the public capital </w:t>
      </w:r>
      <w:r w:rsidRPr="00456038">
        <w:rPr>
          <w:rStyle w:val="StyleUnderline"/>
          <w:highlight w:val="cyan"/>
        </w:rPr>
        <w:t>markets</w:t>
      </w:r>
      <w:r w:rsidRPr="000E5464">
        <w:rPr>
          <w:rStyle w:val="StyleUnderline"/>
        </w:rPr>
        <w:t xml:space="preserve"> </w:t>
      </w:r>
      <w:r w:rsidRPr="00456038">
        <w:rPr>
          <w:rStyle w:val="StyleUnderline"/>
          <w:highlight w:val="cyan"/>
        </w:rPr>
        <w:t>will</w:t>
      </w:r>
      <w:r w:rsidRPr="000E5464">
        <w:rPr>
          <w:rStyle w:val="StyleUnderline"/>
        </w:rPr>
        <w:t xml:space="preserve"> ultimately </w:t>
      </w:r>
      <w:r w:rsidRPr="00456038">
        <w:rPr>
          <w:rStyle w:val="Emphasis"/>
          <w:highlight w:val="cyan"/>
        </w:rPr>
        <w:t>diminish</w:t>
      </w:r>
      <w:r w:rsidRPr="000E5464">
        <w:rPr>
          <w:rStyle w:val="StyleUnderline"/>
        </w:rPr>
        <w:t xml:space="preserve"> the </w:t>
      </w:r>
      <w:r w:rsidRPr="00456038">
        <w:rPr>
          <w:rStyle w:val="Emphasis"/>
          <w:highlight w:val="cyan"/>
        </w:rPr>
        <w:t>strength of the</w:t>
      </w:r>
      <w:r w:rsidRPr="000E5464">
        <w:rPr>
          <w:rStyle w:val="Emphasis"/>
        </w:rPr>
        <w:t xml:space="preserve"> American </w:t>
      </w:r>
      <w:r w:rsidRPr="00456038">
        <w:rPr>
          <w:rStyle w:val="Emphasis"/>
          <w:highlight w:val="cyan"/>
        </w:rPr>
        <w:t>economy</w:t>
      </w:r>
      <w:r w:rsidRPr="000E5464">
        <w:rPr>
          <w:sz w:val="16"/>
        </w:rPr>
        <w:t xml:space="preserve">. </w:t>
      </w:r>
      <w:r w:rsidRPr="000E5464">
        <w:rPr>
          <w:rStyle w:val="Emphasis"/>
        </w:rPr>
        <w:t>Access</w:t>
      </w:r>
      <w:r w:rsidRPr="000E5464">
        <w:rPr>
          <w:rStyle w:val="StyleUnderline"/>
        </w:rPr>
        <w:t xml:space="preserve"> to </w:t>
      </w:r>
      <w:r w:rsidRPr="000E5464">
        <w:rPr>
          <w:sz w:val="16"/>
        </w:rPr>
        <w:t xml:space="preserve">the public </w:t>
      </w:r>
      <w:r w:rsidRPr="000E5464">
        <w:rPr>
          <w:rStyle w:val="StyleUnderline"/>
        </w:rPr>
        <w:t>capital</w:t>
      </w:r>
      <w:r w:rsidRPr="000E5464">
        <w:rPr>
          <w:sz w:val="16"/>
        </w:rPr>
        <w:t xml:space="preserve"> </w:t>
      </w:r>
      <w:r w:rsidRPr="000E5464">
        <w:rPr>
          <w:rStyle w:val="StyleUnderline"/>
        </w:rPr>
        <w:t xml:space="preserve">markets is the </w:t>
      </w:r>
      <w:r w:rsidRPr="000E5464">
        <w:rPr>
          <w:rStyle w:val="Emphasis"/>
        </w:rPr>
        <w:t>lifeline for economic growth</w:t>
      </w:r>
      <w:r w:rsidRPr="000E5464">
        <w:rPr>
          <w:sz w:val="16"/>
        </w:rPr>
        <w:t>. This should be a real concern for Congress, and it raises several inevitable questions. Is it just a natural development of the market? What can or should be done about it?</w:t>
      </w:r>
    </w:p>
    <w:p w14:paraId="5D71DB56" w14:textId="77777777" w:rsidR="00586EDF" w:rsidRPr="000E5464" w:rsidRDefault="00586EDF" w:rsidP="00586EDF">
      <w:pPr>
        <w:rPr>
          <w:sz w:val="16"/>
        </w:rPr>
      </w:pPr>
      <w:r w:rsidRPr="000E5464">
        <w:rPr>
          <w:rStyle w:val="StyleUnderline"/>
        </w:rPr>
        <w:t xml:space="preserve">It is </w:t>
      </w:r>
      <w:r w:rsidRPr="000E5464">
        <w:rPr>
          <w:rStyle w:val="Emphasis"/>
        </w:rPr>
        <w:t>not an accident</w:t>
      </w:r>
      <w:r w:rsidRPr="000E5464">
        <w:rPr>
          <w:rStyle w:val="StyleUnderline"/>
        </w:rPr>
        <w:t xml:space="preserve"> that this trend</w:t>
      </w:r>
      <w:r w:rsidRPr="000E5464">
        <w:rPr>
          <w:sz w:val="16"/>
        </w:rPr>
        <w:t xml:space="preserve"> has </w:t>
      </w:r>
      <w:r w:rsidRPr="000E5464">
        <w:rPr>
          <w:rStyle w:val="StyleUnderline"/>
        </w:rPr>
        <w:t>developed</w:t>
      </w:r>
      <w:r w:rsidRPr="000E5464">
        <w:rPr>
          <w:sz w:val="16"/>
        </w:rPr>
        <w:t xml:space="preserve">. </w:t>
      </w:r>
      <w:r w:rsidRPr="000E5464">
        <w:rPr>
          <w:rStyle w:val="StyleUnderline"/>
        </w:rPr>
        <w:t>It can be traced back</w:t>
      </w:r>
      <w:r w:rsidRPr="000E5464">
        <w:rPr>
          <w:sz w:val="16"/>
        </w:rPr>
        <w:t xml:space="preserve"> directly </w:t>
      </w:r>
      <w:r w:rsidRPr="000E5464">
        <w:rPr>
          <w:rStyle w:val="StyleUnderline"/>
        </w:rPr>
        <w:t>to</w:t>
      </w:r>
      <w:r w:rsidRPr="000E5464">
        <w:rPr>
          <w:sz w:val="16"/>
        </w:rPr>
        <w:t xml:space="preserve"> a major piece of legislation, </w:t>
      </w:r>
      <w:r w:rsidRPr="00456038">
        <w:rPr>
          <w:rStyle w:val="Emphasis"/>
          <w:highlight w:val="cyan"/>
        </w:rPr>
        <w:t>Sarbanes Oxley</w:t>
      </w:r>
      <w:r w:rsidRPr="000E5464">
        <w:rPr>
          <w:sz w:val="16"/>
        </w:rPr>
        <w:t xml:space="preserve">, passed in 2002. This law was a response by Congress to a well publicized financial problem: the Enron scandal. As is so often the case, Congress and </w:t>
      </w:r>
      <w:r w:rsidRPr="00AA584D">
        <w:rPr>
          <w:rStyle w:val="Emphasis"/>
        </w:rPr>
        <w:t>regulators</w:t>
      </w:r>
      <w:r w:rsidRPr="000E5464">
        <w:rPr>
          <w:sz w:val="16"/>
        </w:rPr>
        <w:t xml:space="preserve"> were looking back at the most recent problem while </w:t>
      </w:r>
      <w:r w:rsidRPr="000E5464">
        <w:rPr>
          <w:rStyle w:val="StyleUnderline"/>
        </w:rPr>
        <w:t>attempting to appear pro-active in preventing the next problem</w:t>
      </w:r>
      <w:r w:rsidRPr="000E5464">
        <w:rPr>
          <w:sz w:val="16"/>
        </w:rPr>
        <w:t xml:space="preserve">. There were </w:t>
      </w:r>
      <w:r w:rsidRPr="00456038">
        <w:rPr>
          <w:rStyle w:val="Emphasis"/>
          <w:highlight w:val="cyan"/>
        </w:rPr>
        <w:t>serious</w:t>
      </w:r>
      <w:r w:rsidRPr="000E5464">
        <w:rPr>
          <w:rStyle w:val="StyleUnderline"/>
        </w:rPr>
        <w:t xml:space="preserve"> adverse </w:t>
      </w:r>
      <w:r w:rsidRPr="00456038">
        <w:rPr>
          <w:rStyle w:val="Emphasis"/>
          <w:highlight w:val="cyan"/>
        </w:rPr>
        <w:t>consequences to</w:t>
      </w:r>
      <w:r w:rsidRPr="000E5464">
        <w:rPr>
          <w:rStyle w:val="StyleUnderline"/>
        </w:rPr>
        <w:t xml:space="preserve"> this </w:t>
      </w:r>
      <w:r w:rsidRPr="00456038">
        <w:rPr>
          <w:rStyle w:val="Emphasis"/>
          <w:highlight w:val="cyan"/>
        </w:rPr>
        <w:t>regulatory legislation</w:t>
      </w:r>
      <w:r w:rsidRPr="000E5464">
        <w:rPr>
          <w:sz w:val="16"/>
        </w:rPr>
        <w:t>.</w:t>
      </w:r>
    </w:p>
    <w:p w14:paraId="73F85E49" w14:textId="77777777" w:rsidR="00586EDF" w:rsidRPr="000E5464" w:rsidRDefault="00586EDF" w:rsidP="00586EDF">
      <w:pPr>
        <w:rPr>
          <w:sz w:val="16"/>
        </w:rPr>
      </w:pPr>
      <w:r w:rsidRPr="000E5464">
        <w:rPr>
          <w:sz w:val="16"/>
        </w:rPr>
        <w:t xml:space="preserve">First, the abuses involved in the Enron scandal were fully punishable under existing regulation. Those responsible went to jail, as they should have. But Congress felt it had to act, and it passed </w:t>
      </w:r>
      <w:r w:rsidRPr="000E5464">
        <w:rPr>
          <w:rStyle w:val="Emphasis"/>
        </w:rPr>
        <w:t>Sarbanes Oxley</w:t>
      </w:r>
      <w:r w:rsidRPr="000E5464">
        <w:rPr>
          <w:sz w:val="16"/>
        </w:rPr>
        <w:t xml:space="preserve">, which </w:t>
      </w:r>
      <w:r w:rsidRPr="000E5464">
        <w:rPr>
          <w:rStyle w:val="StyleUnderline"/>
        </w:rPr>
        <w:t>saddled every public company</w:t>
      </w:r>
      <w:r w:rsidRPr="000E5464">
        <w:rPr>
          <w:sz w:val="16"/>
        </w:rPr>
        <w:t xml:space="preserve"> in America </w:t>
      </w:r>
      <w:r w:rsidRPr="000E5464">
        <w:rPr>
          <w:rStyle w:val="StyleUnderline"/>
        </w:rPr>
        <w:t xml:space="preserve">with </w:t>
      </w:r>
      <w:r w:rsidRPr="00456038">
        <w:rPr>
          <w:rStyle w:val="Emphasis"/>
          <w:highlight w:val="cyan"/>
        </w:rPr>
        <w:t>extra layers of</w:t>
      </w:r>
      <w:r w:rsidRPr="000E5464">
        <w:rPr>
          <w:rStyle w:val="Emphasis"/>
        </w:rPr>
        <w:t xml:space="preserve"> </w:t>
      </w:r>
      <w:r w:rsidRPr="000E5464">
        <w:rPr>
          <w:rStyle w:val="StyleUnderline"/>
        </w:rPr>
        <w:t xml:space="preserve">accounting </w:t>
      </w:r>
      <w:r w:rsidRPr="00456038">
        <w:rPr>
          <w:rStyle w:val="Emphasis"/>
          <w:highlight w:val="cyan"/>
        </w:rPr>
        <w:t>scrutiny and supervision</w:t>
      </w:r>
      <w:r w:rsidRPr="000E5464">
        <w:rPr>
          <w:sz w:val="16"/>
        </w:rPr>
        <w:t xml:space="preserve">. The Heritage Foundation </w:t>
      </w:r>
      <w:r w:rsidRPr="000E5464">
        <w:rPr>
          <w:rStyle w:val="StyleUnderline"/>
        </w:rPr>
        <w:t xml:space="preserve">study in 2008 found </w:t>
      </w:r>
      <w:r w:rsidRPr="00456038">
        <w:rPr>
          <w:rStyle w:val="StyleUnderline"/>
          <w:highlight w:val="cyan"/>
        </w:rPr>
        <w:t>major increases in audit fees</w:t>
      </w:r>
      <w:r w:rsidRPr="000E5464">
        <w:rPr>
          <w:sz w:val="16"/>
        </w:rPr>
        <w:t xml:space="preserve"> companies paid as a result of Section 404. “The </w:t>
      </w:r>
      <w:r w:rsidRPr="000E5464">
        <w:rPr>
          <w:rStyle w:val="StyleUnderline"/>
        </w:rPr>
        <w:t>costs of implementing section 404 were</w:t>
      </w:r>
      <w:r w:rsidRPr="000E5464">
        <w:rPr>
          <w:sz w:val="16"/>
        </w:rPr>
        <w:t xml:space="preserve"> many </w:t>
      </w:r>
      <w:r w:rsidRPr="000E5464">
        <w:rPr>
          <w:rStyle w:val="StyleUnderline"/>
        </w:rPr>
        <w:t>multiples of what the SEC had estimated</w:t>
      </w:r>
      <w:r w:rsidRPr="000E5464">
        <w:rPr>
          <w:sz w:val="16"/>
        </w:rPr>
        <w:t xml:space="preserve">.” There is no reason to think that Sarbanes Oxley would have prevented the Enron scandal. Again, the law was clear, and the principals broke existing law. </w:t>
      </w:r>
      <w:r w:rsidRPr="000E5464">
        <w:rPr>
          <w:rStyle w:val="StyleUnderline"/>
        </w:rPr>
        <w:t>Regulation can never weed out those who are intent on breaking the law</w:t>
      </w:r>
      <w:r w:rsidRPr="000E5464">
        <w:rPr>
          <w:sz w:val="16"/>
        </w:rPr>
        <w:t>.</w:t>
      </w:r>
    </w:p>
    <w:p w14:paraId="1A4613E1" w14:textId="77777777" w:rsidR="00586EDF" w:rsidRPr="000E5464" w:rsidRDefault="00586EDF" w:rsidP="00586EDF">
      <w:pPr>
        <w:rPr>
          <w:sz w:val="16"/>
        </w:rPr>
      </w:pPr>
      <w:r w:rsidRPr="000E5464">
        <w:rPr>
          <w:sz w:val="16"/>
        </w:rPr>
        <w:t xml:space="preserve">But </w:t>
      </w:r>
      <w:r w:rsidRPr="000E5464">
        <w:rPr>
          <w:rStyle w:val="StyleUnderline"/>
        </w:rPr>
        <w:t xml:space="preserve">when Congress acts and mandates </w:t>
      </w:r>
      <w:r w:rsidRPr="00456038">
        <w:rPr>
          <w:rStyle w:val="StyleUnderline"/>
          <w:highlight w:val="cyan"/>
        </w:rPr>
        <w:t>new regulatory hurdles</w:t>
      </w:r>
      <w:r w:rsidRPr="000E5464">
        <w:rPr>
          <w:sz w:val="16"/>
        </w:rPr>
        <w:t xml:space="preserve">, as it did in Section 404 of Sarbanes Oxley, </w:t>
      </w:r>
      <w:r w:rsidRPr="00456038">
        <w:rPr>
          <w:rStyle w:val="StyleUnderline"/>
          <w:highlight w:val="cyan"/>
        </w:rPr>
        <w:t>thousands of</w:t>
      </w:r>
      <w:r w:rsidRPr="000E5464">
        <w:rPr>
          <w:rStyle w:val="StyleUnderline"/>
        </w:rPr>
        <w:t xml:space="preserve"> law abiding </w:t>
      </w:r>
      <w:r w:rsidRPr="00456038">
        <w:rPr>
          <w:rStyle w:val="StyleUnderline"/>
          <w:highlight w:val="cyan"/>
        </w:rPr>
        <w:t>companies</w:t>
      </w:r>
      <w:r w:rsidRPr="000E5464">
        <w:rPr>
          <w:rStyle w:val="StyleUnderline"/>
        </w:rPr>
        <w:t xml:space="preserve"> and their principals </w:t>
      </w:r>
      <w:r w:rsidRPr="00456038">
        <w:rPr>
          <w:rStyle w:val="StyleUnderline"/>
          <w:highlight w:val="cyan"/>
        </w:rPr>
        <w:t>are</w:t>
      </w:r>
      <w:r w:rsidRPr="000E5464">
        <w:rPr>
          <w:rStyle w:val="StyleUnderline"/>
        </w:rPr>
        <w:t xml:space="preserve"> </w:t>
      </w:r>
      <w:r w:rsidRPr="000E5464">
        <w:rPr>
          <w:rStyle w:val="Emphasis"/>
        </w:rPr>
        <w:t xml:space="preserve">permanently </w:t>
      </w:r>
      <w:r w:rsidRPr="00456038">
        <w:rPr>
          <w:rStyle w:val="Emphasis"/>
          <w:highlight w:val="cyan"/>
        </w:rPr>
        <w:t>saddled with</w:t>
      </w:r>
      <w:r w:rsidRPr="000E5464">
        <w:rPr>
          <w:rStyle w:val="StyleUnderline"/>
        </w:rPr>
        <w:t xml:space="preserve"> the expense of </w:t>
      </w:r>
      <w:r w:rsidRPr="00456038">
        <w:rPr>
          <w:rStyle w:val="Emphasis"/>
          <w:highlight w:val="cyan"/>
        </w:rPr>
        <w:t>regulation</w:t>
      </w:r>
      <w:r w:rsidRPr="000E5464">
        <w:rPr>
          <w:sz w:val="16"/>
        </w:rPr>
        <w:t xml:space="preserve">. The major increases in corporate auditing expenses which followed passage of Sarbanes Oxley have been well documented. As the former CEO of a public company, I have seen firsthand the </w:t>
      </w:r>
      <w:r w:rsidRPr="00456038">
        <w:rPr>
          <w:rStyle w:val="StyleUnderline"/>
          <w:highlight w:val="cyan"/>
        </w:rPr>
        <w:t xml:space="preserve">additional </w:t>
      </w:r>
      <w:r w:rsidRPr="00456038">
        <w:rPr>
          <w:rStyle w:val="Emphasis"/>
          <w:highlight w:val="cyan"/>
        </w:rPr>
        <w:t>regulatory burden</w:t>
      </w:r>
      <w:r w:rsidRPr="000E5464">
        <w:rPr>
          <w:sz w:val="16"/>
        </w:rPr>
        <w:t xml:space="preserve"> imposed by Sarbanes-Oxley; and I believe this burden </w:t>
      </w:r>
      <w:r w:rsidRPr="000E5464">
        <w:rPr>
          <w:rStyle w:val="StyleUnderline"/>
        </w:rPr>
        <w:t>has</w:t>
      </w:r>
      <w:r w:rsidRPr="000E5464">
        <w:rPr>
          <w:sz w:val="16"/>
        </w:rPr>
        <w:t xml:space="preserve"> too often </w:t>
      </w:r>
      <w:r w:rsidRPr="00456038">
        <w:rPr>
          <w:rStyle w:val="Emphasis"/>
          <w:highlight w:val="cyan"/>
        </w:rPr>
        <w:t>steered</w:t>
      </w:r>
      <w:r w:rsidRPr="000E5464">
        <w:rPr>
          <w:rStyle w:val="StyleUnderline"/>
        </w:rPr>
        <w:t xml:space="preserve"> good </w:t>
      </w:r>
      <w:r w:rsidRPr="00456038">
        <w:rPr>
          <w:rStyle w:val="Emphasis"/>
          <w:highlight w:val="cyan"/>
        </w:rPr>
        <w:t>growth</w:t>
      </w:r>
      <w:r w:rsidRPr="000E5464">
        <w:rPr>
          <w:rStyle w:val="StyleUnderline"/>
        </w:rPr>
        <w:t xml:space="preserve"> companies </w:t>
      </w:r>
      <w:r w:rsidRPr="00456038">
        <w:rPr>
          <w:rStyle w:val="Emphasis"/>
          <w:highlight w:val="cyan"/>
        </w:rPr>
        <w:t>away from</w:t>
      </w:r>
      <w:r w:rsidRPr="000E5464">
        <w:rPr>
          <w:rStyle w:val="StyleUnderline"/>
        </w:rPr>
        <w:t xml:space="preserve"> the public </w:t>
      </w:r>
      <w:r w:rsidRPr="00456038">
        <w:rPr>
          <w:rStyle w:val="Emphasis"/>
          <w:highlight w:val="cyan"/>
        </w:rPr>
        <w:t>markets</w:t>
      </w:r>
      <w:r w:rsidRPr="000E5464">
        <w:rPr>
          <w:sz w:val="16"/>
        </w:rPr>
        <w:t>.</w:t>
      </w:r>
    </w:p>
    <w:p w14:paraId="0D754DDF" w14:textId="77777777" w:rsidR="00586EDF" w:rsidRPr="000E5464" w:rsidRDefault="00586EDF" w:rsidP="00586EDF">
      <w:pPr>
        <w:rPr>
          <w:sz w:val="16"/>
        </w:rPr>
      </w:pPr>
      <w:r w:rsidRPr="000E5464">
        <w:rPr>
          <w:sz w:val="16"/>
        </w:rPr>
        <w:t xml:space="preserve">The Trump administration is now undertaking a thorough review and reform of the </w:t>
      </w:r>
      <w:r w:rsidRPr="00456038">
        <w:rPr>
          <w:rStyle w:val="Emphasis"/>
          <w:highlight w:val="cyan"/>
        </w:rPr>
        <w:t>Dodd Frank Act</w:t>
      </w:r>
      <w:r w:rsidRPr="00456038">
        <w:rPr>
          <w:sz w:val="16"/>
          <w:highlight w:val="cyan"/>
        </w:rPr>
        <w:t xml:space="preserve">. </w:t>
      </w:r>
      <w:r w:rsidRPr="00AA584D">
        <w:rPr>
          <w:sz w:val="16"/>
        </w:rPr>
        <w:t>The</w:t>
      </w:r>
      <w:r w:rsidRPr="000E5464">
        <w:rPr>
          <w:sz w:val="16"/>
        </w:rPr>
        <w:t xml:space="preserve"> roots of this bill were similar to Sarbanes Oxley: Congress reacted to the 2009 financial meltdown with wide ranging new regulation of the banking industry. The unintended consequences of </w:t>
      </w:r>
      <w:r w:rsidRPr="000E5464">
        <w:rPr>
          <w:rStyle w:val="StyleUnderline"/>
        </w:rPr>
        <w:t>excessive regulation of banks</w:t>
      </w:r>
      <w:r w:rsidRPr="000E5464">
        <w:rPr>
          <w:sz w:val="16"/>
        </w:rPr>
        <w:t xml:space="preserve"> under Dodd Frank </w:t>
      </w:r>
      <w:r w:rsidRPr="00456038">
        <w:rPr>
          <w:rStyle w:val="StyleUnderline"/>
          <w:highlight w:val="cyan"/>
        </w:rPr>
        <w:t>has harmed</w:t>
      </w:r>
      <w:r w:rsidRPr="000E5464">
        <w:rPr>
          <w:rStyle w:val="StyleUnderline"/>
        </w:rPr>
        <w:t xml:space="preserve"> U. S. </w:t>
      </w:r>
      <w:r w:rsidRPr="00456038">
        <w:rPr>
          <w:rStyle w:val="StyleUnderline"/>
          <w:highlight w:val="cyan"/>
        </w:rPr>
        <w:t>capital markets</w:t>
      </w:r>
      <w:r w:rsidRPr="000E5464">
        <w:rPr>
          <w:sz w:val="16"/>
        </w:rPr>
        <w:t>. While overhauling Dodd Frank, Congress should simultaneously reform – or repeal — Sarbanes Oxley. Trump’s newly appointed chief economic advisor, Larry Kudlow, has long been a critic of Sarbanes Oxley. He has argued, “</w:t>
      </w:r>
      <w:r w:rsidRPr="000E5464">
        <w:rPr>
          <w:rStyle w:val="StyleUnderline"/>
        </w:rPr>
        <w:t xml:space="preserve">By substantially </w:t>
      </w:r>
      <w:r w:rsidRPr="00456038">
        <w:rPr>
          <w:rStyle w:val="Emphasis"/>
          <w:highlight w:val="cyan"/>
        </w:rPr>
        <w:t>raising audit costs</w:t>
      </w:r>
      <w:r w:rsidRPr="000E5464">
        <w:rPr>
          <w:rStyle w:val="StyleUnderline"/>
        </w:rPr>
        <w:t xml:space="preserve">, the law has </w:t>
      </w:r>
      <w:r w:rsidRPr="00456038">
        <w:rPr>
          <w:rStyle w:val="Emphasis"/>
          <w:highlight w:val="cyan"/>
        </w:rPr>
        <w:t>made it</w:t>
      </w:r>
      <w:r w:rsidRPr="000E5464">
        <w:rPr>
          <w:rStyle w:val="StyleUnderline"/>
        </w:rPr>
        <w:t xml:space="preserve"> much more </w:t>
      </w:r>
      <w:r w:rsidRPr="00456038">
        <w:rPr>
          <w:rStyle w:val="Emphasis"/>
          <w:highlight w:val="cyan"/>
        </w:rPr>
        <w:t>difficult</w:t>
      </w:r>
      <w:r w:rsidRPr="000E5464">
        <w:rPr>
          <w:rStyle w:val="Emphasis"/>
        </w:rPr>
        <w:t xml:space="preserve"> for entrepreneurs </w:t>
      </w:r>
      <w:r w:rsidRPr="00456038">
        <w:rPr>
          <w:rStyle w:val="Emphasis"/>
          <w:highlight w:val="cyan"/>
        </w:rPr>
        <w:t>to take</w:t>
      </w:r>
      <w:r w:rsidRPr="000E5464">
        <w:rPr>
          <w:rStyle w:val="Emphasis"/>
        </w:rPr>
        <w:t xml:space="preserve"> small</w:t>
      </w:r>
      <w:r w:rsidRPr="000E5464">
        <w:rPr>
          <w:rStyle w:val="StyleUnderline"/>
        </w:rPr>
        <w:t xml:space="preserve"> </w:t>
      </w:r>
      <w:r w:rsidRPr="00456038">
        <w:rPr>
          <w:rStyle w:val="StyleUnderline"/>
          <w:highlight w:val="cyan"/>
        </w:rPr>
        <w:t>companies</w:t>
      </w:r>
      <w:r w:rsidRPr="000E5464">
        <w:rPr>
          <w:rStyle w:val="StyleUnderline"/>
        </w:rPr>
        <w:t xml:space="preserve"> </w:t>
      </w:r>
      <w:r w:rsidRPr="00456038">
        <w:rPr>
          <w:rStyle w:val="Emphasis"/>
          <w:highlight w:val="cyan"/>
        </w:rPr>
        <w:t>public</w:t>
      </w:r>
      <w:r w:rsidRPr="000E5464">
        <w:rPr>
          <w:rStyle w:val="StyleUnderline"/>
        </w:rPr>
        <w:t>, which in turn deprives middle-class investors the opportunity to grow wealth</w:t>
      </w:r>
      <w:r w:rsidRPr="000E5464">
        <w:rPr>
          <w:sz w:val="16"/>
        </w:rPr>
        <w:t xml:space="preserve"> with these firms.”</w:t>
      </w:r>
    </w:p>
    <w:p w14:paraId="68392127" w14:textId="77777777" w:rsidR="00586EDF" w:rsidRPr="00456038" w:rsidRDefault="00586EDF" w:rsidP="00586EDF">
      <w:r w:rsidRPr="00456038">
        <w:rPr>
          <w:rStyle w:val="StyleUnderline"/>
          <w:highlight w:val="cyan"/>
        </w:rPr>
        <w:t>The</w:t>
      </w:r>
      <w:r w:rsidRPr="000E5464">
        <w:rPr>
          <w:rStyle w:val="StyleUnderline"/>
        </w:rPr>
        <w:t xml:space="preserve"> American </w:t>
      </w:r>
      <w:r w:rsidRPr="00456038">
        <w:rPr>
          <w:rStyle w:val="Emphasis"/>
          <w:highlight w:val="cyan"/>
        </w:rPr>
        <w:t>capital markets</w:t>
      </w:r>
      <w:r w:rsidRPr="00456038">
        <w:rPr>
          <w:rStyle w:val="StyleUnderline"/>
          <w:highlight w:val="cyan"/>
        </w:rPr>
        <w:t xml:space="preserve"> are a </w:t>
      </w:r>
      <w:r w:rsidRPr="00456038">
        <w:rPr>
          <w:rStyle w:val="Emphasis"/>
          <w:highlight w:val="cyan"/>
        </w:rPr>
        <w:t>national treasure</w:t>
      </w:r>
      <w:r w:rsidRPr="000E5464">
        <w:rPr>
          <w:rStyle w:val="StyleUnderline"/>
        </w:rPr>
        <w:t xml:space="preserve">. </w:t>
      </w:r>
      <w:r w:rsidRPr="00456038">
        <w:rPr>
          <w:rStyle w:val="StyleUnderline"/>
          <w:highlight w:val="cyan"/>
        </w:rPr>
        <w:t xml:space="preserve">They </w:t>
      </w:r>
      <w:r w:rsidRPr="00456038">
        <w:rPr>
          <w:rStyle w:val="Emphasis"/>
          <w:highlight w:val="cyan"/>
        </w:rPr>
        <w:t>need to be protected</w:t>
      </w:r>
      <w:r w:rsidRPr="004F6DE7">
        <w:t>.</w:t>
      </w:r>
    </w:p>
    <w:p w14:paraId="72B9B765" w14:textId="77777777" w:rsidR="00586EDF" w:rsidRDefault="00586EDF" w:rsidP="00586EDF">
      <w:pPr>
        <w:pStyle w:val="Heading4"/>
        <w:rPr>
          <w:szCs w:val="26"/>
        </w:rPr>
      </w:pPr>
      <w:r w:rsidRPr="00456038">
        <w:rPr>
          <w:i/>
          <w:iCs w:val="0"/>
          <w:szCs w:val="26"/>
        </w:rPr>
        <w:t>Chevron</w:t>
      </w:r>
      <w:r>
        <w:rPr>
          <w:szCs w:val="26"/>
        </w:rPr>
        <w:t xml:space="preserve"> to hybrid statutes </w:t>
      </w:r>
      <w:r>
        <w:rPr>
          <w:szCs w:val="26"/>
          <w:u w:val="single"/>
        </w:rPr>
        <w:t>expands</w:t>
      </w:r>
      <w:r>
        <w:rPr>
          <w:szCs w:val="26"/>
        </w:rPr>
        <w:t xml:space="preserve"> those regs – lenity solves.</w:t>
      </w:r>
    </w:p>
    <w:p w14:paraId="59BDA2EA" w14:textId="77777777" w:rsidR="00586EDF" w:rsidRPr="00B07DB3" w:rsidRDefault="00586EDF" w:rsidP="00586EDF">
      <w:r w:rsidRPr="00B07DB3">
        <w:rPr>
          <w:rStyle w:val="Heading4Char"/>
        </w:rPr>
        <w:t>McElroy et al. 15</w:t>
      </w:r>
      <w:r w:rsidRPr="00B07DB3">
        <w:t xml:space="preserve"> – (Jason McElroy, partner @ Weiner Brodsky Kider law firm; Michael Y. Kieval, partner @ Weiner Brodsky Kider law firm; Jeffery Blackwood, associate @ Weiner Brodsky Kider law firm; “Lenity And Deference On A Collision Course</w:t>
      </w:r>
      <w:r>
        <w:t>”; Law 360; D.A. July 4</w:t>
      </w:r>
      <w:r w:rsidRPr="00B07DB3">
        <w:rPr>
          <w:vertAlign w:val="superscript"/>
        </w:rPr>
        <w:t>th</w:t>
      </w:r>
      <w:r>
        <w:t xml:space="preserve"> 2020, [Published February 26</w:t>
      </w:r>
      <w:r w:rsidRPr="00B07DB3">
        <w:rPr>
          <w:vertAlign w:val="superscript"/>
        </w:rPr>
        <w:t>th</w:t>
      </w:r>
      <w:r>
        <w:t xml:space="preserve"> 2015]; </w:t>
      </w:r>
      <w:hyperlink r:id="rId68" w:history="1">
        <w:r>
          <w:rPr>
            <w:rStyle w:val="Hyperlink"/>
          </w:rPr>
          <w:t>https://www.law360.com/articles/625152/lenity-and-deference-on-a-collision-course</w:t>
        </w:r>
      </w:hyperlink>
      <w:r>
        <w:t>) //LFS—JCM</w:t>
      </w:r>
    </w:p>
    <w:p w14:paraId="5B1FC359" w14:textId="77777777" w:rsidR="00586EDF" w:rsidRPr="00E12F3A" w:rsidRDefault="00586EDF" w:rsidP="00586EDF">
      <w:pPr>
        <w:rPr>
          <w:sz w:val="16"/>
        </w:rPr>
      </w:pPr>
      <w:r w:rsidRPr="00E12F3A">
        <w:rPr>
          <w:sz w:val="16"/>
        </w:rPr>
        <w:t>Law360, New York (February 26, 2015, 10:46 AM EST) -- “</w:t>
      </w:r>
      <w:r w:rsidRPr="00456038">
        <w:rPr>
          <w:rStyle w:val="Emphasis"/>
          <w:highlight w:val="cyan"/>
        </w:rPr>
        <w:t>Does</w:t>
      </w:r>
      <w:r w:rsidRPr="00456038">
        <w:rPr>
          <w:rStyle w:val="StyleUnderline"/>
          <w:highlight w:val="cyan"/>
        </w:rPr>
        <w:t xml:space="preserve"> a </w:t>
      </w:r>
      <w:r w:rsidRPr="00456038">
        <w:rPr>
          <w:rStyle w:val="Emphasis"/>
          <w:highlight w:val="cyan"/>
        </w:rPr>
        <w:t>court owe deference</w:t>
      </w:r>
      <w:r w:rsidRPr="00456038">
        <w:rPr>
          <w:rStyle w:val="StyleUnderline"/>
          <w:highlight w:val="cyan"/>
        </w:rPr>
        <w:t xml:space="preserve"> to</w:t>
      </w:r>
      <w:r w:rsidRPr="00E12F3A">
        <w:rPr>
          <w:rStyle w:val="StyleUnderline"/>
        </w:rPr>
        <w:t xml:space="preserve"> </w:t>
      </w:r>
      <w:r w:rsidRPr="00456038">
        <w:rPr>
          <w:rStyle w:val="StyleUnderline"/>
          <w:highlight w:val="cyan"/>
        </w:rPr>
        <w:t>an</w:t>
      </w:r>
      <w:r w:rsidRPr="00E12F3A">
        <w:rPr>
          <w:rStyle w:val="StyleUnderline"/>
        </w:rPr>
        <w:t xml:space="preserve"> </w:t>
      </w:r>
      <w:r w:rsidRPr="00E12F3A">
        <w:rPr>
          <w:sz w:val="16"/>
        </w:rPr>
        <w:t xml:space="preserve">executive </w:t>
      </w:r>
      <w:r w:rsidRPr="00456038">
        <w:rPr>
          <w:rStyle w:val="Emphasis"/>
          <w:highlight w:val="cyan"/>
        </w:rPr>
        <w:t>agency’s interpretation</w:t>
      </w:r>
      <w:r w:rsidRPr="00456038">
        <w:rPr>
          <w:rStyle w:val="StyleUnderline"/>
          <w:highlight w:val="cyan"/>
        </w:rPr>
        <w:t xml:space="preserve"> of</w:t>
      </w:r>
      <w:r w:rsidRPr="00E12F3A">
        <w:rPr>
          <w:rStyle w:val="StyleUnderline"/>
        </w:rPr>
        <w:t xml:space="preserve"> </w:t>
      </w:r>
      <w:r w:rsidRPr="00456038">
        <w:rPr>
          <w:rStyle w:val="StyleUnderline"/>
          <w:highlight w:val="cyan"/>
        </w:rPr>
        <w:t>a law</w:t>
      </w:r>
      <w:r w:rsidRPr="00E12F3A">
        <w:rPr>
          <w:rStyle w:val="StyleUnderline"/>
        </w:rPr>
        <w:t xml:space="preserve"> that contemplates both </w:t>
      </w:r>
      <w:r w:rsidRPr="00456038">
        <w:rPr>
          <w:rStyle w:val="Emphasis"/>
          <w:highlight w:val="cyan"/>
        </w:rPr>
        <w:t>criminal and admin</w:t>
      </w:r>
      <w:r w:rsidRPr="00E12F3A">
        <w:rPr>
          <w:rStyle w:val="StyleUnderline"/>
        </w:rPr>
        <w:t xml:space="preserve">istrative </w:t>
      </w:r>
      <w:r w:rsidRPr="00456038">
        <w:rPr>
          <w:rStyle w:val="StyleUnderline"/>
          <w:highlight w:val="cyan"/>
        </w:rPr>
        <w:t>enforcement?</w:t>
      </w:r>
      <w:r w:rsidRPr="00E12F3A">
        <w:rPr>
          <w:sz w:val="16"/>
        </w:rPr>
        <w:t>”</w:t>
      </w:r>
    </w:p>
    <w:p w14:paraId="6C960D17" w14:textId="77777777" w:rsidR="00586EDF" w:rsidRPr="00E12F3A" w:rsidRDefault="00586EDF" w:rsidP="00586EDF">
      <w:pPr>
        <w:rPr>
          <w:sz w:val="16"/>
        </w:rPr>
      </w:pPr>
      <w:r w:rsidRPr="00E12F3A">
        <w:rPr>
          <w:sz w:val="16"/>
        </w:rPr>
        <w:t xml:space="preserve">Justice Antonin </w:t>
      </w:r>
      <w:r w:rsidRPr="00E12F3A">
        <w:rPr>
          <w:rStyle w:val="StyleUnderline"/>
        </w:rPr>
        <w:t>Scalia</w:t>
      </w:r>
      <w:r w:rsidRPr="00E12F3A">
        <w:rPr>
          <w:sz w:val="16"/>
        </w:rPr>
        <w:t xml:space="preserve"> (</w:t>
      </w:r>
      <w:r w:rsidRPr="00E12F3A">
        <w:rPr>
          <w:rStyle w:val="StyleUnderline"/>
        </w:rPr>
        <w:t>joined by</w:t>
      </w:r>
      <w:r w:rsidRPr="00E12F3A">
        <w:rPr>
          <w:sz w:val="16"/>
        </w:rPr>
        <w:t xml:space="preserve"> Justice Clarence </w:t>
      </w:r>
      <w:r w:rsidRPr="00E12F3A">
        <w:rPr>
          <w:rStyle w:val="StyleUnderline"/>
        </w:rPr>
        <w:t>Thomas</w:t>
      </w:r>
      <w:r w:rsidRPr="00E12F3A">
        <w:rPr>
          <w:sz w:val="16"/>
        </w:rPr>
        <w:t xml:space="preserve">) </w:t>
      </w:r>
      <w:r w:rsidRPr="00E12F3A">
        <w:rPr>
          <w:rStyle w:val="StyleUnderline"/>
        </w:rPr>
        <w:t>recently asked this question</w:t>
      </w:r>
      <w:r w:rsidRPr="00E12F3A">
        <w:rPr>
          <w:sz w:val="16"/>
        </w:rPr>
        <w:t xml:space="preserve"> in an order denying a petition for writ of certiorari in Whitman v. United States.[1] Whitman’s petition sought review of his conviction under Section 10(b) of </w:t>
      </w:r>
      <w:r w:rsidRPr="00E12F3A">
        <w:rPr>
          <w:rStyle w:val="StyleUnderline"/>
        </w:rPr>
        <w:t xml:space="preserve">the </w:t>
      </w:r>
      <w:r w:rsidRPr="00E12F3A">
        <w:rPr>
          <w:rStyle w:val="Emphasis"/>
        </w:rPr>
        <w:t>Securities Exchange Act</w:t>
      </w:r>
      <w:r w:rsidRPr="00E12F3A">
        <w:rPr>
          <w:sz w:val="16"/>
        </w:rPr>
        <w:t xml:space="preserve"> of 1934 </w:t>
      </w:r>
      <w:r w:rsidRPr="00E12F3A">
        <w:rPr>
          <w:rStyle w:val="StyleUnderline"/>
        </w:rPr>
        <w:t>for trading</w:t>
      </w:r>
      <w:r w:rsidRPr="00E12F3A">
        <w:rPr>
          <w:sz w:val="16"/>
        </w:rPr>
        <w:t xml:space="preserve"> while in “knowing possession” of material nonpublic information. Notably however, </w:t>
      </w:r>
      <w:r w:rsidRPr="00E12F3A">
        <w:rPr>
          <w:rStyle w:val="StyleUnderline"/>
        </w:rPr>
        <w:t>the “knowing possession” standard relied on by</w:t>
      </w:r>
      <w:r w:rsidRPr="00E12F3A">
        <w:rPr>
          <w:sz w:val="16"/>
        </w:rPr>
        <w:t xml:space="preserve"> the Second Circuit to sustain </w:t>
      </w:r>
      <w:r w:rsidRPr="00E12F3A">
        <w:rPr>
          <w:rStyle w:val="StyleUnderline"/>
        </w:rPr>
        <w:t>Whitman</w:t>
      </w:r>
      <w:r w:rsidRPr="00E12F3A">
        <w:rPr>
          <w:sz w:val="16"/>
        </w:rPr>
        <w:t xml:space="preserve">’s conviction </w:t>
      </w:r>
      <w:r w:rsidRPr="00E12F3A">
        <w:rPr>
          <w:rStyle w:val="StyleUnderline"/>
        </w:rPr>
        <w:t>cannot be found in the</w:t>
      </w:r>
      <w:r w:rsidRPr="00E12F3A">
        <w:rPr>
          <w:sz w:val="16"/>
        </w:rPr>
        <w:t xml:space="preserve"> text of the ‘34 </w:t>
      </w:r>
      <w:r w:rsidRPr="00E12F3A">
        <w:rPr>
          <w:rStyle w:val="StyleUnderline"/>
        </w:rPr>
        <w:t>Act</w:t>
      </w:r>
      <w:r w:rsidRPr="00E12F3A">
        <w:rPr>
          <w:sz w:val="16"/>
        </w:rPr>
        <w:t xml:space="preserve"> — </w:t>
      </w:r>
      <w:r w:rsidRPr="00E12F3A">
        <w:rPr>
          <w:rStyle w:val="StyleUnderline"/>
        </w:rPr>
        <w:t xml:space="preserve">it is found in the rules promulgated by the U.S. </w:t>
      </w:r>
      <w:r w:rsidRPr="00E12F3A">
        <w:rPr>
          <w:rStyle w:val="Emphasis"/>
        </w:rPr>
        <w:t>S</w:t>
      </w:r>
      <w:r w:rsidRPr="00E12F3A">
        <w:rPr>
          <w:rStyle w:val="StyleUnderline"/>
        </w:rPr>
        <w:t xml:space="preserve">ecurities and </w:t>
      </w:r>
      <w:r w:rsidRPr="00E12F3A">
        <w:rPr>
          <w:rStyle w:val="Emphasis"/>
        </w:rPr>
        <w:t>E</w:t>
      </w:r>
      <w:r w:rsidRPr="00E12F3A">
        <w:rPr>
          <w:rStyle w:val="StyleUnderline"/>
        </w:rPr>
        <w:t xml:space="preserve">xchange </w:t>
      </w:r>
      <w:r w:rsidRPr="00E12F3A">
        <w:rPr>
          <w:rStyle w:val="Emphasis"/>
        </w:rPr>
        <w:t>C</w:t>
      </w:r>
      <w:r w:rsidRPr="00E12F3A">
        <w:rPr>
          <w:rStyle w:val="StyleUnderline"/>
        </w:rPr>
        <w:t>ommission.</w:t>
      </w:r>
      <w:r w:rsidRPr="00E12F3A">
        <w:rPr>
          <w:sz w:val="16"/>
        </w:rPr>
        <w:t xml:space="preserve">[2] And more notable still, </w:t>
      </w:r>
      <w:r w:rsidRPr="00456038">
        <w:rPr>
          <w:rStyle w:val="StyleUnderline"/>
          <w:highlight w:val="cyan"/>
        </w:rPr>
        <w:t>the Second Circuit has</w:t>
      </w:r>
      <w:r w:rsidRPr="00E12F3A">
        <w:rPr>
          <w:sz w:val="16"/>
        </w:rPr>
        <w:t xml:space="preserve"> explicitly </w:t>
      </w:r>
      <w:r w:rsidRPr="00456038">
        <w:rPr>
          <w:rStyle w:val="StyleUnderline"/>
          <w:highlight w:val="cyan"/>
        </w:rPr>
        <w:t>given </w:t>
      </w:r>
      <w:hyperlink r:id="rId69" w:tgtFrame="_blank" w:history="1">
        <w:r w:rsidRPr="00456038">
          <w:rPr>
            <w:rStyle w:val="Emphasis"/>
            <w:highlight w:val="cyan"/>
          </w:rPr>
          <w:t>Chevron</w:t>
        </w:r>
      </w:hyperlink>
      <w:r w:rsidRPr="00E12F3A">
        <w:rPr>
          <w:rStyle w:val="Emphasis"/>
        </w:rPr>
        <w:t> deference</w:t>
      </w:r>
      <w:r w:rsidRPr="00E12F3A">
        <w:rPr>
          <w:rStyle w:val="StyleUnderline"/>
        </w:rPr>
        <w:t xml:space="preserve"> </w:t>
      </w:r>
      <w:r w:rsidRPr="00456038">
        <w:rPr>
          <w:rStyle w:val="StyleUnderline"/>
          <w:highlight w:val="cyan"/>
        </w:rPr>
        <w:t xml:space="preserve">to the </w:t>
      </w:r>
      <w:r w:rsidRPr="00456038">
        <w:rPr>
          <w:rStyle w:val="Emphasis"/>
          <w:highlight w:val="cyan"/>
        </w:rPr>
        <w:t>SEC</w:t>
      </w:r>
      <w:r w:rsidRPr="00E12F3A">
        <w:rPr>
          <w:rStyle w:val="Emphasis"/>
        </w:rPr>
        <w:t>’s</w:t>
      </w:r>
      <w:r w:rsidRPr="00E12F3A">
        <w:rPr>
          <w:rStyle w:val="StyleUnderline"/>
        </w:rPr>
        <w:t xml:space="preserve"> “knowing possession” </w:t>
      </w:r>
      <w:r w:rsidRPr="00E12F3A">
        <w:rPr>
          <w:rStyle w:val="Emphasis"/>
        </w:rPr>
        <w:t>standard</w:t>
      </w:r>
      <w:r w:rsidRPr="00E12F3A">
        <w:rPr>
          <w:sz w:val="16"/>
        </w:rPr>
        <w:t>.[3]</w:t>
      </w:r>
    </w:p>
    <w:p w14:paraId="53810A70" w14:textId="77777777" w:rsidR="00586EDF" w:rsidRPr="00E12F3A" w:rsidRDefault="00586EDF" w:rsidP="00586EDF">
      <w:pPr>
        <w:rPr>
          <w:sz w:val="16"/>
        </w:rPr>
      </w:pPr>
      <w:r w:rsidRPr="00E12F3A">
        <w:rPr>
          <w:sz w:val="16"/>
        </w:rPr>
        <w:t xml:space="preserve">Although </w:t>
      </w:r>
      <w:r w:rsidRPr="00E12F3A">
        <w:rPr>
          <w:rStyle w:val="StyleUnderline"/>
        </w:rPr>
        <w:t>Whitman’s petition was denied</w:t>
      </w:r>
      <w:r w:rsidRPr="00E12F3A">
        <w:rPr>
          <w:sz w:val="16"/>
        </w:rPr>
        <w:t xml:space="preserve"> by the court because of its procedural posture and </w:t>
      </w:r>
      <w:r w:rsidRPr="00E12F3A">
        <w:rPr>
          <w:rStyle w:val="StyleUnderline"/>
        </w:rPr>
        <w:t>because it did not seek review on the issue of deference to agency interpretation</w:t>
      </w:r>
      <w:r w:rsidRPr="00E12F3A">
        <w:rPr>
          <w:sz w:val="16"/>
        </w:rPr>
        <w:t xml:space="preserve">, Justice </w:t>
      </w:r>
      <w:r w:rsidRPr="00E12F3A">
        <w:rPr>
          <w:rStyle w:val="StyleUnderline"/>
        </w:rPr>
        <w:t>Scalia stated he would be “receptive” to granting a petition</w:t>
      </w:r>
      <w:r w:rsidRPr="00E12F3A">
        <w:rPr>
          <w:sz w:val="16"/>
        </w:rPr>
        <w:t xml:space="preserve"> that properly presented the question. True to form, he left no doubt concerning where he stood on the issue:</w:t>
      </w:r>
    </w:p>
    <w:p w14:paraId="187A57DC" w14:textId="77777777" w:rsidR="00586EDF" w:rsidRPr="00E12F3A" w:rsidRDefault="00586EDF" w:rsidP="00586EDF">
      <w:pPr>
        <w:ind w:left="720"/>
        <w:rPr>
          <w:sz w:val="16"/>
        </w:rPr>
      </w:pPr>
      <w:r w:rsidRPr="00E12F3A">
        <w:rPr>
          <w:rStyle w:val="StyleUnderline"/>
        </w:rPr>
        <w:t xml:space="preserve">I doubt the Government’s pretensions to </w:t>
      </w:r>
      <w:r w:rsidRPr="00456038">
        <w:rPr>
          <w:rStyle w:val="Emphasis"/>
          <w:highlight w:val="cyan"/>
        </w:rPr>
        <w:t>deference</w:t>
      </w:r>
      <w:r w:rsidRPr="00E12F3A">
        <w:rPr>
          <w:sz w:val="16"/>
        </w:rPr>
        <w:t xml:space="preserve">. They </w:t>
      </w:r>
      <w:r w:rsidRPr="00456038">
        <w:rPr>
          <w:rStyle w:val="Emphasis"/>
          <w:highlight w:val="cyan"/>
        </w:rPr>
        <w:t>collide</w:t>
      </w:r>
      <w:r w:rsidRPr="00E12F3A">
        <w:rPr>
          <w:rStyle w:val="StyleUnderline"/>
        </w:rPr>
        <w:t xml:space="preserve"> </w:t>
      </w:r>
      <w:r w:rsidRPr="00456038">
        <w:rPr>
          <w:rStyle w:val="StyleUnderline"/>
          <w:highlight w:val="cyan"/>
        </w:rPr>
        <w:t xml:space="preserve">with the </w:t>
      </w:r>
      <w:r w:rsidRPr="00456038">
        <w:rPr>
          <w:rStyle w:val="Emphasis"/>
          <w:highlight w:val="cyan"/>
        </w:rPr>
        <w:t>norm</w:t>
      </w:r>
      <w:r w:rsidRPr="00456038">
        <w:rPr>
          <w:rStyle w:val="StyleUnderline"/>
          <w:highlight w:val="cyan"/>
        </w:rPr>
        <w:t xml:space="preserve"> that </w:t>
      </w:r>
      <w:r w:rsidRPr="00456038">
        <w:rPr>
          <w:rStyle w:val="Emphasis"/>
          <w:highlight w:val="cyan"/>
        </w:rPr>
        <w:t>legislatures</w:t>
      </w:r>
      <w:r w:rsidRPr="00E12F3A">
        <w:rPr>
          <w:rStyle w:val="StyleUnderline"/>
        </w:rPr>
        <w:t xml:space="preserve">, </w:t>
      </w:r>
      <w:r w:rsidRPr="00E12F3A">
        <w:rPr>
          <w:rStyle w:val="Emphasis"/>
        </w:rPr>
        <w:t>not executive</w:t>
      </w:r>
      <w:r w:rsidRPr="00E12F3A">
        <w:rPr>
          <w:rStyle w:val="StyleUnderline"/>
        </w:rPr>
        <w:t xml:space="preserve"> officers, </w:t>
      </w:r>
      <w:r w:rsidRPr="00456038">
        <w:rPr>
          <w:rStyle w:val="Emphasis"/>
          <w:highlight w:val="cyan"/>
        </w:rPr>
        <w:t>define crimes</w:t>
      </w:r>
      <w:r w:rsidRPr="00E12F3A">
        <w:rPr>
          <w:sz w:val="16"/>
        </w:rPr>
        <w:t xml:space="preserve">. When King James I tried to create new crimes by royal command, the judges responded that “the King cannot create any offence by his prohibition or proclamation, which was not an offence before.” </w:t>
      </w:r>
      <w:r w:rsidRPr="00E12F3A">
        <w:rPr>
          <w:rStyle w:val="StyleUnderline"/>
        </w:rPr>
        <w:t>James I, however, did not have the benefit of Chevron deference</w:t>
      </w:r>
      <w:r w:rsidRPr="00E12F3A">
        <w:rPr>
          <w:sz w:val="16"/>
        </w:rPr>
        <w:t xml:space="preserve">. With </w:t>
      </w:r>
      <w:r w:rsidRPr="00E12F3A">
        <w:rPr>
          <w:rStyle w:val="StyleUnderline"/>
        </w:rPr>
        <w:t>deference to agency interpretations of statutory provisions to which criminal prohibitions are attached</w:t>
      </w:r>
      <w:r w:rsidRPr="00E12F3A">
        <w:rPr>
          <w:sz w:val="16"/>
        </w:rPr>
        <w:t xml:space="preserve">, federal </w:t>
      </w:r>
      <w:r w:rsidRPr="00456038">
        <w:rPr>
          <w:rStyle w:val="Emphasis"/>
          <w:highlight w:val="cyan"/>
        </w:rPr>
        <w:t>administrators can</w:t>
      </w:r>
      <w:r w:rsidRPr="00E12F3A">
        <w:rPr>
          <w:rStyle w:val="StyleUnderline"/>
        </w:rPr>
        <w:t xml:space="preserve"> in effect </w:t>
      </w:r>
      <w:r w:rsidRPr="00456038">
        <w:rPr>
          <w:rStyle w:val="Emphasis"/>
          <w:highlight w:val="cyan"/>
        </w:rPr>
        <w:t>create</w:t>
      </w:r>
      <w:r w:rsidRPr="00E12F3A">
        <w:rPr>
          <w:sz w:val="16"/>
        </w:rPr>
        <w:t xml:space="preserve"> (and uncreate) </w:t>
      </w:r>
      <w:r w:rsidRPr="00456038">
        <w:rPr>
          <w:rStyle w:val="Emphasis"/>
          <w:highlight w:val="cyan"/>
        </w:rPr>
        <w:t>new crimes</w:t>
      </w:r>
      <w:r w:rsidRPr="00E12F3A">
        <w:rPr>
          <w:rStyle w:val="Emphasis"/>
        </w:rPr>
        <w:t xml:space="preserve"> at will</w:t>
      </w:r>
      <w:r w:rsidRPr="00E12F3A">
        <w:rPr>
          <w:sz w:val="16"/>
        </w:rPr>
        <w:t xml:space="preserve">, so long as they do not roam beyond ambiguities that the laws contain. Undoubtedly Congress may make it a crime to violate a regulation, but </w:t>
      </w:r>
      <w:r w:rsidRPr="00E12F3A">
        <w:rPr>
          <w:rStyle w:val="StyleUnderline"/>
        </w:rPr>
        <w:t>it is quite a different matter for Congress to give agencies</w:t>
      </w:r>
      <w:r w:rsidRPr="00E12F3A">
        <w:rPr>
          <w:sz w:val="16"/>
        </w:rPr>
        <w:t xml:space="preserve"> — let alone for us to presume that Congress gave agencies — </w:t>
      </w:r>
      <w:r w:rsidRPr="00E12F3A">
        <w:rPr>
          <w:rStyle w:val="StyleUnderline"/>
        </w:rPr>
        <w:t xml:space="preserve">power to resolve </w:t>
      </w:r>
      <w:r w:rsidRPr="00E12F3A">
        <w:rPr>
          <w:rStyle w:val="Emphasis"/>
        </w:rPr>
        <w:t>ambiguities</w:t>
      </w:r>
      <w:r w:rsidRPr="00E12F3A">
        <w:rPr>
          <w:rStyle w:val="StyleUnderline"/>
        </w:rPr>
        <w:t xml:space="preserve"> in </w:t>
      </w:r>
      <w:r w:rsidRPr="00E12F3A">
        <w:rPr>
          <w:rStyle w:val="Emphasis"/>
        </w:rPr>
        <w:t>criminal legislation</w:t>
      </w:r>
      <w:r w:rsidRPr="00E12F3A">
        <w:rPr>
          <w:sz w:val="16"/>
        </w:rPr>
        <w:t>.[4]</w:t>
      </w:r>
    </w:p>
    <w:p w14:paraId="28895F5A" w14:textId="77777777" w:rsidR="00586EDF" w:rsidRPr="002850FC" w:rsidRDefault="00586EDF" w:rsidP="00586EDF">
      <w:pPr>
        <w:rPr>
          <w:sz w:val="16"/>
        </w:rPr>
      </w:pPr>
      <w:r w:rsidRPr="002850FC">
        <w:rPr>
          <w:sz w:val="16"/>
        </w:rPr>
        <w:t xml:space="preserve">It is no coincidence that Scalia’s rebuke of the government is directed toward “agencies” and “federal administrators” — not just the SEC. Known as </w:t>
      </w:r>
      <w:r w:rsidRPr="00456038">
        <w:rPr>
          <w:rStyle w:val="Emphasis"/>
          <w:highlight w:val="cyan"/>
        </w:rPr>
        <w:t>a</w:t>
      </w:r>
      <w:r w:rsidRPr="00E12F3A">
        <w:rPr>
          <w:rStyle w:val="Emphasis"/>
        </w:rPr>
        <w:t xml:space="preserve"> “</w:t>
      </w:r>
      <w:r w:rsidRPr="00456038">
        <w:rPr>
          <w:rStyle w:val="Emphasis"/>
          <w:highlight w:val="cyan"/>
        </w:rPr>
        <w:t>hybrid statute</w:t>
      </w:r>
      <w:r w:rsidRPr="00E12F3A">
        <w:rPr>
          <w:rStyle w:val="Emphasis"/>
        </w:rPr>
        <w:t>,”</w:t>
      </w:r>
      <w:r w:rsidRPr="002850FC">
        <w:rPr>
          <w:sz w:val="16"/>
        </w:rPr>
        <w:t xml:space="preserve"> Section 10(b) is among a small fraternity of federal statutes that </w:t>
      </w:r>
      <w:r w:rsidRPr="00456038">
        <w:rPr>
          <w:rStyle w:val="StyleUnderline"/>
          <w:highlight w:val="cyan"/>
        </w:rPr>
        <w:t>carry</w:t>
      </w:r>
      <w:r w:rsidRPr="00E12F3A">
        <w:rPr>
          <w:rStyle w:val="StyleUnderline"/>
        </w:rPr>
        <w:t xml:space="preserve"> both </w:t>
      </w:r>
      <w:r w:rsidRPr="00456038">
        <w:rPr>
          <w:rStyle w:val="Emphasis"/>
          <w:highlight w:val="cyan"/>
        </w:rPr>
        <w:t>criminal and civil penalties</w:t>
      </w:r>
      <w:r w:rsidRPr="00E12F3A">
        <w:rPr>
          <w:rStyle w:val="StyleUnderline"/>
        </w:rPr>
        <w:t xml:space="preserve"> for the same violation</w:t>
      </w:r>
      <w:r w:rsidRPr="002850FC">
        <w:rPr>
          <w:sz w:val="16"/>
        </w:rPr>
        <w:t xml:space="preserve">. Other </w:t>
      </w:r>
      <w:r w:rsidRPr="002850FC">
        <w:rPr>
          <w:rStyle w:val="StyleUnderline"/>
        </w:rPr>
        <w:t>hybrid statutes include the Racketeer Influenced and Corrupt Organizations Act’s</w:t>
      </w:r>
      <w:r w:rsidRPr="002850FC">
        <w:rPr>
          <w:sz w:val="16"/>
        </w:rPr>
        <w:t xml:space="preserve"> ban on illicit racketeering activities,[5] the </w:t>
      </w:r>
      <w:r w:rsidRPr="002850FC">
        <w:rPr>
          <w:rStyle w:val="StyleUnderline"/>
        </w:rPr>
        <w:t>Sherman Act’s restriction of anti-competitive business practices</w:t>
      </w:r>
      <w:r w:rsidRPr="002850FC">
        <w:rPr>
          <w:sz w:val="16"/>
        </w:rPr>
        <w:t xml:space="preserve">,[6] and the </w:t>
      </w:r>
      <w:r w:rsidRPr="002850FC">
        <w:rPr>
          <w:rStyle w:val="StyleUnderline"/>
        </w:rPr>
        <w:t>Real Estate Settlement Procedures Act’s prohibition</w:t>
      </w:r>
      <w:r w:rsidRPr="002850FC">
        <w:rPr>
          <w:sz w:val="16"/>
        </w:rPr>
        <w:t xml:space="preserve"> of kickbacks and fee splitting. Of particular interest, although Section 8 of RESPA is typically enforced civilly, </w:t>
      </w:r>
      <w:r w:rsidRPr="002850FC">
        <w:rPr>
          <w:rStyle w:val="StyleUnderline"/>
        </w:rPr>
        <w:t>it also carries criminal penalties</w:t>
      </w:r>
      <w:r w:rsidRPr="002850FC">
        <w:rPr>
          <w:sz w:val="16"/>
        </w:rPr>
        <w:t xml:space="preserve"> and has been the </w:t>
      </w:r>
      <w:r w:rsidRPr="002850FC">
        <w:rPr>
          <w:rStyle w:val="Emphasis"/>
        </w:rPr>
        <w:t>basis of criminal prosecutions</w:t>
      </w:r>
      <w:r w:rsidRPr="002850FC">
        <w:rPr>
          <w:sz w:val="16"/>
        </w:rPr>
        <w:t>.[7]</w:t>
      </w:r>
    </w:p>
    <w:p w14:paraId="391BBDA9" w14:textId="77777777" w:rsidR="00586EDF" w:rsidRPr="002850FC" w:rsidRDefault="00586EDF" w:rsidP="00586EDF">
      <w:pPr>
        <w:rPr>
          <w:sz w:val="16"/>
        </w:rPr>
      </w:pPr>
      <w:r w:rsidRPr="002850FC">
        <w:rPr>
          <w:rStyle w:val="Emphasis"/>
        </w:rPr>
        <w:t>The danger of deference</w:t>
      </w:r>
      <w:r w:rsidRPr="002850FC">
        <w:rPr>
          <w:sz w:val="16"/>
        </w:rPr>
        <w:t xml:space="preserve"> </w:t>
      </w:r>
      <w:r w:rsidRPr="002850FC">
        <w:rPr>
          <w:rStyle w:val="StyleUnderline"/>
        </w:rPr>
        <w:t>to agency interpretation of RESPA’s hybrid provisions</w:t>
      </w:r>
      <w:r w:rsidRPr="002850FC">
        <w:rPr>
          <w:sz w:val="16"/>
        </w:rPr>
        <w:t xml:space="preserve">, the same type of danger Scalia noted in Whitman, </w:t>
      </w:r>
      <w:r w:rsidRPr="002850FC">
        <w:rPr>
          <w:rStyle w:val="Emphasis"/>
        </w:rPr>
        <w:t>has not gone unnoticed</w:t>
      </w:r>
      <w:r w:rsidRPr="002850FC">
        <w:rPr>
          <w:sz w:val="16"/>
        </w:rPr>
        <w:t xml:space="preserve">. In Carter v. Welles-Bowen Realty Inc.,[8] which Scalia cites in his statement in Whitman, </w:t>
      </w:r>
      <w:r w:rsidRPr="002850FC">
        <w:rPr>
          <w:rStyle w:val="StyleUnderline"/>
        </w:rPr>
        <w:t>the Sixth Circuit Court of Appeal</w:t>
      </w:r>
      <w:r w:rsidRPr="002850FC">
        <w:rPr>
          <w:sz w:val="16"/>
        </w:rPr>
        <w:t xml:space="preserve">s considered the U.S. Department of Housing and Urban Development’s Statement of Policy 1996-2 Regarding Sham Controlled Business Arrangements, and </w:t>
      </w:r>
      <w:r w:rsidRPr="002850FC">
        <w:rPr>
          <w:rStyle w:val="StyleUnderline"/>
        </w:rPr>
        <w:t>held that its interpretation of RESPA was not entitled to deference</w:t>
      </w:r>
      <w:r w:rsidRPr="002850FC">
        <w:rPr>
          <w:sz w:val="16"/>
        </w:rPr>
        <w:t xml:space="preserve"> because it was not binding and was too indefinite in its application.</w:t>
      </w:r>
    </w:p>
    <w:p w14:paraId="7847DE8C" w14:textId="77777777" w:rsidR="00586EDF" w:rsidRPr="002850FC" w:rsidRDefault="00586EDF" w:rsidP="00586EDF">
      <w:pPr>
        <w:rPr>
          <w:sz w:val="16"/>
        </w:rPr>
      </w:pPr>
      <w:r w:rsidRPr="002850FC">
        <w:rPr>
          <w:sz w:val="16"/>
        </w:rPr>
        <w:t xml:space="preserve">Carter also has a thorough concurring opinion by Circuit Judge Jeffrey S. Sutton, explaining that </w:t>
      </w:r>
      <w:r w:rsidRPr="00456038">
        <w:rPr>
          <w:rStyle w:val="Emphasis"/>
          <w:highlight w:val="cyan"/>
        </w:rPr>
        <w:t>the rule of lenity</w:t>
      </w:r>
      <w:r w:rsidRPr="002850FC">
        <w:rPr>
          <w:sz w:val="16"/>
        </w:rPr>
        <w:t xml:space="preserve"> — </w:t>
      </w:r>
      <w:r w:rsidRPr="002850FC">
        <w:rPr>
          <w:rStyle w:val="StyleUnderline"/>
        </w:rPr>
        <w:t>which requires ambiguities in criminal statutes to be interpreted in favor of the defendant</w:t>
      </w:r>
      <w:r w:rsidRPr="002850FC">
        <w:rPr>
          <w:sz w:val="16"/>
        </w:rPr>
        <w:t xml:space="preserve"> — </w:t>
      </w:r>
      <w:r w:rsidRPr="00456038">
        <w:rPr>
          <w:rStyle w:val="Emphasis"/>
          <w:highlight w:val="cyan"/>
        </w:rPr>
        <w:t>prevents</w:t>
      </w:r>
      <w:r w:rsidRPr="002850FC">
        <w:rPr>
          <w:sz w:val="16"/>
        </w:rPr>
        <w:t xml:space="preserve"> HUD (and now </w:t>
      </w:r>
      <w:r w:rsidRPr="00456038">
        <w:rPr>
          <w:rStyle w:val="StyleUnderline"/>
          <w:highlight w:val="cyan"/>
        </w:rPr>
        <w:t>the</w:t>
      </w:r>
      <w:r w:rsidRPr="002850FC">
        <w:rPr>
          <w:sz w:val="16"/>
        </w:rPr>
        <w:t> </w:t>
      </w:r>
      <w:r w:rsidRPr="00456038">
        <w:rPr>
          <w:rStyle w:val="Emphasis"/>
          <w:highlight w:val="cyan"/>
        </w:rPr>
        <w:t>C</w:t>
      </w:r>
      <w:r w:rsidRPr="002850FC">
        <w:rPr>
          <w:rStyle w:val="StyleUnderline"/>
        </w:rPr>
        <w:t xml:space="preserve">onsumer </w:t>
      </w:r>
      <w:r w:rsidRPr="00456038">
        <w:rPr>
          <w:rStyle w:val="Emphasis"/>
          <w:highlight w:val="cyan"/>
        </w:rPr>
        <w:t>F</w:t>
      </w:r>
      <w:r w:rsidRPr="002850FC">
        <w:rPr>
          <w:rStyle w:val="StyleUnderline"/>
        </w:rPr>
        <w:t xml:space="preserve">inancial </w:t>
      </w:r>
      <w:r w:rsidRPr="00456038">
        <w:rPr>
          <w:rStyle w:val="Emphasis"/>
          <w:highlight w:val="cyan"/>
        </w:rPr>
        <w:t>P</w:t>
      </w:r>
      <w:r w:rsidRPr="002850FC">
        <w:rPr>
          <w:rStyle w:val="StyleUnderline"/>
        </w:rPr>
        <w:t xml:space="preserve">rotection </w:t>
      </w:r>
      <w:r w:rsidRPr="00456038">
        <w:rPr>
          <w:rStyle w:val="Emphasis"/>
          <w:highlight w:val="cyan"/>
        </w:rPr>
        <w:t>B</w:t>
      </w:r>
      <w:r w:rsidRPr="002850FC">
        <w:rPr>
          <w:rStyle w:val="StyleUnderline"/>
        </w:rPr>
        <w:t>ureau</w:t>
      </w:r>
      <w:r w:rsidRPr="002850FC">
        <w:rPr>
          <w:sz w:val="16"/>
        </w:rPr>
        <w:t xml:space="preserve">, which by the time of the decision in Carter had taken over authority for RESPA from HUD) </w:t>
      </w:r>
      <w:r w:rsidRPr="00456038">
        <w:rPr>
          <w:rStyle w:val="StyleUnderline"/>
          <w:highlight w:val="cyan"/>
        </w:rPr>
        <w:t>from adding</w:t>
      </w:r>
      <w:r w:rsidRPr="002850FC">
        <w:rPr>
          <w:rStyle w:val="StyleUnderline"/>
        </w:rPr>
        <w:t xml:space="preserve"> substantive </w:t>
      </w:r>
      <w:r w:rsidRPr="00456038">
        <w:rPr>
          <w:rStyle w:val="StyleUnderline"/>
          <w:highlight w:val="cyan"/>
        </w:rPr>
        <w:t>requirements to</w:t>
      </w:r>
      <w:r w:rsidRPr="002850FC">
        <w:rPr>
          <w:sz w:val="16"/>
        </w:rPr>
        <w:t xml:space="preserve"> RESPA’s </w:t>
      </w:r>
      <w:r w:rsidRPr="00456038">
        <w:rPr>
          <w:rStyle w:val="Emphasis"/>
          <w:highlight w:val="cyan"/>
        </w:rPr>
        <w:t>hybrid provisions</w:t>
      </w:r>
      <w:r w:rsidRPr="002850FC">
        <w:rPr>
          <w:sz w:val="16"/>
        </w:rPr>
        <w:t>, even if it were to use notice-and-comment rule-making and issue a more precise rule. Indeed, this defense was quickly raised in at least one RESPA civil enforcement action brought by the CFPB against a law firm in Kentucky.[9]</w:t>
      </w:r>
    </w:p>
    <w:p w14:paraId="78319F1C" w14:textId="77777777" w:rsidR="00586EDF" w:rsidRPr="002850FC" w:rsidRDefault="00586EDF" w:rsidP="00586EDF">
      <w:pPr>
        <w:rPr>
          <w:sz w:val="16"/>
        </w:rPr>
      </w:pPr>
      <w:r w:rsidRPr="002850FC">
        <w:rPr>
          <w:sz w:val="16"/>
        </w:rPr>
        <w:t xml:space="preserve">The concerns addressed in Carter and Whitman are part of a judicial trend, where </w:t>
      </w:r>
      <w:r w:rsidRPr="002850FC">
        <w:rPr>
          <w:rStyle w:val="StyleUnderline"/>
        </w:rPr>
        <w:t>courts are increasingly expressing concerns over administrative overreach</w:t>
      </w:r>
      <w:r w:rsidRPr="002850FC">
        <w:rPr>
          <w:sz w:val="16"/>
        </w:rPr>
        <w:t xml:space="preserve">. Chief Justice </w:t>
      </w:r>
      <w:r w:rsidRPr="002850FC">
        <w:rPr>
          <w:rStyle w:val="StyleUnderline"/>
        </w:rPr>
        <w:t>Roberts expressed his displeasure</w:t>
      </w:r>
      <w:r w:rsidRPr="002850FC">
        <w:rPr>
          <w:sz w:val="16"/>
        </w:rPr>
        <w:t xml:space="preserve"> a few years ago in a dissenting opinion:</w:t>
      </w:r>
    </w:p>
    <w:p w14:paraId="22B1F7ED" w14:textId="77777777" w:rsidR="00586EDF" w:rsidRPr="002850FC" w:rsidRDefault="00586EDF" w:rsidP="00586EDF">
      <w:pPr>
        <w:ind w:left="720"/>
        <w:rPr>
          <w:sz w:val="16"/>
        </w:rPr>
      </w:pPr>
      <w:r w:rsidRPr="002850FC">
        <w:rPr>
          <w:sz w:val="16"/>
        </w:rPr>
        <w:t xml:space="preserve">One of the principal authors of the Constitution famously wrote that </w:t>
      </w:r>
      <w:r w:rsidRPr="00456038">
        <w:rPr>
          <w:rStyle w:val="StyleUnderline"/>
          <w:highlight w:val="cyan"/>
        </w:rPr>
        <w:t>the</w:t>
      </w:r>
      <w:r w:rsidRPr="002850FC">
        <w:rPr>
          <w:rStyle w:val="StyleUnderline"/>
        </w:rPr>
        <w:t xml:space="preserve"> “</w:t>
      </w:r>
      <w:r w:rsidRPr="00456038">
        <w:rPr>
          <w:rStyle w:val="Emphasis"/>
          <w:highlight w:val="cyan"/>
        </w:rPr>
        <w:t>accumulation</w:t>
      </w:r>
      <w:r w:rsidRPr="002850FC">
        <w:rPr>
          <w:rStyle w:val="StyleUnderline"/>
        </w:rPr>
        <w:t xml:space="preserve"> </w:t>
      </w:r>
      <w:r w:rsidRPr="00456038">
        <w:rPr>
          <w:rStyle w:val="StyleUnderline"/>
          <w:highlight w:val="cyan"/>
        </w:rPr>
        <w:t>of</w:t>
      </w:r>
      <w:r w:rsidRPr="002850FC">
        <w:rPr>
          <w:rStyle w:val="StyleUnderline"/>
        </w:rPr>
        <w:t xml:space="preserve"> all powers, </w:t>
      </w:r>
      <w:r w:rsidRPr="00456038">
        <w:rPr>
          <w:rStyle w:val="Emphasis"/>
          <w:highlight w:val="cyan"/>
        </w:rPr>
        <w:t>legislative</w:t>
      </w:r>
      <w:r w:rsidRPr="002850FC">
        <w:rPr>
          <w:rStyle w:val="Emphasis"/>
        </w:rPr>
        <w:t xml:space="preserve">, </w:t>
      </w:r>
      <w:r w:rsidRPr="00456038">
        <w:rPr>
          <w:rStyle w:val="Emphasis"/>
          <w:highlight w:val="cyan"/>
        </w:rPr>
        <w:t>executive</w:t>
      </w:r>
      <w:r w:rsidRPr="002850FC">
        <w:rPr>
          <w:rStyle w:val="Emphasis"/>
        </w:rPr>
        <w:t xml:space="preserve">, </w:t>
      </w:r>
      <w:r w:rsidRPr="00456038">
        <w:rPr>
          <w:rStyle w:val="Emphasis"/>
          <w:highlight w:val="cyan"/>
        </w:rPr>
        <w:t>and judiciary</w:t>
      </w:r>
      <w:r w:rsidRPr="002850FC">
        <w:rPr>
          <w:rStyle w:val="StyleUnderline"/>
        </w:rPr>
        <w:t xml:space="preserve">, </w:t>
      </w:r>
      <w:r w:rsidRPr="00456038">
        <w:rPr>
          <w:rStyle w:val="StyleUnderline"/>
          <w:highlight w:val="cyan"/>
        </w:rPr>
        <w:t>in the same hands</w:t>
      </w:r>
      <w:r w:rsidRPr="002850FC">
        <w:rPr>
          <w:sz w:val="16"/>
        </w:rPr>
        <w:t xml:space="preserve">, ... </w:t>
      </w:r>
      <w:r w:rsidRPr="00456038">
        <w:rPr>
          <w:rStyle w:val="StyleUnderline"/>
          <w:highlight w:val="cyan"/>
        </w:rPr>
        <w:t>may</w:t>
      </w:r>
      <w:r w:rsidRPr="002850FC">
        <w:rPr>
          <w:rStyle w:val="StyleUnderline"/>
        </w:rPr>
        <w:t xml:space="preserve"> justly </w:t>
      </w:r>
      <w:r w:rsidRPr="00456038">
        <w:rPr>
          <w:rStyle w:val="StyleUnderline"/>
          <w:highlight w:val="cyan"/>
        </w:rPr>
        <w:t>be pronounced</w:t>
      </w:r>
      <w:r w:rsidRPr="002850FC">
        <w:rPr>
          <w:rStyle w:val="StyleUnderline"/>
        </w:rPr>
        <w:t xml:space="preserve"> the very </w:t>
      </w:r>
      <w:r w:rsidRPr="002850FC">
        <w:rPr>
          <w:rStyle w:val="Emphasis"/>
        </w:rPr>
        <w:t xml:space="preserve">definition of </w:t>
      </w:r>
      <w:r w:rsidRPr="00456038">
        <w:rPr>
          <w:rStyle w:val="Emphasis"/>
          <w:highlight w:val="cyan"/>
        </w:rPr>
        <w:t>tyranny</w:t>
      </w:r>
      <w:r w:rsidRPr="002850FC">
        <w:rPr>
          <w:rStyle w:val="StyleUnderline"/>
        </w:rPr>
        <w:t>.</w:t>
      </w:r>
      <w:r w:rsidRPr="002850FC">
        <w:rPr>
          <w:sz w:val="16"/>
        </w:rPr>
        <w:t xml:space="preserve">” The Federalist No. 47, p. 324 (J. Cooke ed., 1961) (J. Madison). Although </w:t>
      </w:r>
      <w:r w:rsidRPr="002850FC">
        <w:rPr>
          <w:rStyle w:val="StyleUnderline"/>
        </w:rPr>
        <w:t xml:space="preserve">modern administrative </w:t>
      </w:r>
      <w:r w:rsidRPr="00456038">
        <w:rPr>
          <w:rStyle w:val="StyleUnderline"/>
          <w:highlight w:val="cyan"/>
        </w:rPr>
        <w:t>agencies</w:t>
      </w:r>
      <w:r w:rsidRPr="002850FC">
        <w:rPr>
          <w:rStyle w:val="StyleUnderline"/>
        </w:rPr>
        <w:t xml:space="preserve"> fit most comfortably within the Executive Branch</w:t>
      </w:r>
      <w:r w:rsidRPr="002850FC">
        <w:rPr>
          <w:sz w:val="16"/>
        </w:rPr>
        <w:t xml:space="preserve">, as a practical matter they exercise legislative power, by </w:t>
      </w:r>
      <w:r w:rsidRPr="00456038">
        <w:rPr>
          <w:rStyle w:val="Emphasis"/>
          <w:highlight w:val="cyan"/>
        </w:rPr>
        <w:t>promulgating regulations</w:t>
      </w:r>
      <w:r w:rsidRPr="002850FC">
        <w:rPr>
          <w:sz w:val="16"/>
        </w:rPr>
        <w:t xml:space="preserve"> with the force of law; executive power, </w:t>
      </w:r>
      <w:r w:rsidRPr="002850FC">
        <w:rPr>
          <w:rStyle w:val="StyleUnderline"/>
        </w:rPr>
        <w:t>by policing compliance with those regulations</w:t>
      </w:r>
      <w:r w:rsidRPr="002850FC">
        <w:rPr>
          <w:sz w:val="16"/>
        </w:rPr>
        <w:t xml:space="preserve">; and judicial power, by </w:t>
      </w:r>
      <w:r w:rsidRPr="002850FC">
        <w:rPr>
          <w:rStyle w:val="StyleUnderline"/>
        </w:rPr>
        <w:t>adjudicating enforcement actions and imposing sanctions</w:t>
      </w:r>
      <w:r w:rsidRPr="002850FC">
        <w:rPr>
          <w:sz w:val="16"/>
        </w:rPr>
        <w:t xml:space="preserve"> on those found to have violated their rules. </w:t>
      </w:r>
      <w:r w:rsidRPr="002850FC">
        <w:rPr>
          <w:rStyle w:val="Emphasis"/>
        </w:rPr>
        <w:t>The accumulation of these powers</w:t>
      </w:r>
      <w:r w:rsidRPr="002850FC">
        <w:rPr>
          <w:sz w:val="16"/>
        </w:rPr>
        <w:t xml:space="preserve"> </w:t>
      </w:r>
      <w:r w:rsidRPr="002850FC">
        <w:rPr>
          <w:rStyle w:val="StyleUnderline"/>
        </w:rPr>
        <w:t>in the same hands is not an occasional or isolated exception</w:t>
      </w:r>
      <w:r w:rsidRPr="002850FC">
        <w:rPr>
          <w:sz w:val="16"/>
        </w:rPr>
        <w:t xml:space="preserve"> to the constitutional plan; it </w:t>
      </w:r>
      <w:r w:rsidRPr="002850FC">
        <w:rPr>
          <w:rStyle w:val="Emphasis"/>
        </w:rPr>
        <w:t>is a central feature of</w:t>
      </w:r>
      <w:r w:rsidRPr="002850FC">
        <w:rPr>
          <w:sz w:val="16"/>
        </w:rPr>
        <w:t xml:space="preserve"> modern </w:t>
      </w:r>
      <w:r w:rsidRPr="002850FC">
        <w:rPr>
          <w:rStyle w:val="Emphasis"/>
        </w:rPr>
        <w:t>American government</w:t>
      </w:r>
      <w:r w:rsidRPr="002850FC">
        <w:rPr>
          <w:sz w:val="16"/>
        </w:rPr>
        <w:t>.[10]</w:t>
      </w:r>
    </w:p>
    <w:p w14:paraId="2080F13A" w14:textId="77777777" w:rsidR="00586EDF" w:rsidRPr="002850FC" w:rsidRDefault="00586EDF" w:rsidP="00586EDF">
      <w:pPr>
        <w:rPr>
          <w:sz w:val="16"/>
        </w:rPr>
      </w:pPr>
      <w:r w:rsidRPr="002850FC">
        <w:rPr>
          <w:sz w:val="16"/>
        </w:rPr>
        <w:t xml:space="preserve">Similarly, Justice </w:t>
      </w:r>
      <w:r w:rsidRPr="002850FC">
        <w:rPr>
          <w:rStyle w:val="StyleUnderline"/>
        </w:rPr>
        <w:t>Scalia</w:t>
      </w:r>
      <w:r w:rsidRPr="002850FC">
        <w:rPr>
          <w:sz w:val="16"/>
        </w:rPr>
        <w:t xml:space="preserve">, </w:t>
      </w:r>
      <w:r w:rsidRPr="002850FC">
        <w:rPr>
          <w:rStyle w:val="StyleUnderline"/>
        </w:rPr>
        <w:t>who has</w:t>
      </w:r>
      <w:r w:rsidRPr="002850FC">
        <w:rPr>
          <w:sz w:val="16"/>
        </w:rPr>
        <w:t xml:space="preserve"> often </w:t>
      </w:r>
      <w:r w:rsidRPr="002850FC">
        <w:rPr>
          <w:rStyle w:val="StyleUnderline"/>
        </w:rPr>
        <w:t>been a champion of deference</w:t>
      </w:r>
      <w:r w:rsidRPr="002850FC">
        <w:rPr>
          <w:sz w:val="16"/>
        </w:rPr>
        <w:t xml:space="preserve"> to administrative agencies,[11] </w:t>
      </w:r>
      <w:r w:rsidRPr="002850FC">
        <w:rPr>
          <w:rStyle w:val="StyleUnderline"/>
        </w:rPr>
        <w:t>noted</w:t>
      </w:r>
      <w:r w:rsidRPr="002850FC">
        <w:rPr>
          <w:sz w:val="16"/>
        </w:rPr>
        <w:t xml:space="preserve"> in dissent last year that </w:t>
      </w:r>
      <w:r w:rsidRPr="002850FC">
        <w:rPr>
          <w:rStyle w:val="StyleUnderline"/>
        </w:rPr>
        <w:t>“[</w:t>
      </w:r>
      <w:r w:rsidRPr="00456038">
        <w:rPr>
          <w:rStyle w:val="StyleUnderline"/>
          <w:highlight w:val="cyan"/>
        </w:rPr>
        <w:t>t]oo many</w:t>
      </w:r>
      <w:r w:rsidRPr="002850FC">
        <w:rPr>
          <w:rStyle w:val="StyleUnderline"/>
        </w:rPr>
        <w:t xml:space="preserve"> </w:t>
      </w:r>
      <w:r w:rsidRPr="002850FC">
        <w:rPr>
          <w:rStyle w:val="Emphasis"/>
        </w:rPr>
        <w:t xml:space="preserve">important </w:t>
      </w:r>
      <w:r w:rsidRPr="00456038">
        <w:rPr>
          <w:rStyle w:val="Emphasis"/>
          <w:highlight w:val="cyan"/>
        </w:rPr>
        <w:t>decisions</w:t>
      </w:r>
      <w:r w:rsidRPr="002850FC">
        <w:rPr>
          <w:rStyle w:val="StyleUnderline"/>
        </w:rPr>
        <w:t xml:space="preserve"> of the Federal Government </w:t>
      </w:r>
      <w:r w:rsidRPr="00456038">
        <w:rPr>
          <w:rStyle w:val="StyleUnderline"/>
          <w:highlight w:val="cyan"/>
        </w:rPr>
        <w:t xml:space="preserve">are </w:t>
      </w:r>
      <w:r w:rsidRPr="00456038">
        <w:rPr>
          <w:rStyle w:val="Emphasis"/>
          <w:highlight w:val="cyan"/>
        </w:rPr>
        <w:t>made</w:t>
      </w:r>
      <w:r w:rsidRPr="002850FC">
        <w:rPr>
          <w:rStyle w:val="StyleUnderline"/>
        </w:rPr>
        <w:t xml:space="preserve"> nowadays </w:t>
      </w:r>
      <w:r w:rsidRPr="00456038">
        <w:rPr>
          <w:rStyle w:val="Emphasis"/>
          <w:highlight w:val="cyan"/>
        </w:rPr>
        <w:t>by</w:t>
      </w:r>
      <w:r w:rsidRPr="002850FC">
        <w:rPr>
          <w:rStyle w:val="Emphasis"/>
        </w:rPr>
        <w:t xml:space="preserve"> unelected </w:t>
      </w:r>
      <w:r w:rsidRPr="00456038">
        <w:rPr>
          <w:rStyle w:val="Emphasis"/>
          <w:highlight w:val="cyan"/>
        </w:rPr>
        <w:t>agency officials</w:t>
      </w:r>
      <w:r w:rsidRPr="002850FC">
        <w:rPr>
          <w:rStyle w:val="StyleUnderline"/>
        </w:rPr>
        <w:t xml:space="preserve"> exercising broad lawmaking authority</w:t>
      </w:r>
      <w:r w:rsidRPr="002850FC">
        <w:rPr>
          <w:sz w:val="16"/>
        </w:rPr>
        <w:t xml:space="preserve">, rather than by the people's representatives in Congress.”[12] U.S. District Judge Jed Rakoff has been particularly outspoken regarding the </w:t>
      </w:r>
      <w:r w:rsidRPr="00456038">
        <w:rPr>
          <w:rStyle w:val="StyleUnderline"/>
          <w:highlight w:val="cyan"/>
        </w:rPr>
        <w:t>increased use of</w:t>
      </w:r>
      <w:r w:rsidRPr="002850FC">
        <w:rPr>
          <w:rStyle w:val="StyleUnderline"/>
        </w:rPr>
        <w:t xml:space="preserve"> administrative </w:t>
      </w:r>
      <w:r w:rsidRPr="00456038">
        <w:rPr>
          <w:rStyle w:val="StyleUnderline"/>
          <w:highlight w:val="cyan"/>
        </w:rPr>
        <w:t xml:space="preserve">proceedings by the </w:t>
      </w:r>
      <w:r w:rsidRPr="00456038">
        <w:rPr>
          <w:rStyle w:val="Emphasis"/>
          <w:highlight w:val="cyan"/>
        </w:rPr>
        <w:t>SEC under</w:t>
      </w:r>
      <w:r w:rsidRPr="002850FC">
        <w:rPr>
          <w:rStyle w:val="StyleUnderline"/>
        </w:rPr>
        <w:t xml:space="preserve"> </w:t>
      </w:r>
      <w:r w:rsidRPr="002850FC">
        <w:rPr>
          <w:sz w:val="16"/>
        </w:rPr>
        <w:t xml:space="preserve">its augmented </w:t>
      </w:r>
      <w:r w:rsidRPr="00456038">
        <w:rPr>
          <w:rStyle w:val="Emphasis"/>
          <w:highlight w:val="cyan"/>
        </w:rPr>
        <w:t>Dodd-Frank</w:t>
      </w:r>
      <w:r w:rsidRPr="002850FC">
        <w:rPr>
          <w:rStyle w:val="StyleUnderline"/>
        </w:rPr>
        <w:t xml:space="preserve"> authorities</w:t>
      </w:r>
      <w:r w:rsidRPr="002850FC">
        <w:rPr>
          <w:sz w:val="16"/>
        </w:rPr>
        <w:t>, concerned that “</w:t>
      </w:r>
      <w:r w:rsidRPr="002850FC">
        <w:rPr>
          <w:rStyle w:val="StyleUnderline"/>
        </w:rPr>
        <w:t>the result would be that the law in such cases would effectively be made</w:t>
      </w:r>
      <w:r w:rsidRPr="002850FC">
        <w:rPr>
          <w:sz w:val="16"/>
        </w:rPr>
        <w:t xml:space="preserve">, not by neutral federal courts, but </w:t>
      </w:r>
      <w:r w:rsidRPr="002850FC">
        <w:rPr>
          <w:rStyle w:val="StyleUnderline"/>
        </w:rPr>
        <w:t>by SEC administrative judges</w:t>
      </w:r>
      <w:r w:rsidRPr="002850FC">
        <w:rPr>
          <w:sz w:val="16"/>
        </w:rPr>
        <w:t>.”[13]</w:t>
      </w:r>
    </w:p>
    <w:p w14:paraId="0DB30568" w14:textId="77777777" w:rsidR="00586EDF" w:rsidRPr="002850FC" w:rsidRDefault="00586EDF" w:rsidP="00586EDF">
      <w:pPr>
        <w:rPr>
          <w:sz w:val="16"/>
        </w:rPr>
      </w:pPr>
      <w:r w:rsidRPr="002850FC">
        <w:rPr>
          <w:sz w:val="16"/>
        </w:rPr>
        <w:t xml:space="preserve">Judge Rakoff further lamented that </w:t>
      </w:r>
      <w:r w:rsidRPr="002850FC">
        <w:rPr>
          <w:rStyle w:val="Emphasis"/>
        </w:rPr>
        <w:t xml:space="preserve">such </w:t>
      </w:r>
      <w:r w:rsidRPr="00456038">
        <w:rPr>
          <w:rStyle w:val="Emphasis"/>
          <w:highlight w:val="cyan"/>
        </w:rPr>
        <w:t>decisions</w:t>
      </w:r>
      <w:r w:rsidRPr="002850FC">
        <w:rPr>
          <w:sz w:val="16"/>
        </w:rPr>
        <w:t xml:space="preserve">, based on recent Second Circuit authority, </w:t>
      </w:r>
      <w:r w:rsidRPr="00456038">
        <w:rPr>
          <w:rStyle w:val="Emphasis"/>
          <w:highlight w:val="cyan"/>
        </w:rPr>
        <w:t>are entitled to Chevron</w:t>
      </w:r>
      <w:r w:rsidRPr="002850FC">
        <w:rPr>
          <w:rStyle w:val="Emphasis"/>
        </w:rPr>
        <w:t xml:space="preserve"> deference</w:t>
      </w:r>
      <w:r w:rsidRPr="002850FC">
        <w:rPr>
          <w:sz w:val="16"/>
        </w:rPr>
        <w:t xml:space="preserve">, </w:t>
      </w:r>
      <w:r w:rsidRPr="002850FC">
        <w:rPr>
          <w:rStyle w:val="StyleUnderline"/>
        </w:rPr>
        <w:t>effectively taking the federal judiciary out of the determinations altogether</w:t>
      </w:r>
      <w:r w:rsidRPr="002850FC">
        <w:rPr>
          <w:sz w:val="16"/>
        </w:rPr>
        <w:t xml:space="preserve">.[14] In doing so, Judge Rakoff argued that </w:t>
      </w:r>
      <w:r w:rsidRPr="002850FC">
        <w:rPr>
          <w:rStyle w:val="StyleUnderline"/>
        </w:rPr>
        <w:t>this practice hinders impartial development of the law</w:t>
      </w:r>
      <w:r w:rsidRPr="002850FC">
        <w:rPr>
          <w:sz w:val="16"/>
        </w:rPr>
        <w:t xml:space="preserve">, </w:t>
      </w:r>
      <w:r w:rsidRPr="002850FC">
        <w:rPr>
          <w:rStyle w:val="StyleUnderline"/>
        </w:rPr>
        <w:t>displacing the constitutional review of federal courts with</w:t>
      </w:r>
      <w:r w:rsidRPr="002850FC">
        <w:rPr>
          <w:sz w:val="16"/>
        </w:rPr>
        <w:t xml:space="preserve"> “</w:t>
      </w:r>
      <w:r w:rsidRPr="002850FC">
        <w:rPr>
          <w:rStyle w:val="Emphasis"/>
        </w:rPr>
        <w:t>administrative fiat</w:t>
      </w:r>
      <w:r w:rsidRPr="002850FC">
        <w:rPr>
          <w:sz w:val="16"/>
        </w:rPr>
        <w:t xml:space="preserve">.”[15] Ultimately, Judge Rakoff argued, </w:t>
      </w:r>
      <w:r w:rsidRPr="00456038">
        <w:rPr>
          <w:rStyle w:val="Emphasis"/>
          <w:highlight w:val="cyan"/>
        </w:rPr>
        <w:t>it is not in the interest of the</w:t>
      </w:r>
      <w:r w:rsidRPr="002850FC">
        <w:rPr>
          <w:sz w:val="16"/>
        </w:rPr>
        <w:t xml:space="preserve"> agency itself or the </w:t>
      </w:r>
      <w:r w:rsidRPr="00456038">
        <w:rPr>
          <w:rStyle w:val="Emphasis"/>
          <w:highlight w:val="cyan"/>
        </w:rPr>
        <w:t>markets</w:t>
      </w:r>
      <w:r w:rsidRPr="002850FC">
        <w:rPr>
          <w:sz w:val="16"/>
        </w:rPr>
        <w:t xml:space="preserve"> it regulates </w:t>
      </w:r>
      <w:r w:rsidRPr="002850FC">
        <w:rPr>
          <w:rStyle w:val="Emphasis"/>
        </w:rPr>
        <w:t>for the agency to become “a law onto itself.”</w:t>
      </w:r>
      <w:r w:rsidRPr="002850FC">
        <w:rPr>
          <w:sz w:val="16"/>
        </w:rPr>
        <w:t>[16]</w:t>
      </w:r>
    </w:p>
    <w:p w14:paraId="27E31743" w14:textId="77777777" w:rsidR="00586EDF" w:rsidRPr="002850FC" w:rsidRDefault="00586EDF" w:rsidP="00586EDF">
      <w:pPr>
        <w:rPr>
          <w:sz w:val="16"/>
        </w:rPr>
      </w:pPr>
      <w:r w:rsidRPr="002850FC">
        <w:rPr>
          <w:sz w:val="16"/>
        </w:rPr>
        <w:t xml:space="preserve">The </w:t>
      </w:r>
      <w:r w:rsidRPr="00456038">
        <w:rPr>
          <w:rStyle w:val="Emphasis"/>
          <w:highlight w:val="cyan"/>
        </w:rPr>
        <w:t>Dodd-Frank Act</w:t>
      </w:r>
      <w:r w:rsidRPr="002850FC">
        <w:rPr>
          <w:sz w:val="16"/>
        </w:rPr>
        <w:t xml:space="preserve"> </w:t>
      </w:r>
      <w:r w:rsidRPr="002850FC">
        <w:rPr>
          <w:rStyle w:val="StyleUnderline"/>
        </w:rPr>
        <w:t xml:space="preserve">not only </w:t>
      </w:r>
      <w:r w:rsidRPr="00456038">
        <w:rPr>
          <w:rStyle w:val="StyleUnderline"/>
          <w:highlight w:val="cyan"/>
        </w:rPr>
        <w:t>strengthened the</w:t>
      </w:r>
      <w:r w:rsidRPr="00456038">
        <w:rPr>
          <w:sz w:val="16"/>
          <w:highlight w:val="cyan"/>
        </w:rPr>
        <w:t xml:space="preserve"> </w:t>
      </w:r>
      <w:r w:rsidRPr="00456038">
        <w:rPr>
          <w:rStyle w:val="Emphasis"/>
          <w:highlight w:val="cyan"/>
        </w:rPr>
        <w:t>SEC’s</w:t>
      </w:r>
      <w:r w:rsidRPr="002850FC">
        <w:rPr>
          <w:sz w:val="16"/>
        </w:rPr>
        <w:t xml:space="preserve"> already significant </w:t>
      </w:r>
      <w:r w:rsidRPr="002850FC">
        <w:rPr>
          <w:rStyle w:val="StyleUnderline"/>
        </w:rPr>
        <w:t xml:space="preserve">enforcement </w:t>
      </w:r>
      <w:r w:rsidRPr="00456038">
        <w:rPr>
          <w:rStyle w:val="StyleUnderline"/>
          <w:highlight w:val="cyan"/>
        </w:rPr>
        <w:t>capabilities</w:t>
      </w:r>
      <w:r w:rsidRPr="002850FC">
        <w:rPr>
          <w:sz w:val="16"/>
        </w:rPr>
        <w:t xml:space="preserve">, but also </w:t>
      </w:r>
      <w:r w:rsidRPr="002850FC">
        <w:rPr>
          <w:rStyle w:val="StyleUnderline"/>
        </w:rPr>
        <w:t>provided the same type of authority to the CFPB</w:t>
      </w:r>
      <w:r w:rsidRPr="002850FC">
        <w:rPr>
          <w:sz w:val="16"/>
        </w:rPr>
        <w:t xml:space="preserve">.[17] Indeed, </w:t>
      </w:r>
      <w:r w:rsidRPr="002850FC">
        <w:rPr>
          <w:rStyle w:val="StyleUnderline"/>
        </w:rPr>
        <w:t>the CFPB has brought</w:t>
      </w:r>
      <w:r w:rsidRPr="002850FC">
        <w:rPr>
          <w:sz w:val="16"/>
        </w:rPr>
        <w:t xml:space="preserve"> some </w:t>
      </w:r>
      <w:r w:rsidRPr="002850FC">
        <w:rPr>
          <w:rStyle w:val="StyleUnderline"/>
        </w:rPr>
        <w:t>41 administrative actions</w:t>
      </w:r>
      <w:r w:rsidRPr="002850FC">
        <w:rPr>
          <w:sz w:val="16"/>
        </w:rPr>
        <w:t xml:space="preserve"> to date, most of which have resulted in consent orders. Since 2011, the </w:t>
      </w:r>
      <w:r w:rsidRPr="002850FC">
        <w:rPr>
          <w:rStyle w:val="StyleUnderline"/>
        </w:rPr>
        <w:t>CFPB has further utilized an “amicus program” to file</w:t>
      </w:r>
      <w:r w:rsidRPr="002850FC">
        <w:rPr>
          <w:sz w:val="16"/>
        </w:rPr>
        <w:t xml:space="preserve"> friend of </w:t>
      </w:r>
      <w:r w:rsidRPr="002850FC">
        <w:rPr>
          <w:rStyle w:val="StyleUnderline"/>
        </w:rPr>
        <w:t>the court briefs</w:t>
      </w:r>
      <w:r w:rsidRPr="002850FC">
        <w:rPr>
          <w:sz w:val="16"/>
        </w:rPr>
        <w:t xml:space="preserve">. In its own words, the program is designed to “ensure that consumer financial protection statutes and regulations are correctly and consistently interpreted by the courts.”[18] </w:t>
      </w:r>
      <w:r w:rsidRPr="00456038">
        <w:rPr>
          <w:rStyle w:val="StyleUnderline"/>
          <w:highlight w:val="cyan"/>
        </w:rPr>
        <w:t>Many</w:t>
      </w:r>
      <w:r w:rsidRPr="002850FC">
        <w:rPr>
          <w:sz w:val="16"/>
        </w:rPr>
        <w:t xml:space="preserve"> of these </w:t>
      </w:r>
      <w:r w:rsidRPr="002850FC">
        <w:rPr>
          <w:rStyle w:val="Emphasis"/>
        </w:rPr>
        <w:t>administrative</w:t>
      </w:r>
      <w:r w:rsidRPr="002850FC">
        <w:rPr>
          <w:rStyle w:val="StyleUnderline"/>
        </w:rPr>
        <w:t xml:space="preserve"> </w:t>
      </w:r>
      <w:r w:rsidRPr="00456038">
        <w:rPr>
          <w:rStyle w:val="Emphasis"/>
          <w:highlight w:val="cyan"/>
        </w:rPr>
        <w:t>actions</w:t>
      </w:r>
      <w:r w:rsidRPr="002850FC">
        <w:rPr>
          <w:sz w:val="16"/>
        </w:rPr>
        <w:t xml:space="preserve"> and amicus briefs have </w:t>
      </w:r>
      <w:r w:rsidRPr="00456038">
        <w:rPr>
          <w:rStyle w:val="StyleUnderline"/>
          <w:highlight w:val="cyan"/>
        </w:rPr>
        <w:t>involved</w:t>
      </w:r>
      <w:r w:rsidRPr="002850FC">
        <w:rPr>
          <w:rStyle w:val="StyleUnderline"/>
        </w:rPr>
        <w:t xml:space="preserve"> alleged </w:t>
      </w:r>
      <w:r w:rsidRPr="00456038">
        <w:rPr>
          <w:rStyle w:val="Emphasis"/>
          <w:highlight w:val="cyan"/>
        </w:rPr>
        <w:t>violat</w:t>
      </w:r>
      <w:r w:rsidRPr="00456038">
        <w:rPr>
          <w:rStyle w:val="StyleUnderline"/>
          <w:highlight w:val="cyan"/>
        </w:rPr>
        <w:t xml:space="preserve">ions of </w:t>
      </w:r>
      <w:r w:rsidRPr="00456038">
        <w:rPr>
          <w:rStyle w:val="Emphasis"/>
          <w:highlight w:val="cyan"/>
        </w:rPr>
        <w:t>RESPA</w:t>
      </w:r>
      <w:r w:rsidRPr="002850FC">
        <w:rPr>
          <w:sz w:val="16"/>
        </w:rPr>
        <w:t xml:space="preserve"> § 8, </w:t>
      </w:r>
      <w:r w:rsidRPr="00456038">
        <w:rPr>
          <w:rStyle w:val="Emphasis"/>
          <w:highlight w:val="cyan"/>
        </w:rPr>
        <w:t>the hybrid statute</w:t>
      </w:r>
      <w:r w:rsidRPr="002850FC">
        <w:rPr>
          <w:sz w:val="16"/>
        </w:rPr>
        <w:t xml:space="preserve"> that Judge </w:t>
      </w:r>
      <w:r w:rsidRPr="00456038">
        <w:rPr>
          <w:rStyle w:val="Emphasis"/>
          <w:highlight w:val="cyan"/>
        </w:rPr>
        <w:t>Sutton</w:t>
      </w:r>
      <w:r w:rsidRPr="002850FC">
        <w:rPr>
          <w:rStyle w:val="Emphasis"/>
        </w:rPr>
        <w:t xml:space="preserve">’s </w:t>
      </w:r>
      <w:r w:rsidRPr="00456038">
        <w:rPr>
          <w:rStyle w:val="Emphasis"/>
          <w:highlight w:val="cyan"/>
        </w:rPr>
        <w:t>concur</w:t>
      </w:r>
      <w:r w:rsidRPr="002850FC">
        <w:rPr>
          <w:rStyle w:val="Emphasis"/>
        </w:rPr>
        <w:t>rence</w:t>
      </w:r>
      <w:r w:rsidRPr="002850FC">
        <w:rPr>
          <w:sz w:val="16"/>
        </w:rPr>
        <w:t xml:space="preserve"> in Carter </w:t>
      </w:r>
      <w:r w:rsidRPr="005423CD">
        <w:rPr>
          <w:rStyle w:val="Emphasis"/>
        </w:rPr>
        <w:t>held</w:t>
      </w:r>
      <w:r w:rsidRPr="002850FC">
        <w:rPr>
          <w:rStyle w:val="Emphasis"/>
        </w:rPr>
        <w:t xml:space="preserve"> </w:t>
      </w:r>
      <w:r w:rsidRPr="00456038">
        <w:rPr>
          <w:rStyle w:val="Emphasis"/>
          <w:highlight w:val="cyan"/>
        </w:rPr>
        <w:t>requires lenity</w:t>
      </w:r>
      <w:r w:rsidRPr="002850FC">
        <w:rPr>
          <w:sz w:val="16"/>
        </w:rPr>
        <w:t>.[19]</w:t>
      </w:r>
    </w:p>
    <w:p w14:paraId="4E002CD2" w14:textId="77777777" w:rsidR="00586EDF" w:rsidRPr="002850FC" w:rsidRDefault="00586EDF" w:rsidP="00586EDF">
      <w:pPr>
        <w:rPr>
          <w:sz w:val="16"/>
          <w:szCs w:val="16"/>
        </w:rPr>
      </w:pPr>
      <w:r w:rsidRPr="002850FC">
        <w:rPr>
          <w:sz w:val="16"/>
          <w:szCs w:val="16"/>
        </w:rPr>
        <w:t>These actions are part of an aggressive attempt by the CFPB to rewrite RESPA through administrative proceedings and amicus briefs. In First American v. Edwards, a case famous for having been granted review, oral argument and subsequently dismissed as “improvidently granted” by the </w:t>
      </w:r>
      <w:hyperlink r:id="rId70" w:tgtFrame="_blank" w:history="1">
        <w:r w:rsidRPr="002850FC">
          <w:rPr>
            <w:rStyle w:val="Hyperlink"/>
            <w:sz w:val="16"/>
            <w:szCs w:val="16"/>
          </w:rPr>
          <w:t>U.S. Supreme Court</w:t>
        </w:r>
      </w:hyperlink>
      <w:r w:rsidRPr="002850FC">
        <w:rPr>
          <w:sz w:val="16"/>
          <w:szCs w:val="16"/>
        </w:rPr>
        <w:t>, the CFPB has argued aggressively in the court of appeals (after cert. was dismissed) that Section 8(c)(2)’s exemption for “goods or facilities actually furnished or for services actually performed” somehow should not apply as an exception to Section 8(a)’s prohibition on kickbacks for referrals.[20]</w:t>
      </w:r>
    </w:p>
    <w:p w14:paraId="77C45911" w14:textId="77777777" w:rsidR="00586EDF" w:rsidRPr="002850FC" w:rsidRDefault="00586EDF" w:rsidP="00586EDF">
      <w:pPr>
        <w:rPr>
          <w:sz w:val="16"/>
          <w:szCs w:val="16"/>
        </w:rPr>
      </w:pPr>
      <w:r w:rsidRPr="002850FC">
        <w:rPr>
          <w:sz w:val="16"/>
          <w:szCs w:val="16"/>
        </w:rPr>
        <w:t>Effectively, the CFPB’s position is that a payment for services actually performed would violate RESPA if a referral of settlement service business also happened to occur. The appeal from denial of class certification in Edwards is currently scheduled for oral argument on March 3, 2015, and it will be interesting to see whether the CFPB’s new 8(c)(2) interpretation — supported by little more than the agency’s ipse dixit — attracts any attention or support from the Ninth Circuit panel.</w:t>
      </w:r>
    </w:p>
    <w:p w14:paraId="4299C6C7" w14:textId="77777777" w:rsidR="00586EDF" w:rsidRPr="002850FC" w:rsidRDefault="00586EDF" w:rsidP="00586EDF">
      <w:pPr>
        <w:rPr>
          <w:sz w:val="16"/>
          <w:szCs w:val="16"/>
        </w:rPr>
      </w:pPr>
      <w:r w:rsidRPr="002850FC">
        <w:rPr>
          <w:sz w:val="16"/>
          <w:szCs w:val="16"/>
        </w:rPr>
        <w:t>The CFPB’s new RESPA interpretation is clearly seen in the agency’s recent consent order in the administrative proceeding In re: Lighthouse Title, in which the CFPB took the position that “[e]ntering a contract is a ‘thing of value’ within the meaning of Section 8, even if the fees paid under that contract are fair market value for the goods or services provided.”[21] The facts alleged in Lighthouse Title made this statement wholly superfluous, except as a gratuitous statement (of questionable legal importance) of the CFPB’s new position.</w:t>
      </w:r>
    </w:p>
    <w:p w14:paraId="206BA5D3" w14:textId="77777777" w:rsidR="00586EDF" w:rsidRPr="002850FC" w:rsidRDefault="00586EDF" w:rsidP="00586EDF">
      <w:pPr>
        <w:rPr>
          <w:sz w:val="16"/>
          <w:szCs w:val="16"/>
        </w:rPr>
      </w:pPr>
      <w:r w:rsidRPr="002850FC">
        <w:rPr>
          <w:sz w:val="16"/>
          <w:szCs w:val="16"/>
        </w:rPr>
        <w:t>The CFPB’s position is not only a sharp departure from HUD’s interpretations and application of RESPA, but it appears facially at odds with the plain language of the statute, which states rather simply that “[n]othing in this section shall be construed as prohibiting ... the payment to any person of a bona fide salary or compensation or other payment for goods or facilities actually furnished or for services actually performed.”[22]</w:t>
      </w:r>
    </w:p>
    <w:p w14:paraId="5CC547D9" w14:textId="77777777" w:rsidR="00586EDF" w:rsidRPr="002850FC" w:rsidRDefault="00586EDF" w:rsidP="00586EDF">
      <w:pPr>
        <w:rPr>
          <w:sz w:val="16"/>
          <w:szCs w:val="16"/>
        </w:rPr>
      </w:pPr>
      <w:r w:rsidRPr="002850FC">
        <w:rPr>
          <w:sz w:val="16"/>
          <w:szCs w:val="16"/>
        </w:rPr>
        <w:t>This is even more extreme than the position adopted by HUD that was rejected by the court of appeals in Carter, which noted that “a statutory safe harbor is not very safe if a federal agency may add a new requirement to it through a policy statement.”[23] The CFPB’s position in Lighthouse Title is this type of administrative “creation” of law that Justice Scalia seems to be taking aim at in Whitman, and which Judge Rakoff has so articulately lamented.</w:t>
      </w:r>
    </w:p>
    <w:p w14:paraId="17623284" w14:textId="77777777" w:rsidR="00586EDF" w:rsidRPr="002850FC" w:rsidRDefault="00586EDF" w:rsidP="00586EDF">
      <w:pPr>
        <w:rPr>
          <w:sz w:val="16"/>
        </w:rPr>
      </w:pPr>
      <w:r w:rsidRPr="002850FC">
        <w:rPr>
          <w:sz w:val="16"/>
        </w:rPr>
        <w:t xml:space="preserve">One might think that, since the </w:t>
      </w:r>
      <w:r w:rsidRPr="002850FC">
        <w:rPr>
          <w:rStyle w:val="StyleUnderline"/>
        </w:rPr>
        <w:t>CFPB’s amicus brief</w:t>
      </w:r>
      <w:r w:rsidRPr="002850FC">
        <w:rPr>
          <w:sz w:val="16"/>
        </w:rPr>
        <w:t xml:space="preserve"> in Edwards was </w:t>
      </w:r>
      <w:r w:rsidRPr="002850FC">
        <w:rPr>
          <w:rStyle w:val="StyleUnderline"/>
        </w:rPr>
        <w:t>presented to a court</w:t>
      </w:r>
      <w:r w:rsidRPr="002850FC">
        <w:rPr>
          <w:sz w:val="16"/>
        </w:rPr>
        <w:t xml:space="preserve"> — which will accept or reject it — it </w:t>
      </w:r>
      <w:r w:rsidRPr="002850FC">
        <w:rPr>
          <w:rStyle w:val="StyleUnderline"/>
        </w:rPr>
        <w:t>poses less of a threat to our constitutional order</w:t>
      </w:r>
      <w:r w:rsidRPr="002850FC">
        <w:rPr>
          <w:sz w:val="16"/>
        </w:rPr>
        <w:t xml:space="preserve">. But </w:t>
      </w:r>
      <w:r w:rsidRPr="00456038">
        <w:rPr>
          <w:rStyle w:val="Emphasis"/>
          <w:highlight w:val="cyan"/>
        </w:rPr>
        <w:t>the</w:t>
      </w:r>
      <w:r w:rsidRPr="002850FC">
        <w:rPr>
          <w:sz w:val="16"/>
        </w:rPr>
        <w:t xml:space="preserve"> same implied </w:t>
      </w:r>
      <w:r w:rsidRPr="00456038">
        <w:rPr>
          <w:rStyle w:val="Emphasis"/>
          <w:highlight w:val="cyan"/>
        </w:rPr>
        <w:t>demand for deference is present</w:t>
      </w:r>
      <w:r w:rsidRPr="002850FC">
        <w:rPr>
          <w:sz w:val="16"/>
        </w:rPr>
        <w:t xml:space="preserve"> there, too. For the CFPB’s novel 8(c)(2) interpretation is supported by nothing more than the agency’s own say-so, and contrary case law is relegated to a footnote, without elaboration.[24] Thus, although the Edwards amicus brief does not implicate the specific scenario addressed by Judge Rakoff, it falls squarely within Justice Scalia’s stated concern.</w:t>
      </w:r>
    </w:p>
    <w:p w14:paraId="2D38ADE6" w14:textId="77777777" w:rsidR="00586EDF" w:rsidRPr="002850FC" w:rsidRDefault="00586EDF" w:rsidP="00586EDF">
      <w:pPr>
        <w:rPr>
          <w:sz w:val="16"/>
        </w:rPr>
      </w:pPr>
      <w:r w:rsidRPr="002850FC">
        <w:rPr>
          <w:sz w:val="16"/>
        </w:rPr>
        <w:t xml:space="preserve">It is clear that </w:t>
      </w:r>
      <w:r w:rsidRPr="002850FC">
        <w:rPr>
          <w:rStyle w:val="StyleUnderline"/>
        </w:rPr>
        <w:t xml:space="preserve">at least two Supreme Court justices are willing to address the issue of deference to the interpretation of </w:t>
      </w:r>
      <w:r w:rsidRPr="005423CD">
        <w:rPr>
          <w:rStyle w:val="Emphasis"/>
        </w:rPr>
        <w:t>criminal or hybrid statutes</w:t>
      </w:r>
      <w:r w:rsidRPr="002850FC">
        <w:rPr>
          <w:sz w:val="16"/>
        </w:rPr>
        <w:t>, which is particularly important given the strength and breadth of the CFPB’s administrative enforcement authority. It is less clear whether the court is interested in curbing the use of administrative adjudication to make law — a practice upheld decades ago in other, arguably distinguishable contexts.[25]</w:t>
      </w:r>
    </w:p>
    <w:p w14:paraId="72741004" w14:textId="77777777" w:rsidR="00586EDF" w:rsidRPr="005423CD" w:rsidRDefault="00586EDF" w:rsidP="00586EDF">
      <w:pPr>
        <w:rPr>
          <w:sz w:val="16"/>
        </w:rPr>
      </w:pPr>
      <w:r w:rsidRPr="002850FC">
        <w:rPr>
          <w:rStyle w:val="StyleUnderline"/>
        </w:rPr>
        <w:t xml:space="preserve">Because of </w:t>
      </w:r>
      <w:r w:rsidRPr="00456038">
        <w:rPr>
          <w:rStyle w:val="StyleUnderline"/>
          <w:highlight w:val="cyan"/>
        </w:rPr>
        <w:t>the hostile regulatory climate</w:t>
      </w:r>
      <w:r w:rsidRPr="005423CD">
        <w:rPr>
          <w:sz w:val="16"/>
        </w:rPr>
        <w:t xml:space="preserve">, however, </w:t>
      </w:r>
      <w:r w:rsidRPr="002850FC">
        <w:rPr>
          <w:rStyle w:val="StyleUnderline"/>
        </w:rPr>
        <w:t xml:space="preserve">both of </w:t>
      </w:r>
      <w:r w:rsidRPr="00456038">
        <w:rPr>
          <w:rStyle w:val="Emphasis"/>
          <w:highlight w:val="cyan"/>
        </w:rPr>
        <w:t>these</w:t>
      </w:r>
      <w:r w:rsidRPr="005423CD">
        <w:rPr>
          <w:rStyle w:val="Emphasis"/>
        </w:rPr>
        <w:t xml:space="preserve"> related </w:t>
      </w:r>
      <w:r w:rsidRPr="00456038">
        <w:rPr>
          <w:rStyle w:val="Emphasis"/>
          <w:highlight w:val="cyan"/>
        </w:rPr>
        <w:t>trends carry</w:t>
      </w:r>
      <w:r w:rsidRPr="002850FC">
        <w:rPr>
          <w:rStyle w:val="StyleUnderline"/>
        </w:rPr>
        <w:t xml:space="preserve"> particular </w:t>
      </w:r>
      <w:r w:rsidRPr="00456038">
        <w:rPr>
          <w:rStyle w:val="Emphasis"/>
          <w:highlight w:val="cyan"/>
        </w:rPr>
        <w:t>importance for the financial</w:t>
      </w:r>
      <w:r w:rsidRPr="005423CD">
        <w:rPr>
          <w:rStyle w:val="Emphasis"/>
        </w:rPr>
        <w:t xml:space="preserve"> services </w:t>
      </w:r>
      <w:r w:rsidRPr="00456038">
        <w:rPr>
          <w:rStyle w:val="Emphasis"/>
          <w:highlight w:val="cyan"/>
        </w:rPr>
        <w:t>industry</w:t>
      </w:r>
      <w:r w:rsidRPr="002850FC">
        <w:rPr>
          <w:rStyle w:val="StyleUnderline"/>
        </w:rPr>
        <w:t xml:space="preserve">, as the CFPB’s and other government agencies’ aggressive use and </w:t>
      </w:r>
      <w:r w:rsidRPr="00456038">
        <w:rPr>
          <w:rStyle w:val="StyleUnderline"/>
          <w:highlight w:val="cyan"/>
        </w:rPr>
        <w:t>interpretation of hybrid</w:t>
      </w:r>
      <w:r w:rsidRPr="005423CD">
        <w:rPr>
          <w:sz w:val="16"/>
        </w:rPr>
        <w:t xml:space="preserve"> and similar </w:t>
      </w:r>
      <w:r w:rsidRPr="00456038">
        <w:rPr>
          <w:rStyle w:val="StyleUnderline"/>
          <w:highlight w:val="cyan"/>
        </w:rPr>
        <w:t>statutes</w:t>
      </w:r>
      <w:r w:rsidRPr="005423CD">
        <w:rPr>
          <w:sz w:val="16"/>
        </w:rPr>
        <w:t xml:space="preserve">, including RESPA and the Financial Institution Reform, Recovery, and Enforcement Act, </w:t>
      </w:r>
      <w:r w:rsidRPr="00456038">
        <w:rPr>
          <w:rStyle w:val="StyleUnderline"/>
          <w:highlight w:val="cyan"/>
        </w:rPr>
        <w:t>continues to grow</w:t>
      </w:r>
      <w:r w:rsidRPr="005423CD">
        <w:rPr>
          <w:sz w:val="16"/>
        </w:rPr>
        <w:t>.</w:t>
      </w:r>
    </w:p>
    <w:p w14:paraId="699763E2" w14:textId="77777777" w:rsidR="00586EDF" w:rsidRPr="00456038" w:rsidRDefault="00586EDF" w:rsidP="00586EDF">
      <w:pPr>
        <w:rPr>
          <w:sz w:val="16"/>
        </w:rPr>
      </w:pPr>
      <w:r w:rsidRPr="00456038">
        <w:rPr>
          <w:rStyle w:val="Emphasis"/>
          <w:highlight w:val="cyan"/>
        </w:rPr>
        <w:t>If the</w:t>
      </w:r>
      <w:r w:rsidRPr="002850FC">
        <w:rPr>
          <w:rStyle w:val="Emphasis"/>
        </w:rPr>
        <w:t xml:space="preserve"> Supreme </w:t>
      </w:r>
      <w:r w:rsidRPr="00456038">
        <w:rPr>
          <w:rStyle w:val="Emphasis"/>
          <w:highlight w:val="cyan"/>
        </w:rPr>
        <w:t>Court were to rule</w:t>
      </w:r>
      <w:r w:rsidRPr="005423CD">
        <w:rPr>
          <w:sz w:val="16"/>
        </w:rPr>
        <w:t xml:space="preserve"> conclusively </w:t>
      </w:r>
      <w:r w:rsidRPr="002850FC">
        <w:rPr>
          <w:rStyle w:val="Emphasis"/>
        </w:rPr>
        <w:t xml:space="preserve">that the rule of </w:t>
      </w:r>
      <w:r w:rsidRPr="00456038">
        <w:rPr>
          <w:rStyle w:val="Emphasis"/>
          <w:highlight w:val="cyan"/>
        </w:rPr>
        <w:t>lenity applies</w:t>
      </w:r>
      <w:r w:rsidRPr="005423CD">
        <w:rPr>
          <w:sz w:val="16"/>
        </w:rPr>
        <w:t xml:space="preserve"> </w:t>
      </w:r>
      <w:r w:rsidRPr="002850FC">
        <w:rPr>
          <w:rStyle w:val="StyleUnderline"/>
        </w:rPr>
        <w:t>to such statutes</w:t>
      </w:r>
      <w:r w:rsidRPr="005423CD">
        <w:rPr>
          <w:sz w:val="16"/>
        </w:rPr>
        <w:t xml:space="preserve">, </w:t>
      </w:r>
      <w:r w:rsidRPr="00456038">
        <w:rPr>
          <w:rStyle w:val="Emphasis"/>
          <w:highlight w:val="cyan"/>
        </w:rPr>
        <w:t>then aggressive interpretations</w:t>
      </w:r>
      <w:r w:rsidRPr="005423CD">
        <w:rPr>
          <w:sz w:val="16"/>
        </w:rPr>
        <w:t xml:space="preserve"> </w:t>
      </w:r>
      <w:r w:rsidRPr="002850FC">
        <w:rPr>
          <w:rStyle w:val="StyleUnderline"/>
        </w:rPr>
        <w:t xml:space="preserve">such as those taken by the CFPB in recent amicus and administrative filings </w:t>
      </w:r>
      <w:r w:rsidRPr="00456038">
        <w:rPr>
          <w:rStyle w:val="Emphasis"/>
          <w:highlight w:val="cyan"/>
        </w:rPr>
        <w:t>would be</w:t>
      </w:r>
      <w:r w:rsidRPr="005423CD">
        <w:rPr>
          <w:sz w:val="16"/>
        </w:rPr>
        <w:t xml:space="preserve"> much more </w:t>
      </w:r>
      <w:r w:rsidRPr="00456038">
        <w:rPr>
          <w:rStyle w:val="Emphasis"/>
          <w:highlight w:val="cyan"/>
        </w:rPr>
        <w:t>difficult to maintain</w:t>
      </w:r>
      <w:r w:rsidRPr="005423CD">
        <w:rPr>
          <w:sz w:val="16"/>
        </w:rPr>
        <w:t xml:space="preserve">, </w:t>
      </w:r>
      <w:r w:rsidRPr="00456038">
        <w:rPr>
          <w:rStyle w:val="StyleUnderline"/>
          <w:highlight w:val="cyan"/>
        </w:rPr>
        <w:t>and the CFPB’s incentive</w:t>
      </w:r>
      <w:r w:rsidRPr="005423CD">
        <w:rPr>
          <w:rStyle w:val="StyleUnderline"/>
        </w:rPr>
        <w:t xml:space="preserve"> </w:t>
      </w:r>
      <w:r w:rsidRPr="00456038">
        <w:rPr>
          <w:rStyle w:val="StyleUnderline"/>
          <w:highlight w:val="cyan"/>
        </w:rPr>
        <w:t>to use its own</w:t>
      </w:r>
      <w:r w:rsidRPr="005423CD">
        <w:rPr>
          <w:rStyle w:val="StyleUnderline"/>
        </w:rPr>
        <w:t xml:space="preserve"> administrative </w:t>
      </w:r>
      <w:r w:rsidRPr="00456038">
        <w:rPr>
          <w:rStyle w:val="StyleUnderline"/>
          <w:highlight w:val="cyan"/>
        </w:rPr>
        <w:t xml:space="preserve">proceedings </w:t>
      </w:r>
      <w:r w:rsidRPr="005423CD">
        <w:rPr>
          <w:rStyle w:val="StyleUnderline"/>
        </w:rPr>
        <w:t xml:space="preserve">might </w:t>
      </w:r>
      <w:r w:rsidRPr="00456038">
        <w:rPr>
          <w:rStyle w:val="StyleUnderline"/>
          <w:highlight w:val="cyan"/>
        </w:rPr>
        <w:t>diminish</w:t>
      </w:r>
      <w:r w:rsidRPr="005423CD">
        <w:rPr>
          <w:sz w:val="16"/>
        </w:rPr>
        <w:t>. In light of Justice Scalia’s proclamation, and the CFPB’s aggressive interpretations and desire to ensure that courts adopt those interpretations, that day may come sooner rather than later.</w:t>
      </w:r>
    </w:p>
    <w:p w14:paraId="6FDFCDCF" w14:textId="77777777" w:rsidR="00586EDF" w:rsidRPr="00473A51" w:rsidRDefault="00586EDF" w:rsidP="00586EDF">
      <w:pPr>
        <w:pStyle w:val="Heading4"/>
        <w:rPr>
          <w:szCs w:val="24"/>
        </w:rPr>
      </w:pPr>
      <w:r>
        <w:rPr>
          <w:szCs w:val="24"/>
        </w:rPr>
        <w:t>American economic strength leads the liberal order.</w:t>
      </w:r>
    </w:p>
    <w:p w14:paraId="77E76FF0" w14:textId="77777777" w:rsidR="00586EDF" w:rsidRPr="00473A51" w:rsidRDefault="00586EDF" w:rsidP="00586EDF">
      <w:r w:rsidRPr="00473A51">
        <w:rPr>
          <w:rStyle w:val="Style13ptBold"/>
        </w:rPr>
        <w:t>Haas 17</w:t>
      </w:r>
      <w:r w:rsidRPr="00473A51">
        <w:t xml:space="preserve"> [Richard Haas,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published January 10, 2017, (Print) – Mzhu</w:t>
      </w:r>
    </w:p>
    <w:p w14:paraId="04BE4034" w14:textId="77777777" w:rsidR="00586EDF" w:rsidRPr="00456038" w:rsidRDefault="00586EDF" w:rsidP="00586EDF">
      <w:pPr>
        <w:rPr>
          <w:sz w:val="16"/>
        </w:rPr>
      </w:pPr>
      <w:r w:rsidRPr="00456038">
        <w:rPr>
          <w:sz w:val="16"/>
        </w:rPr>
        <w:t xml:space="preserve">A large portion of </w:t>
      </w:r>
      <w:r w:rsidRPr="00456038">
        <w:rPr>
          <w:rStyle w:val="StyleUnderline"/>
          <w:highlight w:val="cyan"/>
        </w:rPr>
        <w:t>the burden of</w:t>
      </w:r>
      <w:r w:rsidRPr="00473A51">
        <w:rPr>
          <w:rStyle w:val="StyleUnderline"/>
        </w:rPr>
        <w:t xml:space="preserve"> creating and </w:t>
      </w:r>
      <w:r w:rsidRPr="00456038">
        <w:rPr>
          <w:rStyle w:val="StyleUnderline"/>
          <w:highlight w:val="cyan"/>
        </w:rPr>
        <w:t>maintaining order</w:t>
      </w:r>
      <w:r w:rsidRPr="00473A51">
        <w:rPr>
          <w:rStyle w:val="StyleUnderline"/>
        </w:rPr>
        <w:t xml:space="preserve"> at the regional or global level </w:t>
      </w:r>
      <w:r w:rsidRPr="00456038">
        <w:rPr>
          <w:rStyle w:val="StyleUnderline"/>
          <w:highlight w:val="cyan"/>
        </w:rPr>
        <w:t>will fall on the</w:t>
      </w:r>
      <w:r w:rsidRPr="00473A51">
        <w:rPr>
          <w:rStyle w:val="StyleUnderline"/>
        </w:rPr>
        <w:t xml:space="preserve"> </w:t>
      </w:r>
      <w:r w:rsidRPr="00456038">
        <w:rPr>
          <w:rStyle w:val="StyleUnderline"/>
          <w:highlight w:val="cyan"/>
        </w:rPr>
        <w:t>U</w:t>
      </w:r>
      <w:r w:rsidRPr="00473A51">
        <w:rPr>
          <w:rStyle w:val="StyleUnderline"/>
        </w:rPr>
        <w:t xml:space="preserve">nited </w:t>
      </w:r>
      <w:r w:rsidRPr="00456038">
        <w:rPr>
          <w:rStyle w:val="StyleUnderline"/>
          <w:highlight w:val="cyan"/>
        </w:rPr>
        <w:t>S</w:t>
      </w:r>
      <w:r w:rsidRPr="00473A51">
        <w:rPr>
          <w:rStyle w:val="StyleUnderline"/>
        </w:rPr>
        <w:t>tates</w:t>
      </w:r>
      <w:r w:rsidRPr="00456038">
        <w:rPr>
          <w:sz w:val="16"/>
        </w:rPr>
        <w:t xml:space="preserve">. This is inevitable for several reasons, only one of which is that the United States is and will likely remain the most powerful country in the world for decades to come. The corollary to this point is that </w:t>
      </w:r>
      <w:r w:rsidRPr="00456038">
        <w:rPr>
          <w:rStyle w:val="StyleUnderline"/>
          <w:highlight w:val="cyan"/>
        </w:rPr>
        <w:t>no other country</w:t>
      </w:r>
      <w:r w:rsidRPr="00473A51">
        <w:rPr>
          <w:rStyle w:val="StyleUnderline"/>
        </w:rPr>
        <w:t xml:space="preserve"> or group of countries </w:t>
      </w:r>
      <w:r w:rsidRPr="00456038">
        <w:rPr>
          <w:rStyle w:val="StyleUnderline"/>
          <w:highlight w:val="cyan"/>
        </w:rPr>
        <w:t>has</w:t>
      </w:r>
      <w:r w:rsidRPr="00473A51">
        <w:rPr>
          <w:rStyle w:val="StyleUnderline"/>
        </w:rPr>
        <w:t xml:space="preserve"> either </w:t>
      </w:r>
      <w:r w:rsidRPr="00456038">
        <w:rPr>
          <w:rStyle w:val="StyleUnderline"/>
          <w:highlight w:val="cyan"/>
        </w:rPr>
        <w:t xml:space="preserve">the capacity or </w:t>
      </w:r>
      <w:r w:rsidRPr="003E0BCF">
        <w:rPr>
          <w:rStyle w:val="StyleUnderline"/>
        </w:rPr>
        <w:t xml:space="preserve">the </w:t>
      </w:r>
      <w:r w:rsidRPr="00456038">
        <w:rPr>
          <w:rStyle w:val="StyleUnderline"/>
          <w:highlight w:val="cyan"/>
        </w:rPr>
        <w:t>mind-set</w:t>
      </w:r>
      <w:r w:rsidRPr="00473A51">
        <w:rPr>
          <w:rStyle w:val="StyleUnderline"/>
        </w:rPr>
        <w:t xml:space="preserve"> to build a global order</w:t>
      </w:r>
      <w:r w:rsidRPr="00456038">
        <w:rPr>
          <w:sz w:val="16"/>
        </w:rPr>
        <w:t xml:space="preserve">. </w:t>
      </w:r>
      <w:r w:rsidRPr="00473A51">
        <w:rPr>
          <w:rStyle w:val="StyleUnderline"/>
        </w:rPr>
        <w:t>Nor can order ever be expected to emerge automatically</w:t>
      </w:r>
      <w:r w:rsidRPr="00456038">
        <w:rPr>
          <w:sz w:val="16"/>
        </w:rPr>
        <w:t xml:space="preserve">; there is no invisible hand in the geopolitical marketplace. Again, a large part of the burden (or, more positively, opportunity) falls on the principal power of the day. There is more than a little self-interest at stake. </w:t>
      </w:r>
      <w:r w:rsidRPr="00473A51">
        <w:rPr>
          <w:rStyle w:val="StyleUnderline"/>
        </w:rPr>
        <w:t>The United States cannot remain aloof, much less unaffected by a world in disarray. Globalization is more reality than choice. At the regional level, the United States actually faces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456038">
        <w:rPr>
          <w:sz w:val="16"/>
        </w:rPr>
        <w:t xml:space="preserve">. It will not be an easy time for the United States. </w:t>
      </w:r>
      <w:r w:rsidRPr="00473A51">
        <w:rPr>
          <w:rStyle w:val="StyleUnderline"/>
        </w:rPr>
        <w:t>The sheer number and range of challenges is daunting. There are a large number of actors and forces to contend with. Alliances</w:t>
      </w:r>
      <w:r w:rsidRPr="00456038">
        <w:rPr>
          <w:sz w:val="16"/>
        </w:rPr>
        <w:t xml:space="preserve">, normally created in opposition to some country or countries, </w:t>
      </w:r>
      <w:r w:rsidRPr="00473A51">
        <w:rPr>
          <w:rStyle w:val="StyleUnderline"/>
        </w:rPr>
        <w:t>may not be as useful a vehicle in a world in which not all foes are always foes and not all friends are always friendly</w:t>
      </w:r>
      <w:r w:rsidRPr="00456038">
        <w:rPr>
          <w:sz w:val="16"/>
        </w:rPr>
        <w:t xml:space="preserve">. </w:t>
      </w:r>
      <w:r w:rsidRPr="00473A51">
        <w:rPr>
          <w:rStyle w:val="StyleUnderline"/>
        </w:rPr>
        <w:t>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w:t>
      </w:r>
      <w:r w:rsidRPr="00456038">
        <w:rPr>
          <w:sz w:val="16"/>
        </w:rPr>
        <w:t xml:space="preserve"> Partially this reflects what might be called structural realities, namely, that </w:t>
      </w:r>
      <w:r w:rsidRPr="00456038">
        <w:rPr>
          <w:rStyle w:val="StyleUnderline"/>
          <w:highlight w:val="cyan"/>
        </w:rPr>
        <w:t>no country can contend with</w:t>
      </w:r>
      <w:r w:rsidRPr="00473A51">
        <w:rPr>
          <w:rStyle w:val="StyleUnderline"/>
        </w:rPr>
        <w:t xml:space="preserve"> global challenges on its own given the very nature of these challenges</w:t>
      </w:r>
      <w:r w:rsidRPr="00456038">
        <w:rPr>
          <w:sz w:val="16"/>
        </w:rPr>
        <w:t xml:space="preserve">. </w:t>
      </w:r>
      <w:r w:rsidRPr="00473A51">
        <w:rPr>
          <w:rStyle w:val="StyleUnderline"/>
        </w:rPr>
        <w:t xml:space="preserve">The United States could reduce its carbon footprint dramatically, but </w:t>
      </w:r>
      <w:r w:rsidRPr="00456038">
        <w:rPr>
          <w:rStyle w:val="StyleUnderline"/>
          <w:highlight w:val="cyan"/>
        </w:rPr>
        <w:t>the</w:t>
      </w:r>
      <w:r w:rsidRPr="00473A51">
        <w:rPr>
          <w:rStyle w:val="StyleUnderline"/>
        </w:rPr>
        <w:t xml:space="preserve"> effect on </w:t>
      </w:r>
      <w:r w:rsidRPr="00456038">
        <w:rPr>
          <w:rStyle w:val="StyleUnderline"/>
          <w:highlight w:val="cyan"/>
        </w:rPr>
        <w:t>global climate</w:t>
      </w:r>
      <w:r w:rsidRPr="00473A51">
        <w:rPr>
          <w:rStyle w:val="StyleUnderline"/>
        </w:rPr>
        <w:t xml:space="preserve"> would be modest if India and China failed to follow suit</w:t>
      </w:r>
      <w:r w:rsidRPr="00456038">
        <w:rPr>
          <w:sz w:val="16"/>
        </w:rPr>
        <w:t xml:space="preserve">. </w:t>
      </w:r>
      <w:r w:rsidRPr="00473A51">
        <w:rPr>
          <w:rStyle w:val="StyleUnderline"/>
        </w:rPr>
        <w:t xml:space="preserve">Similarly, on its own the United States cannot </w:t>
      </w:r>
      <w:r w:rsidRPr="00456038">
        <w:rPr>
          <w:rStyle w:val="StyleUnderline"/>
          <w:highlight w:val="cyan"/>
        </w:rPr>
        <w:t>maintain</w:t>
      </w:r>
      <w:r w:rsidRPr="00473A51">
        <w:rPr>
          <w:rStyle w:val="StyleUnderline"/>
        </w:rPr>
        <w:t xml:space="preserve"> a world </w:t>
      </w:r>
      <w:r w:rsidRPr="00456038">
        <w:rPr>
          <w:rStyle w:val="StyleUnderline"/>
          <w:highlight w:val="cyan"/>
        </w:rPr>
        <w:t>trading</w:t>
      </w:r>
      <w:r w:rsidRPr="00473A51">
        <w:rPr>
          <w:rStyle w:val="StyleUnderline"/>
        </w:rPr>
        <w:t xml:space="preserve"> system or successfully </w:t>
      </w:r>
      <w:r w:rsidRPr="00456038">
        <w:rPr>
          <w:rStyle w:val="StyleUnderline"/>
          <w:highlight w:val="cyan"/>
        </w:rPr>
        <w:t xml:space="preserve">combat terrorism </w:t>
      </w:r>
      <w:r w:rsidRPr="003E0BCF">
        <w:rPr>
          <w:rStyle w:val="StyleUnderline"/>
        </w:rPr>
        <w:t xml:space="preserve">or </w:t>
      </w:r>
      <w:r w:rsidRPr="00456038">
        <w:rPr>
          <w:rStyle w:val="StyleUnderline"/>
          <w:highlight w:val="cyan"/>
        </w:rPr>
        <w:t>disease</w:t>
      </w:r>
      <w:r w:rsidRPr="00456038">
        <w:rPr>
          <w:sz w:val="16"/>
        </w:rPr>
        <w:t>. Adding to these realities are resource limits</w:t>
      </w:r>
      <w:r w:rsidRPr="00473A51">
        <w:rPr>
          <w:rStyle w:val="StyleUnderline"/>
        </w:rPr>
        <w:t xml:space="preserve">. The United States cannot provide all the troops </w:t>
      </w:r>
      <w:r w:rsidRPr="00456038">
        <w:rPr>
          <w:rStyle w:val="StyleUnderline"/>
          <w:highlight w:val="cyan"/>
        </w:rPr>
        <w:t>or</w:t>
      </w:r>
      <w:r w:rsidRPr="00473A51">
        <w:rPr>
          <w:rStyle w:val="StyleUnderline"/>
        </w:rPr>
        <w:t xml:space="preserve"> dollars to </w:t>
      </w:r>
      <w:r w:rsidRPr="00456038">
        <w:rPr>
          <w:rStyle w:val="StyleUnderline"/>
          <w:highlight w:val="cyan"/>
        </w:rPr>
        <w:t xml:space="preserve">maintain order in the Middle East </w:t>
      </w:r>
      <w:r w:rsidRPr="00473A51">
        <w:rPr>
          <w:rStyle w:val="StyleUnderline"/>
        </w:rPr>
        <w:t xml:space="preserve">and </w:t>
      </w:r>
      <w:r w:rsidRPr="00456038">
        <w:rPr>
          <w:rStyle w:val="StyleUnderline"/>
          <w:highlight w:val="cyan"/>
        </w:rPr>
        <w:t>Europe and Asia</w:t>
      </w:r>
      <w:r w:rsidRPr="00473A51">
        <w:rPr>
          <w:rStyle w:val="StyleUnderline"/>
        </w:rPr>
        <w:t xml:space="preserve"> and South Asia. There is simply too much capability in too many hands. Unilateralism is rarely a serious foreign policy option. Partners are essential. </w:t>
      </w:r>
      <w:r w:rsidRPr="00456038">
        <w:rPr>
          <w:sz w:val="16"/>
        </w:rPr>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r w:rsidRPr="00473A51">
        <w:rPr>
          <w:rStyle w:val="StyleUnderline"/>
        </w:rPr>
        <w:t>But a focus on foreign policy is not enough</w:t>
      </w:r>
      <w:r w:rsidRPr="00456038">
        <w:rPr>
          <w:sz w:val="16"/>
        </w:rPr>
        <w:t xml:space="preserve">. </w:t>
      </w:r>
      <w:r w:rsidRPr="00473A51">
        <w:rPr>
          <w:rStyle w:val="StyleUnderline"/>
        </w:rPr>
        <w:t>National security is a coin with two sides, and what the United States does at home, what is normally thought of as belonging to the domestic realm, is every bit as much a part of national security as foreign policy.</w:t>
      </w:r>
      <w:r w:rsidRPr="00456038">
        <w:rPr>
          <w:sz w:val="16"/>
        </w:rPr>
        <w:t xml:space="preserve"> It is best to understand the issue as guns and butter rather than guns versus butter. When it comes to the domestic side, the argument is straightforward. </w:t>
      </w:r>
      <w:r w:rsidRPr="00456038">
        <w:rPr>
          <w:rStyle w:val="Emphasis"/>
          <w:highlight w:val="cyan"/>
        </w:rPr>
        <w:t xml:space="preserve">In order to lead </w:t>
      </w:r>
      <w:r w:rsidRPr="00473A51">
        <w:rPr>
          <w:rStyle w:val="Emphasis"/>
        </w:rPr>
        <w:t xml:space="preserve">and compete and act effectively in the world, </w:t>
      </w:r>
      <w:r w:rsidRPr="00456038">
        <w:rPr>
          <w:rStyle w:val="Emphasis"/>
          <w:highlight w:val="cyan"/>
        </w:rPr>
        <w:t>the U</w:t>
      </w:r>
      <w:r w:rsidRPr="00473A51">
        <w:rPr>
          <w:rStyle w:val="Emphasis"/>
        </w:rPr>
        <w:t xml:space="preserve">nited </w:t>
      </w:r>
      <w:r w:rsidRPr="00456038">
        <w:rPr>
          <w:rStyle w:val="Emphasis"/>
          <w:highlight w:val="cyan"/>
        </w:rPr>
        <w:t>S</w:t>
      </w:r>
      <w:r w:rsidRPr="00473A51">
        <w:rPr>
          <w:rStyle w:val="Emphasis"/>
        </w:rPr>
        <w:t xml:space="preserve">tates </w:t>
      </w:r>
      <w:r w:rsidRPr="00456038">
        <w:rPr>
          <w:rStyle w:val="Emphasis"/>
          <w:highlight w:val="cyan"/>
        </w:rPr>
        <w:t>needs to put its house in order</w:t>
      </w:r>
      <w:r w:rsidRPr="00456038">
        <w:rPr>
          <w:sz w:val="16"/>
        </w:rPr>
        <w:t xml:space="preserve">. I have written on what this entails in a book titled Foreign Policy Begins at Home.2 This was sometimes interpreted as suggesting a turn away from foreign policy. It was nothing of the sort. </w:t>
      </w:r>
      <w:r w:rsidRPr="00473A51">
        <w:rPr>
          <w:rStyle w:val="StyleUnderline"/>
        </w:rPr>
        <w:t>Foreign policy begins at home, but it ends there only at the country’s peril</w:t>
      </w:r>
      <w:r w:rsidRPr="00456038">
        <w:rPr>
          <w:sz w:val="16"/>
        </w:rPr>
        <w:t xml:space="preserve">.3 Earlier I mentioned that </w:t>
      </w:r>
      <w:r w:rsidRPr="00473A51">
        <w:rPr>
          <w:rStyle w:val="StyleUnderline"/>
        </w:rPr>
        <w:t>the United States has few unilateral options</w:t>
      </w:r>
      <w:r w:rsidRPr="00456038">
        <w:rPr>
          <w:sz w:val="16"/>
        </w:rPr>
        <w:t xml:space="preserve">, that there are few if any things it can do better alone than with others. </w:t>
      </w:r>
      <w:r w:rsidRPr="00473A51">
        <w:rPr>
          <w:rStyle w:val="StyleUnderline"/>
        </w:rPr>
        <w:t>The counterpart to this claim is that the world cannot come up with the elements of a working order absent the United States</w:t>
      </w:r>
      <w:r w:rsidRPr="00456038">
        <w:rPr>
          <w:sz w:val="16"/>
        </w:rPr>
        <w:t xml:space="preserve">. </w:t>
      </w:r>
      <w:r w:rsidRPr="00473A51">
        <w:rPr>
          <w:rStyle w:val="StyleUnderline"/>
        </w:rPr>
        <w:t xml:space="preserve">The United States is not sufficient, but it is </w:t>
      </w:r>
      <w:r w:rsidRPr="00473A51">
        <w:rPr>
          <w:rStyle w:val="Emphasis"/>
        </w:rPr>
        <w:t>necessary</w:t>
      </w:r>
      <w:r w:rsidRPr="00456038">
        <w:rPr>
          <w:sz w:val="16"/>
        </w:rPr>
        <w:t xml:space="preserve">. It is also true that </w:t>
      </w:r>
      <w:r w:rsidRPr="00456038">
        <w:rPr>
          <w:rStyle w:val="StyleUnderline"/>
          <w:highlight w:val="cyan"/>
        </w:rPr>
        <w:t>the U</w:t>
      </w:r>
      <w:r w:rsidRPr="00473A51">
        <w:rPr>
          <w:rStyle w:val="StyleUnderline"/>
        </w:rPr>
        <w:t xml:space="preserve">nited </w:t>
      </w:r>
      <w:r w:rsidRPr="00456038">
        <w:rPr>
          <w:rStyle w:val="StyleUnderline"/>
          <w:highlight w:val="cyan"/>
        </w:rPr>
        <w:t>S</w:t>
      </w:r>
      <w:r w:rsidRPr="00473A51">
        <w:rPr>
          <w:rStyle w:val="StyleUnderline"/>
        </w:rPr>
        <w:t xml:space="preserve">tates </w:t>
      </w:r>
      <w:r w:rsidRPr="00456038">
        <w:rPr>
          <w:rStyle w:val="StyleUnderline"/>
          <w:highlight w:val="cyan"/>
        </w:rPr>
        <w:t>cannot lead</w:t>
      </w:r>
      <w:r w:rsidRPr="00473A51">
        <w:rPr>
          <w:rStyle w:val="StyleUnderline"/>
        </w:rPr>
        <w:t xml:space="preserve"> or act effectively in the world </w:t>
      </w:r>
      <w:r w:rsidRPr="00456038">
        <w:rPr>
          <w:rStyle w:val="StyleUnderline"/>
          <w:highlight w:val="cyan"/>
        </w:rPr>
        <w:t xml:space="preserve">if it does not have a </w:t>
      </w:r>
      <w:r w:rsidRPr="00456038">
        <w:rPr>
          <w:rStyle w:val="Emphasis"/>
          <w:highlight w:val="cyan"/>
        </w:rPr>
        <w:t>strong domestic foundation</w:t>
      </w:r>
      <w:r w:rsidRPr="00456038">
        <w:rPr>
          <w:sz w:val="16"/>
        </w:rPr>
        <w:t xml:space="preserve">. </w:t>
      </w:r>
      <w:r w:rsidRPr="00473A51">
        <w:rPr>
          <w:rStyle w:val="StyleUnderline"/>
        </w:rPr>
        <w:t xml:space="preserve">National </w:t>
      </w:r>
      <w:r w:rsidRPr="00456038">
        <w:rPr>
          <w:rStyle w:val="StyleUnderline"/>
          <w:highlight w:val="cyan"/>
        </w:rPr>
        <w:t xml:space="preserve">security </w:t>
      </w:r>
      <w:r w:rsidRPr="00473A51">
        <w:rPr>
          <w:rStyle w:val="StyleUnderline"/>
        </w:rPr>
        <w:t xml:space="preserve">inevitably </w:t>
      </w:r>
      <w:r w:rsidRPr="00456038">
        <w:rPr>
          <w:rStyle w:val="StyleUnderline"/>
          <w:highlight w:val="cyan"/>
        </w:rPr>
        <w:t xml:space="preserve">requires </w:t>
      </w:r>
      <w:r w:rsidRPr="00473A51">
        <w:rPr>
          <w:rStyle w:val="StyleUnderline"/>
        </w:rPr>
        <w:t xml:space="preserve">significant amounts of human, physical, and financial </w:t>
      </w:r>
      <w:r w:rsidRPr="00456038">
        <w:rPr>
          <w:rStyle w:val="StyleUnderline"/>
          <w:highlight w:val="cyan"/>
        </w:rPr>
        <w:t>resources</w:t>
      </w:r>
      <w:r w:rsidRPr="00473A51">
        <w:rPr>
          <w:rStyle w:val="StyleUnderline"/>
        </w:rPr>
        <w:t xml:space="preserve"> to draw on</w:t>
      </w:r>
      <w:r w:rsidRPr="00456038">
        <w:rPr>
          <w:sz w:val="16"/>
        </w:rPr>
        <w:t xml:space="preserve">. </w:t>
      </w:r>
      <w:r w:rsidRPr="00456038">
        <w:rPr>
          <w:rStyle w:val="Emphasis"/>
          <w:highlight w:val="cyan"/>
        </w:rPr>
        <w:t>The better the U</w:t>
      </w:r>
      <w:r w:rsidRPr="00473A51">
        <w:rPr>
          <w:rStyle w:val="Emphasis"/>
        </w:rPr>
        <w:t xml:space="preserve">nited </w:t>
      </w:r>
      <w:r w:rsidRPr="00456038">
        <w:rPr>
          <w:rStyle w:val="Emphasis"/>
          <w:highlight w:val="cyan"/>
        </w:rPr>
        <w:t>S</w:t>
      </w:r>
      <w:r w:rsidRPr="00473A51">
        <w:rPr>
          <w:rStyle w:val="Emphasis"/>
        </w:rPr>
        <w:t xml:space="preserve">tates </w:t>
      </w:r>
      <w:r w:rsidRPr="00456038">
        <w:rPr>
          <w:rStyle w:val="Emphasis"/>
          <w:highlight w:val="cyan"/>
        </w:rPr>
        <w:t>is</w:t>
      </w:r>
      <w:r w:rsidRPr="00473A51">
        <w:rPr>
          <w:rStyle w:val="Emphasis"/>
        </w:rPr>
        <w:t xml:space="preserve"> doing </w:t>
      </w:r>
      <w:r w:rsidRPr="00456038">
        <w:rPr>
          <w:rStyle w:val="Emphasis"/>
          <w:highlight w:val="cyan"/>
        </w:rPr>
        <w:t>economically</w:t>
      </w:r>
      <w:r w:rsidRPr="00473A51">
        <w:rPr>
          <w:rStyle w:val="Emphasis"/>
        </w:rPr>
        <w:t xml:space="preserve">, </w:t>
      </w:r>
      <w:r w:rsidRPr="00456038">
        <w:rPr>
          <w:rStyle w:val="Emphasis"/>
          <w:highlight w:val="cyan"/>
        </w:rPr>
        <w:t>the more it will have</w:t>
      </w:r>
      <w:r w:rsidRPr="00473A51">
        <w:rPr>
          <w:rStyle w:val="Emphasis"/>
        </w:rPr>
        <w:t xml:space="preserve"> available in the way of resources </w:t>
      </w:r>
      <w:r w:rsidRPr="00456038">
        <w:rPr>
          <w:rStyle w:val="Emphasis"/>
          <w:highlight w:val="cyan"/>
        </w:rPr>
        <w:t>to devote to what it</w:t>
      </w:r>
      <w:r w:rsidRPr="00473A51">
        <w:rPr>
          <w:rStyle w:val="Emphasis"/>
        </w:rPr>
        <w:t xml:space="preserve"> wants and </w:t>
      </w:r>
      <w:r w:rsidRPr="00456038">
        <w:rPr>
          <w:rStyle w:val="Emphasis"/>
          <w:highlight w:val="cyan"/>
        </w:rPr>
        <w:t xml:space="preserve">needs </w:t>
      </w:r>
      <w:r w:rsidRPr="00473A51">
        <w:rPr>
          <w:rStyle w:val="Emphasis"/>
        </w:rPr>
        <w:t xml:space="preserve">to do abroad </w:t>
      </w:r>
      <w:r w:rsidRPr="00456038">
        <w:rPr>
          <w:rStyle w:val="Emphasis"/>
          <w:highlight w:val="cyan"/>
        </w:rPr>
        <w:t>without igniting</w:t>
      </w:r>
      <w:r w:rsidRPr="00473A51">
        <w:rPr>
          <w:rStyle w:val="Emphasis"/>
        </w:rPr>
        <w:t xml:space="preserve"> a divisive and </w:t>
      </w:r>
      <w:r w:rsidRPr="00456038">
        <w:rPr>
          <w:rStyle w:val="Emphasis"/>
          <w:highlight w:val="cyan"/>
        </w:rPr>
        <w:t xml:space="preserve">distracting </w:t>
      </w:r>
      <w:r w:rsidRPr="00473A51">
        <w:rPr>
          <w:rStyle w:val="Emphasis"/>
        </w:rPr>
        <w:t xml:space="preserve">domestic </w:t>
      </w:r>
      <w:r w:rsidRPr="00456038">
        <w:rPr>
          <w:rStyle w:val="Emphasis"/>
          <w:highlight w:val="cyan"/>
        </w:rPr>
        <w:t>debate</w:t>
      </w:r>
      <w:r w:rsidRPr="00473A51">
        <w:rPr>
          <w:rStyle w:val="Emphasis"/>
        </w:rPr>
        <w:t xml:space="preserve"> as to priorities</w:t>
      </w:r>
      <w:r w:rsidRPr="00456038">
        <w:rPr>
          <w:sz w:val="16"/>
        </w:rPr>
        <w:t xml:space="preserve">. </w:t>
      </w:r>
      <w:r w:rsidRPr="00473A51">
        <w:rPr>
          <w:rStyle w:val="StyleUnderline"/>
        </w:rPr>
        <w:t xml:space="preserve">An additional benefit is that </w:t>
      </w:r>
      <w:r w:rsidRPr="00456038">
        <w:rPr>
          <w:rStyle w:val="StyleUnderline"/>
          <w:highlight w:val="cyan"/>
        </w:rPr>
        <w:t>respect for the</w:t>
      </w:r>
      <w:r w:rsidRPr="00473A51">
        <w:rPr>
          <w:rStyle w:val="StyleUnderline"/>
        </w:rPr>
        <w:t xml:space="preserve"> United States and for the </w:t>
      </w:r>
      <w:r w:rsidRPr="00456038">
        <w:rPr>
          <w:rStyle w:val="StyleUnderline"/>
          <w:highlight w:val="cyan"/>
        </w:rPr>
        <w:t>American</w:t>
      </w:r>
      <w:r w:rsidRPr="00473A51">
        <w:rPr>
          <w:rStyle w:val="StyleUnderline"/>
        </w:rPr>
        <w:t xml:space="preserve"> political, social, and economic </w:t>
      </w:r>
      <w:r w:rsidRPr="00456038">
        <w:rPr>
          <w:rStyle w:val="StyleUnderline"/>
          <w:highlight w:val="cyan"/>
        </w:rPr>
        <w:t>model</w:t>
      </w:r>
      <w:r w:rsidRPr="00473A51">
        <w:rPr>
          <w:rStyle w:val="StyleUnderline"/>
        </w:rPr>
        <w:t xml:space="preserve"> (along with a desire to emulate it) </w:t>
      </w:r>
      <w:r w:rsidRPr="00456038">
        <w:rPr>
          <w:rStyle w:val="Emphasis"/>
          <w:highlight w:val="cyan"/>
        </w:rPr>
        <w:t>will increase only</w:t>
      </w:r>
      <w:r w:rsidRPr="00473A51">
        <w:rPr>
          <w:rStyle w:val="Emphasis"/>
        </w:rPr>
        <w:t xml:space="preserve"> </w:t>
      </w:r>
      <w:r w:rsidRPr="00456038">
        <w:rPr>
          <w:rStyle w:val="Emphasis"/>
          <w:highlight w:val="cyan"/>
        </w:rPr>
        <w:t xml:space="preserve">if it is </w:t>
      </w:r>
      <w:r w:rsidRPr="00473A51">
        <w:rPr>
          <w:rStyle w:val="Emphasis"/>
        </w:rPr>
        <w:t xml:space="preserve">seen as </w:t>
      </w:r>
      <w:r w:rsidRPr="00456038">
        <w:rPr>
          <w:rStyle w:val="Emphasis"/>
          <w:highlight w:val="cyan"/>
        </w:rPr>
        <w:t>successful</w:t>
      </w:r>
      <w:r w:rsidRPr="00473A51">
        <w:rPr>
          <w:rStyle w:val="Emphasis"/>
        </w:rPr>
        <w:t xml:space="preserve">. </w:t>
      </w:r>
      <w:r w:rsidRPr="00456038">
        <w:rPr>
          <w:rStyle w:val="Emphasis"/>
          <w:highlight w:val="cyan"/>
        </w:rPr>
        <w:t>The most basic test</w:t>
      </w:r>
      <w:r w:rsidRPr="00473A51">
        <w:rPr>
          <w:rStyle w:val="Emphasis"/>
        </w:rPr>
        <w:t xml:space="preserve"> of the success of the model </w:t>
      </w:r>
      <w:r w:rsidRPr="00456038">
        <w:rPr>
          <w:rStyle w:val="Emphasis"/>
          <w:highlight w:val="cyan"/>
        </w:rPr>
        <w:t xml:space="preserve">will be </w:t>
      </w:r>
      <w:r w:rsidRPr="00473A51">
        <w:rPr>
          <w:rStyle w:val="Emphasis"/>
        </w:rPr>
        <w:t xml:space="preserve">economic </w:t>
      </w:r>
      <w:r w:rsidRPr="00456038">
        <w:rPr>
          <w:rStyle w:val="Emphasis"/>
          <w:highlight w:val="cyan"/>
        </w:rPr>
        <w:t>growth</w:t>
      </w:r>
      <w:r w:rsidRPr="00456038">
        <w:rPr>
          <w:sz w:val="16"/>
        </w:rPr>
        <w:t xml:space="preserve">. </w:t>
      </w:r>
      <w:r w:rsidRPr="00473A51">
        <w:rPr>
          <w:rStyle w:val="StyleUnderline"/>
        </w:rPr>
        <w:t xml:space="preserve">U.S. growth levels may appear all right when compared with what a good many other countries are experiencing, but they </w:t>
      </w:r>
      <w:r w:rsidRPr="00473A51">
        <w:rPr>
          <w:rStyle w:val="Emphasis"/>
        </w:rPr>
        <w:t>are below what is needed and fall short of what is possible</w:t>
      </w:r>
      <w:r w:rsidRPr="00456038">
        <w:rPr>
          <w:sz w:val="16"/>
        </w:rPr>
        <w:t xml:space="preserve">. </w:t>
      </w:r>
      <w:r w:rsidRPr="00473A51">
        <w:rPr>
          <w:rStyle w:val="StyleUnderline"/>
        </w:rPr>
        <w:t xml:space="preserve">There is no reason why the United States is not growing </w:t>
      </w:r>
      <w:r w:rsidRPr="00456038">
        <w:rPr>
          <w:rStyle w:val="StyleUnderline"/>
          <w:highlight w:val="cyan"/>
        </w:rPr>
        <w:t>in the range of 3 percent</w:t>
      </w:r>
      <w:r w:rsidRPr="00473A51">
        <w:rPr>
          <w:rStyle w:val="StyleUnderline"/>
        </w:rPr>
        <w:t xml:space="preserve"> or even higher other than what it is doing and, more important, not doing</w:t>
      </w:r>
      <w:r w:rsidRPr="00456038">
        <w:rPr>
          <w:sz w:val="16"/>
        </w:rPr>
        <w:t>.4</w:t>
      </w:r>
    </w:p>
    <w:p w14:paraId="11B1C1AB" w14:textId="77777777" w:rsidR="00586EDF" w:rsidRDefault="00586EDF" w:rsidP="00586EDF">
      <w:pPr>
        <w:pStyle w:val="Heading3"/>
      </w:pPr>
      <w:r>
        <w:t>2AC – AO – Insider Trading</w:t>
      </w:r>
    </w:p>
    <w:p w14:paraId="6B5F6821" w14:textId="77777777" w:rsidR="00586EDF" w:rsidRPr="00621D20" w:rsidRDefault="00586EDF" w:rsidP="00586EDF">
      <w:pPr>
        <w:pStyle w:val="Heading4"/>
      </w:pPr>
      <w:r>
        <w:t xml:space="preserve">The SEC uses deference to </w:t>
      </w:r>
      <w:r>
        <w:rPr>
          <w:u w:val="single"/>
        </w:rPr>
        <w:t>unilaterally</w:t>
      </w:r>
      <w:r>
        <w:t xml:space="preserve"> criminalize insider trading.</w:t>
      </w:r>
    </w:p>
    <w:p w14:paraId="462A9DDE" w14:textId="77777777" w:rsidR="00586EDF" w:rsidRDefault="00586EDF" w:rsidP="00586EDF">
      <w:r>
        <w:rPr>
          <w:rStyle w:val="Style13ptBold"/>
        </w:rPr>
        <w:t>Currier 16</w:t>
      </w:r>
      <w:r>
        <w:t xml:space="preserve"> – Anna Currier, J.D. at American University Washington College of Law and Deputy Attorney General at Delaware Department of Justice ("The Rule Of Lenity And The Enforcement Of The Federal Securities Laws,” American University Business Law Review, vol. 5, no. 1, pg. 94-107, available online at </w:t>
      </w:r>
      <w:hyperlink r:id="rId71" w:history="1">
        <w:r w:rsidRPr="00555308">
          <w:rPr>
            <w:rStyle w:val="Hyperlink"/>
          </w:rPr>
          <w:t>http://digitalcommons.wcl.american.edu/aublr/vol5/iss1/4</w:t>
        </w:r>
      </w:hyperlink>
      <w:r>
        <w:t>, accessed 6-20-2020) LR</w:t>
      </w:r>
    </w:p>
    <w:p w14:paraId="6BF72C6E" w14:textId="77777777" w:rsidR="00586EDF" w:rsidRDefault="00586EDF" w:rsidP="00586EDF">
      <w:pPr>
        <w:rPr>
          <w:sz w:val="16"/>
        </w:rPr>
      </w:pPr>
      <w:r w:rsidRPr="005F261A">
        <w:rPr>
          <w:rStyle w:val="StyleUnderline"/>
        </w:rPr>
        <w:t xml:space="preserve">In a </w:t>
      </w:r>
      <w:r w:rsidRPr="006A2EE0">
        <w:rPr>
          <w:rStyle w:val="Emphasis"/>
        </w:rPr>
        <w:t>criminal insider trading</w:t>
      </w:r>
      <w:r w:rsidRPr="005F261A">
        <w:rPr>
          <w:rStyle w:val="StyleUnderline"/>
        </w:rPr>
        <w:t xml:space="preserve"> case, deference to the Commission's interpretation</w:t>
      </w:r>
      <w:r w:rsidRPr="005F261A">
        <w:rPr>
          <w:sz w:val="16"/>
        </w:rPr>
        <w:t xml:space="preserve"> of Rule lob-5 </w:t>
      </w:r>
      <w:r w:rsidRPr="006A2EE0">
        <w:rPr>
          <w:rStyle w:val="Emphasis"/>
        </w:rPr>
        <w:t>conflicts</w:t>
      </w:r>
      <w:r w:rsidRPr="005F261A">
        <w:rPr>
          <w:rStyle w:val="StyleUnderline"/>
        </w:rPr>
        <w:t xml:space="preserve"> with the </w:t>
      </w:r>
      <w:r w:rsidRPr="006A2EE0">
        <w:rPr>
          <w:rStyle w:val="Emphasis"/>
        </w:rPr>
        <w:t>rule of lenity</w:t>
      </w:r>
      <w:r w:rsidRPr="005F261A">
        <w:rPr>
          <w:rStyle w:val="StyleUnderline"/>
        </w:rPr>
        <w:t>.</w:t>
      </w:r>
      <w:r w:rsidRPr="005F261A">
        <w:rPr>
          <w:sz w:val="16"/>
        </w:rPr>
        <w:t xml:space="preserve"> 105 </w:t>
      </w:r>
      <w:r w:rsidRPr="005F261A">
        <w:rPr>
          <w:rStyle w:val="StyleUnderline"/>
        </w:rPr>
        <w:t>The rule of lenity requires that 1) defendants be put on notice about</w:t>
      </w:r>
      <w:r w:rsidRPr="005F261A">
        <w:rPr>
          <w:sz w:val="16"/>
        </w:rPr>
        <w:t xml:space="preserve"> the </w:t>
      </w:r>
      <w:r w:rsidRPr="005F261A">
        <w:rPr>
          <w:rStyle w:val="StyleUnderline"/>
        </w:rPr>
        <w:t>elements that constitute</w:t>
      </w:r>
      <w:r w:rsidRPr="005F261A">
        <w:rPr>
          <w:sz w:val="16"/>
        </w:rPr>
        <w:t xml:space="preserve"> a </w:t>
      </w:r>
      <w:r w:rsidRPr="005F261A">
        <w:rPr>
          <w:rStyle w:val="StyleUnderline"/>
        </w:rPr>
        <w:t>crime and</w:t>
      </w:r>
      <w:r w:rsidRPr="005F261A">
        <w:rPr>
          <w:sz w:val="16"/>
        </w:rPr>
        <w:t xml:space="preserve"> that </w:t>
      </w:r>
      <w:r w:rsidRPr="005F261A">
        <w:rPr>
          <w:rStyle w:val="StyleUnderline"/>
        </w:rPr>
        <w:t>2) legislatures, not courts, should define criminal activity.</w:t>
      </w:r>
      <w:r w:rsidRPr="005F261A">
        <w:rPr>
          <w:sz w:val="16"/>
        </w:rPr>
        <w:t xml:space="preserve"> 0 6 </w:t>
      </w:r>
      <w:r w:rsidRPr="005F261A">
        <w:rPr>
          <w:rStyle w:val="StyleUnderline"/>
        </w:rPr>
        <w:t>Therefore, a significant result</w:t>
      </w:r>
      <w:r w:rsidRPr="005F261A">
        <w:rPr>
          <w:sz w:val="16"/>
        </w:rPr>
        <w:t xml:space="preserve"> of deference to agency interpretation </w:t>
      </w:r>
      <w:r w:rsidRPr="005F261A">
        <w:rPr>
          <w:rStyle w:val="StyleUnderline"/>
        </w:rPr>
        <w:t>is that new crimes can be defined by executive agencies</w:t>
      </w:r>
      <w:r w:rsidRPr="005F261A">
        <w:rPr>
          <w:sz w:val="16"/>
        </w:rPr>
        <w:t xml:space="preserve">,'0 7 </w:t>
      </w:r>
      <w:r w:rsidRPr="005F261A">
        <w:rPr>
          <w:rStyle w:val="StyleUnderline"/>
        </w:rPr>
        <w:t xml:space="preserve">a power that traditionally rests solely with the legislative branch. </w:t>
      </w:r>
      <w:r w:rsidRPr="005F261A">
        <w:rPr>
          <w:sz w:val="16"/>
        </w:rPr>
        <w:t>108</w:t>
      </w:r>
    </w:p>
    <w:p w14:paraId="04706F8D" w14:textId="77777777" w:rsidR="00586EDF" w:rsidRPr="002E5EDF" w:rsidRDefault="00586EDF" w:rsidP="00586EDF">
      <w:pPr>
        <w:rPr>
          <w:b/>
          <w:bCs/>
        </w:rPr>
      </w:pPr>
      <w:r>
        <w:rPr>
          <w:b/>
          <w:bCs/>
        </w:rPr>
        <w:t>&lt;&lt;begin footnote 107&gt;&gt;</w:t>
      </w:r>
    </w:p>
    <w:p w14:paraId="687423CD" w14:textId="77777777" w:rsidR="00586EDF" w:rsidRPr="00766319" w:rsidRDefault="00586EDF" w:rsidP="00586EDF">
      <w:pPr>
        <w:rPr>
          <w:sz w:val="16"/>
        </w:rPr>
      </w:pPr>
      <w:r w:rsidRPr="00766319">
        <w:rPr>
          <w:sz w:val="16"/>
        </w:rPr>
        <w:t xml:space="preserve">107. See </w:t>
      </w:r>
      <w:r w:rsidRPr="002E5EDF">
        <w:rPr>
          <w:rStyle w:val="StyleUnderline"/>
        </w:rPr>
        <w:t>Whitman</w:t>
      </w:r>
      <w:r w:rsidRPr="00766319">
        <w:rPr>
          <w:sz w:val="16"/>
        </w:rPr>
        <w:t>, 135 U.S. at 353 (</w:t>
      </w:r>
      <w:r w:rsidRPr="002E5EDF">
        <w:rPr>
          <w:rStyle w:val="StyleUnderline"/>
        </w:rPr>
        <w:t>contending</w:t>
      </w:r>
      <w:r w:rsidRPr="00766319">
        <w:rPr>
          <w:sz w:val="16"/>
        </w:rPr>
        <w:t xml:space="preserve"> that </w:t>
      </w:r>
      <w:r w:rsidRPr="002E5EDF">
        <w:rPr>
          <w:rStyle w:val="StyleUnderline"/>
        </w:rPr>
        <w:t>deference to an executive agency's rule</w:t>
      </w:r>
      <w:r w:rsidRPr="00766319">
        <w:rPr>
          <w:sz w:val="16"/>
        </w:rPr>
        <w:t xml:space="preserve"> promulgation </w:t>
      </w:r>
      <w:r w:rsidRPr="00766319">
        <w:rPr>
          <w:rStyle w:val="StyleUnderline"/>
        </w:rPr>
        <w:t xml:space="preserve">of a statute contemplating criminal liability allows that </w:t>
      </w:r>
      <w:r w:rsidRPr="00766319">
        <w:rPr>
          <w:rStyle w:val="Emphasis"/>
        </w:rPr>
        <w:t>agency to ultimately define crime</w:t>
      </w:r>
      <w:r w:rsidRPr="00766319">
        <w:rPr>
          <w:sz w:val="16"/>
        </w:rPr>
        <w:t xml:space="preserve">). </w:t>
      </w:r>
    </w:p>
    <w:p w14:paraId="4A8E566C" w14:textId="77777777" w:rsidR="00586EDF" w:rsidRPr="00766319" w:rsidRDefault="00586EDF" w:rsidP="00586EDF">
      <w:pPr>
        <w:rPr>
          <w:sz w:val="16"/>
        </w:rPr>
      </w:pPr>
      <w:r w:rsidRPr="00766319">
        <w:rPr>
          <w:sz w:val="16"/>
        </w:rPr>
        <w:t xml:space="preserve">108. Id. </w:t>
      </w:r>
      <w:r w:rsidRPr="00766319">
        <w:rPr>
          <w:rStyle w:val="StyleUnderline"/>
        </w:rPr>
        <w:t xml:space="preserve">("[L]egislatures </w:t>
      </w:r>
      <w:r w:rsidRPr="004F1B92">
        <w:rPr>
          <w:rStyle w:val="Emphasis"/>
        </w:rPr>
        <w:t>not executive officers</w:t>
      </w:r>
      <w:r w:rsidRPr="00766319">
        <w:rPr>
          <w:rStyle w:val="StyleUnderline"/>
        </w:rPr>
        <w:t xml:space="preserve"> define crimes</w:t>
      </w:r>
      <w:r w:rsidRPr="00766319">
        <w:rPr>
          <w:sz w:val="16"/>
        </w:rPr>
        <w:t xml:space="preserve"> [. ] Undoubtedly </w:t>
      </w:r>
      <w:r w:rsidRPr="00766319">
        <w:rPr>
          <w:rStyle w:val="StyleUnderline"/>
        </w:rPr>
        <w:t>Congress may make it a crime to violate a regulation</w:t>
      </w:r>
      <w:r w:rsidRPr="00766319">
        <w:rPr>
          <w:sz w:val="16"/>
        </w:rPr>
        <w:t xml:space="preserve">, but it is </w:t>
      </w:r>
      <w:r w:rsidRPr="00766319">
        <w:rPr>
          <w:rStyle w:val="StyleUnderline"/>
        </w:rPr>
        <w:t>quite</w:t>
      </w:r>
      <w:r w:rsidRPr="00766319">
        <w:rPr>
          <w:sz w:val="16"/>
        </w:rPr>
        <w:t xml:space="preserve"> a </w:t>
      </w:r>
      <w:r w:rsidRPr="00766319">
        <w:rPr>
          <w:rStyle w:val="StyleUnderline"/>
        </w:rPr>
        <w:t>different</w:t>
      </w:r>
      <w:r w:rsidRPr="00766319">
        <w:rPr>
          <w:sz w:val="16"/>
        </w:rPr>
        <w:t xml:space="preserve"> matter </w:t>
      </w:r>
      <w:r w:rsidRPr="00766319">
        <w:rPr>
          <w:rStyle w:val="StyleUnderline"/>
        </w:rPr>
        <w:t>for Congress to give agencies-let alone</w:t>
      </w:r>
      <w:r w:rsidRPr="00766319">
        <w:rPr>
          <w:sz w:val="16"/>
        </w:rPr>
        <w:t xml:space="preserve"> for us </w:t>
      </w:r>
      <w:r w:rsidRPr="00766319">
        <w:rPr>
          <w:rStyle w:val="StyleUnderline"/>
        </w:rPr>
        <w:t>to presume</w:t>
      </w:r>
      <w:r w:rsidRPr="00766319">
        <w:rPr>
          <w:sz w:val="16"/>
        </w:rPr>
        <w:t xml:space="preserve"> that </w:t>
      </w:r>
      <w:r w:rsidRPr="00766319">
        <w:rPr>
          <w:rStyle w:val="StyleUnderline"/>
        </w:rPr>
        <w:t>Congress gave agencies-power to resolve ambiguities in criminal legislation</w:t>
      </w:r>
      <w:r w:rsidRPr="00766319">
        <w:rPr>
          <w:sz w:val="16"/>
        </w:rPr>
        <w:t>.").</w:t>
      </w:r>
    </w:p>
    <w:p w14:paraId="51965D1A" w14:textId="77777777" w:rsidR="00586EDF" w:rsidRPr="002E5EDF" w:rsidRDefault="00586EDF" w:rsidP="00586EDF">
      <w:pPr>
        <w:rPr>
          <w:b/>
          <w:bCs/>
          <w:sz w:val="16"/>
        </w:rPr>
      </w:pPr>
      <w:r>
        <w:rPr>
          <w:b/>
          <w:bCs/>
        </w:rPr>
        <w:t>&lt;&lt;end footnote 108&gt;&gt;</w:t>
      </w:r>
    </w:p>
    <w:p w14:paraId="107E8F8E" w14:textId="77777777" w:rsidR="00586EDF" w:rsidRPr="00F94DEC" w:rsidRDefault="00586EDF" w:rsidP="00586EDF">
      <w:pPr>
        <w:rPr>
          <w:sz w:val="16"/>
          <w:szCs w:val="16"/>
        </w:rPr>
      </w:pPr>
      <w:r w:rsidRPr="00F94DEC">
        <w:rPr>
          <w:sz w:val="16"/>
          <w:szCs w:val="16"/>
        </w:rPr>
        <w:t xml:space="preserve">1. The Legislative Power to Define Crimes </w:t>
      </w:r>
    </w:p>
    <w:p w14:paraId="6255FDA5" w14:textId="77777777" w:rsidR="00586EDF" w:rsidRPr="00F94DEC" w:rsidRDefault="00586EDF" w:rsidP="00586EDF">
      <w:pPr>
        <w:rPr>
          <w:sz w:val="16"/>
        </w:rPr>
      </w:pPr>
      <w:r w:rsidRPr="005148F2">
        <w:rPr>
          <w:rStyle w:val="StyleUnderline"/>
        </w:rPr>
        <w:t>As a civil agency, the Commission cannot bring criminal prosecutions.</w:t>
      </w:r>
      <w:r w:rsidRPr="00F94DEC">
        <w:rPr>
          <w:sz w:val="16"/>
        </w:rPr>
        <w:t xml:space="preserve"> 109 </w:t>
      </w:r>
      <w:r w:rsidRPr="005148F2">
        <w:rPr>
          <w:rStyle w:val="StyleUnderline"/>
        </w:rPr>
        <w:t>However, when Chevron deference is given to an</w:t>
      </w:r>
      <w:r w:rsidRPr="00F94DEC">
        <w:rPr>
          <w:sz w:val="16"/>
        </w:rPr>
        <w:t xml:space="preserve"> executive agency's </w:t>
      </w:r>
      <w:r w:rsidRPr="005148F2">
        <w:rPr>
          <w:rStyle w:val="StyleUnderline"/>
        </w:rPr>
        <w:t>interpretation of a law</w:t>
      </w:r>
      <w:r w:rsidRPr="00F94DEC">
        <w:rPr>
          <w:sz w:val="16"/>
        </w:rPr>
        <w:t xml:space="preserve"> that is </w:t>
      </w:r>
      <w:r w:rsidRPr="005148F2">
        <w:rPr>
          <w:rStyle w:val="StyleUnderline"/>
        </w:rPr>
        <w:t xml:space="preserve">capable of </w:t>
      </w:r>
      <w:r w:rsidRPr="006A2EE0">
        <w:rPr>
          <w:rStyle w:val="Emphasis"/>
        </w:rPr>
        <w:t>both civil and criminal enforcement</w:t>
      </w:r>
      <w:r w:rsidRPr="00F94DEC">
        <w:rPr>
          <w:sz w:val="16"/>
        </w:rPr>
        <w:t xml:space="preserve">, there is an insinuation of a civil agency's rulemaking into criminal proceedings </w:t>
      </w:r>
      <w:r w:rsidRPr="00F94DEC">
        <w:rPr>
          <w:rStyle w:val="StyleUnderline"/>
        </w:rPr>
        <w:t>that raises due process issues.</w:t>
      </w:r>
      <w:r w:rsidRPr="00F94DEC">
        <w:rPr>
          <w:sz w:val="16"/>
        </w:rPr>
        <w:t xml:space="preserve"> Specifically, </w:t>
      </w:r>
      <w:r w:rsidRPr="00F94DEC">
        <w:rPr>
          <w:rStyle w:val="StyleUnderline"/>
        </w:rPr>
        <w:t>it raises the concern "that laws which regulate</w:t>
      </w:r>
      <w:r w:rsidRPr="00F94DEC">
        <w:rPr>
          <w:sz w:val="16"/>
        </w:rPr>
        <w:t xml:space="preserve"> persons or entities in </w:t>
      </w:r>
      <w:r w:rsidRPr="00F94DEC">
        <w:rPr>
          <w:rStyle w:val="StyleUnderline"/>
        </w:rPr>
        <w:t xml:space="preserve">society must give </w:t>
      </w:r>
      <w:r w:rsidRPr="006A2EE0">
        <w:rPr>
          <w:rStyle w:val="Emphasis"/>
        </w:rPr>
        <w:t>fair notice</w:t>
      </w:r>
      <w:r w:rsidRPr="00F94DEC">
        <w:rPr>
          <w:rStyle w:val="StyleUnderline"/>
        </w:rPr>
        <w:t xml:space="preserve"> of conduct</w:t>
      </w:r>
      <w:r w:rsidRPr="00F94DEC">
        <w:rPr>
          <w:sz w:val="16"/>
        </w:rPr>
        <w:t xml:space="preserve"> that is </w:t>
      </w:r>
      <w:r w:rsidRPr="00F94DEC">
        <w:rPr>
          <w:rStyle w:val="StyleUnderline"/>
        </w:rPr>
        <w:t>forbidden or required</w:t>
      </w:r>
      <w:r w:rsidRPr="00F94DEC">
        <w:rPr>
          <w:sz w:val="16"/>
        </w:rPr>
        <w:t xml:space="preserve">." 110  </w:t>
      </w:r>
      <w:r w:rsidRPr="00F94DEC">
        <w:rPr>
          <w:rStyle w:val="StyleUnderline"/>
        </w:rPr>
        <w:t>The</w:t>
      </w:r>
      <w:r w:rsidRPr="00F94DEC">
        <w:rPr>
          <w:sz w:val="16"/>
        </w:rPr>
        <w:t xml:space="preserve"> due process clause of the </w:t>
      </w:r>
      <w:r w:rsidRPr="00F94DEC">
        <w:rPr>
          <w:rStyle w:val="StyleUnderline"/>
        </w:rPr>
        <w:t>Fifth Amendment requires this notice.</w:t>
      </w:r>
      <w:r w:rsidRPr="00F94DEC">
        <w:rPr>
          <w:sz w:val="16"/>
        </w:rPr>
        <w:t xml:space="preserve"> 111 </w:t>
      </w:r>
      <w:r w:rsidRPr="00F94DEC">
        <w:rPr>
          <w:rStyle w:val="StyleUnderline"/>
        </w:rPr>
        <w:t>Such</w:t>
      </w:r>
      <w:r w:rsidRPr="00F94DEC">
        <w:rPr>
          <w:sz w:val="16"/>
        </w:rPr>
        <w:t xml:space="preserve"> a </w:t>
      </w:r>
      <w:r w:rsidRPr="00F94DEC">
        <w:rPr>
          <w:rStyle w:val="StyleUnderline"/>
        </w:rPr>
        <w:t>constitutional principal is at odds with</w:t>
      </w:r>
      <w:r w:rsidRPr="00F94DEC">
        <w:rPr>
          <w:sz w:val="16"/>
        </w:rPr>
        <w:t xml:space="preserve"> what Justice Stevens articulated in </w:t>
      </w:r>
      <w:r w:rsidRPr="00F94DEC">
        <w:rPr>
          <w:rStyle w:val="StyleUnderline"/>
        </w:rPr>
        <w:t>Chevron</w:t>
      </w:r>
      <w:r w:rsidRPr="00F94DEC">
        <w:rPr>
          <w:sz w:val="16"/>
        </w:rPr>
        <w:t xml:space="preserve"> when he reasoned that Congress could </w:t>
      </w:r>
      <w:r w:rsidRPr="00F94DEC">
        <w:rPr>
          <w:rStyle w:val="StyleUnderline"/>
        </w:rPr>
        <w:t>delegate</w:t>
      </w:r>
      <w:r w:rsidRPr="00F94DEC">
        <w:rPr>
          <w:sz w:val="16"/>
        </w:rPr>
        <w:t xml:space="preserve"> to </w:t>
      </w:r>
      <w:r w:rsidRPr="00F94DEC">
        <w:rPr>
          <w:rStyle w:val="StyleUnderline"/>
        </w:rPr>
        <w:t>executive agencies the power to</w:t>
      </w:r>
      <w:r w:rsidRPr="00F94DEC">
        <w:rPr>
          <w:sz w:val="16"/>
        </w:rPr>
        <w:t xml:space="preserve"> interpret statutory language when authorized and could </w:t>
      </w:r>
      <w:r w:rsidRPr="00F94DEC">
        <w:rPr>
          <w:rStyle w:val="StyleUnderline"/>
        </w:rPr>
        <w:t xml:space="preserve">promulgate rules that implement policy decisions. </w:t>
      </w:r>
      <w:r w:rsidRPr="00F94DEC">
        <w:rPr>
          <w:sz w:val="16"/>
        </w:rPr>
        <w:t xml:space="preserve">112  Agencies possess the power to create policy; however, when these agencies administer regulations that carry criminal sanctions, </w:t>
      </w:r>
      <w:r w:rsidRPr="00F94DEC">
        <w:rPr>
          <w:rStyle w:val="StyleUnderline"/>
        </w:rPr>
        <w:t>the agencies' actions remove the legislative branch's power to impose punishment rules. The legislative branch</w:t>
      </w:r>
      <w:r w:rsidRPr="00F94DEC">
        <w:rPr>
          <w:sz w:val="16"/>
        </w:rPr>
        <w:t xml:space="preserve">, and </w:t>
      </w:r>
      <w:r w:rsidRPr="00F94DEC">
        <w:rPr>
          <w:rStyle w:val="StyleUnderline"/>
        </w:rPr>
        <w:t>not</w:t>
      </w:r>
      <w:r w:rsidRPr="00F94DEC">
        <w:rPr>
          <w:sz w:val="16"/>
        </w:rPr>
        <w:t xml:space="preserve"> the </w:t>
      </w:r>
      <w:r w:rsidRPr="00F94DEC">
        <w:rPr>
          <w:rStyle w:val="StyleUnderline"/>
        </w:rPr>
        <w:t>executive agencies, should be defining crimes and ordaining</w:t>
      </w:r>
      <w:r w:rsidRPr="00F94DEC">
        <w:rPr>
          <w:sz w:val="16"/>
        </w:rPr>
        <w:t xml:space="preserve"> the associated </w:t>
      </w:r>
      <w:r w:rsidRPr="00F94DEC">
        <w:rPr>
          <w:rStyle w:val="StyleUnderline"/>
        </w:rPr>
        <w:t>punishments.</w:t>
      </w:r>
      <w:r w:rsidRPr="00F94DEC">
        <w:rPr>
          <w:sz w:val="16"/>
        </w:rPr>
        <w:t xml:space="preserve"> 113 </w:t>
      </w:r>
    </w:p>
    <w:p w14:paraId="17F09296" w14:textId="77777777" w:rsidR="00586EDF" w:rsidRPr="006A2EE0" w:rsidRDefault="00586EDF" w:rsidP="00586EDF">
      <w:pPr>
        <w:rPr>
          <w:sz w:val="16"/>
        </w:rPr>
      </w:pPr>
      <w:r w:rsidRPr="006A2EE0">
        <w:rPr>
          <w:sz w:val="16"/>
        </w:rPr>
        <w:t xml:space="preserve">Chevron deference is not unconstitutional, and the specificity with which executive agencies interpret statutory language that contemplates both criminal and civil enforcement is important. 114 However, </w:t>
      </w:r>
      <w:r w:rsidRPr="006A2EE0">
        <w:rPr>
          <w:rStyle w:val="StyleUnderline"/>
        </w:rPr>
        <w:t>there is a line between interpreting an ambiguity and creating a new crime,</w:t>
      </w:r>
      <w:r w:rsidRPr="006A2EE0">
        <w:rPr>
          <w:sz w:val="16"/>
        </w:rPr>
        <w:t xml:space="preserve"> and a common argument for deferring to </w:t>
      </w:r>
      <w:r w:rsidRPr="006A2EE0">
        <w:rPr>
          <w:rStyle w:val="StyleUnderline"/>
        </w:rPr>
        <w:t>an agency's</w:t>
      </w:r>
      <w:r w:rsidRPr="006A2EE0">
        <w:rPr>
          <w:sz w:val="16"/>
        </w:rPr>
        <w:t xml:space="preserve"> promulgation of a rule, its </w:t>
      </w:r>
      <w:r w:rsidRPr="006A2EE0">
        <w:rPr>
          <w:rStyle w:val="StyleUnderline"/>
        </w:rPr>
        <w:t>expertise</w:t>
      </w:r>
      <w:r w:rsidRPr="006A2EE0">
        <w:rPr>
          <w:sz w:val="16"/>
        </w:rPr>
        <w:t xml:space="preserve"> on the issue at hand, </w:t>
      </w:r>
      <w:r w:rsidRPr="006A2EE0">
        <w:rPr>
          <w:rStyle w:val="Emphasis"/>
        </w:rPr>
        <w:t>falls flat</w:t>
      </w:r>
      <w:r w:rsidRPr="006A2EE0">
        <w:rPr>
          <w:rStyle w:val="StyleUnderline"/>
        </w:rPr>
        <w:t xml:space="preserve"> when</w:t>
      </w:r>
      <w:r w:rsidRPr="006A2EE0">
        <w:rPr>
          <w:sz w:val="16"/>
        </w:rPr>
        <w:t xml:space="preserve"> that expertise is </w:t>
      </w:r>
      <w:r w:rsidRPr="006A2EE0">
        <w:rPr>
          <w:rStyle w:val="StyleUnderline"/>
        </w:rPr>
        <w:t>used to determine what conduct merits criminal punishment.</w:t>
      </w:r>
      <w:r w:rsidRPr="006A2EE0">
        <w:rPr>
          <w:sz w:val="16"/>
        </w:rPr>
        <w:t xml:space="preserve"> 115 Executive agencies carry out executive functions; because the executive branch does not give executive agencies the power to "[assess] the societal mores underlying criminal law [ .... ] </w:t>
      </w:r>
      <w:r w:rsidRPr="006A2EE0">
        <w:rPr>
          <w:rStyle w:val="StyleUnderline"/>
        </w:rPr>
        <w:t>The policies supporting special treatment for all criminal rules outweigh any remaining</w:t>
      </w:r>
      <w:r w:rsidRPr="006A2EE0">
        <w:rPr>
          <w:sz w:val="16"/>
        </w:rPr>
        <w:t xml:space="preserve"> vitality of the </w:t>
      </w:r>
      <w:r w:rsidRPr="006A2EE0">
        <w:rPr>
          <w:rStyle w:val="StyleUnderline"/>
        </w:rPr>
        <w:t>Chevron policies. Chevron</w:t>
      </w:r>
      <w:r w:rsidRPr="006A2EE0">
        <w:rPr>
          <w:sz w:val="16"/>
        </w:rPr>
        <w:t xml:space="preserve"> thus </w:t>
      </w:r>
      <w:r w:rsidRPr="006A2EE0">
        <w:rPr>
          <w:rStyle w:val="StyleUnderline"/>
        </w:rPr>
        <w:t xml:space="preserve">has </w:t>
      </w:r>
      <w:r w:rsidRPr="006A2EE0">
        <w:rPr>
          <w:rStyle w:val="Emphasis"/>
        </w:rPr>
        <w:t>no place</w:t>
      </w:r>
      <w:r w:rsidRPr="006A2EE0">
        <w:rPr>
          <w:rStyle w:val="StyleUnderline"/>
        </w:rPr>
        <w:t xml:space="preserve"> in the review of administrative crimes.</w:t>
      </w:r>
      <w:r w:rsidRPr="006A2EE0">
        <w:rPr>
          <w:sz w:val="16"/>
        </w:rPr>
        <w:t>"' 116</w:t>
      </w:r>
    </w:p>
    <w:p w14:paraId="033450B3" w14:textId="77777777" w:rsidR="00586EDF" w:rsidRPr="0012480A" w:rsidRDefault="00586EDF" w:rsidP="00586EDF">
      <w:pPr>
        <w:rPr>
          <w:sz w:val="16"/>
        </w:rPr>
      </w:pPr>
      <w:r w:rsidRPr="0012480A">
        <w:rPr>
          <w:sz w:val="16"/>
        </w:rPr>
        <w:t xml:space="preserve">The </w:t>
      </w:r>
      <w:r w:rsidRPr="006A2EE0">
        <w:rPr>
          <w:rStyle w:val="StyleUnderline"/>
        </w:rPr>
        <w:t>application of the rule of lenity will benefit defendants of criminal insider trading prosecutions</w:t>
      </w:r>
      <w:r w:rsidRPr="0012480A">
        <w:rPr>
          <w:sz w:val="16"/>
        </w:rPr>
        <w:t xml:space="preserve"> brought under Rule 10b-5; </w:t>
      </w:r>
      <w:r w:rsidRPr="0012480A">
        <w:rPr>
          <w:rStyle w:val="StyleUnderline"/>
        </w:rPr>
        <w:t xml:space="preserve">therefore, a </w:t>
      </w:r>
      <w:r w:rsidRPr="00B13B58">
        <w:rPr>
          <w:rStyle w:val="Emphasis"/>
        </w:rPr>
        <w:t>uniform basis</w:t>
      </w:r>
      <w:r w:rsidRPr="0012480A">
        <w:rPr>
          <w:rStyle w:val="StyleUnderline"/>
        </w:rPr>
        <w:t xml:space="preserve"> for criminal liability</w:t>
      </w:r>
      <w:r w:rsidRPr="0012480A">
        <w:rPr>
          <w:sz w:val="16"/>
        </w:rPr>
        <w:t xml:space="preserve"> under Rule lob-5 </w:t>
      </w:r>
      <w:r w:rsidRPr="0012480A">
        <w:rPr>
          <w:rStyle w:val="StyleUnderline"/>
        </w:rPr>
        <w:t xml:space="preserve">could help </w:t>
      </w:r>
      <w:r w:rsidRPr="00B13B58">
        <w:rPr>
          <w:rStyle w:val="Emphasis"/>
        </w:rPr>
        <w:t>resolve</w:t>
      </w:r>
      <w:r w:rsidRPr="0012480A">
        <w:rPr>
          <w:rStyle w:val="StyleUnderline"/>
        </w:rPr>
        <w:t xml:space="preserve"> the current federal circuit split</w:t>
      </w:r>
      <w:r w:rsidRPr="0012480A">
        <w:rPr>
          <w:sz w:val="16"/>
        </w:rPr>
        <w:t xml:space="preserve"> on what behavior constitutes criminal liability. 117</w:t>
      </w:r>
    </w:p>
    <w:p w14:paraId="09088C17" w14:textId="77777777" w:rsidR="00586EDF" w:rsidRDefault="00586EDF" w:rsidP="00586EDF">
      <w:pPr>
        <w:rPr>
          <w:sz w:val="16"/>
        </w:rPr>
      </w:pPr>
      <w:r w:rsidRPr="004020DE">
        <w:rPr>
          <w:rStyle w:val="StyleUnderline"/>
        </w:rPr>
        <w:t xml:space="preserve">Furthermore, achieving </w:t>
      </w:r>
      <w:r w:rsidRPr="002B0268">
        <w:rPr>
          <w:rStyle w:val="Emphasis"/>
        </w:rPr>
        <w:t>clarity and consistency</w:t>
      </w:r>
      <w:r w:rsidRPr="004020DE">
        <w:rPr>
          <w:rStyle w:val="StyleUnderline"/>
        </w:rPr>
        <w:t xml:space="preserve"> in</w:t>
      </w:r>
      <w:r w:rsidRPr="004020DE">
        <w:rPr>
          <w:sz w:val="16"/>
        </w:rPr>
        <w:t xml:space="preserve"> the elements of a </w:t>
      </w:r>
      <w:r w:rsidRPr="004020DE">
        <w:rPr>
          <w:rStyle w:val="StyleUnderline"/>
        </w:rPr>
        <w:t>criminal insider trading</w:t>
      </w:r>
      <w:r w:rsidRPr="004020DE">
        <w:rPr>
          <w:sz w:val="16"/>
        </w:rPr>
        <w:t xml:space="preserve"> case brought under Rule lOb-5 </w:t>
      </w:r>
      <w:r w:rsidRPr="004020DE">
        <w:rPr>
          <w:rStyle w:val="StyleUnderline"/>
        </w:rPr>
        <w:t>will satisfy the fair notice requirement of due process.</w:t>
      </w:r>
      <w:r w:rsidRPr="004020DE">
        <w:rPr>
          <w:sz w:val="16"/>
        </w:rPr>
        <w:t xml:space="preserve"> 118 Although the Second Circuit in Newman did not explicitly discuss </w:t>
      </w:r>
      <w:r w:rsidRPr="002B0268">
        <w:rPr>
          <w:rStyle w:val="Emphasis"/>
        </w:rPr>
        <w:t>Chevron</w:t>
      </w:r>
      <w:r w:rsidRPr="004020DE">
        <w:rPr>
          <w:sz w:val="16"/>
        </w:rPr>
        <w:t xml:space="preserve"> or the </w:t>
      </w:r>
      <w:r w:rsidRPr="002B0268">
        <w:rPr>
          <w:rStyle w:val="Emphasis"/>
        </w:rPr>
        <w:t>rule of lenity</w:t>
      </w:r>
      <w:r w:rsidRPr="004020DE">
        <w:rPr>
          <w:rStyle w:val="StyleUnderline"/>
        </w:rPr>
        <w:t>,</w:t>
      </w:r>
      <w:r w:rsidRPr="004020DE">
        <w:rPr>
          <w:sz w:val="16"/>
        </w:rPr>
        <w:t xml:space="preserve"> the </w:t>
      </w:r>
      <w:r w:rsidRPr="004020DE">
        <w:rPr>
          <w:rStyle w:val="StyleUnderline"/>
        </w:rPr>
        <w:t>balancing</w:t>
      </w:r>
      <w:r w:rsidRPr="004020DE">
        <w:rPr>
          <w:sz w:val="16"/>
        </w:rPr>
        <w:t xml:space="preserve"> of those two competing notions </w:t>
      </w:r>
      <w:r w:rsidRPr="004020DE">
        <w:rPr>
          <w:rStyle w:val="StyleUnderline"/>
        </w:rPr>
        <w:t>is complicit in the Second Circuit's holding</w:t>
      </w:r>
      <w:r w:rsidRPr="004020DE">
        <w:rPr>
          <w:sz w:val="16"/>
        </w:rPr>
        <w:t xml:space="preserve"> that liability should only be imposed under Rule 10b5-2 </w:t>
      </w:r>
      <w:r w:rsidRPr="004020DE">
        <w:rPr>
          <w:rStyle w:val="StyleUnderline"/>
        </w:rPr>
        <w:t>if the government proves the tipper breached a fiduciary duty by receiving</w:t>
      </w:r>
      <w:r w:rsidRPr="004020DE">
        <w:rPr>
          <w:sz w:val="16"/>
        </w:rPr>
        <w:t xml:space="preserve"> a </w:t>
      </w:r>
      <w:r w:rsidRPr="004020DE">
        <w:rPr>
          <w:rStyle w:val="StyleUnderline"/>
        </w:rPr>
        <w:t>personal benefit t</w:t>
      </w:r>
      <w:r w:rsidRPr="004020DE">
        <w:rPr>
          <w:sz w:val="16"/>
        </w:rPr>
        <w:t xml:space="preserve">hat went </w:t>
      </w:r>
      <w:r w:rsidRPr="004020DE">
        <w:rPr>
          <w:rStyle w:val="StyleUnderline"/>
        </w:rPr>
        <w:t>beyond mere friendship and that the tippee knew about the breach of the fiduciary duty.</w:t>
      </w:r>
      <w:r w:rsidRPr="004020DE">
        <w:rPr>
          <w:sz w:val="16"/>
        </w:rPr>
        <w:t xml:space="preserve"> 119 This standard expanded the language initially articulated in Dirks, a case decided before the promulgation of Rule 10b5-2 or Chevron. 120</w:t>
      </w:r>
    </w:p>
    <w:p w14:paraId="27F31684" w14:textId="77777777" w:rsidR="00586EDF" w:rsidRDefault="00586EDF" w:rsidP="00586EDF">
      <w:pPr>
        <w:pStyle w:val="Heading4"/>
      </w:pPr>
      <w:r>
        <w:t xml:space="preserve">That wrecks insider trading laws – determining those cases in court leads to </w:t>
      </w:r>
      <w:r w:rsidRPr="0092171A">
        <w:rPr>
          <w:u w:val="single"/>
        </w:rPr>
        <w:t>balanced</w:t>
      </w:r>
      <w:r>
        <w:t xml:space="preserve"> securities laws.</w:t>
      </w:r>
    </w:p>
    <w:p w14:paraId="33B38D5A" w14:textId="77777777" w:rsidR="00586EDF" w:rsidRPr="004F6DE7" w:rsidRDefault="00586EDF" w:rsidP="00586EDF">
      <w:r w:rsidRPr="004F6DE7">
        <w:rPr>
          <w:rStyle w:val="Heading4Char"/>
        </w:rPr>
        <w:t>Rakoff 14</w:t>
      </w:r>
      <w:r>
        <w:t xml:space="preserve"> – (</w:t>
      </w:r>
      <w:r w:rsidRPr="00473A51">
        <w:t>Jed S. Rakoff, Senior United States District Judge of the United States District Court for the Southern District of New York</w:t>
      </w:r>
      <w:r>
        <w:t>; “IS THE S.E.C. BECOMING A LAW UNTO ITSELF?”; D.A. July 7</w:t>
      </w:r>
      <w:r w:rsidRPr="004F6DE7">
        <w:rPr>
          <w:vertAlign w:val="superscript"/>
        </w:rPr>
        <w:t>th</w:t>
      </w:r>
      <w:r>
        <w:t xml:space="preserve"> 2020, [Published November 5</w:t>
      </w:r>
      <w:r w:rsidRPr="004F6DE7">
        <w:rPr>
          <w:vertAlign w:val="superscript"/>
        </w:rPr>
        <w:t>th</w:t>
      </w:r>
      <w:r>
        <w:t xml:space="preserve"> 2014]; </w:t>
      </w:r>
      <w:hyperlink r:id="rId72" w:history="1">
        <w:r>
          <w:rPr>
            <w:rStyle w:val="Hyperlink"/>
          </w:rPr>
          <w:t>https://securitiesdiary.files.wordpress.com/2014/11/rakoff-pli-speech.pdf</w:t>
        </w:r>
      </w:hyperlink>
      <w:r>
        <w:t>) //LFS—JCM recut.</w:t>
      </w:r>
    </w:p>
    <w:p w14:paraId="0A428443" w14:textId="77777777" w:rsidR="00586EDF" w:rsidRPr="003829B4" w:rsidRDefault="00586EDF" w:rsidP="00586EDF">
      <w:pPr>
        <w:rPr>
          <w:sz w:val="16"/>
        </w:rPr>
      </w:pPr>
      <w:r w:rsidRPr="003829B4">
        <w:rPr>
          <w:sz w:val="16"/>
        </w:rPr>
        <w:t xml:space="preserve">The net result of all this is that </w:t>
      </w:r>
      <w:r w:rsidRPr="00456038">
        <w:rPr>
          <w:rStyle w:val="StyleUnderline"/>
          <w:highlight w:val="cyan"/>
        </w:rPr>
        <w:t xml:space="preserve">the </w:t>
      </w:r>
      <w:r w:rsidRPr="00456038">
        <w:rPr>
          <w:rStyle w:val="Emphasis"/>
          <w:highlight w:val="cyan"/>
        </w:rPr>
        <w:t>S.E.C.</w:t>
      </w:r>
      <w:r w:rsidRPr="00456038">
        <w:rPr>
          <w:rStyle w:val="StyleUnderline"/>
          <w:highlight w:val="cyan"/>
        </w:rPr>
        <w:t xml:space="preserve"> can</w:t>
      </w:r>
      <w:r w:rsidRPr="003829B4">
        <w:rPr>
          <w:sz w:val="16"/>
        </w:rPr>
        <w:t xml:space="preserve"> today </w:t>
      </w:r>
      <w:r w:rsidRPr="00456038">
        <w:rPr>
          <w:rStyle w:val="Emphasis"/>
          <w:highlight w:val="cyan"/>
        </w:rPr>
        <w:t>obtain</w:t>
      </w:r>
      <w:r w:rsidRPr="00CD69A2">
        <w:rPr>
          <w:rStyle w:val="StyleUnderline"/>
        </w:rPr>
        <w:t xml:space="preserve"> through internal administrative proceedings</w:t>
      </w:r>
      <w:r w:rsidRPr="003829B4">
        <w:rPr>
          <w:sz w:val="16"/>
        </w:rPr>
        <w:t xml:space="preserve"> nearly </w:t>
      </w:r>
      <w:r w:rsidRPr="00456038">
        <w:rPr>
          <w:rStyle w:val="Emphasis"/>
          <w:highlight w:val="cyan"/>
        </w:rPr>
        <w:t>everything</w:t>
      </w:r>
      <w:r w:rsidRPr="00CD69A2">
        <w:rPr>
          <w:rStyle w:val="StyleUnderline"/>
        </w:rPr>
        <w:t xml:space="preserve"> it might obtain </w:t>
      </w:r>
      <w:r w:rsidRPr="00456038">
        <w:rPr>
          <w:rStyle w:val="StyleUnderline"/>
          <w:highlight w:val="cyan"/>
        </w:rPr>
        <w:t xml:space="preserve">by </w:t>
      </w:r>
      <w:r w:rsidRPr="00456038">
        <w:rPr>
          <w:rStyle w:val="Emphasis"/>
          <w:highlight w:val="cyan"/>
        </w:rPr>
        <w:t>going to court</w:t>
      </w:r>
      <w:r w:rsidRPr="003829B4">
        <w:rPr>
          <w:sz w:val="16"/>
        </w:rPr>
        <w:t xml:space="preserve">. </w:t>
      </w:r>
      <w:r w:rsidRPr="00CD69A2">
        <w:rPr>
          <w:rStyle w:val="StyleUnderline"/>
        </w:rPr>
        <w:t>This sea-change has come about almost entirely at the request of the S.E.C.</w:t>
      </w:r>
      <w:r w:rsidRPr="003829B4">
        <w:rPr>
          <w:sz w:val="16"/>
        </w:rPr>
        <w:t xml:space="preserve">, usually by tacking the provisions </w:t>
      </w:r>
      <w:r w:rsidRPr="00CD69A2">
        <w:rPr>
          <w:rStyle w:val="StyleUnderline"/>
        </w:rPr>
        <w:t xml:space="preserve">authorizing </w:t>
      </w:r>
      <w:r w:rsidRPr="00456038">
        <w:rPr>
          <w:rStyle w:val="StyleUnderline"/>
          <w:highlight w:val="cyan"/>
        </w:rPr>
        <w:t>such expansion onto</w:t>
      </w:r>
      <w:r w:rsidRPr="00CD69A2">
        <w:rPr>
          <w:rStyle w:val="StyleUnderline"/>
        </w:rPr>
        <w:t xml:space="preserve"> one or another </w:t>
      </w:r>
      <w:r w:rsidRPr="00456038">
        <w:rPr>
          <w:rStyle w:val="StyleUnderline"/>
          <w:highlight w:val="cyan"/>
        </w:rPr>
        <w:t>statute</w:t>
      </w:r>
      <w:r w:rsidRPr="003829B4">
        <w:rPr>
          <w:sz w:val="16"/>
        </w:rPr>
        <w:t xml:space="preserve"> enacted </w:t>
      </w:r>
      <w:r w:rsidRPr="00CD69A2">
        <w:rPr>
          <w:rStyle w:val="StyleUnderline"/>
        </w:rPr>
        <w:t>in the wake of</w:t>
      </w:r>
      <w:r w:rsidRPr="003829B4">
        <w:rPr>
          <w:sz w:val="16"/>
        </w:rPr>
        <w:t xml:space="preserve"> a </w:t>
      </w:r>
      <w:r w:rsidRPr="00CD69A2">
        <w:rPr>
          <w:rStyle w:val="StyleUnderline"/>
        </w:rPr>
        <w:t>financial scandal</w:t>
      </w:r>
      <w:r w:rsidRPr="003829B4">
        <w:rPr>
          <w:sz w:val="16"/>
        </w:rPr>
        <w:t>.</w:t>
      </w:r>
    </w:p>
    <w:p w14:paraId="34D8AFE8" w14:textId="77777777" w:rsidR="00586EDF" w:rsidRPr="00CD69A2" w:rsidRDefault="00586EDF" w:rsidP="00586EDF">
      <w:pPr>
        <w:rPr>
          <w:sz w:val="16"/>
          <w:szCs w:val="16"/>
        </w:rPr>
      </w:pPr>
      <w:r w:rsidRPr="00CD69A2">
        <w:rPr>
          <w:sz w:val="16"/>
          <w:szCs w:val="16"/>
        </w:rPr>
        <w:t>What has been the stated rationale for all these changes? Usually nothing more than a claim of greater efficiency. Thus, for example, when then-Director of Enforcement Robert Khuzami submitted a statement to the Senate Judiciary Committee in support of Dodd-Frank, he devoted all of one sentence to what became Section 929P(a), stating: “Additional legislative proposals that would serve to enhance the Division’s effectiveness and efficiency include the ability to seek civil penalties in [administrative] cease-and-desist proceedings.” Similarly, the sole legislative history of Section 929P(a) in the House Report on Dodd-Frank states that “This section streamlines the SEC’s existing enforcement authorities by permitting the SEC to seek civil money penalties in cease-and-desist proceedings under Federal securities laws.”</w:t>
      </w:r>
    </w:p>
    <w:p w14:paraId="77E123E4" w14:textId="77777777" w:rsidR="00586EDF" w:rsidRPr="003829B4" w:rsidRDefault="00586EDF" w:rsidP="00586EDF">
      <w:pPr>
        <w:rPr>
          <w:sz w:val="16"/>
        </w:rPr>
      </w:pPr>
      <w:r w:rsidRPr="00CD69A2">
        <w:rPr>
          <w:rStyle w:val="StyleUnderline"/>
        </w:rPr>
        <w:t>While a claim to greater efficiency by</w:t>
      </w:r>
      <w:r w:rsidRPr="003829B4">
        <w:rPr>
          <w:sz w:val="16"/>
        </w:rPr>
        <w:t xml:space="preserve"> any </w:t>
      </w:r>
      <w:r w:rsidRPr="00CD69A2">
        <w:rPr>
          <w:rStyle w:val="StyleUnderline"/>
        </w:rPr>
        <w:t>federal bureaucracy suggests</w:t>
      </w:r>
      <w:r w:rsidRPr="003829B4">
        <w:rPr>
          <w:sz w:val="16"/>
        </w:rPr>
        <w:t xml:space="preserve"> a certain chutzpah, </w:t>
      </w:r>
      <w:r w:rsidRPr="00456038">
        <w:rPr>
          <w:rStyle w:val="StyleUnderline"/>
          <w:highlight w:val="cyan"/>
        </w:rPr>
        <w:t>it is hard to find a better example of</w:t>
      </w:r>
      <w:r w:rsidRPr="003829B4">
        <w:rPr>
          <w:sz w:val="16"/>
        </w:rPr>
        <w:t xml:space="preserve"> what is sometimes disparagingly called “</w:t>
      </w:r>
      <w:r w:rsidRPr="00456038">
        <w:rPr>
          <w:rStyle w:val="Emphasis"/>
          <w:highlight w:val="cyan"/>
        </w:rPr>
        <w:t>admin</w:t>
      </w:r>
      <w:r w:rsidRPr="00C07D42">
        <w:rPr>
          <w:rStyle w:val="Emphasis"/>
        </w:rPr>
        <w:t xml:space="preserve">istrative </w:t>
      </w:r>
      <w:r w:rsidRPr="00456038">
        <w:rPr>
          <w:rStyle w:val="Emphasis"/>
          <w:highlight w:val="cyan"/>
        </w:rPr>
        <w:t>creep</w:t>
      </w:r>
      <w:r w:rsidRPr="003829B4">
        <w:rPr>
          <w:sz w:val="16"/>
        </w:rPr>
        <w:t xml:space="preserve">” </w:t>
      </w:r>
      <w:r w:rsidRPr="00456038">
        <w:rPr>
          <w:rStyle w:val="StyleUnderline"/>
          <w:highlight w:val="cyan"/>
        </w:rPr>
        <w:t>than</w:t>
      </w:r>
      <w:r w:rsidRPr="00C07D42">
        <w:rPr>
          <w:rStyle w:val="StyleUnderline"/>
        </w:rPr>
        <w:t xml:space="preserve"> this </w:t>
      </w:r>
      <w:r w:rsidRPr="00456038">
        <w:rPr>
          <w:rStyle w:val="StyleUnderline"/>
          <w:highlight w:val="cyan"/>
        </w:rPr>
        <w:t xml:space="preserve">expansion of the S.E.C.’s </w:t>
      </w:r>
      <w:r w:rsidRPr="00456038">
        <w:rPr>
          <w:rStyle w:val="Emphasis"/>
          <w:highlight w:val="cyan"/>
        </w:rPr>
        <w:t>internal enforcement</w:t>
      </w:r>
      <w:r w:rsidRPr="003829B4">
        <w:rPr>
          <w:sz w:val="16"/>
        </w:rPr>
        <w:t xml:space="preserve"> power.</w:t>
      </w:r>
    </w:p>
    <w:p w14:paraId="132AEAC3" w14:textId="77777777" w:rsidR="00586EDF" w:rsidRPr="003829B4" w:rsidRDefault="00586EDF" w:rsidP="00586EDF">
      <w:pPr>
        <w:rPr>
          <w:sz w:val="16"/>
        </w:rPr>
      </w:pPr>
      <w:r w:rsidRPr="003829B4">
        <w:rPr>
          <w:sz w:val="16"/>
        </w:rPr>
        <w:t xml:space="preserve">To be sure, </w:t>
      </w:r>
      <w:r w:rsidRPr="00C07D42">
        <w:rPr>
          <w:rStyle w:val="StyleUnderline"/>
        </w:rPr>
        <w:t>an S.E.C. enforcement action brought internally</w:t>
      </w:r>
      <w:r w:rsidRPr="003829B4">
        <w:rPr>
          <w:sz w:val="16"/>
        </w:rPr>
        <w:t xml:space="preserve"> </w:t>
      </w:r>
      <w:r w:rsidRPr="00C07D42">
        <w:rPr>
          <w:rStyle w:val="StyleUnderline"/>
        </w:rPr>
        <w:t>is in some</w:t>
      </w:r>
      <w:r w:rsidRPr="003829B4">
        <w:rPr>
          <w:sz w:val="16"/>
        </w:rPr>
        <w:t xml:space="preserve"> </w:t>
      </w:r>
      <w:r w:rsidRPr="00C07D42">
        <w:rPr>
          <w:rStyle w:val="Emphasis"/>
        </w:rPr>
        <w:t>superficial</w:t>
      </w:r>
      <w:r w:rsidRPr="003829B4">
        <w:rPr>
          <w:sz w:val="16"/>
        </w:rPr>
        <w:t xml:space="preserve"> respects more “effective and efficient” and more “</w:t>
      </w:r>
      <w:r w:rsidRPr="00C07D42">
        <w:rPr>
          <w:rStyle w:val="Emphasis"/>
        </w:rPr>
        <w:t>streamlined</w:t>
      </w:r>
      <w:r w:rsidRPr="003829B4">
        <w:rPr>
          <w:sz w:val="16"/>
        </w:rPr>
        <w:t xml:space="preserve">” </w:t>
      </w:r>
      <w:r w:rsidRPr="00C07D42">
        <w:rPr>
          <w:rStyle w:val="StyleUnderline"/>
        </w:rPr>
        <w:t>than a similar action brought in federal court</w:t>
      </w:r>
      <w:r w:rsidRPr="003829B4">
        <w:rPr>
          <w:sz w:val="16"/>
        </w:rPr>
        <w:t xml:space="preserve">, for the simple reason that </w:t>
      </w:r>
      <w:r w:rsidRPr="00C07D42">
        <w:rPr>
          <w:rStyle w:val="StyleUnderline"/>
        </w:rPr>
        <w:t>S.E.C. administrative proceedings involve much more limited discovery</w:t>
      </w:r>
      <w:r w:rsidRPr="003829B4">
        <w:rPr>
          <w:sz w:val="16"/>
        </w:rPr>
        <w:t xml:space="preserve"> than federal actions, with no provision whatsoever for either depositions or interrogatories. Similarly, at the hearing itself, the Federal Rules of Evidence do not apply and the S.E.C. is free to introduce hearsay. Further still, there is no jury, and the matter is decided by an administrative law judge appointed and paid by the S.E.C. It is hardly surprising in these circumstances that </w:t>
      </w:r>
      <w:r w:rsidRPr="00456038">
        <w:rPr>
          <w:rStyle w:val="StyleUnderline"/>
          <w:highlight w:val="cyan"/>
        </w:rPr>
        <w:t xml:space="preserve">the S.E.C. </w:t>
      </w:r>
      <w:r w:rsidRPr="00456038">
        <w:rPr>
          <w:rStyle w:val="Emphasis"/>
          <w:highlight w:val="cyan"/>
        </w:rPr>
        <w:t>won 100% of its internal</w:t>
      </w:r>
      <w:r w:rsidRPr="00C07D42">
        <w:rPr>
          <w:rStyle w:val="StyleUnderline"/>
        </w:rPr>
        <w:t xml:space="preserve"> administrative </w:t>
      </w:r>
      <w:r w:rsidRPr="00456038">
        <w:rPr>
          <w:rStyle w:val="Emphasis"/>
          <w:highlight w:val="cyan"/>
        </w:rPr>
        <w:t>hearings</w:t>
      </w:r>
      <w:r w:rsidRPr="003829B4">
        <w:rPr>
          <w:sz w:val="16"/>
        </w:rPr>
        <w:t xml:space="preserve"> in the fiscal year ending September 30, 2014, whereas </w:t>
      </w:r>
      <w:r w:rsidRPr="00C07D42">
        <w:rPr>
          <w:rStyle w:val="StyleUnderline"/>
        </w:rPr>
        <w:t xml:space="preserve">it won only </w:t>
      </w:r>
      <w:r w:rsidRPr="003829B4">
        <w:rPr>
          <w:rStyle w:val="Emphasis"/>
        </w:rPr>
        <w:t>61% of its trials in federal court</w:t>
      </w:r>
      <w:r w:rsidRPr="003829B4">
        <w:rPr>
          <w:sz w:val="16"/>
        </w:rPr>
        <w:t xml:space="preserve"> during the same period.</w:t>
      </w:r>
    </w:p>
    <w:p w14:paraId="707CFF8C" w14:textId="77777777" w:rsidR="00586EDF" w:rsidRPr="003829B4" w:rsidRDefault="00586EDF" w:rsidP="00586EDF">
      <w:pPr>
        <w:rPr>
          <w:sz w:val="16"/>
        </w:rPr>
      </w:pPr>
      <w:r w:rsidRPr="003829B4">
        <w:rPr>
          <w:sz w:val="16"/>
        </w:rPr>
        <w:t xml:space="preserve">But, although </w:t>
      </w:r>
      <w:r w:rsidRPr="00D37F31">
        <w:rPr>
          <w:rStyle w:val="StyleUnderline"/>
        </w:rPr>
        <w:t xml:space="preserve">the informality and arguable </w:t>
      </w:r>
      <w:r w:rsidRPr="003829B4">
        <w:rPr>
          <w:rStyle w:val="Emphasis"/>
        </w:rPr>
        <w:t>unfairness of S.E.C.</w:t>
      </w:r>
      <w:r w:rsidRPr="00D37F31">
        <w:rPr>
          <w:rStyle w:val="StyleUnderline"/>
        </w:rPr>
        <w:t xml:space="preserve"> administrative </w:t>
      </w:r>
      <w:r w:rsidRPr="003829B4">
        <w:rPr>
          <w:rStyle w:val="Emphasis"/>
        </w:rPr>
        <w:t>proceedings</w:t>
      </w:r>
      <w:r w:rsidRPr="00D37F31">
        <w:rPr>
          <w:rStyle w:val="StyleUnderline"/>
        </w:rPr>
        <w:t xml:space="preserve"> might present </w:t>
      </w:r>
      <w:r w:rsidRPr="003829B4">
        <w:rPr>
          <w:rStyle w:val="Emphasis"/>
        </w:rPr>
        <w:t>serious problems</w:t>
      </w:r>
      <w:r w:rsidRPr="003829B4">
        <w:rPr>
          <w:sz w:val="16"/>
        </w:rPr>
        <w:t xml:space="preserve"> for those defending such actions, you might suppose that federal judges would be delighted to have fewer complicated securities cases burdening their overcrowded dockets. The reason, though, that I suggest that </w:t>
      </w:r>
      <w:r w:rsidRPr="00D37F31">
        <w:rPr>
          <w:rStyle w:val="StyleUnderline"/>
        </w:rPr>
        <w:t xml:space="preserve">the judiciary and the public should be concerned about any trend toward </w:t>
      </w:r>
      <w:r w:rsidRPr="00456038">
        <w:rPr>
          <w:rStyle w:val="StyleUnderline"/>
          <w:highlight w:val="cyan"/>
        </w:rPr>
        <w:t>preferring</w:t>
      </w:r>
      <w:r w:rsidRPr="00D37F31">
        <w:rPr>
          <w:rStyle w:val="StyleUnderline"/>
        </w:rPr>
        <w:t xml:space="preserve"> </w:t>
      </w:r>
      <w:r w:rsidRPr="00456038">
        <w:rPr>
          <w:rStyle w:val="StyleUnderline"/>
          <w:highlight w:val="cyan"/>
        </w:rPr>
        <w:t>the</w:t>
      </w:r>
      <w:r w:rsidRPr="00D37F31">
        <w:rPr>
          <w:rStyle w:val="StyleUnderline"/>
        </w:rPr>
        <w:t xml:space="preserve"> S.E.C.’s </w:t>
      </w:r>
      <w:r w:rsidRPr="00456038">
        <w:rPr>
          <w:rStyle w:val="StyleUnderline"/>
          <w:highlight w:val="cyan"/>
        </w:rPr>
        <w:t>internal</w:t>
      </w:r>
      <w:r w:rsidRPr="00D37F31">
        <w:rPr>
          <w:rStyle w:val="StyleUnderline"/>
        </w:rPr>
        <w:t xml:space="preserve"> </w:t>
      </w:r>
      <w:r w:rsidRPr="00456038">
        <w:rPr>
          <w:rStyle w:val="StyleUnderline"/>
          <w:highlight w:val="cyan"/>
        </w:rPr>
        <w:t>administrative</w:t>
      </w:r>
      <w:r w:rsidRPr="003829B4">
        <w:rPr>
          <w:sz w:val="16"/>
        </w:rPr>
        <w:t xml:space="preserve"> forum </w:t>
      </w:r>
      <w:r w:rsidRPr="00456038">
        <w:rPr>
          <w:rStyle w:val="StyleUnderline"/>
          <w:highlight w:val="cyan"/>
        </w:rPr>
        <w:t>to the federal courts</w:t>
      </w:r>
      <w:r w:rsidRPr="00D37F31">
        <w:rPr>
          <w:rStyle w:val="StyleUnderline"/>
        </w:rPr>
        <w:t xml:space="preserve"> is that it </w:t>
      </w:r>
      <w:r w:rsidRPr="00456038">
        <w:rPr>
          <w:rStyle w:val="Emphasis"/>
          <w:highlight w:val="cyan"/>
        </w:rPr>
        <w:t>hinders</w:t>
      </w:r>
      <w:r w:rsidRPr="00D37F31">
        <w:rPr>
          <w:rStyle w:val="StyleUnderline"/>
        </w:rPr>
        <w:t xml:space="preserve"> the</w:t>
      </w:r>
      <w:r w:rsidRPr="003829B4">
        <w:rPr>
          <w:sz w:val="16"/>
        </w:rPr>
        <w:t xml:space="preserve"> balanced </w:t>
      </w:r>
      <w:r w:rsidRPr="00D37F31">
        <w:rPr>
          <w:rStyle w:val="StyleUnderline"/>
        </w:rPr>
        <w:t xml:space="preserve">development of the </w:t>
      </w:r>
      <w:r w:rsidRPr="00456038">
        <w:rPr>
          <w:rStyle w:val="Emphasis"/>
          <w:highlight w:val="cyan"/>
        </w:rPr>
        <w:t>securities laws</w:t>
      </w:r>
      <w:r w:rsidRPr="003829B4">
        <w:rPr>
          <w:sz w:val="16"/>
        </w:rPr>
        <w:t>. Let me explain why this is so:</w:t>
      </w:r>
    </w:p>
    <w:p w14:paraId="06648D5B" w14:textId="77777777" w:rsidR="00586EDF" w:rsidRPr="003829B4" w:rsidRDefault="00586EDF" w:rsidP="00586EDF">
      <w:pPr>
        <w:ind w:left="720"/>
        <w:rPr>
          <w:sz w:val="16"/>
        </w:rPr>
      </w:pPr>
      <w:r w:rsidRPr="00456038">
        <w:rPr>
          <w:rStyle w:val="StyleUnderline"/>
          <w:highlight w:val="cyan"/>
        </w:rPr>
        <w:t>Most</w:t>
      </w:r>
      <w:r w:rsidRPr="003829B4">
        <w:rPr>
          <w:sz w:val="16"/>
        </w:rPr>
        <w:t xml:space="preserve"> of the significant </w:t>
      </w:r>
      <w:r w:rsidRPr="00D37F31">
        <w:rPr>
          <w:rStyle w:val="StyleUnderline"/>
        </w:rPr>
        <w:t xml:space="preserve">S.E.C. enforcement </w:t>
      </w:r>
      <w:r w:rsidRPr="00456038">
        <w:rPr>
          <w:rStyle w:val="StyleUnderline"/>
          <w:highlight w:val="cyan"/>
        </w:rPr>
        <w:t>actions</w:t>
      </w:r>
      <w:r w:rsidRPr="003829B4">
        <w:rPr>
          <w:sz w:val="16"/>
        </w:rPr>
        <w:t xml:space="preserve">, especially those involving complicated or novel questions of fact or law, </w:t>
      </w:r>
      <w:r w:rsidRPr="00456038">
        <w:rPr>
          <w:rStyle w:val="StyleUnderline"/>
          <w:highlight w:val="cyan"/>
        </w:rPr>
        <w:t>are brought unde</w:t>
      </w:r>
      <w:r w:rsidRPr="00D37F31">
        <w:rPr>
          <w:rStyle w:val="StyleUnderline"/>
        </w:rPr>
        <w:t xml:space="preserve">r the general </w:t>
      </w:r>
      <w:r w:rsidRPr="00456038">
        <w:rPr>
          <w:rStyle w:val="StyleUnderline"/>
          <w:highlight w:val="cyan"/>
        </w:rPr>
        <w:t>anti-fraud provisions</w:t>
      </w:r>
      <w:r w:rsidRPr="00D37F31">
        <w:rPr>
          <w:rStyle w:val="StyleUnderline"/>
        </w:rPr>
        <w:t xml:space="preserve"> of the federal securities laws</w:t>
      </w:r>
      <w:r w:rsidRPr="003829B4">
        <w:rPr>
          <w:sz w:val="16"/>
        </w:rPr>
        <w:t xml:space="preserve">, that is, section 17(a) of the 1933 Act and section 10(b) of the 1934 Act. </w:t>
      </w:r>
      <w:r w:rsidRPr="00456038">
        <w:rPr>
          <w:rStyle w:val="StyleUnderline"/>
          <w:highlight w:val="cyan"/>
        </w:rPr>
        <w:t>The development of the law</w:t>
      </w:r>
      <w:r w:rsidRPr="00D37F31">
        <w:rPr>
          <w:rStyle w:val="StyleUnderline"/>
        </w:rPr>
        <w:t xml:space="preserve"> </w:t>
      </w:r>
      <w:r w:rsidRPr="00456038">
        <w:rPr>
          <w:rStyle w:val="StyleUnderline"/>
          <w:highlight w:val="cyan"/>
        </w:rPr>
        <w:t>under</w:t>
      </w:r>
      <w:r w:rsidRPr="00D37F31">
        <w:rPr>
          <w:rStyle w:val="StyleUnderline"/>
        </w:rPr>
        <w:t xml:space="preserve"> these </w:t>
      </w:r>
      <w:r w:rsidRPr="00456038">
        <w:rPr>
          <w:rStyle w:val="Emphasis"/>
          <w:highlight w:val="cyan"/>
        </w:rPr>
        <w:t>catch-all provisions</w:t>
      </w:r>
      <w:r w:rsidRPr="003829B4">
        <w:rPr>
          <w:sz w:val="16"/>
        </w:rPr>
        <w:t xml:space="preserve">, which broadly outlaw any fraudulent securities scheme, </w:t>
      </w:r>
      <w:r w:rsidRPr="00456038">
        <w:rPr>
          <w:rStyle w:val="StyleUnderline"/>
          <w:highlight w:val="cyan"/>
        </w:rPr>
        <w:t>has</w:t>
      </w:r>
      <w:r w:rsidRPr="00D37F31">
        <w:rPr>
          <w:rStyle w:val="StyleUnderline"/>
        </w:rPr>
        <w:t xml:space="preserve"> mostly </w:t>
      </w:r>
      <w:r w:rsidRPr="00456038">
        <w:rPr>
          <w:rStyle w:val="StyleUnderline"/>
          <w:highlight w:val="cyan"/>
        </w:rPr>
        <w:t xml:space="preserve">been </w:t>
      </w:r>
      <w:r w:rsidRPr="00456038">
        <w:rPr>
          <w:rStyle w:val="Emphasis"/>
          <w:highlight w:val="cyan"/>
        </w:rPr>
        <w:t>judge-made</w:t>
      </w:r>
      <w:r w:rsidRPr="003829B4">
        <w:rPr>
          <w:sz w:val="16"/>
        </w:rPr>
        <w:t xml:space="preserve">. Indeed, </w:t>
      </w:r>
      <w:r w:rsidRPr="00456038">
        <w:rPr>
          <w:rStyle w:val="StyleUnderline"/>
          <w:highlight w:val="cyan"/>
        </w:rPr>
        <w:t xml:space="preserve">the </w:t>
      </w:r>
      <w:r w:rsidRPr="00456038">
        <w:rPr>
          <w:rStyle w:val="Emphasis"/>
          <w:highlight w:val="cyan"/>
        </w:rPr>
        <w:t>S.E.C.</w:t>
      </w:r>
      <w:r w:rsidRPr="00456038">
        <w:rPr>
          <w:rStyle w:val="StyleUnderline"/>
          <w:highlight w:val="cyan"/>
        </w:rPr>
        <w:t xml:space="preserve"> has</w:t>
      </w:r>
      <w:r w:rsidRPr="00D37F31">
        <w:rPr>
          <w:rStyle w:val="StyleUnderline"/>
        </w:rPr>
        <w:t xml:space="preserve"> often </w:t>
      </w:r>
      <w:r w:rsidRPr="00456038">
        <w:rPr>
          <w:rStyle w:val="Emphasis"/>
          <w:highlight w:val="cyan"/>
        </w:rPr>
        <w:t>resisted</w:t>
      </w:r>
      <w:r w:rsidRPr="00D37F31">
        <w:rPr>
          <w:rStyle w:val="StyleUnderline"/>
        </w:rPr>
        <w:t xml:space="preserve"> </w:t>
      </w:r>
      <w:r w:rsidRPr="00456038">
        <w:rPr>
          <w:rStyle w:val="StyleUnderline"/>
          <w:highlight w:val="cyan"/>
        </w:rPr>
        <w:t xml:space="preserve">any </w:t>
      </w:r>
      <w:r w:rsidRPr="00456038">
        <w:rPr>
          <w:rStyle w:val="Emphasis"/>
          <w:highlight w:val="cyan"/>
        </w:rPr>
        <w:t>attempt to replace</w:t>
      </w:r>
      <w:r w:rsidRPr="00D37F31">
        <w:rPr>
          <w:rStyle w:val="StyleUnderline"/>
        </w:rPr>
        <w:t xml:space="preserve"> </w:t>
      </w:r>
      <w:r w:rsidRPr="00456038">
        <w:rPr>
          <w:rStyle w:val="StyleUnderline"/>
          <w:highlight w:val="cyan"/>
        </w:rPr>
        <w:t xml:space="preserve">these </w:t>
      </w:r>
      <w:r w:rsidRPr="00456038">
        <w:rPr>
          <w:rStyle w:val="Emphasis"/>
          <w:highlight w:val="cyan"/>
        </w:rPr>
        <w:t>provisions</w:t>
      </w:r>
      <w:r w:rsidRPr="00456038">
        <w:rPr>
          <w:rStyle w:val="StyleUnderline"/>
          <w:highlight w:val="cyan"/>
        </w:rPr>
        <w:t xml:space="preserve"> with</w:t>
      </w:r>
      <w:r w:rsidRPr="00D37F31">
        <w:rPr>
          <w:rStyle w:val="StyleUnderline"/>
        </w:rPr>
        <w:t xml:space="preserve"> </w:t>
      </w:r>
      <w:r w:rsidRPr="00456038">
        <w:rPr>
          <w:rStyle w:val="StyleUnderline"/>
          <w:highlight w:val="cyan"/>
        </w:rPr>
        <w:t>something more specific</w:t>
      </w:r>
      <w:r w:rsidRPr="003829B4">
        <w:rPr>
          <w:sz w:val="16"/>
        </w:rPr>
        <w:t xml:space="preserve">, on the theory that </w:t>
      </w:r>
      <w:r w:rsidRPr="00D37F31">
        <w:rPr>
          <w:rStyle w:val="StyleUnderline"/>
        </w:rPr>
        <w:t>such broad statutory provisions provide the flexibility</w:t>
      </w:r>
      <w:r w:rsidRPr="003829B4">
        <w:rPr>
          <w:sz w:val="16"/>
        </w:rPr>
        <w:t xml:space="preserve"> needed </w:t>
      </w:r>
      <w:r w:rsidRPr="00D37F31">
        <w:rPr>
          <w:rStyle w:val="StyleUnderline"/>
        </w:rPr>
        <w:t>to deal with</w:t>
      </w:r>
      <w:r w:rsidRPr="003829B4">
        <w:rPr>
          <w:sz w:val="16"/>
        </w:rPr>
        <w:t xml:space="preserve"> the </w:t>
      </w:r>
      <w:r w:rsidRPr="00D37F31">
        <w:rPr>
          <w:rStyle w:val="StyleUnderline"/>
        </w:rPr>
        <w:t>new schemes that fraudsters are</w:t>
      </w:r>
      <w:r w:rsidRPr="003829B4">
        <w:rPr>
          <w:sz w:val="16"/>
        </w:rPr>
        <w:t xml:space="preserve"> constantly </w:t>
      </w:r>
      <w:r w:rsidRPr="00D37F31">
        <w:rPr>
          <w:rStyle w:val="StyleUnderline"/>
        </w:rPr>
        <w:t>devising</w:t>
      </w:r>
      <w:r w:rsidRPr="003829B4">
        <w:rPr>
          <w:sz w:val="16"/>
        </w:rPr>
        <w:t>.</w:t>
      </w:r>
    </w:p>
    <w:p w14:paraId="5A8F9A53" w14:textId="77777777" w:rsidR="00586EDF" w:rsidRPr="00A07CB0" w:rsidRDefault="00586EDF" w:rsidP="00586EDF">
      <w:pPr>
        <w:rPr>
          <w:sz w:val="16"/>
        </w:rPr>
      </w:pPr>
      <w:r w:rsidRPr="00A07CB0">
        <w:rPr>
          <w:sz w:val="16"/>
        </w:rPr>
        <w:t xml:space="preserve">A good example is </w:t>
      </w:r>
      <w:r w:rsidRPr="00D37F31">
        <w:rPr>
          <w:rStyle w:val="StyleUnderline"/>
        </w:rPr>
        <w:t xml:space="preserve">the law of </w:t>
      </w:r>
      <w:r w:rsidRPr="003829B4">
        <w:rPr>
          <w:rStyle w:val="Emphasis"/>
        </w:rPr>
        <w:t>insider trading</w:t>
      </w:r>
      <w:r w:rsidRPr="00A07CB0">
        <w:rPr>
          <w:sz w:val="16"/>
        </w:rPr>
        <w:t xml:space="preserve">, which is generally charged as a violation of section 10(b) and Rule 10b-5 promulgated thereunder. Although </w:t>
      </w:r>
      <w:r w:rsidRPr="00D37F31">
        <w:rPr>
          <w:rStyle w:val="StyleUnderline"/>
        </w:rPr>
        <w:t xml:space="preserve">the very first insider trading decision was an </w:t>
      </w:r>
      <w:r w:rsidRPr="003829B4">
        <w:rPr>
          <w:rStyle w:val="Emphasis"/>
        </w:rPr>
        <w:t>internal S.E.C. decision</w:t>
      </w:r>
      <w:r w:rsidRPr="00A07CB0">
        <w:rPr>
          <w:sz w:val="16"/>
        </w:rPr>
        <w:t xml:space="preserve">, the famous Cady Roberts decision, since then </w:t>
      </w:r>
      <w:r w:rsidRPr="00D37F31">
        <w:rPr>
          <w:rStyle w:val="StyleUnderline"/>
        </w:rPr>
        <w:t xml:space="preserve">almost </w:t>
      </w:r>
      <w:r w:rsidRPr="00456038">
        <w:rPr>
          <w:rStyle w:val="Emphasis"/>
          <w:highlight w:val="cyan"/>
        </w:rPr>
        <w:t>all</w:t>
      </w:r>
      <w:r w:rsidRPr="003829B4">
        <w:rPr>
          <w:rStyle w:val="Emphasis"/>
        </w:rPr>
        <w:t xml:space="preserve"> the </w:t>
      </w:r>
      <w:r w:rsidRPr="00456038">
        <w:rPr>
          <w:rStyle w:val="Emphasis"/>
          <w:highlight w:val="cyan"/>
        </w:rPr>
        <w:t>major advances</w:t>
      </w:r>
      <w:r w:rsidRPr="00456038">
        <w:rPr>
          <w:rStyle w:val="StyleUnderline"/>
          <w:highlight w:val="cyan"/>
        </w:rPr>
        <w:t xml:space="preserve"> in</w:t>
      </w:r>
      <w:r w:rsidRPr="00D37F31">
        <w:rPr>
          <w:rStyle w:val="StyleUnderline"/>
        </w:rPr>
        <w:t xml:space="preserve"> the </w:t>
      </w:r>
      <w:r w:rsidRPr="00456038">
        <w:rPr>
          <w:rStyle w:val="StyleUnderline"/>
          <w:highlight w:val="cyan"/>
        </w:rPr>
        <w:t>development of</w:t>
      </w:r>
      <w:r w:rsidRPr="00D37F31">
        <w:rPr>
          <w:rStyle w:val="StyleUnderline"/>
        </w:rPr>
        <w:t xml:space="preserve"> the </w:t>
      </w:r>
      <w:r w:rsidRPr="00456038">
        <w:rPr>
          <w:rStyle w:val="Emphasis"/>
          <w:highlight w:val="cyan"/>
        </w:rPr>
        <w:t>law of insider trading</w:t>
      </w:r>
      <w:r w:rsidRPr="00A07CB0">
        <w:rPr>
          <w:sz w:val="16"/>
        </w:rPr>
        <w:t xml:space="preserve"> – as in the Dirks case dealing with tippee liability, the O’Hagen case approving the misappropriation theory, and the like – </w:t>
      </w:r>
      <w:r w:rsidRPr="00D37F31">
        <w:rPr>
          <w:rStyle w:val="StyleUnderline"/>
        </w:rPr>
        <w:t xml:space="preserve">have </w:t>
      </w:r>
      <w:r w:rsidRPr="00456038">
        <w:rPr>
          <w:rStyle w:val="Emphasis"/>
          <w:highlight w:val="cyan"/>
        </w:rPr>
        <w:t>occurred in federal courts</w:t>
      </w:r>
      <w:r w:rsidRPr="00D37F31">
        <w:rPr>
          <w:rStyle w:val="StyleUnderline"/>
        </w:rPr>
        <w:t>, usually either the Supreme Court or the Second Circuit</w:t>
      </w:r>
      <w:r w:rsidRPr="00A07CB0">
        <w:rPr>
          <w:sz w:val="16"/>
        </w:rPr>
        <w:t xml:space="preserve">. For its part, </w:t>
      </w:r>
      <w:r w:rsidRPr="00D37F31">
        <w:rPr>
          <w:rStyle w:val="StyleUnderline"/>
        </w:rPr>
        <w:t xml:space="preserve">the </w:t>
      </w:r>
      <w:r w:rsidRPr="00456038">
        <w:rPr>
          <w:rStyle w:val="StyleUnderline"/>
          <w:highlight w:val="cyan"/>
        </w:rPr>
        <w:t>S.E.C.</w:t>
      </w:r>
      <w:r w:rsidRPr="00D37F31">
        <w:rPr>
          <w:rStyle w:val="StyleUnderline"/>
        </w:rPr>
        <w:t>, though occasionally promulgating rules</w:t>
      </w:r>
      <w:r w:rsidRPr="00A07CB0">
        <w:rPr>
          <w:sz w:val="16"/>
        </w:rPr>
        <w:t xml:space="preserve"> in response to particular court decisions in this area, </w:t>
      </w:r>
      <w:r w:rsidRPr="00D37F31">
        <w:rPr>
          <w:rStyle w:val="StyleUnderline"/>
        </w:rPr>
        <w:t xml:space="preserve">has repeatedly </w:t>
      </w:r>
      <w:r w:rsidRPr="00456038">
        <w:rPr>
          <w:rStyle w:val="Emphasis"/>
          <w:highlight w:val="cyan"/>
        </w:rPr>
        <w:t>resisted</w:t>
      </w:r>
      <w:r w:rsidRPr="00D37F31">
        <w:rPr>
          <w:rStyle w:val="StyleUnderline"/>
        </w:rPr>
        <w:t xml:space="preserve"> any </w:t>
      </w:r>
      <w:r w:rsidRPr="00A07CB0">
        <w:rPr>
          <w:rStyle w:val="Emphasis"/>
        </w:rPr>
        <w:t xml:space="preserve">effort by </w:t>
      </w:r>
      <w:r w:rsidRPr="00456038">
        <w:rPr>
          <w:rStyle w:val="Emphasis"/>
          <w:highlight w:val="cyan"/>
        </w:rPr>
        <w:t>Congress</w:t>
      </w:r>
      <w:r w:rsidRPr="00A07CB0">
        <w:rPr>
          <w:rStyle w:val="Emphasis"/>
        </w:rPr>
        <w:t xml:space="preserve"> </w:t>
      </w:r>
      <w:r w:rsidRPr="00456038">
        <w:rPr>
          <w:rStyle w:val="Emphasis"/>
          <w:highlight w:val="cyan"/>
        </w:rPr>
        <w:t>to</w:t>
      </w:r>
      <w:r w:rsidRPr="00D37F31">
        <w:rPr>
          <w:rStyle w:val="StyleUnderline"/>
        </w:rPr>
        <w:t xml:space="preserve"> statutorily </w:t>
      </w:r>
      <w:r w:rsidRPr="00456038">
        <w:rPr>
          <w:rStyle w:val="Emphasis"/>
          <w:highlight w:val="cyan"/>
        </w:rPr>
        <w:t>define insider trading</w:t>
      </w:r>
      <w:r w:rsidRPr="00A07CB0">
        <w:rPr>
          <w:sz w:val="16"/>
        </w:rPr>
        <w:t xml:space="preserve">, preferring to leave the concept sufficiently flexible as to be able to adjust to new developments. But fair notice has nonetheless been provided by the S.E.C.’s almost uniform practice, until very recently, of bringing such cases </w:t>
      </w:r>
      <w:r w:rsidRPr="00D37F31">
        <w:rPr>
          <w:rStyle w:val="StyleUnderline"/>
        </w:rPr>
        <w:t>in federal courts</w:t>
      </w:r>
      <w:r w:rsidRPr="00A07CB0">
        <w:rPr>
          <w:sz w:val="16"/>
        </w:rPr>
        <w:t xml:space="preserve">, where </w:t>
      </w:r>
      <w:r w:rsidRPr="00D37F31">
        <w:rPr>
          <w:rStyle w:val="StyleUnderline"/>
        </w:rPr>
        <w:t>the law of insider trading has been developed and elaborated in much-publicized cases</w:t>
      </w:r>
      <w:r w:rsidRPr="00A07CB0">
        <w:rPr>
          <w:sz w:val="16"/>
        </w:rPr>
        <w:t>.</w:t>
      </w:r>
    </w:p>
    <w:p w14:paraId="522039D1" w14:textId="77777777" w:rsidR="00586EDF" w:rsidRPr="00A07CB0" w:rsidRDefault="00586EDF" w:rsidP="00586EDF">
      <w:pPr>
        <w:rPr>
          <w:sz w:val="16"/>
        </w:rPr>
      </w:pPr>
      <w:r w:rsidRPr="00A07CB0">
        <w:rPr>
          <w:sz w:val="16"/>
        </w:rPr>
        <w:t xml:space="preserve">However, </w:t>
      </w:r>
      <w:r w:rsidRPr="00D37F31">
        <w:rPr>
          <w:rStyle w:val="StyleUnderline"/>
        </w:rPr>
        <w:t>bringing these cases in federal court has not been without its costs to the S.E.C.</w:t>
      </w:r>
      <w:r w:rsidRPr="00A07CB0">
        <w:rPr>
          <w:sz w:val="16"/>
        </w:rPr>
        <w:t xml:space="preserve"> For while the U.S. Attorney’s Office has had a remarkable string of successes in prosecuting criminal insider trading cases, and the S.E.C. has likewise obtained success in civil insider trading cases brought parallel to the criminal cases, nonetheless, </w:t>
      </w:r>
      <w:r w:rsidRPr="00456038">
        <w:rPr>
          <w:rStyle w:val="Emphasis"/>
          <w:highlight w:val="cyan"/>
        </w:rPr>
        <w:t>when the S.E.C.</w:t>
      </w:r>
      <w:r w:rsidRPr="00A07CB0">
        <w:rPr>
          <w:rStyle w:val="Emphasis"/>
        </w:rPr>
        <w:t xml:space="preserve"> has </w:t>
      </w:r>
      <w:r w:rsidRPr="00456038">
        <w:rPr>
          <w:rStyle w:val="Emphasis"/>
          <w:highlight w:val="cyan"/>
        </w:rPr>
        <w:t>filed in</w:t>
      </w:r>
      <w:r w:rsidRPr="00A07CB0">
        <w:rPr>
          <w:rStyle w:val="Emphasis"/>
        </w:rPr>
        <w:t xml:space="preserve"> federal </w:t>
      </w:r>
      <w:r w:rsidRPr="00456038">
        <w:rPr>
          <w:rStyle w:val="Emphasis"/>
          <w:highlight w:val="cyan"/>
        </w:rPr>
        <w:t>court</w:t>
      </w:r>
      <w:r w:rsidRPr="00C116DD">
        <w:rPr>
          <w:rStyle w:val="StyleUnderline"/>
        </w:rPr>
        <w:t xml:space="preserve"> those civil insider trading cases </w:t>
      </w:r>
      <w:r w:rsidRPr="00A07CB0">
        <w:rPr>
          <w:sz w:val="16"/>
        </w:rPr>
        <w:t xml:space="preserve">that are sufficiently novel that no parallel criminal cases are brought, </w:t>
      </w:r>
      <w:r w:rsidRPr="00C116DD">
        <w:rPr>
          <w:rStyle w:val="StyleUnderline"/>
        </w:rPr>
        <w:t xml:space="preserve">the S.E.C. </w:t>
      </w:r>
      <w:r w:rsidRPr="00456038">
        <w:rPr>
          <w:rStyle w:val="StyleUnderline"/>
          <w:highlight w:val="cyan"/>
        </w:rPr>
        <w:t xml:space="preserve">has </w:t>
      </w:r>
      <w:r w:rsidRPr="00456038">
        <w:rPr>
          <w:rStyle w:val="Emphasis"/>
          <w:highlight w:val="cyan"/>
        </w:rPr>
        <w:t>not fared</w:t>
      </w:r>
      <w:r w:rsidRPr="00C116DD">
        <w:rPr>
          <w:rStyle w:val="StyleUnderline"/>
        </w:rPr>
        <w:t xml:space="preserve"> nearly so </w:t>
      </w:r>
      <w:r w:rsidRPr="00456038">
        <w:rPr>
          <w:rStyle w:val="Emphasis"/>
          <w:highlight w:val="cyan"/>
        </w:rPr>
        <w:t>well</w:t>
      </w:r>
      <w:r w:rsidRPr="00A07CB0">
        <w:rPr>
          <w:sz w:val="16"/>
        </w:rPr>
        <w:t xml:space="preserve">. In just this past year, </w:t>
      </w:r>
      <w:r w:rsidRPr="00C116DD">
        <w:rPr>
          <w:rStyle w:val="StyleUnderline"/>
        </w:rPr>
        <w:t>the S.E.C. suffered stinging defeats</w:t>
      </w:r>
      <w:r w:rsidRPr="00A07CB0">
        <w:rPr>
          <w:sz w:val="16"/>
        </w:rPr>
        <w:t xml:space="preserve"> in two such cases, the Obus case in the Southern District of New York and the Cuban case in the Northern District of Texas. In both these cases, </w:t>
      </w:r>
      <w:r w:rsidRPr="00C116DD">
        <w:rPr>
          <w:rStyle w:val="StyleUnderline"/>
        </w:rPr>
        <w:t>novel and difficult legal issues were presented that led initially to both cases being dismissed</w:t>
      </w:r>
      <w:r w:rsidRPr="00A07CB0">
        <w:rPr>
          <w:sz w:val="16"/>
        </w:rPr>
        <w:t xml:space="preserve"> by the district courts; but the issues were ultimately resolved by appellate decisions favorable to the S.E.C.’s theories. Nonetheless </w:t>
      </w:r>
      <w:r w:rsidRPr="00A07CB0">
        <w:rPr>
          <w:rStyle w:val="Emphasis"/>
        </w:rPr>
        <w:t>when</w:t>
      </w:r>
      <w:r w:rsidRPr="00A07CB0">
        <w:rPr>
          <w:sz w:val="16"/>
        </w:rPr>
        <w:t xml:space="preserve">, on remand, </w:t>
      </w:r>
      <w:r w:rsidRPr="00C116DD">
        <w:rPr>
          <w:rStyle w:val="StyleUnderline"/>
        </w:rPr>
        <w:t xml:space="preserve">the </w:t>
      </w:r>
      <w:r w:rsidRPr="00A07CB0">
        <w:rPr>
          <w:rStyle w:val="Emphasis"/>
        </w:rPr>
        <w:t>cases were</w:t>
      </w:r>
      <w:r w:rsidRPr="00C116DD">
        <w:rPr>
          <w:rStyle w:val="StyleUnderline"/>
        </w:rPr>
        <w:t xml:space="preserve"> ultimately </w:t>
      </w:r>
      <w:r w:rsidRPr="00A07CB0">
        <w:rPr>
          <w:rStyle w:val="Emphasis"/>
        </w:rPr>
        <w:t>tried to juries, the S.E.C. lost</w:t>
      </w:r>
      <w:r w:rsidRPr="00A07CB0">
        <w:rPr>
          <w:sz w:val="16"/>
        </w:rPr>
        <w:t>.</w:t>
      </w:r>
    </w:p>
    <w:p w14:paraId="3956F4B2" w14:textId="77777777" w:rsidR="00586EDF" w:rsidRPr="00C116DD" w:rsidRDefault="00586EDF" w:rsidP="00586EDF">
      <w:pPr>
        <w:rPr>
          <w:rStyle w:val="StyleUnderline"/>
        </w:rPr>
      </w:pPr>
      <w:r w:rsidRPr="00A07CB0">
        <w:rPr>
          <w:sz w:val="16"/>
        </w:rPr>
        <w:t xml:space="preserve">Thus, </w:t>
      </w:r>
      <w:r w:rsidRPr="00C116DD">
        <w:rPr>
          <w:rStyle w:val="StyleUnderline"/>
        </w:rPr>
        <w:t xml:space="preserve">given the expansion of its </w:t>
      </w:r>
      <w:r w:rsidRPr="00A07CB0">
        <w:rPr>
          <w:rStyle w:val="Emphasis"/>
        </w:rPr>
        <w:t>internal jurisdiction</w:t>
      </w:r>
      <w:r w:rsidRPr="00C116DD">
        <w:rPr>
          <w:rStyle w:val="StyleUnderline"/>
        </w:rPr>
        <w:t xml:space="preserve"> occasioned </w:t>
      </w:r>
      <w:r w:rsidRPr="00456038">
        <w:rPr>
          <w:rStyle w:val="StyleUnderline"/>
          <w:highlight w:val="cyan"/>
        </w:rPr>
        <w:t xml:space="preserve">by </w:t>
      </w:r>
      <w:r w:rsidRPr="00456038">
        <w:rPr>
          <w:rStyle w:val="Emphasis"/>
          <w:highlight w:val="cyan"/>
        </w:rPr>
        <w:t>Dodd-Frank</w:t>
      </w:r>
      <w:r w:rsidRPr="00A07CB0">
        <w:rPr>
          <w:sz w:val="16"/>
        </w:rPr>
        <w:t xml:space="preserve">, </w:t>
      </w:r>
      <w:r w:rsidRPr="00456038">
        <w:rPr>
          <w:rStyle w:val="StyleUnderline"/>
          <w:highlight w:val="cyan"/>
        </w:rPr>
        <w:t xml:space="preserve">the </w:t>
      </w:r>
      <w:r w:rsidRPr="00456038">
        <w:rPr>
          <w:rStyle w:val="Emphasis"/>
          <w:highlight w:val="cyan"/>
        </w:rPr>
        <w:t>S.E.C.</w:t>
      </w:r>
      <w:r w:rsidRPr="00C116DD">
        <w:rPr>
          <w:rStyle w:val="StyleUnderline"/>
        </w:rPr>
        <w:t xml:space="preserve"> might well be </w:t>
      </w:r>
      <w:r w:rsidRPr="00456038">
        <w:rPr>
          <w:rStyle w:val="Emphasis"/>
          <w:highlight w:val="cyan"/>
        </w:rPr>
        <w:t>tempted</w:t>
      </w:r>
      <w:r w:rsidRPr="00C116DD">
        <w:rPr>
          <w:rStyle w:val="StyleUnderline"/>
        </w:rPr>
        <w:t xml:space="preserve"> in the future </w:t>
      </w:r>
      <w:r w:rsidRPr="00456038">
        <w:rPr>
          <w:rStyle w:val="StyleUnderline"/>
          <w:highlight w:val="cyan"/>
        </w:rPr>
        <w:t xml:space="preserve">to </w:t>
      </w:r>
      <w:r w:rsidRPr="00456038">
        <w:rPr>
          <w:rStyle w:val="Emphasis"/>
          <w:highlight w:val="cyan"/>
        </w:rPr>
        <w:t>bring</w:t>
      </w:r>
      <w:r w:rsidRPr="00C116DD">
        <w:rPr>
          <w:rStyle w:val="StyleUnderline"/>
        </w:rPr>
        <w:t xml:space="preserve"> such </w:t>
      </w:r>
      <w:r w:rsidRPr="00456038">
        <w:rPr>
          <w:rStyle w:val="Emphasis"/>
          <w:highlight w:val="cyan"/>
        </w:rPr>
        <w:t>cases as admin</w:t>
      </w:r>
      <w:r w:rsidRPr="00A07CB0">
        <w:rPr>
          <w:rStyle w:val="Emphasis"/>
        </w:rPr>
        <w:t xml:space="preserve">istrative </w:t>
      </w:r>
      <w:r w:rsidRPr="00456038">
        <w:rPr>
          <w:rStyle w:val="Emphasis"/>
          <w:highlight w:val="cyan"/>
        </w:rPr>
        <w:t>enforcement</w:t>
      </w:r>
      <w:r w:rsidRPr="00C116DD">
        <w:rPr>
          <w:rStyle w:val="StyleUnderline"/>
        </w:rPr>
        <w:t xml:space="preserve"> actions</w:t>
      </w:r>
      <w:r w:rsidRPr="00A07CB0">
        <w:rPr>
          <w:sz w:val="16"/>
        </w:rPr>
        <w:t xml:space="preserve">, </w:t>
      </w:r>
      <w:r w:rsidRPr="00456038">
        <w:rPr>
          <w:rStyle w:val="StyleUnderline"/>
          <w:highlight w:val="cyan"/>
        </w:rPr>
        <w:t>and</w:t>
      </w:r>
      <w:r w:rsidRPr="00A07CB0">
        <w:rPr>
          <w:sz w:val="16"/>
        </w:rPr>
        <w:t xml:space="preserve"> thereby </w:t>
      </w:r>
      <w:r w:rsidRPr="00A07CB0">
        <w:rPr>
          <w:rStyle w:val="Emphasis"/>
        </w:rPr>
        <w:t xml:space="preserve">likely </w:t>
      </w:r>
      <w:r w:rsidRPr="00456038">
        <w:rPr>
          <w:rStyle w:val="Emphasis"/>
          <w:highlight w:val="cyan"/>
        </w:rPr>
        <w:t>avoid</w:t>
      </w:r>
      <w:r w:rsidRPr="00C116DD">
        <w:rPr>
          <w:rStyle w:val="StyleUnderline"/>
        </w:rPr>
        <w:t xml:space="preserve"> the sting of well-publicized </w:t>
      </w:r>
      <w:r w:rsidRPr="00456038">
        <w:rPr>
          <w:rStyle w:val="Emphasis"/>
          <w:highlight w:val="cyan"/>
        </w:rPr>
        <w:t>defeats</w:t>
      </w:r>
      <w:r w:rsidRPr="00A07CB0">
        <w:rPr>
          <w:sz w:val="16"/>
        </w:rPr>
        <w:t xml:space="preserve">. But </w:t>
      </w:r>
      <w:r w:rsidRPr="00456038">
        <w:rPr>
          <w:rStyle w:val="StyleUnderline"/>
          <w:highlight w:val="cyan"/>
        </w:rPr>
        <w:t xml:space="preserve">the </w:t>
      </w:r>
      <w:r w:rsidRPr="00456038">
        <w:rPr>
          <w:rStyle w:val="Emphasis"/>
          <w:highlight w:val="cyan"/>
        </w:rPr>
        <w:t>result would be</w:t>
      </w:r>
      <w:r w:rsidRPr="00C116DD">
        <w:rPr>
          <w:rStyle w:val="StyleUnderline"/>
        </w:rPr>
        <w:t xml:space="preserve"> that </w:t>
      </w:r>
      <w:r w:rsidRPr="00456038">
        <w:rPr>
          <w:rStyle w:val="Emphasis"/>
          <w:highlight w:val="cyan"/>
        </w:rPr>
        <w:t>the law</w:t>
      </w:r>
      <w:r w:rsidRPr="00C116DD">
        <w:rPr>
          <w:rStyle w:val="StyleUnderline"/>
        </w:rPr>
        <w:t xml:space="preserve"> in such cases </w:t>
      </w:r>
      <w:r w:rsidRPr="00456038">
        <w:rPr>
          <w:rStyle w:val="Emphasis"/>
          <w:highlight w:val="cyan"/>
        </w:rPr>
        <w:t>would</w:t>
      </w:r>
      <w:r w:rsidRPr="00C116DD">
        <w:rPr>
          <w:rStyle w:val="StyleUnderline"/>
        </w:rPr>
        <w:t xml:space="preserve"> effectively </w:t>
      </w:r>
      <w:r w:rsidRPr="00456038">
        <w:rPr>
          <w:rStyle w:val="Emphasis"/>
          <w:highlight w:val="cyan"/>
        </w:rPr>
        <w:t>be made</w:t>
      </w:r>
      <w:r w:rsidRPr="00C116DD">
        <w:rPr>
          <w:rStyle w:val="StyleUnderline"/>
        </w:rPr>
        <w:t xml:space="preserve">, not </w:t>
      </w:r>
      <w:r w:rsidRPr="00456038">
        <w:rPr>
          <w:rStyle w:val="StyleUnderline"/>
          <w:highlight w:val="cyan"/>
        </w:rPr>
        <w:t>by</w:t>
      </w:r>
      <w:r w:rsidRPr="00C116DD">
        <w:rPr>
          <w:rStyle w:val="StyleUnderline"/>
        </w:rPr>
        <w:t xml:space="preserve"> neutral federal courts, but </w:t>
      </w:r>
      <w:r w:rsidRPr="00A07CB0">
        <w:rPr>
          <w:rStyle w:val="Emphasis"/>
        </w:rPr>
        <w:t xml:space="preserve">by </w:t>
      </w:r>
      <w:r w:rsidRPr="00456038">
        <w:rPr>
          <w:rStyle w:val="Emphasis"/>
          <w:highlight w:val="cyan"/>
        </w:rPr>
        <w:t>S.E.C.</w:t>
      </w:r>
      <w:r w:rsidRPr="00C116DD">
        <w:rPr>
          <w:rStyle w:val="StyleUnderline"/>
        </w:rPr>
        <w:t xml:space="preserve"> administrative </w:t>
      </w:r>
      <w:r w:rsidRPr="00456038">
        <w:rPr>
          <w:rStyle w:val="Emphasis"/>
          <w:highlight w:val="cyan"/>
        </w:rPr>
        <w:t>judges</w:t>
      </w:r>
      <w:r w:rsidRPr="00C116DD">
        <w:rPr>
          <w:rStyle w:val="StyleUnderline"/>
        </w:rPr>
        <w:t>.</w:t>
      </w:r>
    </w:p>
    <w:p w14:paraId="57F62E79" w14:textId="77777777" w:rsidR="00586EDF" w:rsidRPr="00A07CB0" w:rsidRDefault="00586EDF" w:rsidP="00586EDF">
      <w:pPr>
        <w:rPr>
          <w:sz w:val="16"/>
        </w:rPr>
      </w:pPr>
      <w:r w:rsidRPr="00A07CB0">
        <w:rPr>
          <w:sz w:val="16"/>
        </w:rPr>
        <w:t xml:space="preserve">This is because, at least in the case of administrative decisions that have been formally approved by the S.E.C., </w:t>
      </w:r>
      <w:r w:rsidRPr="00C116DD">
        <w:rPr>
          <w:rStyle w:val="StyleUnderline"/>
        </w:rPr>
        <w:t xml:space="preserve">such </w:t>
      </w:r>
      <w:r w:rsidRPr="00456038">
        <w:rPr>
          <w:rStyle w:val="StyleUnderline"/>
          <w:highlight w:val="cyan"/>
        </w:rPr>
        <w:t>decisions</w:t>
      </w:r>
      <w:r w:rsidRPr="00C116DD">
        <w:rPr>
          <w:rStyle w:val="StyleUnderline"/>
        </w:rPr>
        <w:t>, though appealable to the federal courts</w:t>
      </w:r>
      <w:r w:rsidRPr="00A07CB0">
        <w:rPr>
          <w:sz w:val="16"/>
        </w:rPr>
        <w:t xml:space="preserve"> of appeals, </w:t>
      </w:r>
      <w:r w:rsidRPr="00C116DD">
        <w:rPr>
          <w:rStyle w:val="StyleUnderline"/>
        </w:rPr>
        <w:t>are presumed correct unless unreasonable.</w:t>
      </w:r>
      <w:r w:rsidRPr="00A07CB0">
        <w:rPr>
          <w:sz w:val="16"/>
        </w:rPr>
        <w:t xml:space="preserve"> In other words, while the decisions of federal district courts on matters of law are subject to de novo review by the appellate courts, </w:t>
      </w:r>
      <w:r w:rsidRPr="00C116DD">
        <w:rPr>
          <w:rStyle w:val="StyleUnderline"/>
        </w:rPr>
        <w:t>the law as determined by an administrative law judge</w:t>
      </w:r>
      <w:r w:rsidRPr="00A07CB0">
        <w:rPr>
          <w:sz w:val="16"/>
        </w:rPr>
        <w:t xml:space="preserve"> in a formal administrative decision </w:t>
      </w:r>
      <w:r w:rsidRPr="00C116DD">
        <w:rPr>
          <w:rStyle w:val="Emphasis"/>
        </w:rPr>
        <w:t xml:space="preserve">must be </w:t>
      </w:r>
      <w:r w:rsidRPr="00456038">
        <w:rPr>
          <w:rStyle w:val="Emphasis"/>
          <w:highlight w:val="cyan"/>
        </w:rPr>
        <w:t>given</w:t>
      </w:r>
      <w:r w:rsidRPr="00C116DD">
        <w:rPr>
          <w:rStyle w:val="Emphasis"/>
        </w:rPr>
        <w:t xml:space="preserve"> </w:t>
      </w:r>
      <w:r w:rsidRPr="00456038">
        <w:rPr>
          <w:rStyle w:val="Emphasis"/>
          <w:highlight w:val="cyan"/>
        </w:rPr>
        <w:t>deference</w:t>
      </w:r>
      <w:r w:rsidRPr="00A07CB0">
        <w:rPr>
          <w:sz w:val="16"/>
        </w:rPr>
        <w:t xml:space="preserve"> </w:t>
      </w:r>
      <w:r w:rsidRPr="00C116DD">
        <w:rPr>
          <w:rStyle w:val="StyleUnderline"/>
        </w:rPr>
        <w:t>by federal courts</w:t>
      </w:r>
      <w:r w:rsidRPr="00A07CB0">
        <w:rPr>
          <w:sz w:val="16"/>
        </w:rPr>
        <w:t xml:space="preserve"> unless the decision is not within the range of reasonable interpretations.</w:t>
      </w:r>
    </w:p>
    <w:p w14:paraId="1A61C1AF" w14:textId="77777777" w:rsidR="00586EDF" w:rsidRPr="00A07CB0" w:rsidRDefault="00586EDF" w:rsidP="00586EDF">
      <w:pPr>
        <w:rPr>
          <w:sz w:val="16"/>
        </w:rPr>
      </w:pPr>
      <w:r w:rsidRPr="00A07CB0">
        <w:rPr>
          <w:sz w:val="16"/>
        </w:rPr>
        <w:t xml:space="preserve">To put it in terms that this audience is familiar with, an S.E.C. administrative judge’s formal ruling on an otherwise undecided issue of statutory interpretation of </w:t>
      </w:r>
      <w:r w:rsidRPr="00C116DD">
        <w:rPr>
          <w:rStyle w:val="StyleUnderline"/>
        </w:rPr>
        <w:t xml:space="preserve">the </w:t>
      </w:r>
      <w:r w:rsidRPr="00456038">
        <w:rPr>
          <w:rStyle w:val="Emphasis"/>
          <w:highlight w:val="cyan"/>
        </w:rPr>
        <w:t>securities law is</w:t>
      </w:r>
      <w:r w:rsidRPr="00C116DD">
        <w:rPr>
          <w:rStyle w:val="StyleUnderline"/>
        </w:rPr>
        <w:t xml:space="preserve">, just like rules enacted by the Commission, </w:t>
      </w:r>
      <w:r w:rsidRPr="00456038">
        <w:rPr>
          <w:rStyle w:val="Emphasis"/>
          <w:highlight w:val="cyan"/>
        </w:rPr>
        <w:t xml:space="preserve">entitled to </w:t>
      </w:r>
      <w:r w:rsidRPr="0092171A">
        <w:rPr>
          <w:rStyle w:val="Emphasis"/>
        </w:rPr>
        <w:t>“</w:t>
      </w:r>
      <w:r w:rsidRPr="00456038">
        <w:rPr>
          <w:rStyle w:val="Emphasis"/>
          <w:highlight w:val="cyan"/>
        </w:rPr>
        <w:t>Chevron</w:t>
      </w:r>
      <w:r w:rsidRPr="00C116DD">
        <w:rPr>
          <w:rStyle w:val="Emphasis"/>
        </w:rPr>
        <w:t>” deference</w:t>
      </w:r>
      <w:r w:rsidRPr="00A07CB0">
        <w:rPr>
          <w:sz w:val="16"/>
        </w:rPr>
        <w:t xml:space="preserve">. And thus, for example, </w:t>
      </w:r>
      <w:r w:rsidRPr="00C116DD">
        <w:rPr>
          <w:rStyle w:val="StyleUnderline"/>
        </w:rPr>
        <w:t>the Second Circuit</w:t>
      </w:r>
      <w:r w:rsidRPr="00A07CB0">
        <w:rPr>
          <w:sz w:val="16"/>
        </w:rPr>
        <w:t xml:space="preserve">, in a 2011 decision entitled VanCook v. SEC, </w:t>
      </w:r>
      <w:r w:rsidRPr="00C116DD">
        <w:rPr>
          <w:rStyle w:val="StyleUnderline"/>
        </w:rPr>
        <w:t xml:space="preserve">overruled its own prior interpretation of a novel </w:t>
      </w:r>
      <w:r w:rsidRPr="00A07CB0">
        <w:rPr>
          <w:sz w:val="16"/>
        </w:rPr>
        <w:t xml:space="preserve">10b-5 </w:t>
      </w:r>
      <w:r w:rsidRPr="00C116DD">
        <w:rPr>
          <w:rStyle w:val="StyleUnderline"/>
        </w:rPr>
        <w:t>issue</w:t>
      </w:r>
      <w:r w:rsidRPr="00A07CB0">
        <w:rPr>
          <w:sz w:val="16"/>
        </w:rPr>
        <w:t xml:space="preserve">, </w:t>
      </w:r>
      <w:r w:rsidRPr="00C116DD">
        <w:rPr>
          <w:rStyle w:val="StyleUnderline"/>
        </w:rPr>
        <w:t>stating</w:t>
      </w:r>
      <w:r w:rsidRPr="00A07CB0">
        <w:rPr>
          <w:sz w:val="16"/>
        </w:rPr>
        <w:t xml:space="preserve"> “The Commission has since issued a formal adjudicatory decision on the subject.... </w:t>
      </w:r>
      <w:r w:rsidRPr="00C116DD">
        <w:rPr>
          <w:rStyle w:val="StyleUnderline"/>
        </w:rPr>
        <w:t>This later interpretation</w:t>
      </w:r>
      <w:r w:rsidRPr="00A07CB0">
        <w:rPr>
          <w:sz w:val="16"/>
        </w:rPr>
        <w:t xml:space="preserve"> of Rule 10b-5 ‘</w:t>
      </w:r>
      <w:r w:rsidRPr="00A07CB0">
        <w:rPr>
          <w:rStyle w:val="Emphasis"/>
        </w:rPr>
        <w:t>trumps’ our prior interpretation</w:t>
      </w:r>
      <w:r w:rsidRPr="00A07CB0">
        <w:rPr>
          <w:sz w:val="16"/>
        </w:rPr>
        <w:t>.”</w:t>
      </w:r>
    </w:p>
    <w:p w14:paraId="3350155D" w14:textId="77777777" w:rsidR="00586EDF" w:rsidRPr="00C116DD" w:rsidRDefault="00586EDF" w:rsidP="00586EDF">
      <w:pPr>
        <w:rPr>
          <w:rStyle w:val="Emphasis"/>
        </w:rPr>
      </w:pPr>
      <w:r w:rsidRPr="00A07CB0">
        <w:rPr>
          <w:sz w:val="16"/>
        </w:rPr>
        <w:t xml:space="preserve">In short, </w:t>
      </w:r>
      <w:r w:rsidRPr="00C116DD">
        <w:rPr>
          <w:rStyle w:val="StyleUnderline"/>
        </w:rPr>
        <w:t xml:space="preserve">what you have here are broad </w:t>
      </w:r>
      <w:r w:rsidRPr="00456038">
        <w:rPr>
          <w:rStyle w:val="Emphasis"/>
          <w:highlight w:val="cyan"/>
        </w:rPr>
        <w:t>anti-fraud provisions</w:t>
      </w:r>
      <w:r w:rsidRPr="00C116DD">
        <w:rPr>
          <w:rStyle w:val="StyleUnderline"/>
        </w:rPr>
        <w:t xml:space="preserve">, </w:t>
      </w:r>
      <w:r w:rsidRPr="00456038">
        <w:rPr>
          <w:rStyle w:val="Emphasis"/>
          <w:highlight w:val="cyan"/>
        </w:rPr>
        <w:t>critical to</w:t>
      </w:r>
      <w:r w:rsidRPr="00C116DD">
        <w:rPr>
          <w:rStyle w:val="StyleUnderline"/>
        </w:rPr>
        <w:t xml:space="preserve"> the transparency of the </w:t>
      </w:r>
      <w:r w:rsidRPr="00456038">
        <w:rPr>
          <w:rStyle w:val="Emphasis"/>
          <w:highlight w:val="cyan"/>
        </w:rPr>
        <w:t>securities markets</w:t>
      </w:r>
      <w:r w:rsidRPr="00A07CB0">
        <w:rPr>
          <w:rStyle w:val="Emphasis"/>
        </w:rPr>
        <w:t>,</w:t>
      </w:r>
      <w:r w:rsidRPr="00A07CB0">
        <w:rPr>
          <w:sz w:val="16"/>
        </w:rPr>
        <w:t xml:space="preserve"> </w:t>
      </w:r>
      <w:r w:rsidRPr="00C116DD">
        <w:rPr>
          <w:rStyle w:val="StyleUnderline"/>
        </w:rPr>
        <w:t xml:space="preserve">that </w:t>
      </w:r>
      <w:r w:rsidRPr="00456038">
        <w:rPr>
          <w:rStyle w:val="StyleUnderline"/>
          <w:highlight w:val="cyan"/>
        </w:rPr>
        <w:t>have</w:t>
      </w:r>
      <w:r w:rsidRPr="00A07CB0">
        <w:rPr>
          <w:sz w:val="16"/>
        </w:rPr>
        <w:t xml:space="preserve"> historically </w:t>
      </w:r>
      <w:r w:rsidRPr="00456038">
        <w:rPr>
          <w:rStyle w:val="StyleUnderline"/>
          <w:highlight w:val="cyan"/>
        </w:rPr>
        <w:t>been</w:t>
      </w:r>
      <w:r w:rsidRPr="00A07CB0">
        <w:rPr>
          <w:sz w:val="16"/>
        </w:rPr>
        <w:t xml:space="preserve"> construed and </w:t>
      </w:r>
      <w:r w:rsidRPr="00456038">
        <w:rPr>
          <w:rStyle w:val="Emphasis"/>
          <w:highlight w:val="cyan"/>
        </w:rPr>
        <w:t>elaborated by</w:t>
      </w:r>
      <w:r w:rsidRPr="00A07CB0">
        <w:rPr>
          <w:rStyle w:val="Emphasis"/>
        </w:rPr>
        <w:t xml:space="preserve"> the </w:t>
      </w:r>
      <w:r w:rsidRPr="00456038">
        <w:rPr>
          <w:rStyle w:val="Emphasis"/>
          <w:highlight w:val="cyan"/>
        </w:rPr>
        <w:t>federal courts</w:t>
      </w:r>
      <w:r w:rsidRPr="00C116DD">
        <w:rPr>
          <w:rStyle w:val="StyleUnderline"/>
        </w:rPr>
        <w:t xml:space="preserve"> </w:t>
      </w:r>
      <w:r w:rsidRPr="00A07CB0">
        <w:rPr>
          <w:rStyle w:val="Emphasis"/>
        </w:rPr>
        <w:t>but</w:t>
      </w:r>
      <w:r w:rsidRPr="00C116DD">
        <w:rPr>
          <w:rStyle w:val="StyleUnderline"/>
        </w:rPr>
        <w:t xml:space="preserve"> that, </w:t>
      </w:r>
      <w:r w:rsidRPr="00456038">
        <w:rPr>
          <w:rStyle w:val="Emphasis"/>
          <w:highlight w:val="cyan"/>
        </w:rPr>
        <w:t>under Dodd-Frank</w:t>
      </w:r>
      <w:r w:rsidRPr="00C116DD">
        <w:rPr>
          <w:rStyle w:val="StyleUnderline"/>
        </w:rPr>
        <w:t xml:space="preserve">, </w:t>
      </w:r>
      <w:r w:rsidRPr="00456038">
        <w:rPr>
          <w:rStyle w:val="StyleUnderline"/>
          <w:highlight w:val="cyan"/>
        </w:rPr>
        <w:t>could</w:t>
      </w:r>
      <w:r w:rsidRPr="00A07CB0">
        <w:rPr>
          <w:sz w:val="16"/>
        </w:rPr>
        <w:t xml:space="preserve"> increasingly </w:t>
      </w:r>
      <w:r w:rsidRPr="00456038">
        <w:rPr>
          <w:rStyle w:val="StyleUnderline"/>
          <w:highlight w:val="cyan"/>
        </w:rPr>
        <w:t>be</w:t>
      </w:r>
      <w:r w:rsidRPr="00A07CB0">
        <w:rPr>
          <w:sz w:val="16"/>
        </w:rPr>
        <w:t xml:space="preserve"> construed and </w:t>
      </w:r>
      <w:r w:rsidRPr="00456038">
        <w:rPr>
          <w:rStyle w:val="Emphasis"/>
          <w:highlight w:val="cyan"/>
        </w:rPr>
        <w:t>interpreted by the S.E.C.’s</w:t>
      </w:r>
      <w:r w:rsidRPr="00C116DD">
        <w:rPr>
          <w:rStyle w:val="StyleUnderline"/>
        </w:rPr>
        <w:t xml:space="preserve"> administrative law </w:t>
      </w:r>
      <w:r w:rsidRPr="00456038">
        <w:rPr>
          <w:rStyle w:val="Emphasis"/>
          <w:highlight w:val="cyan"/>
        </w:rPr>
        <w:t>judges</w:t>
      </w:r>
      <w:r w:rsidRPr="00A07CB0">
        <w:rPr>
          <w:sz w:val="16"/>
        </w:rPr>
        <w:t xml:space="preserve"> if the S.E.C. chose to bring its more significant cases in that forum. Whatever one might say about the S.E.C.’s quasijudicial functions, </w:t>
      </w:r>
      <w:r w:rsidRPr="00456038">
        <w:rPr>
          <w:rStyle w:val="StyleUnderline"/>
          <w:highlight w:val="cyan"/>
        </w:rPr>
        <w:t xml:space="preserve">this is </w:t>
      </w:r>
      <w:r w:rsidRPr="00456038">
        <w:rPr>
          <w:rStyle w:val="Emphasis"/>
          <w:highlight w:val="cyan"/>
        </w:rPr>
        <w:t>unlikely</w:t>
      </w:r>
      <w:r w:rsidRPr="00A07CB0">
        <w:rPr>
          <w:sz w:val="16"/>
        </w:rPr>
        <w:t xml:space="preserve">, I submit, </w:t>
      </w:r>
      <w:r w:rsidRPr="00456038">
        <w:rPr>
          <w:rStyle w:val="Emphasis"/>
          <w:highlight w:val="cyan"/>
        </w:rPr>
        <w:t>to lead to</w:t>
      </w:r>
      <w:r w:rsidRPr="00C116DD">
        <w:rPr>
          <w:rStyle w:val="StyleUnderline"/>
        </w:rPr>
        <w:t xml:space="preserve"> as </w:t>
      </w:r>
      <w:r w:rsidRPr="00456038">
        <w:rPr>
          <w:rStyle w:val="Emphasis"/>
          <w:highlight w:val="cyan"/>
        </w:rPr>
        <w:t>balanced</w:t>
      </w:r>
      <w:r w:rsidRPr="00C116DD">
        <w:rPr>
          <w:rStyle w:val="StyleUnderline"/>
        </w:rPr>
        <w:t xml:space="preserve">, careful, and impartial </w:t>
      </w:r>
      <w:r w:rsidRPr="00456038">
        <w:rPr>
          <w:rStyle w:val="Emphasis"/>
          <w:highlight w:val="cyan"/>
        </w:rPr>
        <w:t>interpretations</w:t>
      </w:r>
      <w:r w:rsidRPr="00A07CB0">
        <w:rPr>
          <w:sz w:val="16"/>
        </w:rPr>
        <w:t xml:space="preserve"> </w:t>
      </w:r>
      <w:r w:rsidRPr="00456038">
        <w:rPr>
          <w:rStyle w:val="Emphasis"/>
          <w:highlight w:val="cyan"/>
        </w:rPr>
        <w:t>as would</w:t>
      </w:r>
      <w:r w:rsidRPr="00A07CB0">
        <w:rPr>
          <w:sz w:val="16"/>
        </w:rPr>
        <w:t xml:space="preserve"> result from having those cases brought </w:t>
      </w:r>
      <w:r w:rsidRPr="00456038">
        <w:rPr>
          <w:rStyle w:val="Emphasis"/>
          <w:highlight w:val="cyan"/>
        </w:rPr>
        <w:t>in</w:t>
      </w:r>
      <w:r w:rsidRPr="00C116DD">
        <w:rPr>
          <w:rStyle w:val="Emphasis"/>
        </w:rPr>
        <w:t xml:space="preserve"> federal </w:t>
      </w:r>
      <w:r w:rsidRPr="00456038">
        <w:rPr>
          <w:rStyle w:val="Emphasis"/>
          <w:highlight w:val="cyan"/>
        </w:rPr>
        <w:t>court</w:t>
      </w:r>
      <w:r w:rsidRPr="00C116DD">
        <w:rPr>
          <w:rStyle w:val="Emphasis"/>
        </w:rPr>
        <w:t>.</w:t>
      </w:r>
    </w:p>
    <w:p w14:paraId="225072DE" w14:textId="77777777" w:rsidR="00586EDF" w:rsidRPr="00A07CB0" w:rsidRDefault="00586EDF" w:rsidP="00586EDF">
      <w:pPr>
        <w:rPr>
          <w:sz w:val="16"/>
        </w:rPr>
      </w:pPr>
      <w:r w:rsidRPr="00A07CB0">
        <w:rPr>
          <w:sz w:val="16"/>
        </w:rPr>
        <w:t xml:space="preserve">In the short-run, </w:t>
      </w:r>
      <w:r w:rsidRPr="00A07CB0">
        <w:rPr>
          <w:rStyle w:val="StyleUnderline"/>
        </w:rPr>
        <w:t>this would be unfair to the litigants</w:t>
      </w:r>
      <w:r w:rsidRPr="00A07CB0">
        <w:rPr>
          <w:sz w:val="16"/>
        </w:rPr>
        <w:t xml:space="preserve">. In the longer-run, it might not be good for the S.E.C. itself, which has its own reputation for fairness to consider. But, most of all, in the both the short-run and the long-run, </w:t>
      </w:r>
      <w:r w:rsidRPr="003829B4">
        <w:rPr>
          <w:rStyle w:val="StyleUnderline"/>
        </w:rPr>
        <w:t xml:space="preserve">it would </w:t>
      </w:r>
      <w:r w:rsidRPr="00A07CB0">
        <w:rPr>
          <w:rStyle w:val="Emphasis"/>
        </w:rPr>
        <w:t>not be good for the</w:t>
      </w:r>
      <w:r w:rsidRPr="003829B4">
        <w:rPr>
          <w:rStyle w:val="StyleUnderline"/>
        </w:rPr>
        <w:t xml:space="preserve"> impartial </w:t>
      </w:r>
      <w:r w:rsidRPr="00A07CB0">
        <w:rPr>
          <w:rStyle w:val="Emphasis"/>
        </w:rPr>
        <w:t>development of the law</w:t>
      </w:r>
      <w:r w:rsidRPr="003829B4">
        <w:rPr>
          <w:rStyle w:val="StyleUnderline"/>
        </w:rPr>
        <w:t xml:space="preserve"> in an area of immense practical importance</w:t>
      </w:r>
      <w:r w:rsidRPr="00A07CB0">
        <w:rPr>
          <w:sz w:val="16"/>
        </w:rPr>
        <w:t>.</w:t>
      </w:r>
    </w:p>
    <w:p w14:paraId="03537F93" w14:textId="77777777" w:rsidR="00586EDF" w:rsidRPr="003829B4" w:rsidRDefault="00586EDF" w:rsidP="00586EDF">
      <w:pPr>
        <w:rPr>
          <w:rStyle w:val="StyleUnderline"/>
        </w:rPr>
      </w:pPr>
      <w:r w:rsidRPr="00A07CB0">
        <w:rPr>
          <w:sz w:val="16"/>
        </w:rPr>
        <w:t xml:space="preserve">Almost from the very outset of the administrative state, the defense of the huge power we accord to administrative agencies – as classically stated by the second Chairman of the S.E.C., James Landis, in his book The Administrative Process – is that no practical alternative exists in our complex society. But </w:t>
      </w:r>
      <w:r w:rsidRPr="003829B4">
        <w:rPr>
          <w:rStyle w:val="StyleUnderline"/>
        </w:rPr>
        <w:t xml:space="preserve">when it comes to interpreting the securities laws, </w:t>
      </w:r>
      <w:r w:rsidRPr="00456038">
        <w:rPr>
          <w:rStyle w:val="StyleUnderline"/>
          <w:highlight w:val="cyan"/>
        </w:rPr>
        <w:t xml:space="preserve">a practical </w:t>
      </w:r>
      <w:r w:rsidRPr="00456038">
        <w:rPr>
          <w:rStyle w:val="Emphasis"/>
          <w:highlight w:val="cyan"/>
        </w:rPr>
        <w:t>alternative</w:t>
      </w:r>
      <w:r w:rsidRPr="00A07CB0">
        <w:rPr>
          <w:sz w:val="16"/>
        </w:rPr>
        <w:t xml:space="preserve"> – and the very one provided by the Constitution – </w:t>
      </w:r>
      <w:r w:rsidRPr="00456038">
        <w:rPr>
          <w:rStyle w:val="StyleUnderline"/>
          <w:highlight w:val="cyan"/>
        </w:rPr>
        <w:t xml:space="preserve">has </w:t>
      </w:r>
      <w:r w:rsidRPr="00456038">
        <w:rPr>
          <w:rStyle w:val="Emphasis"/>
          <w:highlight w:val="cyan"/>
        </w:rPr>
        <w:t>functioned</w:t>
      </w:r>
      <w:r w:rsidRPr="003829B4">
        <w:rPr>
          <w:rStyle w:val="StyleUnderline"/>
        </w:rPr>
        <w:t xml:space="preserve"> very </w:t>
      </w:r>
      <w:r w:rsidRPr="00A07CB0">
        <w:rPr>
          <w:rStyle w:val="Emphasis"/>
        </w:rPr>
        <w:t xml:space="preserve">effectively </w:t>
      </w:r>
      <w:r w:rsidRPr="00456038">
        <w:rPr>
          <w:rStyle w:val="Emphasis"/>
          <w:highlight w:val="cyan"/>
        </w:rPr>
        <w:t>for decades</w:t>
      </w:r>
      <w:r w:rsidRPr="00A07CB0">
        <w:rPr>
          <w:sz w:val="16"/>
        </w:rPr>
        <w:t xml:space="preserve">, namely, </w:t>
      </w:r>
      <w:r w:rsidRPr="003829B4">
        <w:rPr>
          <w:rStyle w:val="StyleUnderline"/>
        </w:rPr>
        <w:t>adjudication in the federal courts</w:t>
      </w:r>
      <w:r w:rsidRPr="00A07CB0">
        <w:rPr>
          <w:sz w:val="16"/>
        </w:rPr>
        <w:t xml:space="preserve">. </w:t>
      </w:r>
      <w:r w:rsidRPr="00456038">
        <w:rPr>
          <w:rStyle w:val="StyleUnderline"/>
          <w:highlight w:val="cyan"/>
        </w:rPr>
        <w:t xml:space="preserve">I see </w:t>
      </w:r>
      <w:r w:rsidRPr="00456038">
        <w:rPr>
          <w:rStyle w:val="Emphasis"/>
          <w:highlight w:val="cyan"/>
        </w:rPr>
        <w:t>no good reason</w:t>
      </w:r>
      <w:r w:rsidRPr="00456038">
        <w:rPr>
          <w:rStyle w:val="StyleUnderline"/>
          <w:highlight w:val="cyan"/>
        </w:rPr>
        <w:t xml:space="preserve"> to displace that</w:t>
      </w:r>
      <w:r w:rsidRPr="003829B4">
        <w:rPr>
          <w:rStyle w:val="StyleUnderline"/>
        </w:rPr>
        <w:t xml:space="preserve"> constitutional alternative </w:t>
      </w:r>
      <w:r w:rsidRPr="00456038">
        <w:rPr>
          <w:rStyle w:val="StyleUnderline"/>
          <w:highlight w:val="cyan"/>
        </w:rPr>
        <w:t xml:space="preserve">with </w:t>
      </w:r>
      <w:r w:rsidRPr="00456038">
        <w:rPr>
          <w:rStyle w:val="Emphasis"/>
          <w:highlight w:val="cyan"/>
        </w:rPr>
        <w:t>admin</w:t>
      </w:r>
      <w:r w:rsidRPr="00A07CB0">
        <w:rPr>
          <w:rStyle w:val="Emphasis"/>
        </w:rPr>
        <w:t xml:space="preserve">istrative </w:t>
      </w:r>
      <w:r w:rsidRPr="00456038">
        <w:rPr>
          <w:rStyle w:val="Emphasis"/>
          <w:highlight w:val="cyan"/>
        </w:rPr>
        <w:t>fiat</w:t>
      </w:r>
      <w:r w:rsidRPr="003829B4">
        <w:rPr>
          <w:rStyle w:val="StyleUnderline"/>
        </w:rPr>
        <w:t xml:space="preserve">, </w:t>
      </w:r>
      <w:r w:rsidRPr="00A07CB0">
        <w:rPr>
          <w:sz w:val="16"/>
        </w:rPr>
        <w:t xml:space="preserve">and I would urge the S.E.C. to consider that it is neither in its own longterm interest, </w:t>
      </w:r>
      <w:r w:rsidRPr="003829B4">
        <w:rPr>
          <w:rStyle w:val="StyleUnderline"/>
        </w:rPr>
        <w:t xml:space="preserve">nor in the interest of the securities markets, nor in the interest of the public as a whole, </w:t>
      </w:r>
      <w:r w:rsidRPr="00456038">
        <w:rPr>
          <w:rStyle w:val="StyleUnderline"/>
          <w:highlight w:val="cyan"/>
        </w:rPr>
        <w:t xml:space="preserve">for the </w:t>
      </w:r>
      <w:r w:rsidRPr="00456038">
        <w:rPr>
          <w:rStyle w:val="Emphasis"/>
          <w:highlight w:val="cyan"/>
        </w:rPr>
        <w:t>S.E.C.</w:t>
      </w:r>
      <w:r w:rsidRPr="00456038">
        <w:rPr>
          <w:rStyle w:val="StyleUnderline"/>
          <w:highlight w:val="cyan"/>
        </w:rPr>
        <w:t xml:space="preserve"> to become</w:t>
      </w:r>
      <w:r w:rsidRPr="003829B4">
        <w:rPr>
          <w:rStyle w:val="StyleUnderline"/>
        </w:rPr>
        <w:t xml:space="preserve">, in effect, </w:t>
      </w:r>
      <w:r w:rsidRPr="00456038">
        <w:rPr>
          <w:rStyle w:val="Emphasis"/>
          <w:highlight w:val="cyan"/>
        </w:rPr>
        <w:t>a law onto itself</w:t>
      </w:r>
      <w:r w:rsidRPr="003829B4">
        <w:rPr>
          <w:rStyle w:val="StyleUnderline"/>
        </w:rPr>
        <w:t>.</w:t>
      </w:r>
    </w:p>
    <w:p w14:paraId="3551E479" w14:textId="77777777" w:rsidR="00586EDF" w:rsidRDefault="00586EDF" w:rsidP="00586EDF">
      <w:pPr>
        <w:pStyle w:val="Heading4"/>
      </w:pPr>
      <w:r>
        <w:t>That crashes the recovering economy.</w:t>
      </w:r>
    </w:p>
    <w:p w14:paraId="21B6C709" w14:textId="77777777" w:rsidR="00586EDF" w:rsidRPr="008A1B84" w:rsidRDefault="00586EDF" w:rsidP="00586EDF">
      <w:r w:rsidRPr="008A1B84">
        <w:rPr>
          <w:rStyle w:val="Heading4Char"/>
        </w:rPr>
        <w:t>Diamond 20</w:t>
      </w:r>
      <w:r w:rsidRPr="008A1B84">
        <w:t xml:space="preserve"> – (Stephen F. Diamond, School of Law, Santa Clara University</w:t>
      </w:r>
      <w:r>
        <w:t>; “Insider Trading: A Clash Between Law and Economics”; Oxford Research Encyclopedias; D.A. July 4</w:t>
      </w:r>
      <w:r w:rsidRPr="008A1B84">
        <w:rPr>
          <w:vertAlign w:val="superscript"/>
        </w:rPr>
        <w:t>th</w:t>
      </w:r>
      <w:r>
        <w:t xml:space="preserve"> 2020, [Published January 2020]; </w:t>
      </w:r>
      <w:hyperlink r:id="rId73" w:history="1">
        <w:r>
          <w:rPr>
            <w:rStyle w:val="Hyperlink"/>
          </w:rPr>
          <w:t>https://oxfordre.com/economics/view/10.1093/acrefore/9780190625979.001.0001/acrefore-9780190625979-e-372</w:t>
        </w:r>
      </w:hyperlink>
      <w:r>
        <w:t>) //LFS—JCM</w:t>
      </w:r>
    </w:p>
    <w:p w14:paraId="7BFE5CE9" w14:textId="77777777" w:rsidR="00586EDF" w:rsidRPr="0092171A" w:rsidRDefault="00586EDF" w:rsidP="00586EDF">
      <w:pPr>
        <w:rPr>
          <w:sz w:val="16"/>
        </w:rPr>
      </w:pPr>
      <w:r w:rsidRPr="0092171A">
        <w:rPr>
          <w:rStyle w:val="StyleUnderline"/>
        </w:rPr>
        <w:t>Given the</w:t>
      </w:r>
      <w:r w:rsidRPr="0092171A">
        <w:rPr>
          <w:sz w:val="16"/>
        </w:rPr>
        <w:t xml:space="preserve"> tremendous </w:t>
      </w:r>
      <w:r w:rsidRPr="0092171A">
        <w:rPr>
          <w:rStyle w:val="StyleUnderline"/>
        </w:rPr>
        <w:t>importance of government</w:t>
      </w:r>
      <w:r w:rsidRPr="0092171A">
        <w:rPr>
          <w:sz w:val="16"/>
        </w:rPr>
        <w:t xml:space="preserve"> policy and </w:t>
      </w:r>
      <w:r w:rsidRPr="0092171A">
        <w:rPr>
          <w:rStyle w:val="StyleUnderline"/>
        </w:rPr>
        <w:t xml:space="preserve">regulation for the functioning of business it is not a surprise to learn that </w:t>
      </w:r>
      <w:r w:rsidRPr="00456038">
        <w:rPr>
          <w:rStyle w:val="Emphasis"/>
          <w:highlight w:val="cyan"/>
        </w:rPr>
        <w:t>access to nonpublic information</w:t>
      </w:r>
      <w:r w:rsidRPr="0092171A">
        <w:rPr>
          <w:sz w:val="16"/>
        </w:rPr>
        <w:t xml:space="preserve"> about those policies and regulations </w:t>
      </w:r>
      <w:r w:rsidRPr="0092171A">
        <w:rPr>
          <w:rStyle w:val="StyleUnderline"/>
        </w:rPr>
        <w:t xml:space="preserve">could </w:t>
      </w:r>
      <w:r w:rsidRPr="00456038">
        <w:rPr>
          <w:rStyle w:val="Emphasis"/>
          <w:highlight w:val="cyan"/>
        </w:rPr>
        <w:t>enable a trader</w:t>
      </w:r>
      <w:r w:rsidRPr="00456038">
        <w:rPr>
          <w:rStyle w:val="StyleUnderline"/>
          <w:highlight w:val="cyan"/>
        </w:rPr>
        <w:t xml:space="preserve"> to </w:t>
      </w:r>
      <w:r w:rsidRPr="00456038">
        <w:rPr>
          <w:rStyle w:val="Emphasis"/>
          <w:highlight w:val="cyan"/>
        </w:rPr>
        <w:t>gain at the expense</w:t>
      </w:r>
      <w:r w:rsidRPr="00456038">
        <w:rPr>
          <w:rStyle w:val="StyleUnderline"/>
          <w:highlight w:val="cyan"/>
        </w:rPr>
        <w:t xml:space="preserve"> of </w:t>
      </w:r>
      <w:r w:rsidRPr="00456038">
        <w:rPr>
          <w:rStyle w:val="Emphasis"/>
          <w:highlight w:val="cyan"/>
        </w:rPr>
        <w:t>other</w:t>
      </w:r>
      <w:r w:rsidRPr="0092171A">
        <w:rPr>
          <w:rStyle w:val="StyleUnderline"/>
        </w:rPr>
        <w:t xml:space="preserve"> trader</w:t>
      </w:r>
      <w:r w:rsidRPr="00456038">
        <w:rPr>
          <w:rStyle w:val="StyleUnderline"/>
          <w:highlight w:val="cyan"/>
        </w:rPr>
        <w:t>s</w:t>
      </w:r>
      <w:r w:rsidRPr="0092171A">
        <w:rPr>
          <w:sz w:val="16"/>
        </w:rPr>
        <w:t xml:space="preserve">. Leaving aside actual stealing of such information, certain </w:t>
      </w:r>
      <w:r w:rsidRPr="0092171A">
        <w:rPr>
          <w:rStyle w:val="StyleUnderline"/>
        </w:rPr>
        <w:t>individuals are likely to have access to such information via legitimate means</w:t>
      </w:r>
      <w:r w:rsidRPr="0092171A">
        <w:rPr>
          <w:sz w:val="16"/>
        </w:rPr>
        <w:t xml:space="preserve">. There are, of course, the regulators and politicians themselves along with their staff members. In addition, </w:t>
      </w:r>
      <w:r w:rsidRPr="0092171A">
        <w:rPr>
          <w:rStyle w:val="StyleUnderline"/>
        </w:rPr>
        <w:t>private sector figures participate in a wide range of government commissions</w:t>
      </w:r>
      <w:r w:rsidRPr="0092171A">
        <w:rPr>
          <w:sz w:val="16"/>
        </w:rPr>
        <w:t xml:space="preserve">, task forces, and committee hearings </w:t>
      </w:r>
      <w:r w:rsidRPr="0092171A">
        <w:rPr>
          <w:rStyle w:val="StyleUnderline"/>
        </w:rPr>
        <w:t>where they may glean information that gives them a trading advantage</w:t>
      </w:r>
      <w:r w:rsidRPr="0092171A">
        <w:rPr>
          <w:sz w:val="16"/>
        </w:rPr>
        <w:t xml:space="preserve">. (Jagolinzer, Larcker, Ormazabal &amp; Taylor, 2018). Trading by U.S. Congresspersons and their staffs was only outlawed in 2012 after several years of public reporting of </w:t>
      </w:r>
      <w:r w:rsidRPr="00456038">
        <w:rPr>
          <w:rStyle w:val="Emphasis"/>
          <w:highlight w:val="cyan"/>
        </w:rPr>
        <w:t>politicians</w:t>
      </w:r>
      <w:r w:rsidRPr="0092171A">
        <w:rPr>
          <w:sz w:val="16"/>
        </w:rPr>
        <w:t xml:space="preserve"> trading in the stocks over which they had regulatory oversight authority. But controversy persists. Part of the 2012 law was repealed a year later, </w:t>
      </w:r>
      <w:r w:rsidRPr="00456038">
        <w:rPr>
          <w:rStyle w:val="Emphasis"/>
          <w:highlight w:val="cyan"/>
        </w:rPr>
        <w:t>quietly undoing</w:t>
      </w:r>
      <w:r w:rsidRPr="0092171A">
        <w:rPr>
          <w:sz w:val="16"/>
        </w:rPr>
        <w:t xml:space="preserve"> a key </w:t>
      </w:r>
      <w:r w:rsidRPr="0092171A">
        <w:rPr>
          <w:rStyle w:val="StyleUnderline"/>
        </w:rPr>
        <w:t>recordkeeping requirement of the original law</w:t>
      </w:r>
      <w:r w:rsidRPr="0092171A">
        <w:rPr>
          <w:sz w:val="16"/>
        </w:rPr>
        <w:t xml:space="preserve">. One study by a watchdog group (Holman, 2017) found “that </w:t>
      </w:r>
      <w:r w:rsidRPr="0092171A">
        <w:rPr>
          <w:rStyle w:val="StyleUnderline"/>
        </w:rPr>
        <w:t xml:space="preserve">the </w:t>
      </w:r>
      <w:r w:rsidRPr="00456038">
        <w:rPr>
          <w:rStyle w:val="Emphasis"/>
          <w:highlight w:val="cyan"/>
        </w:rPr>
        <w:t>law</w:t>
      </w:r>
      <w:r w:rsidRPr="0092171A">
        <w:rPr>
          <w:rStyle w:val="StyleUnderline"/>
        </w:rPr>
        <w:t xml:space="preserve"> appears </w:t>
      </w:r>
      <w:r w:rsidRPr="00456038">
        <w:rPr>
          <w:rStyle w:val="StyleUnderline"/>
          <w:highlight w:val="cyan"/>
        </w:rPr>
        <w:t xml:space="preserve">to </w:t>
      </w:r>
      <w:r w:rsidRPr="00456038">
        <w:rPr>
          <w:rStyle w:val="Emphasis"/>
          <w:highlight w:val="cyan"/>
        </w:rPr>
        <w:t>have</w:t>
      </w:r>
      <w:r w:rsidRPr="0092171A">
        <w:rPr>
          <w:rStyle w:val="StyleUnderline"/>
        </w:rPr>
        <w:t xml:space="preserve"> had </w:t>
      </w:r>
      <w:r w:rsidRPr="00456038">
        <w:rPr>
          <w:rStyle w:val="StyleUnderline"/>
          <w:highlight w:val="cyan"/>
        </w:rPr>
        <w:t xml:space="preserve">a </w:t>
      </w:r>
      <w:r w:rsidRPr="00456038">
        <w:rPr>
          <w:rStyle w:val="Emphasis"/>
          <w:highlight w:val="cyan"/>
        </w:rPr>
        <w:t>dramatic impact</w:t>
      </w:r>
      <w:r w:rsidRPr="00456038">
        <w:rPr>
          <w:rStyle w:val="StyleUnderline"/>
          <w:highlight w:val="cyan"/>
        </w:rPr>
        <w:t xml:space="preserve"> on</w:t>
      </w:r>
      <w:r w:rsidRPr="0092171A">
        <w:rPr>
          <w:rStyle w:val="StyleUnderline"/>
        </w:rPr>
        <w:t xml:space="preserve"> </w:t>
      </w:r>
      <w:r w:rsidRPr="0092171A">
        <w:rPr>
          <w:rStyle w:val="Emphasis"/>
        </w:rPr>
        <w:t xml:space="preserve">stock </w:t>
      </w:r>
      <w:r w:rsidRPr="00456038">
        <w:rPr>
          <w:rStyle w:val="Emphasis"/>
          <w:highlight w:val="cyan"/>
        </w:rPr>
        <w:t>trading</w:t>
      </w:r>
      <w:r w:rsidRPr="0092171A">
        <w:rPr>
          <w:rStyle w:val="StyleUnderline"/>
        </w:rPr>
        <w:t xml:space="preserve"> </w:t>
      </w:r>
      <w:r w:rsidRPr="0092171A">
        <w:rPr>
          <w:sz w:val="16"/>
        </w:rPr>
        <w:t>activity. Both the transaction values of stock trades, and the number of stock transactions, have significantly declined since passage of the STOCK Act” (p. 3).</w:t>
      </w:r>
    </w:p>
    <w:p w14:paraId="683F6322" w14:textId="77777777" w:rsidR="00586EDF" w:rsidRPr="0092171A" w:rsidRDefault="00586EDF" w:rsidP="00586EDF">
      <w:pPr>
        <w:rPr>
          <w:sz w:val="16"/>
        </w:rPr>
      </w:pPr>
      <w:r w:rsidRPr="0092171A">
        <w:rPr>
          <w:sz w:val="16"/>
        </w:rPr>
        <w:t xml:space="preserve">Surprisingly, </w:t>
      </w:r>
      <w:r w:rsidRPr="00456038">
        <w:rPr>
          <w:rStyle w:val="Emphasis"/>
          <w:highlight w:val="cyan"/>
        </w:rPr>
        <w:t>SEC employees are allowed to trade</w:t>
      </w:r>
      <w:r w:rsidRPr="0092171A">
        <w:rPr>
          <w:rStyle w:val="Emphasis"/>
        </w:rPr>
        <w:t xml:space="preserve"> in stocks</w:t>
      </w:r>
      <w:r w:rsidRPr="0092171A">
        <w:rPr>
          <w:sz w:val="16"/>
        </w:rPr>
        <w:t xml:space="preserve"> and, one study found, </w:t>
      </w:r>
      <w:r w:rsidRPr="0092171A">
        <w:rPr>
          <w:rStyle w:val="StyleUnderline"/>
        </w:rPr>
        <w:t xml:space="preserve">they </w:t>
      </w:r>
      <w:r w:rsidRPr="00456038">
        <w:rPr>
          <w:rStyle w:val="StyleUnderline"/>
          <w:highlight w:val="cyan"/>
        </w:rPr>
        <w:t>earn</w:t>
      </w:r>
      <w:r w:rsidRPr="0092171A">
        <w:rPr>
          <w:rStyle w:val="StyleUnderline"/>
        </w:rPr>
        <w:t xml:space="preserve"> “</w:t>
      </w:r>
      <w:r w:rsidRPr="00456038">
        <w:rPr>
          <w:rStyle w:val="Emphasis"/>
          <w:highlight w:val="cyan"/>
        </w:rPr>
        <w:t>abnormal</w:t>
      </w:r>
      <w:r w:rsidRPr="0092171A">
        <w:rPr>
          <w:rStyle w:val="StyleUnderline"/>
        </w:rPr>
        <w:t xml:space="preserve"> risk-adjusted </w:t>
      </w:r>
      <w:r w:rsidRPr="00456038">
        <w:rPr>
          <w:rStyle w:val="Emphasis"/>
          <w:highlight w:val="cyan"/>
        </w:rPr>
        <w:t>profits</w:t>
      </w:r>
      <w:r w:rsidRPr="0092171A">
        <w:rPr>
          <w:rStyle w:val="StyleUnderline"/>
        </w:rPr>
        <w:t>” on some of those trades</w:t>
      </w:r>
      <w:r w:rsidRPr="0092171A">
        <w:rPr>
          <w:sz w:val="16"/>
        </w:rPr>
        <w:t xml:space="preserve"> (Rajgopal &amp; White, 2017, p. 442). A preliminary version of this study, however, was sharply criticized by Solomon (2014) and Romanek (2014). One explanation for </w:t>
      </w:r>
      <w:r w:rsidRPr="0092171A">
        <w:rPr>
          <w:rStyle w:val="StyleUnderline"/>
        </w:rPr>
        <w:t>the SEC staff’s trading profits</w:t>
      </w:r>
      <w:r w:rsidRPr="0092171A">
        <w:rPr>
          <w:sz w:val="16"/>
        </w:rPr>
        <w:t xml:space="preserve">, which occurred on sales more than on purchases, is that </w:t>
      </w:r>
      <w:r w:rsidRPr="0092171A">
        <w:rPr>
          <w:rStyle w:val="StyleUnderline"/>
        </w:rPr>
        <w:t>they are mandated to sell in advance</w:t>
      </w:r>
      <w:r w:rsidRPr="0092171A">
        <w:rPr>
          <w:sz w:val="16"/>
        </w:rPr>
        <w:t xml:space="preserve"> of an investigation of a stock by the Commission. Naturally, those stocks are subject to a potential decline once an investigation is announced. While this was explained away as innocent, </w:t>
      </w:r>
      <w:r w:rsidRPr="0092171A">
        <w:rPr>
          <w:rStyle w:val="StyleUnderline"/>
        </w:rPr>
        <w:t xml:space="preserve">it does highlight that, like firms, the </w:t>
      </w:r>
      <w:r w:rsidRPr="0092171A">
        <w:rPr>
          <w:rStyle w:val="Emphasis"/>
        </w:rPr>
        <w:t xml:space="preserve">SEC </w:t>
      </w:r>
      <w:r w:rsidRPr="00456038">
        <w:rPr>
          <w:rStyle w:val="Emphasis"/>
          <w:highlight w:val="cyan"/>
        </w:rPr>
        <w:t>possesses</w:t>
      </w:r>
      <w:r w:rsidRPr="0092171A">
        <w:rPr>
          <w:rStyle w:val="StyleUnderline"/>
        </w:rPr>
        <w:t xml:space="preserve"> material </w:t>
      </w:r>
      <w:r w:rsidRPr="00456038">
        <w:rPr>
          <w:rStyle w:val="Emphasis"/>
          <w:highlight w:val="cyan"/>
        </w:rPr>
        <w:t>nonpublic information</w:t>
      </w:r>
      <w:r w:rsidRPr="0092171A">
        <w:rPr>
          <w:rStyle w:val="StyleUnderline"/>
        </w:rPr>
        <w:t xml:space="preserve"> and if it allows staff to buy and then sell it is,</w:t>
      </w:r>
      <w:r w:rsidRPr="0092171A">
        <w:rPr>
          <w:sz w:val="16"/>
        </w:rPr>
        <w:t xml:space="preserve"> in a sense, </w:t>
      </w:r>
      <w:r w:rsidRPr="0092171A">
        <w:rPr>
          <w:rStyle w:val="StyleUnderline"/>
        </w:rPr>
        <w:t>awarding the rights to that information</w:t>
      </w:r>
      <w:r w:rsidRPr="0092171A">
        <w:rPr>
          <w:sz w:val="16"/>
        </w:rPr>
        <w:t xml:space="preserve"> to its staff. Rajgopal and White conclude that the problem “would be solved by a </w:t>
      </w:r>
      <w:r w:rsidRPr="00AA1EBE">
        <w:rPr>
          <w:sz w:val="16"/>
        </w:rPr>
        <w:t>simple</w:t>
      </w:r>
      <w:r w:rsidRPr="0092171A">
        <w:rPr>
          <w:sz w:val="16"/>
        </w:rPr>
        <w:t>, bright-line rule prohibiting SEC employees from trading in individual stocks” (p. 443).</w:t>
      </w:r>
    </w:p>
    <w:p w14:paraId="62CAFF5E" w14:textId="77777777" w:rsidR="00586EDF" w:rsidRPr="0092171A" w:rsidRDefault="00586EDF" w:rsidP="00586EDF">
      <w:pPr>
        <w:rPr>
          <w:sz w:val="16"/>
          <w:szCs w:val="16"/>
        </w:rPr>
      </w:pPr>
      <w:r w:rsidRPr="0092171A">
        <w:rPr>
          <w:sz w:val="16"/>
          <w:szCs w:val="16"/>
        </w:rPr>
        <w:t>Conclusion</w:t>
      </w:r>
    </w:p>
    <w:p w14:paraId="20B3A832" w14:textId="77777777" w:rsidR="00586EDF" w:rsidRPr="0084565B" w:rsidRDefault="00586EDF" w:rsidP="00586EDF">
      <w:pPr>
        <w:rPr>
          <w:sz w:val="16"/>
        </w:rPr>
      </w:pPr>
      <w:r w:rsidRPr="00456038">
        <w:rPr>
          <w:rStyle w:val="Emphasis"/>
          <w:highlight w:val="cyan"/>
        </w:rPr>
        <w:t>Markets</w:t>
      </w:r>
      <w:r w:rsidRPr="0084565B">
        <w:rPr>
          <w:sz w:val="16"/>
        </w:rPr>
        <w:t xml:space="preserve"> that deal with intangible goods </w:t>
      </w:r>
      <w:r w:rsidRPr="00456038">
        <w:rPr>
          <w:rStyle w:val="Emphasis"/>
          <w:highlight w:val="cyan"/>
        </w:rPr>
        <w:t>are inherently fragile</w:t>
      </w:r>
      <w:r w:rsidRPr="0084565B">
        <w:rPr>
          <w:sz w:val="16"/>
        </w:rPr>
        <w:t xml:space="preserve">. </w:t>
      </w:r>
      <w:r w:rsidRPr="0084565B">
        <w:rPr>
          <w:rStyle w:val="StyleUnderline"/>
        </w:rPr>
        <w:t xml:space="preserve">The stock market deals in </w:t>
      </w:r>
      <w:r w:rsidRPr="0084565B">
        <w:rPr>
          <w:sz w:val="16"/>
        </w:rPr>
        <w:t xml:space="preserve">perhaps </w:t>
      </w:r>
      <w:r w:rsidRPr="0084565B">
        <w:rPr>
          <w:rStyle w:val="StyleUnderline"/>
        </w:rPr>
        <w:t>the most intangible asset of all, information</w:t>
      </w:r>
      <w:r w:rsidRPr="0084565B">
        <w:rPr>
          <w:sz w:val="16"/>
        </w:rPr>
        <w:t xml:space="preserve">. While that market functions better with more information </w:t>
      </w:r>
      <w:r w:rsidRPr="0084565B">
        <w:rPr>
          <w:rStyle w:val="StyleUnderline"/>
        </w:rPr>
        <w:t>it</w:t>
      </w:r>
      <w:r w:rsidRPr="0084565B">
        <w:rPr>
          <w:sz w:val="16"/>
        </w:rPr>
        <w:t xml:space="preserve"> also </w:t>
      </w:r>
      <w:r w:rsidRPr="0084565B">
        <w:rPr>
          <w:rStyle w:val="StyleUnderline"/>
        </w:rPr>
        <w:t>needs to have a mechanism</w:t>
      </w:r>
      <w:r w:rsidRPr="0084565B">
        <w:rPr>
          <w:sz w:val="16"/>
        </w:rPr>
        <w:t xml:space="preserve"> in place </w:t>
      </w:r>
      <w:r w:rsidRPr="0084565B">
        <w:rPr>
          <w:rStyle w:val="StyleUnderline"/>
        </w:rPr>
        <w:t>to distribute that information in a manner</w:t>
      </w:r>
      <w:r w:rsidRPr="0084565B">
        <w:rPr>
          <w:sz w:val="16"/>
        </w:rPr>
        <w:t xml:space="preserve"> that is </w:t>
      </w:r>
      <w:r w:rsidRPr="0084565B">
        <w:rPr>
          <w:rStyle w:val="StyleUnderline"/>
        </w:rPr>
        <w:t>socially optimal</w:t>
      </w:r>
      <w:r w:rsidRPr="0084565B">
        <w:rPr>
          <w:sz w:val="16"/>
        </w:rPr>
        <w:t xml:space="preserve">. The </w:t>
      </w:r>
      <w:r w:rsidRPr="0084565B">
        <w:rPr>
          <w:rStyle w:val="StyleUnderline"/>
        </w:rPr>
        <w:t>participants in a stock market will never have complete information</w:t>
      </w:r>
      <w:r w:rsidRPr="0084565B">
        <w:rPr>
          <w:sz w:val="16"/>
        </w:rPr>
        <w:t xml:space="preserve">. </w:t>
      </w:r>
      <w:r w:rsidRPr="0084565B">
        <w:rPr>
          <w:rStyle w:val="StyleUnderline"/>
        </w:rPr>
        <w:t>An economy based on competition between private owners</w:t>
      </w:r>
      <w:r w:rsidRPr="0084565B">
        <w:rPr>
          <w:sz w:val="16"/>
        </w:rPr>
        <w:t xml:space="preserve"> of firms </w:t>
      </w:r>
      <w:r w:rsidRPr="0084565B">
        <w:rPr>
          <w:rStyle w:val="StyleUnderline"/>
        </w:rPr>
        <w:t>means</w:t>
      </w:r>
      <w:r w:rsidRPr="0084565B">
        <w:rPr>
          <w:sz w:val="16"/>
        </w:rPr>
        <w:t xml:space="preserve"> that </w:t>
      </w:r>
      <w:r w:rsidRPr="00456038">
        <w:rPr>
          <w:rStyle w:val="Emphasis"/>
          <w:highlight w:val="cyan"/>
        </w:rPr>
        <w:t>some information will</w:t>
      </w:r>
      <w:r w:rsidRPr="0084565B">
        <w:rPr>
          <w:rStyle w:val="Emphasis"/>
        </w:rPr>
        <w:t xml:space="preserve"> always </w:t>
      </w:r>
      <w:r w:rsidRPr="00456038">
        <w:rPr>
          <w:rStyle w:val="Emphasis"/>
          <w:highlight w:val="cyan"/>
        </w:rPr>
        <w:t>remain off the market</w:t>
      </w:r>
      <w:r w:rsidRPr="0084565B">
        <w:rPr>
          <w:sz w:val="16"/>
        </w:rPr>
        <w:t xml:space="preserve">. In the face of that “incomplete information” problem it should be accepted that </w:t>
      </w:r>
      <w:r w:rsidRPr="00456038">
        <w:rPr>
          <w:rStyle w:val="StyleUnderline"/>
          <w:highlight w:val="cyan"/>
        </w:rPr>
        <w:t xml:space="preserve">stock </w:t>
      </w:r>
      <w:r w:rsidRPr="00456038">
        <w:rPr>
          <w:rStyle w:val="Emphasis"/>
          <w:highlight w:val="cyan"/>
        </w:rPr>
        <w:t>markets depend on buyers</w:t>
      </w:r>
      <w:r w:rsidRPr="0084565B">
        <w:rPr>
          <w:rStyle w:val="Emphasis"/>
        </w:rPr>
        <w:t xml:space="preserve"> and sellers </w:t>
      </w:r>
      <w:r w:rsidRPr="00456038">
        <w:rPr>
          <w:rStyle w:val="Emphasis"/>
          <w:highlight w:val="cyan"/>
        </w:rPr>
        <w:t>feeling confident</w:t>
      </w:r>
      <w:r w:rsidRPr="00456038">
        <w:rPr>
          <w:rStyle w:val="StyleUnderline"/>
          <w:highlight w:val="cyan"/>
        </w:rPr>
        <w:t xml:space="preserve"> that</w:t>
      </w:r>
      <w:r w:rsidRPr="0084565B">
        <w:rPr>
          <w:rStyle w:val="StyleUnderline"/>
        </w:rPr>
        <w:t xml:space="preserve"> the </w:t>
      </w:r>
      <w:r w:rsidRPr="00456038">
        <w:rPr>
          <w:rStyle w:val="StyleUnderline"/>
          <w:highlight w:val="cyan"/>
        </w:rPr>
        <w:t>price</w:t>
      </w:r>
      <w:r w:rsidRPr="0084565B">
        <w:rPr>
          <w:rStyle w:val="StyleUnderline"/>
        </w:rPr>
        <w:t xml:space="preserve"> they strike for shares in a transaction </w:t>
      </w:r>
      <w:r w:rsidRPr="00456038">
        <w:rPr>
          <w:rStyle w:val="StyleUnderline"/>
          <w:highlight w:val="cyan"/>
        </w:rPr>
        <w:t>is close to</w:t>
      </w:r>
      <w:r w:rsidRPr="0084565B">
        <w:rPr>
          <w:rStyle w:val="StyleUnderline"/>
        </w:rPr>
        <w:t xml:space="preserve"> the </w:t>
      </w:r>
      <w:r w:rsidRPr="00456038">
        <w:rPr>
          <w:rStyle w:val="StyleUnderline"/>
          <w:highlight w:val="cyan"/>
        </w:rPr>
        <w:t>right</w:t>
      </w:r>
      <w:r w:rsidRPr="0084565B">
        <w:rPr>
          <w:rStyle w:val="StyleUnderline"/>
        </w:rPr>
        <w:t xml:space="preserve"> price</w:t>
      </w:r>
      <w:r w:rsidRPr="0084565B">
        <w:rPr>
          <w:sz w:val="16"/>
        </w:rPr>
        <w:t xml:space="preserve">. The </w:t>
      </w:r>
      <w:r w:rsidRPr="00456038">
        <w:rPr>
          <w:rStyle w:val="Emphasis"/>
          <w:highlight w:val="cyan"/>
        </w:rPr>
        <w:t>parties to</w:t>
      </w:r>
      <w:r w:rsidRPr="0084565B">
        <w:rPr>
          <w:sz w:val="16"/>
        </w:rPr>
        <w:t xml:space="preserve"> these </w:t>
      </w:r>
      <w:r w:rsidRPr="00456038">
        <w:rPr>
          <w:rStyle w:val="Emphasis"/>
          <w:highlight w:val="cyan"/>
        </w:rPr>
        <w:t>trades</w:t>
      </w:r>
      <w:r w:rsidRPr="00456038">
        <w:rPr>
          <w:sz w:val="16"/>
          <w:highlight w:val="cyan"/>
        </w:rPr>
        <w:t xml:space="preserve"> </w:t>
      </w:r>
      <w:r w:rsidRPr="00456038">
        <w:rPr>
          <w:rStyle w:val="StyleUnderline"/>
          <w:highlight w:val="cyan"/>
        </w:rPr>
        <w:t>must</w:t>
      </w:r>
      <w:r w:rsidRPr="0084565B">
        <w:rPr>
          <w:sz w:val="16"/>
        </w:rPr>
        <w:t xml:space="preserve">, therefore, </w:t>
      </w:r>
      <w:r w:rsidRPr="00456038">
        <w:rPr>
          <w:rStyle w:val="StyleUnderline"/>
          <w:highlight w:val="cyan"/>
        </w:rPr>
        <w:t>believe</w:t>
      </w:r>
      <w:r w:rsidRPr="0084565B">
        <w:rPr>
          <w:sz w:val="16"/>
        </w:rPr>
        <w:t xml:space="preserve">—even in the face of incomplete information—that </w:t>
      </w:r>
      <w:r w:rsidRPr="00456038">
        <w:rPr>
          <w:rStyle w:val="Emphasis"/>
          <w:highlight w:val="cyan"/>
        </w:rPr>
        <w:t>they</w:t>
      </w:r>
      <w:r w:rsidRPr="0084565B">
        <w:rPr>
          <w:rStyle w:val="Emphasis"/>
        </w:rPr>
        <w:t xml:space="preserve"> </w:t>
      </w:r>
      <w:r w:rsidRPr="00456038">
        <w:rPr>
          <w:rStyle w:val="Emphasis"/>
          <w:highlight w:val="cyan"/>
        </w:rPr>
        <w:t>are dealing with</w:t>
      </w:r>
      <w:r w:rsidRPr="0084565B">
        <w:rPr>
          <w:rStyle w:val="Emphasis"/>
        </w:rPr>
        <w:t xml:space="preserve"> an asset</w:t>
      </w:r>
      <w:r w:rsidRPr="0084565B">
        <w:rPr>
          <w:sz w:val="16"/>
        </w:rPr>
        <w:t xml:space="preserve"> they both understand and can assess </w:t>
      </w:r>
      <w:r w:rsidRPr="0084565B">
        <w:rPr>
          <w:rStyle w:val="Emphasis"/>
        </w:rPr>
        <w:t xml:space="preserve">within a </w:t>
      </w:r>
      <w:r w:rsidRPr="00456038">
        <w:rPr>
          <w:rStyle w:val="Emphasis"/>
          <w:highlight w:val="cyan"/>
        </w:rPr>
        <w:t>balanced</w:t>
      </w:r>
      <w:r w:rsidRPr="0084565B">
        <w:rPr>
          <w:rStyle w:val="Emphasis"/>
        </w:rPr>
        <w:t xml:space="preserve"> range of </w:t>
      </w:r>
      <w:r w:rsidRPr="00456038">
        <w:rPr>
          <w:rStyle w:val="Emphasis"/>
          <w:highlight w:val="cyan"/>
        </w:rPr>
        <w:t>equality</w:t>
      </w:r>
      <w:r w:rsidRPr="0084565B">
        <w:rPr>
          <w:sz w:val="16"/>
        </w:rPr>
        <w:t xml:space="preserve">. That increases the chances that they will, in fact, trade, </w:t>
      </w:r>
      <w:r w:rsidRPr="00456038">
        <w:rPr>
          <w:rStyle w:val="StyleUnderline"/>
          <w:highlight w:val="cyan"/>
        </w:rPr>
        <w:t xml:space="preserve">as </w:t>
      </w:r>
      <w:r w:rsidRPr="00456038">
        <w:rPr>
          <w:rStyle w:val="Emphasis"/>
          <w:highlight w:val="cyan"/>
        </w:rPr>
        <w:t>opposed to leaving the market</w:t>
      </w:r>
      <w:r w:rsidRPr="0084565B">
        <w:rPr>
          <w:rStyle w:val="StyleUnderline"/>
        </w:rPr>
        <w:t xml:space="preserve"> altogether </w:t>
      </w:r>
      <w:r w:rsidRPr="00456038">
        <w:rPr>
          <w:rStyle w:val="Emphasis"/>
          <w:highlight w:val="cyan"/>
        </w:rPr>
        <w:t>fearing</w:t>
      </w:r>
      <w:r w:rsidRPr="0084565B">
        <w:rPr>
          <w:rStyle w:val="StyleUnderline"/>
        </w:rPr>
        <w:t xml:space="preserve"> that </w:t>
      </w:r>
      <w:r w:rsidRPr="00456038">
        <w:rPr>
          <w:rStyle w:val="StyleUnderline"/>
          <w:highlight w:val="cyan"/>
        </w:rPr>
        <w:t>they</w:t>
      </w:r>
      <w:r w:rsidRPr="0084565B">
        <w:rPr>
          <w:rStyle w:val="StyleUnderline"/>
        </w:rPr>
        <w:t xml:space="preserve"> a</w:t>
      </w:r>
      <w:r w:rsidRPr="00456038">
        <w:rPr>
          <w:rStyle w:val="StyleUnderline"/>
          <w:highlight w:val="cyan"/>
        </w:rPr>
        <w:t>re</w:t>
      </w:r>
      <w:r w:rsidRPr="0084565B">
        <w:rPr>
          <w:rStyle w:val="StyleUnderline"/>
        </w:rPr>
        <w:t xml:space="preserve"> </w:t>
      </w:r>
      <w:r w:rsidRPr="0084565B">
        <w:rPr>
          <w:rStyle w:val="Emphasis"/>
        </w:rPr>
        <w:t xml:space="preserve">being </w:t>
      </w:r>
      <w:r w:rsidRPr="00456038">
        <w:rPr>
          <w:rStyle w:val="Emphasis"/>
          <w:highlight w:val="cyan"/>
        </w:rPr>
        <w:t>taken advantage of</w:t>
      </w:r>
      <w:r w:rsidRPr="0084565B">
        <w:rPr>
          <w:rStyle w:val="StyleUnderline"/>
        </w:rPr>
        <w:t xml:space="preserve"> by so-called “informed traders,”</w:t>
      </w:r>
      <w:r w:rsidRPr="0084565B">
        <w:rPr>
          <w:sz w:val="16"/>
        </w:rPr>
        <w:t xml:space="preserve"> and that their final agreed price is as close to the actual value of the firm as can be reasonably expected.</w:t>
      </w:r>
    </w:p>
    <w:p w14:paraId="274840FC" w14:textId="77777777" w:rsidR="00586EDF" w:rsidRPr="00AA1EBE" w:rsidRDefault="00586EDF" w:rsidP="00586EDF">
      <w:pPr>
        <w:rPr>
          <w:sz w:val="16"/>
        </w:rPr>
      </w:pPr>
      <w:r w:rsidRPr="00AA1EBE">
        <w:rPr>
          <w:sz w:val="16"/>
        </w:rPr>
        <w:t xml:space="preserve">The concern that </w:t>
      </w:r>
      <w:r w:rsidRPr="00456038">
        <w:rPr>
          <w:rStyle w:val="StyleUnderline"/>
          <w:highlight w:val="cyan"/>
        </w:rPr>
        <w:t>buyers</w:t>
      </w:r>
      <w:r w:rsidRPr="0084565B">
        <w:rPr>
          <w:rStyle w:val="StyleUnderline"/>
        </w:rPr>
        <w:t xml:space="preserve"> and sellers </w:t>
      </w:r>
      <w:r w:rsidRPr="00456038">
        <w:rPr>
          <w:rStyle w:val="Emphasis"/>
          <w:highlight w:val="cyan"/>
        </w:rPr>
        <w:t>may abandon a market</w:t>
      </w:r>
      <w:r w:rsidRPr="00456038">
        <w:rPr>
          <w:rStyle w:val="StyleUnderline"/>
          <w:highlight w:val="cyan"/>
        </w:rPr>
        <w:t xml:space="preserve"> when</w:t>
      </w:r>
      <w:r w:rsidRPr="0084565B">
        <w:rPr>
          <w:rStyle w:val="StyleUnderline"/>
        </w:rPr>
        <w:t xml:space="preserve"> their </w:t>
      </w:r>
      <w:r w:rsidRPr="00456038">
        <w:rPr>
          <w:rStyle w:val="Emphasis"/>
          <w:highlight w:val="cyan"/>
        </w:rPr>
        <w:t>confidence</w:t>
      </w:r>
      <w:r w:rsidRPr="00AA1EBE">
        <w:rPr>
          <w:sz w:val="16"/>
        </w:rPr>
        <w:t xml:space="preserve"> in these expectations </w:t>
      </w:r>
      <w:r w:rsidRPr="00456038">
        <w:rPr>
          <w:rStyle w:val="Emphasis"/>
          <w:highlight w:val="cyan"/>
        </w:rPr>
        <w:t>decreases</w:t>
      </w:r>
      <w:r w:rsidRPr="00AA1EBE">
        <w:rPr>
          <w:sz w:val="16"/>
        </w:rPr>
        <w:t xml:space="preserve"> is likely underestimated. Even in the wake of the series of corporate and financial scandals of the early 21st century the </w:t>
      </w:r>
      <w:r w:rsidRPr="0084565B">
        <w:rPr>
          <w:rStyle w:val="Emphasis"/>
        </w:rPr>
        <w:t>U.S.</w:t>
      </w:r>
      <w:r w:rsidRPr="0084565B">
        <w:rPr>
          <w:rStyle w:val="StyleUnderline"/>
        </w:rPr>
        <w:t xml:space="preserve"> stock </w:t>
      </w:r>
      <w:r w:rsidRPr="00456038">
        <w:rPr>
          <w:rStyle w:val="Emphasis"/>
          <w:highlight w:val="cyan"/>
        </w:rPr>
        <w:t>markets</w:t>
      </w:r>
      <w:r w:rsidRPr="0084565B">
        <w:rPr>
          <w:rStyle w:val="StyleUnderline"/>
        </w:rPr>
        <w:t xml:space="preserve"> </w:t>
      </w:r>
      <w:r w:rsidRPr="00456038">
        <w:rPr>
          <w:rStyle w:val="StyleUnderline"/>
          <w:highlight w:val="cyan"/>
        </w:rPr>
        <w:t>remain</w:t>
      </w:r>
      <w:r w:rsidRPr="0084565B">
        <w:rPr>
          <w:rStyle w:val="StyleUnderline"/>
        </w:rPr>
        <w:t xml:space="preserve"> robust </w:t>
      </w:r>
      <w:r w:rsidRPr="00456038">
        <w:rPr>
          <w:rStyle w:val="Emphasis"/>
          <w:highlight w:val="cyan"/>
        </w:rPr>
        <w:t>centers of trading</w:t>
      </w:r>
      <w:r w:rsidRPr="0084565B">
        <w:rPr>
          <w:rStyle w:val="StyleUnderline"/>
        </w:rPr>
        <w:t xml:space="preserve"> and a model </w:t>
      </w:r>
      <w:r w:rsidRPr="00456038">
        <w:rPr>
          <w:rStyle w:val="Emphasis"/>
          <w:highlight w:val="cyan"/>
        </w:rPr>
        <w:t>for global capital markets</w:t>
      </w:r>
      <w:r w:rsidRPr="00AA1EBE">
        <w:rPr>
          <w:sz w:val="16"/>
        </w:rPr>
        <w:t xml:space="preserve">. But that should not lull anyone into a false sense of confidence. </w:t>
      </w:r>
      <w:r w:rsidRPr="00456038">
        <w:rPr>
          <w:rStyle w:val="Emphasis"/>
          <w:highlight w:val="cyan"/>
        </w:rPr>
        <w:t>Markets can and do fail</w:t>
      </w:r>
      <w:r w:rsidRPr="00AA1EBE">
        <w:rPr>
          <w:sz w:val="16"/>
        </w:rPr>
        <w:t xml:space="preserve">, </w:t>
      </w:r>
      <w:r w:rsidRPr="0084565B">
        <w:rPr>
          <w:rStyle w:val="StyleUnderline"/>
        </w:rPr>
        <w:t xml:space="preserve">and they likely suffer from </w:t>
      </w:r>
      <w:r w:rsidRPr="00AA1EBE">
        <w:rPr>
          <w:sz w:val="16"/>
        </w:rPr>
        <w:t xml:space="preserve">partial </w:t>
      </w:r>
      <w:r w:rsidRPr="0084565B">
        <w:rPr>
          <w:rStyle w:val="Emphasis"/>
        </w:rPr>
        <w:t>failures</w:t>
      </w:r>
      <w:r w:rsidRPr="00AA1EBE">
        <w:rPr>
          <w:sz w:val="16"/>
        </w:rPr>
        <w:t xml:space="preserve"> </w:t>
      </w:r>
      <w:r w:rsidRPr="0084565B">
        <w:rPr>
          <w:rStyle w:val="StyleUnderline"/>
        </w:rPr>
        <w:t>more</w:t>
      </w:r>
      <w:r w:rsidRPr="00AA1EBE">
        <w:rPr>
          <w:sz w:val="16"/>
        </w:rPr>
        <w:t xml:space="preserve"> often </w:t>
      </w:r>
      <w:r w:rsidRPr="0084565B">
        <w:rPr>
          <w:rStyle w:val="StyleUnderline"/>
        </w:rPr>
        <w:t>than we recognize</w:t>
      </w:r>
      <w:r w:rsidRPr="00AA1EBE">
        <w:rPr>
          <w:sz w:val="16"/>
        </w:rPr>
        <w:t>.</w:t>
      </w:r>
    </w:p>
    <w:p w14:paraId="19F1CD94" w14:textId="77777777" w:rsidR="00586EDF" w:rsidRPr="00AA1EBE" w:rsidRDefault="00586EDF" w:rsidP="00586EDF">
      <w:pPr>
        <w:rPr>
          <w:sz w:val="16"/>
        </w:rPr>
      </w:pPr>
      <w:r w:rsidRPr="00AA1EBE">
        <w:rPr>
          <w:sz w:val="16"/>
        </w:rPr>
        <w:t>On May 6, 2010, for example, a dramatic price drop, now known widely as the “</w:t>
      </w:r>
      <w:r w:rsidRPr="00456038">
        <w:rPr>
          <w:rStyle w:val="Emphasis"/>
          <w:highlight w:val="cyan"/>
        </w:rPr>
        <w:t>Flash Crash</w:t>
      </w:r>
      <w:r w:rsidRPr="00AA1EBE">
        <w:rPr>
          <w:sz w:val="16"/>
        </w:rPr>
        <w:t xml:space="preserve">,” </w:t>
      </w:r>
      <w:r w:rsidRPr="00456038">
        <w:rPr>
          <w:rStyle w:val="Emphasis"/>
          <w:highlight w:val="cyan"/>
        </w:rPr>
        <w:t>shocked</w:t>
      </w:r>
      <w:r w:rsidRPr="0084565B">
        <w:rPr>
          <w:rStyle w:val="Emphasis"/>
        </w:rPr>
        <w:t xml:space="preserve"> major </w:t>
      </w:r>
      <w:r w:rsidRPr="00456038">
        <w:rPr>
          <w:rStyle w:val="Emphasis"/>
          <w:highlight w:val="cyan"/>
        </w:rPr>
        <w:t>stock indices</w:t>
      </w:r>
      <w:r w:rsidRPr="00AA1EBE">
        <w:rPr>
          <w:sz w:val="16"/>
        </w:rPr>
        <w:t xml:space="preserve"> in the United States. Within five minutes </w:t>
      </w:r>
      <w:r w:rsidRPr="0084565B">
        <w:rPr>
          <w:rStyle w:val="StyleUnderline"/>
        </w:rPr>
        <w:t>nearly 1000 points had been wiped off the Dow Jones Index</w:t>
      </w:r>
      <w:r w:rsidRPr="00AA1EBE">
        <w:rPr>
          <w:sz w:val="16"/>
        </w:rPr>
        <w:t xml:space="preserve">—approximately $1 trillion or 9 % of its value. While the market recovered quickly, it was clear </w:t>
      </w:r>
      <w:r w:rsidRPr="0084565B">
        <w:rPr>
          <w:rStyle w:val="StyleUnderline"/>
        </w:rPr>
        <w:t>when the dust had settled</w:t>
      </w:r>
      <w:r w:rsidRPr="00AA1EBE">
        <w:rPr>
          <w:sz w:val="16"/>
        </w:rPr>
        <w:t xml:space="preserve"> that for a brief period of time </w:t>
      </w:r>
      <w:r w:rsidRPr="00456038">
        <w:rPr>
          <w:rStyle w:val="Emphasis"/>
          <w:highlight w:val="cyan"/>
        </w:rPr>
        <w:t>buyers of stocks</w:t>
      </w:r>
      <w:r w:rsidRPr="0084565B">
        <w:rPr>
          <w:rStyle w:val="Emphasis"/>
        </w:rPr>
        <w:t xml:space="preserve"> had </w:t>
      </w:r>
      <w:r w:rsidRPr="00456038">
        <w:rPr>
          <w:rStyle w:val="StyleUnderline"/>
          <w:highlight w:val="cyan"/>
        </w:rPr>
        <w:t>all</w:t>
      </w:r>
      <w:r w:rsidRPr="0084565B">
        <w:rPr>
          <w:rStyle w:val="StyleUnderline"/>
        </w:rPr>
        <w:t xml:space="preserve"> but</w:t>
      </w:r>
      <w:r w:rsidRPr="00AA1EBE">
        <w:rPr>
          <w:sz w:val="16"/>
        </w:rPr>
        <w:t xml:space="preserve"> </w:t>
      </w:r>
      <w:r w:rsidRPr="00456038">
        <w:rPr>
          <w:rStyle w:val="Emphasis"/>
          <w:highlight w:val="cyan"/>
        </w:rPr>
        <w:t>disappeared</w:t>
      </w:r>
      <w:r w:rsidRPr="00AA1EBE">
        <w:rPr>
          <w:sz w:val="16"/>
        </w:rPr>
        <w:t xml:space="preserve">. In their detailed description of the “liquidity crisis” the stock market faced that day, the SEC and CFTC noted that “some market makers and other liquidity providers widened their quote spreads, others reduced offered liquidity, and a significant number withdrew completely from the markets” (SEC-CFTC, 2010, p. 5 (emphasis added)). </w:t>
      </w:r>
      <w:r w:rsidRPr="00456038">
        <w:rPr>
          <w:rStyle w:val="StyleUnderline"/>
          <w:highlight w:val="cyan"/>
        </w:rPr>
        <w:t>Such an extreme</w:t>
      </w:r>
      <w:r w:rsidRPr="0084565B">
        <w:rPr>
          <w:rStyle w:val="StyleUnderline"/>
        </w:rPr>
        <w:t xml:space="preserve"> volatility </w:t>
      </w:r>
      <w:r w:rsidRPr="00456038">
        <w:rPr>
          <w:rStyle w:val="StyleUnderline"/>
          <w:highlight w:val="cyan"/>
        </w:rPr>
        <w:t>event should be</w:t>
      </w:r>
      <w:r w:rsidRPr="0084565B">
        <w:rPr>
          <w:rStyle w:val="StyleUnderline"/>
        </w:rPr>
        <w:t xml:space="preserve"> exceptionally rare, if not </w:t>
      </w:r>
      <w:r w:rsidRPr="00456038">
        <w:rPr>
          <w:rStyle w:val="StyleUnderline"/>
          <w:highlight w:val="cyan"/>
        </w:rPr>
        <w:t>impossible</w:t>
      </w:r>
      <w:r w:rsidRPr="0084565B">
        <w:rPr>
          <w:rStyle w:val="StyleUnderline"/>
        </w:rPr>
        <w:t xml:space="preserve">, </w:t>
      </w:r>
      <w:r w:rsidRPr="00456038">
        <w:rPr>
          <w:rStyle w:val="Emphasis"/>
          <w:highlight w:val="cyan"/>
        </w:rPr>
        <w:t>and yet it happened</w:t>
      </w:r>
      <w:r w:rsidRPr="00AA1EBE">
        <w:rPr>
          <w:sz w:val="16"/>
        </w:rPr>
        <w:t>. Smaller versions of the Flash Crash now occur on a regular basis in the capital markets typically hitting individual stocks. One study discovered more than 5,000 such “mini-crashes” during a fourmonth period (Golub, Keane, &amp; Poon, 2012).</w:t>
      </w:r>
    </w:p>
    <w:p w14:paraId="6C686BEC" w14:textId="77777777" w:rsidR="00586EDF" w:rsidRDefault="00586EDF" w:rsidP="00586EDF">
      <w:pPr>
        <w:rPr>
          <w:sz w:val="16"/>
        </w:rPr>
      </w:pPr>
      <w:r w:rsidRPr="00456038">
        <w:rPr>
          <w:rStyle w:val="StyleUnderline"/>
          <w:highlight w:val="cyan"/>
        </w:rPr>
        <w:t>It is time</w:t>
      </w:r>
      <w:r w:rsidRPr="00AA1EBE">
        <w:rPr>
          <w:rStyle w:val="StyleUnderline"/>
        </w:rPr>
        <w:t xml:space="preserve">, therefore, </w:t>
      </w:r>
      <w:r w:rsidRPr="00456038">
        <w:rPr>
          <w:rStyle w:val="StyleUnderline"/>
          <w:highlight w:val="cyan"/>
        </w:rPr>
        <w:t>to close the debate about</w:t>
      </w:r>
      <w:r w:rsidRPr="00AA1EBE">
        <w:rPr>
          <w:rStyle w:val="StyleUnderline"/>
        </w:rPr>
        <w:t xml:space="preserve"> the </w:t>
      </w:r>
      <w:r w:rsidRPr="00456038">
        <w:rPr>
          <w:rStyle w:val="StyleUnderline"/>
          <w:highlight w:val="cyan"/>
        </w:rPr>
        <w:t>legality of insider trading</w:t>
      </w:r>
      <w:r w:rsidRPr="00AA1EBE">
        <w:rPr>
          <w:sz w:val="16"/>
        </w:rPr>
        <w:t xml:space="preserve">. The law and economics school has had more than five decades to establish its case for wider legalization of such trading. Instead of continuing to put the Manne proposal at the heart of the discussion, as many still do, </w:t>
      </w:r>
      <w:r w:rsidRPr="00456038">
        <w:rPr>
          <w:rStyle w:val="Emphasis"/>
          <w:highlight w:val="cyan"/>
        </w:rPr>
        <w:t>it is time to focus</w:t>
      </w:r>
      <w:r w:rsidRPr="00AA1EBE">
        <w:rPr>
          <w:rStyle w:val="Emphasis"/>
        </w:rPr>
        <w:t xml:space="preserve">, </w:t>
      </w:r>
      <w:r w:rsidRPr="00456038">
        <w:rPr>
          <w:rStyle w:val="Emphasis"/>
          <w:highlight w:val="cyan"/>
        </w:rPr>
        <w:t>as the</w:t>
      </w:r>
      <w:r w:rsidRPr="00AA1EBE">
        <w:rPr>
          <w:sz w:val="16"/>
        </w:rPr>
        <w:t xml:space="preserve"> SEC and the </w:t>
      </w:r>
      <w:r w:rsidRPr="00AA1EBE">
        <w:rPr>
          <w:rStyle w:val="StyleUnderline"/>
        </w:rPr>
        <w:t xml:space="preserve">federal </w:t>
      </w:r>
      <w:r w:rsidRPr="00456038">
        <w:rPr>
          <w:rStyle w:val="Emphasis"/>
          <w:highlight w:val="cyan"/>
        </w:rPr>
        <w:t>judiciary has done</w:t>
      </w:r>
      <w:r w:rsidRPr="00AA1EBE">
        <w:rPr>
          <w:rStyle w:val="StyleUnderline"/>
        </w:rPr>
        <w:t xml:space="preserve">, </w:t>
      </w:r>
      <w:r w:rsidRPr="00456038">
        <w:rPr>
          <w:rStyle w:val="StyleUnderline"/>
          <w:highlight w:val="cyan"/>
        </w:rPr>
        <w:t xml:space="preserve">on the </w:t>
      </w:r>
      <w:r w:rsidRPr="00456038">
        <w:rPr>
          <w:rStyle w:val="Emphasis"/>
          <w:highlight w:val="cyan"/>
        </w:rPr>
        <w:t>right standards</w:t>
      </w:r>
      <w:r w:rsidRPr="00AA1EBE">
        <w:rPr>
          <w:rStyle w:val="StyleUnderline"/>
        </w:rPr>
        <w:t xml:space="preserve"> and rules </w:t>
      </w:r>
      <w:r w:rsidRPr="00456038">
        <w:rPr>
          <w:rStyle w:val="Emphasis"/>
          <w:highlight w:val="cyan"/>
        </w:rPr>
        <w:t>needed to strike</w:t>
      </w:r>
      <w:r w:rsidRPr="00AA1EBE">
        <w:rPr>
          <w:sz w:val="16"/>
        </w:rPr>
        <w:t xml:space="preserve">, as a central law and economics scholar, Judge Frank Easterbrook has put it, </w:t>
      </w:r>
      <w:r w:rsidRPr="00456038">
        <w:rPr>
          <w:rStyle w:val="StyleUnderline"/>
          <w:highlight w:val="cyan"/>
        </w:rPr>
        <w:t xml:space="preserve">the </w:t>
      </w:r>
      <w:r w:rsidRPr="00456038">
        <w:rPr>
          <w:rStyle w:val="Emphasis"/>
          <w:highlight w:val="cyan"/>
        </w:rPr>
        <w:t>right balance</w:t>
      </w:r>
      <w:r w:rsidRPr="00AA1EBE">
        <w:rPr>
          <w:rStyle w:val="StyleUnderline"/>
        </w:rPr>
        <w:t xml:space="preserve"> between production and use of knowledge</w:t>
      </w:r>
      <w:r w:rsidRPr="00AA1EBE">
        <w:rPr>
          <w:sz w:val="16"/>
        </w:rPr>
        <w:t>.</w:t>
      </w:r>
    </w:p>
    <w:p w14:paraId="7D012FAC" w14:textId="77777777" w:rsidR="00586EDF" w:rsidRPr="00473A51" w:rsidRDefault="00586EDF" w:rsidP="00586EDF">
      <w:pPr>
        <w:pStyle w:val="Heading4"/>
      </w:pPr>
      <w:r>
        <w:t>Great power war.</w:t>
      </w:r>
    </w:p>
    <w:p w14:paraId="318ECBE7" w14:textId="77777777" w:rsidR="00586EDF" w:rsidRPr="00473A51" w:rsidRDefault="00586EDF" w:rsidP="00586EDF">
      <w:r w:rsidRPr="00473A51">
        <w:rPr>
          <w:b/>
        </w:rPr>
        <w:t xml:space="preserve">Sandaram 19 </w:t>
      </w:r>
      <w:r w:rsidRPr="00473A51">
        <w:t>[Jomo Kwame Sundaram, a former economics professor, was United Nations Assistant Secretary-General for Economic Development, and received the Wassily Leontief Prize for Advancing the Frontiers of Economic Thought, and Vladimir Popov is a Research Director at the Dialogue of Civilizations Research Institute in Berlin, “Economic Crisis Can Trigger World War,” Feb 12, 2019, http://www.ipsnews.net/2019/02/economic-crisis-can-trigger-world-war/]</w:t>
      </w:r>
    </w:p>
    <w:p w14:paraId="4E311E7B" w14:textId="77777777" w:rsidR="00586EDF" w:rsidRPr="00456038" w:rsidRDefault="00586EDF" w:rsidP="00586EDF">
      <w:pPr>
        <w:rPr>
          <w:sz w:val="16"/>
        </w:rPr>
      </w:pPr>
      <w:r w:rsidRPr="00456038">
        <w:rPr>
          <w:sz w:val="16"/>
        </w:rPr>
        <w:t xml:space="preserve">Economic recovery efforts since the 2008-2009 global financial crisis have mainly depended on unconventional monetary policies. As fears rise of yet another international financial crisis, </w:t>
      </w:r>
      <w:r w:rsidRPr="00456038">
        <w:rPr>
          <w:rStyle w:val="StyleUnderline"/>
          <w:highlight w:val="cyan"/>
        </w:rPr>
        <w:t>there are growing concerns about</w:t>
      </w:r>
      <w:r w:rsidRPr="00456038">
        <w:rPr>
          <w:sz w:val="16"/>
        </w:rPr>
        <w:t xml:space="preserve"> the increased possibility of </w:t>
      </w:r>
      <w:r w:rsidRPr="00456038">
        <w:rPr>
          <w:rStyle w:val="StyleUnderline"/>
          <w:highlight w:val="cyan"/>
        </w:rPr>
        <w:t>large-scale military conflict</w:t>
      </w:r>
      <w:r w:rsidRPr="00456038">
        <w:rPr>
          <w:sz w:val="16"/>
        </w:rPr>
        <w:t xml:space="preserve">. More worryingly, </w:t>
      </w:r>
      <w:r w:rsidRPr="00456038">
        <w:rPr>
          <w:rStyle w:val="Emphasis"/>
          <w:highlight w:val="cyan"/>
        </w:rPr>
        <w:t>in the current political landscape</w:t>
      </w:r>
      <w:r w:rsidRPr="00473A51">
        <w:rPr>
          <w:rStyle w:val="Emphasis"/>
        </w:rPr>
        <w:t xml:space="preserve">, prolonged </w:t>
      </w:r>
      <w:r w:rsidRPr="00456038">
        <w:rPr>
          <w:rStyle w:val="Emphasis"/>
          <w:highlight w:val="cyan"/>
        </w:rPr>
        <w:t>economic crisis</w:t>
      </w:r>
      <w:r w:rsidRPr="00456038">
        <w:rPr>
          <w:sz w:val="16"/>
          <w:highlight w:val="cyan"/>
        </w:rPr>
        <w:t xml:space="preserve">, </w:t>
      </w:r>
      <w:r w:rsidRPr="00456038">
        <w:rPr>
          <w:rStyle w:val="StyleUnderline"/>
          <w:highlight w:val="cyan"/>
        </w:rPr>
        <w:t>combined with</w:t>
      </w:r>
      <w:r w:rsidRPr="00456038">
        <w:rPr>
          <w:sz w:val="16"/>
        </w:rPr>
        <w:t xml:space="preserve"> rising economic inequality, chauvinistic </w:t>
      </w:r>
      <w:r w:rsidRPr="00456038">
        <w:rPr>
          <w:rStyle w:val="StyleUnderline"/>
          <w:highlight w:val="cyan"/>
        </w:rPr>
        <w:t xml:space="preserve">ethno-populism </w:t>
      </w:r>
      <w:r w:rsidRPr="00643868">
        <w:rPr>
          <w:rStyle w:val="StyleUnderline"/>
        </w:rPr>
        <w:t>as well as</w:t>
      </w:r>
      <w:r w:rsidRPr="00456038">
        <w:rPr>
          <w:sz w:val="16"/>
        </w:rPr>
        <w:t xml:space="preserve"> </w:t>
      </w:r>
      <w:r w:rsidRPr="00643868">
        <w:rPr>
          <w:rStyle w:val="StyleUnderline"/>
        </w:rPr>
        <w:t>aggressive</w:t>
      </w:r>
      <w:r w:rsidRPr="00456038">
        <w:rPr>
          <w:sz w:val="16"/>
        </w:rPr>
        <w:t xml:space="preserve"> </w:t>
      </w:r>
      <w:r w:rsidRPr="00473A51">
        <w:rPr>
          <w:rStyle w:val="StyleUnderline"/>
        </w:rPr>
        <w:t xml:space="preserve">jingoist </w:t>
      </w:r>
      <w:r w:rsidRPr="00456038">
        <w:rPr>
          <w:rStyle w:val="StyleUnderline"/>
          <w:highlight w:val="cyan"/>
        </w:rPr>
        <w:t>rhetoric</w:t>
      </w:r>
      <w:r w:rsidRPr="00473A51">
        <w:rPr>
          <w:rStyle w:val="StyleUnderline"/>
        </w:rPr>
        <w:t>,</w:t>
      </w:r>
      <w:r w:rsidRPr="00456038">
        <w:rPr>
          <w:sz w:val="16"/>
        </w:rPr>
        <w:t xml:space="preserve"> including threats, </w:t>
      </w:r>
      <w:r w:rsidRPr="00456038">
        <w:rPr>
          <w:rStyle w:val="Emphasis"/>
          <w:highlight w:val="cyan"/>
        </w:rPr>
        <w:t>could</w:t>
      </w:r>
      <w:r w:rsidRPr="00473A51">
        <w:rPr>
          <w:rStyle w:val="Emphasis"/>
        </w:rPr>
        <w:t xml:space="preserve"> easily </w:t>
      </w:r>
      <w:r w:rsidRPr="00456038">
        <w:rPr>
          <w:rStyle w:val="Emphasis"/>
          <w:highlight w:val="cyan"/>
        </w:rPr>
        <w:t xml:space="preserve">spin out of control </w:t>
      </w:r>
      <w:r w:rsidRPr="00643868">
        <w:rPr>
          <w:rStyle w:val="Emphasis"/>
        </w:rPr>
        <w:t xml:space="preserve">and ‘morph’ </w:t>
      </w:r>
      <w:r w:rsidRPr="00456038">
        <w:rPr>
          <w:rStyle w:val="Emphasis"/>
          <w:highlight w:val="cyan"/>
        </w:rPr>
        <w:t>into</w:t>
      </w:r>
      <w:r w:rsidRPr="00473A51">
        <w:rPr>
          <w:rStyle w:val="Emphasis"/>
        </w:rPr>
        <w:t xml:space="preserve"> military conflict, and</w:t>
      </w:r>
      <w:r w:rsidRPr="00456038">
        <w:rPr>
          <w:sz w:val="16"/>
        </w:rPr>
        <w:t xml:space="preserve"> worse, </w:t>
      </w:r>
      <w:r w:rsidRPr="00456038">
        <w:rPr>
          <w:rStyle w:val="Emphasis"/>
          <w:highlight w:val="cyan"/>
        </w:rPr>
        <w:t>world war</w:t>
      </w:r>
      <w:r w:rsidRPr="00456038">
        <w:rPr>
          <w:sz w:val="16"/>
        </w:rPr>
        <w:t xml:space="preserve">. Crisis responses limited </w:t>
      </w:r>
      <w:r w:rsidRPr="00456038">
        <w:rPr>
          <w:rStyle w:val="StyleUnderline"/>
          <w:highlight w:val="cyan"/>
        </w:rPr>
        <w:t>The 2008</w:t>
      </w:r>
      <w:r w:rsidRPr="00473A51">
        <w:rPr>
          <w:rStyle w:val="StyleUnderline"/>
        </w:rPr>
        <w:t xml:space="preserve">-2009 global financial </w:t>
      </w:r>
      <w:r w:rsidRPr="00456038">
        <w:rPr>
          <w:rStyle w:val="StyleUnderline"/>
          <w:highlight w:val="cyan"/>
        </w:rPr>
        <w:t>crisis almost</w:t>
      </w:r>
      <w:r w:rsidRPr="00643868">
        <w:rPr>
          <w:rStyle w:val="StyleUnderline"/>
        </w:rPr>
        <w:t xml:space="preserve"> ‘bankrupted’ governments</w:t>
      </w:r>
      <w:r w:rsidRPr="00473A51">
        <w:rPr>
          <w:rStyle w:val="StyleUnderline"/>
        </w:rPr>
        <w:t xml:space="preserve"> and </w:t>
      </w:r>
      <w:r w:rsidRPr="00456038">
        <w:rPr>
          <w:rStyle w:val="StyleUnderline"/>
          <w:highlight w:val="cyan"/>
        </w:rPr>
        <w:t>caused systemic collaps</w:t>
      </w:r>
      <w:r w:rsidRPr="00456038">
        <w:rPr>
          <w:sz w:val="16"/>
          <w:highlight w:val="cyan"/>
        </w:rPr>
        <w:t>e</w:t>
      </w:r>
      <w:r w:rsidRPr="00456038">
        <w:rPr>
          <w:sz w:val="16"/>
        </w:rPr>
        <w:t xml:space="preserve">. </w:t>
      </w:r>
      <w:r w:rsidRPr="00473A51">
        <w:rPr>
          <w:rStyle w:val="StyleUnderline"/>
        </w:rPr>
        <w:t xml:space="preserve">Policymakers managed to pull the world economy from the brink, </w:t>
      </w:r>
      <w:r w:rsidRPr="00456038">
        <w:rPr>
          <w:rStyle w:val="StyleUnderline"/>
          <w:highlight w:val="cyan"/>
        </w:rPr>
        <w:t>but</w:t>
      </w:r>
      <w:r w:rsidRPr="00473A51">
        <w:rPr>
          <w:rStyle w:val="StyleUnderline"/>
        </w:rPr>
        <w:t xml:space="preserve"> soon switched from counter-cyclical fiscal efforts to unconventional monetary measures</w:t>
      </w:r>
      <w:r w:rsidRPr="00456038">
        <w:rPr>
          <w:sz w:val="16"/>
        </w:rPr>
        <w:t xml:space="preserve">, primarily ‘quantitative easing’ and very low, if not negative real interest rates. But while these </w:t>
      </w:r>
      <w:r w:rsidRPr="00456038">
        <w:rPr>
          <w:rStyle w:val="StyleUnderline"/>
          <w:highlight w:val="cyan"/>
        </w:rPr>
        <w:t>monetary interventions</w:t>
      </w:r>
      <w:r w:rsidRPr="00456038">
        <w:rPr>
          <w:sz w:val="16"/>
        </w:rPr>
        <w:t xml:space="preserve"> averted realization of the worst fears at the time by turning the US economy around, they </w:t>
      </w:r>
      <w:r w:rsidRPr="00456038">
        <w:rPr>
          <w:rStyle w:val="StyleUnderline"/>
          <w:highlight w:val="cyan"/>
        </w:rPr>
        <w:t>did little to</w:t>
      </w:r>
      <w:r w:rsidRPr="00456038">
        <w:rPr>
          <w:sz w:val="16"/>
        </w:rPr>
        <w:t xml:space="preserve"> </w:t>
      </w:r>
      <w:r w:rsidRPr="00456038">
        <w:rPr>
          <w:rStyle w:val="StyleUnderline"/>
          <w:highlight w:val="cyan"/>
        </w:rPr>
        <w:t>address</w:t>
      </w:r>
      <w:r w:rsidRPr="00456038">
        <w:rPr>
          <w:sz w:val="16"/>
        </w:rPr>
        <w:t xml:space="preserve"> underlying </w:t>
      </w:r>
      <w:r w:rsidRPr="00456038">
        <w:rPr>
          <w:rStyle w:val="StyleUnderline"/>
          <w:highlight w:val="cyan"/>
        </w:rPr>
        <w:t>economic weaknesses</w:t>
      </w:r>
      <w:r w:rsidRPr="00456038">
        <w:rPr>
          <w:sz w:val="16"/>
        </w:rPr>
        <w:t xml:space="preserve">,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labour markets. This lack of structural reform has meant that </w:t>
      </w:r>
      <w:r w:rsidRPr="00643868">
        <w:rPr>
          <w:rStyle w:val="StyleUnderline"/>
        </w:rPr>
        <w:t>the</w:t>
      </w:r>
      <w:r w:rsidRPr="00456038">
        <w:rPr>
          <w:sz w:val="16"/>
        </w:rPr>
        <w:t xml:space="preserve"> unprecedented </w:t>
      </w:r>
      <w:r w:rsidRPr="00643868">
        <w:rPr>
          <w:rStyle w:val="StyleUnderline"/>
        </w:rPr>
        <w:t>liquidity central banks injected into economies has not been well</w:t>
      </w:r>
      <w:r w:rsidRPr="00456038">
        <w:rPr>
          <w:sz w:val="16"/>
        </w:rPr>
        <w:t xml:space="preserve"> </w:t>
      </w:r>
      <w:r w:rsidRPr="00643868">
        <w:rPr>
          <w:rStyle w:val="StyleUnderline"/>
        </w:rPr>
        <w:t>allocated to stimulate resurgence of the real economy</w:t>
      </w:r>
      <w:r w:rsidRPr="00456038">
        <w:rPr>
          <w:sz w:val="16"/>
        </w:rPr>
        <w:t xml:space="preserve">.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w:t>
      </w:r>
      <w:r w:rsidRPr="00456038">
        <w:rPr>
          <w:rStyle w:val="StyleUnderline"/>
          <w:highlight w:val="cyan"/>
        </w:rPr>
        <w:t xml:space="preserve">As monetary tightening checks </w:t>
      </w:r>
      <w:r w:rsidRPr="00643868">
        <w:rPr>
          <w:rStyle w:val="StyleUnderline"/>
        </w:rPr>
        <w:t xml:space="preserve">asset price </w:t>
      </w:r>
      <w:r w:rsidRPr="00456038">
        <w:rPr>
          <w:rStyle w:val="StyleUnderline"/>
          <w:highlight w:val="cyan"/>
        </w:rPr>
        <w:t>bubbles, another economic crisis</w:t>
      </w:r>
      <w:r w:rsidRPr="00456038">
        <w:rPr>
          <w:sz w:val="16"/>
        </w:rPr>
        <w:t xml:space="preserve"> — possibly more severe than the last, as the economy has become less responsive to such blunt monetary interventions — </w:t>
      </w:r>
      <w:r w:rsidRPr="00456038">
        <w:rPr>
          <w:rStyle w:val="StyleUnderline"/>
          <w:highlight w:val="cyan"/>
        </w:rPr>
        <w:t>is</w:t>
      </w:r>
      <w:r w:rsidRPr="00456038">
        <w:rPr>
          <w:sz w:val="16"/>
        </w:rPr>
        <w:t xml:space="preserve"> considered </w:t>
      </w:r>
      <w:r w:rsidRPr="00456038">
        <w:rPr>
          <w:rStyle w:val="StyleUnderline"/>
          <w:highlight w:val="cyan"/>
        </w:rPr>
        <w:t>likely</w:t>
      </w:r>
      <w:r w:rsidRPr="00456038">
        <w:rPr>
          <w:sz w:val="16"/>
        </w:rPr>
        <w:t xml:space="preserve">. A decade of such unconventional monetary policies, with very low interest rates, has greatly depleted their ability to revive the economy. The implications beyond the economy of such developments and policy responses are already being seen. </w:t>
      </w:r>
      <w:r w:rsidRPr="00643868">
        <w:rPr>
          <w:rStyle w:val="StyleUnderline"/>
        </w:rPr>
        <w:t xml:space="preserve">Prolonged </w:t>
      </w:r>
      <w:r w:rsidRPr="00456038">
        <w:rPr>
          <w:rStyle w:val="StyleUnderline"/>
          <w:highlight w:val="cyan"/>
        </w:rPr>
        <w:t>economic distress has</w:t>
      </w:r>
      <w:r w:rsidRPr="00456038">
        <w:rPr>
          <w:sz w:val="16"/>
        </w:rPr>
        <w:t xml:space="preserve"> </w:t>
      </w:r>
      <w:r w:rsidRPr="00456038">
        <w:rPr>
          <w:rStyle w:val="StyleUnderline"/>
          <w:highlight w:val="cyan"/>
        </w:rPr>
        <w:t>worsened</w:t>
      </w:r>
      <w:r w:rsidRPr="00456038">
        <w:rPr>
          <w:sz w:val="16"/>
        </w:rPr>
        <w:t xml:space="preserve"> public </w:t>
      </w:r>
      <w:r w:rsidRPr="00456038">
        <w:rPr>
          <w:rStyle w:val="StyleUnderline"/>
          <w:highlight w:val="cyan"/>
        </w:rPr>
        <w:t>antipathy towards the culturally alien</w:t>
      </w:r>
      <w:r w:rsidRPr="00456038">
        <w:rPr>
          <w:sz w:val="16"/>
        </w:rPr>
        <w:t xml:space="preserve"> — not only abroad, but also within. Thus, </w:t>
      </w:r>
      <w:r w:rsidRPr="00456038">
        <w:rPr>
          <w:rStyle w:val="Emphasis"/>
          <w:highlight w:val="cyan"/>
        </w:rPr>
        <w:t>another round of economic stress is</w:t>
      </w:r>
      <w:r w:rsidRPr="00456038">
        <w:rPr>
          <w:sz w:val="16"/>
        </w:rPr>
        <w:t xml:space="preserve"> deemed </w:t>
      </w:r>
      <w:r w:rsidRPr="00456038">
        <w:rPr>
          <w:rStyle w:val="Emphasis"/>
          <w:highlight w:val="cyan"/>
        </w:rPr>
        <w:t>likely to foment unrest</w:t>
      </w:r>
      <w:r w:rsidRPr="00456038">
        <w:rPr>
          <w:sz w:val="16"/>
        </w:rPr>
        <w:t xml:space="preserve">, </w:t>
      </w:r>
      <w:r w:rsidRPr="00456038">
        <w:rPr>
          <w:rStyle w:val="Emphasis"/>
          <w:highlight w:val="cyan"/>
        </w:rPr>
        <w:t>conflict</w:t>
      </w:r>
      <w:r w:rsidRPr="00456038">
        <w:rPr>
          <w:sz w:val="16"/>
        </w:rPr>
        <w:t xml:space="preserve">, </w:t>
      </w:r>
      <w:r w:rsidRPr="00456038">
        <w:rPr>
          <w:rStyle w:val="Emphasis"/>
          <w:highlight w:val="cyan"/>
        </w:rPr>
        <w:t>even war</w:t>
      </w:r>
      <w:r w:rsidRPr="00456038">
        <w:rPr>
          <w:sz w:val="16"/>
        </w:rPr>
        <w:t xml:space="preserve"> as it is blamed on the foreign.</w:t>
      </w:r>
    </w:p>
    <w:p w14:paraId="4D6B2C0D" w14:textId="77777777" w:rsidR="00586EDF" w:rsidRPr="00473A51" w:rsidRDefault="00586EDF" w:rsidP="00586EDF"/>
    <w:p w14:paraId="2385C09F" w14:textId="77777777" w:rsidR="00586EDF" w:rsidRPr="007C6F40" w:rsidRDefault="00586EDF" w:rsidP="00586EDF">
      <w:pPr>
        <w:pStyle w:val="Heading4"/>
      </w:pPr>
      <w:r>
        <w:t>Lenity solves.</w:t>
      </w:r>
    </w:p>
    <w:p w14:paraId="5D3B5BB1" w14:textId="77777777" w:rsidR="00586EDF" w:rsidRPr="007C6F40" w:rsidRDefault="00586EDF" w:rsidP="00586EDF">
      <w:r w:rsidRPr="007C6F40">
        <w:rPr>
          <w:rStyle w:val="Style13ptBold"/>
        </w:rPr>
        <w:t>Fleming 17</w:t>
      </w:r>
      <w:r w:rsidRPr="007C6F40">
        <w:t xml:space="preserve"> (Liza B., Law Clerk at United States Court of Appeals for the Third Circuit, 05-13-2017 CarbonDated, "Lenity Calling: A Plea to End Chevron Deference for Criminal Insider Trading Law" Temple Law Review, </w:t>
      </w:r>
      <w:hyperlink r:id="rId74" w:history="1">
        <w:r w:rsidRPr="007C6F40">
          <w:rPr>
            <w:rStyle w:val="Hyperlink"/>
          </w:rPr>
          <w:t>https://www.templelawreview.org/lawreview/assets/uploads/2017/05/Fleming-89-Temp.-L.-Rev.-579.pdf</w:t>
        </w:r>
      </w:hyperlink>
      <w:r w:rsidRPr="007C6F40">
        <w:t>, accessed: 6-20-2020)//yeed</w:t>
      </w:r>
    </w:p>
    <w:p w14:paraId="49397D87" w14:textId="77777777" w:rsidR="00586EDF" w:rsidRPr="007C6F40" w:rsidRDefault="00586EDF" w:rsidP="00586EDF">
      <w:r w:rsidRPr="007C6F40">
        <w:t>Footnote 7 begins:</w:t>
      </w:r>
    </w:p>
    <w:p w14:paraId="3D9170EB" w14:textId="77777777" w:rsidR="00586EDF" w:rsidRPr="007C6F40" w:rsidRDefault="00586EDF" w:rsidP="00586EDF">
      <w:r w:rsidRPr="007C6F40">
        <w:t xml:space="preserve">7. In fact, only one article has advocated for a lenity exception to Chevron deference specifically for the administrative crime of insider trading. See Anna Currier, Comment, The Rule of Lenity and the Enforcement of the Federal Securities Laws, 5 AM. U. BUS. L. REV. 79 (2015). In her comment, Currier argues that </w:t>
      </w:r>
      <w:r w:rsidRPr="007C6F40">
        <w:rPr>
          <w:rStyle w:val="StyleUnderline"/>
        </w:rPr>
        <w:t xml:space="preserve">the rule of lenity should be applied under Rule 10b-5 only in criminal proceedings because </w:t>
      </w:r>
      <w:r w:rsidRPr="007C6F40">
        <w:rPr>
          <w:rStyle w:val="Emphasis"/>
        </w:rPr>
        <w:t>Chevron deference conflicts with due process principles.</w:t>
      </w:r>
      <w:r w:rsidRPr="007C6F40">
        <w:t xml:space="preserve"> Id. at 107. Much of her comment focuses on United States v. Newman, 773 F.3d 438 (2d Cir. 2014), abrogated by Salman v. United States, 137 S. Ct. 420 (2016), and argues </w:t>
      </w:r>
      <w:r w:rsidRPr="007C6F40">
        <w:rPr>
          <w:rStyle w:val="StyleUnderline"/>
        </w:rPr>
        <w:t>that the balancing of lenity and deference can be seen in the court’s holding.</w:t>
      </w:r>
      <w:r w:rsidRPr="007C6F40">
        <w:t xml:space="preserve"> Currier, supra, at 96. Currier then argues that although the rule of lenity has been applied in other types of civil cases, </w:t>
      </w:r>
      <w:r w:rsidRPr="007C6F40">
        <w:rPr>
          <w:rStyle w:val="StyleUnderline"/>
        </w:rPr>
        <w:t>it should only be applied to criminal insider trading because “the Commission would lose a key advantage of bringing enforcement actions in its administrative forum because courts would no longer give these administrative actions Chevron deference</w:t>
      </w:r>
      <w:r w:rsidRPr="007C6F40">
        <w:t>.” Id. at 100. “[U]</w:t>
      </w:r>
      <w:r w:rsidRPr="007C6F40">
        <w:rPr>
          <w:rStyle w:val="StyleUnderline"/>
        </w:rPr>
        <w:t>sing</w:t>
      </w:r>
      <w:r w:rsidRPr="007C6F40">
        <w:t xml:space="preserve"> </w:t>
      </w:r>
      <w:r w:rsidRPr="007C6F40">
        <w:rPr>
          <w:rStyle w:val="StyleUnderline"/>
        </w:rPr>
        <w:t>Newman</w:t>
      </w:r>
      <w:r w:rsidRPr="007C6F40">
        <w:t xml:space="preserve"> </w:t>
      </w:r>
      <w:r w:rsidRPr="007C6F40">
        <w:rPr>
          <w:rStyle w:val="StyleUnderline"/>
        </w:rPr>
        <w:t>as the framework</w:t>
      </w:r>
      <w:r w:rsidRPr="007C6F40">
        <w:t>,” she suggests that applying lenity to criminal insider trading “</w:t>
      </w:r>
      <w:r w:rsidRPr="007C6F40">
        <w:rPr>
          <w:rStyle w:val="StyleUnderline"/>
        </w:rPr>
        <w:t>could create a fair system that respects due process as well as the Commission’s expertise and mission of protecting investors</w:t>
      </w:r>
      <w:r w:rsidRPr="007C6F40">
        <w:t xml:space="preserve">.” Id. at 106. As part of the executive branch, the </w:t>
      </w:r>
      <w:r w:rsidRPr="007C6F40">
        <w:rPr>
          <w:rStyle w:val="StyleUnderline"/>
        </w:rPr>
        <w:t>SEC “is not empowered to define crimes.”</w:t>
      </w:r>
      <w:r w:rsidRPr="007C6F40">
        <w:t xml:space="preserve"> Id. Currier concludes by stating that in Rule 10b-5 criminal proceedings, </w:t>
      </w:r>
      <w:r w:rsidRPr="007C6F40">
        <w:rPr>
          <w:rStyle w:val="StyleUnderline"/>
        </w:rPr>
        <w:t xml:space="preserve">lenity must be applied because </w:t>
      </w:r>
      <w:r w:rsidRPr="007C6F40">
        <w:rPr>
          <w:rStyle w:val="Emphasis"/>
        </w:rPr>
        <w:t>it preserves a defendant’s due process rights</w:t>
      </w:r>
      <w:r w:rsidRPr="007C6F40">
        <w:rPr>
          <w:rStyle w:val="StyleUnderline"/>
        </w:rPr>
        <w:t xml:space="preserve"> and because </w:t>
      </w:r>
      <w:r w:rsidRPr="007C6F40">
        <w:rPr>
          <w:rStyle w:val="Emphasis"/>
        </w:rPr>
        <w:t>the SEC does not have the power to define crimes</w:t>
      </w:r>
      <w:r w:rsidRPr="007C6F40">
        <w:rPr>
          <w:rStyle w:val="StyleUnderline"/>
        </w:rPr>
        <w:t>.</w:t>
      </w:r>
      <w:r w:rsidRPr="007C6F40">
        <w:t xml:space="preserve"> Id. at 107.</w:t>
      </w:r>
    </w:p>
    <w:p w14:paraId="0FA5CF26" w14:textId="77777777" w:rsidR="00586EDF" w:rsidRPr="007C6F40" w:rsidRDefault="00586EDF" w:rsidP="00586EDF">
      <w:r w:rsidRPr="007C6F40">
        <w:t>Footnote 7 ends and footnote 8 begins:</w:t>
      </w:r>
    </w:p>
    <w:p w14:paraId="6708AE3B" w14:textId="77777777" w:rsidR="00586EDF" w:rsidRDefault="00586EDF" w:rsidP="00586EDF">
      <w:pPr>
        <w:rPr>
          <w:rStyle w:val="StyleUnderline"/>
        </w:rPr>
      </w:pPr>
      <w:r w:rsidRPr="007C6F40">
        <w:t xml:space="preserve">By contrast, this Comment focuses on why insider trading is different from other administrative crimes; it specifically analyzes the fact that insider trading is ambiguous because it is almost entirely judge-made law and the fact that the stakes are high, with harsh penalties imposed for criminal convictions. It explains that trading in securities is heavily regulated, so individuals need notice to conform to insider trading laws. These dual characteristics of insider trading—its ambiguous doctrine and severe penalties—make it worthy of special treatment. This Comment proposes two solutions for criminal insider trading: </w:t>
      </w:r>
      <w:r w:rsidRPr="007C6F40">
        <w:rPr>
          <w:rStyle w:val="StyleUnderline"/>
        </w:rPr>
        <w:t xml:space="preserve">that courts should apply lenity as an exception to Chevron deference or that courts should be more willing to find that the SEC has exceeded its rulemaking authority at step two of the Chevron framework. </w:t>
      </w:r>
    </w:p>
    <w:p w14:paraId="53110DEF" w14:textId="77777777" w:rsidR="00586EDF" w:rsidRDefault="00586EDF" w:rsidP="00586EDF">
      <w:pPr>
        <w:pStyle w:val="Heading3"/>
      </w:pPr>
      <w:r>
        <w:t>1AR – AT: COVID Outweighs</w:t>
      </w:r>
    </w:p>
    <w:p w14:paraId="5050775E" w14:textId="77777777" w:rsidR="00586EDF" w:rsidRDefault="00586EDF" w:rsidP="00586EDF">
      <w:pPr>
        <w:pStyle w:val="Heading4"/>
      </w:pPr>
      <w:r>
        <w:t>The aff solves Corona thumpers.</w:t>
      </w:r>
    </w:p>
    <w:p w14:paraId="3A00406B" w14:textId="77777777" w:rsidR="00586EDF" w:rsidRPr="00E12F3A" w:rsidRDefault="00586EDF" w:rsidP="00586EDF">
      <w:r w:rsidRPr="00E12F3A">
        <w:rPr>
          <w:rStyle w:val="Heading4Char"/>
        </w:rPr>
        <w:t>Young &amp; Murray 20</w:t>
      </w:r>
      <w:r w:rsidRPr="00E12F3A">
        <w:t xml:space="preserve"> – (Ryan Young is a senior fellow at the Competitive Enterprise Institute; Iain Murray is vice president for strategy; “An Effective Pandemic Response Would Be Deregulation</w:t>
      </w:r>
      <w:r>
        <w:t>”; Real Clear Markets; D.A. July 7</w:t>
      </w:r>
      <w:r w:rsidRPr="00E12F3A">
        <w:rPr>
          <w:vertAlign w:val="superscript"/>
        </w:rPr>
        <w:t>th</w:t>
      </w:r>
      <w:r>
        <w:t xml:space="preserve"> 2020, [Published April 9</w:t>
      </w:r>
      <w:r w:rsidRPr="00E12F3A">
        <w:rPr>
          <w:vertAlign w:val="superscript"/>
        </w:rPr>
        <w:t>th</w:t>
      </w:r>
      <w:r>
        <w:t xml:space="preserve"> 2020]; </w:t>
      </w:r>
      <w:hyperlink r:id="rId75" w:history="1">
        <w:r>
          <w:rPr>
            <w:rStyle w:val="Hyperlink"/>
          </w:rPr>
          <w:t>https://www.realclearmarkets.com/articles/2020/04/09/an_effective_pandemic_response_would_be_deregulation_488648.html</w:t>
        </w:r>
      </w:hyperlink>
      <w:r>
        <w:t>) //LFS—JCM</w:t>
      </w:r>
    </w:p>
    <w:p w14:paraId="36B41898" w14:textId="77777777" w:rsidR="00586EDF" w:rsidRPr="00AA584D" w:rsidRDefault="00586EDF" w:rsidP="00586EDF">
      <w:pPr>
        <w:rPr>
          <w:sz w:val="16"/>
        </w:rPr>
      </w:pPr>
      <w:r w:rsidRPr="00AA584D">
        <w:rPr>
          <w:sz w:val="16"/>
        </w:rPr>
        <w:t xml:space="preserve">Fortunately, federal, state, and local </w:t>
      </w:r>
      <w:r w:rsidRPr="00AA584D">
        <w:rPr>
          <w:rStyle w:val="StyleUnderline"/>
        </w:rPr>
        <w:t>policy makers acted</w:t>
      </w:r>
      <w:r w:rsidRPr="00AA584D">
        <w:rPr>
          <w:sz w:val="16"/>
        </w:rPr>
        <w:t xml:space="preserve"> almost immediately </w:t>
      </w:r>
      <w:r w:rsidRPr="00AA584D">
        <w:rPr>
          <w:rStyle w:val="StyleUnderline"/>
        </w:rPr>
        <w:t xml:space="preserve">to get rid of </w:t>
      </w:r>
      <w:r w:rsidRPr="00AA584D">
        <w:rPr>
          <w:sz w:val="16"/>
        </w:rPr>
        <w:t xml:space="preserve">many such </w:t>
      </w:r>
      <w:r w:rsidRPr="00AA584D">
        <w:rPr>
          <w:rStyle w:val="StyleUnderline"/>
        </w:rPr>
        <w:t>rules</w:t>
      </w:r>
      <w:r w:rsidRPr="00AA584D">
        <w:rPr>
          <w:sz w:val="16"/>
        </w:rPr>
        <w:t xml:space="preserve">. But if these </w:t>
      </w:r>
      <w:r w:rsidRPr="00AA584D">
        <w:rPr>
          <w:rStyle w:val="Emphasis"/>
          <w:highlight w:val="cyan"/>
        </w:rPr>
        <w:t>rules were not needed during a crisis</w:t>
      </w:r>
      <w:r w:rsidRPr="00AA584D">
        <w:rPr>
          <w:sz w:val="16"/>
        </w:rPr>
        <w:t xml:space="preserve">, they were probably never really needed in the first place. </w:t>
      </w:r>
      <w:r w:rsidRPr="00AA584D">
        <w:rPr>
          <w:rStyle w:val="Emphasis"/>
        </w:rPr>
        <w:t>How many</w:t>
      </w:r>
      <w:r w:rsidRPr="00AA584D">
        <w:rPr>
          <w:rStyle w:val="StyleUnderline"/>
        </w:rPr>
        <w:t xml:space="preserve"> more never-needed </w:t>
      </w:r>
      <w:r w:rsidRPr="00AA584D">
        <w:rPr>
          <w:rStyle w:val="Emphasis"/>
          <w:highlight w:val="cyan"/>
        </w:rPr>
        <w:t>rules</w:t>
      </w:r>
      <w:r w:rsidRPr="00AA584D">
        <w:rPr>
          <w:rStyle w:val="StyleUnderline"/>
        </w:rPr>
        <w:t xml:space="preserve"> are there still on the books</w:t>
      </w:r>
      <w:r w:rsidRPr="00AA584D">
        <w:rPr>
          <w:sz w:val="16"/>
        </w:rPr>
        <w:t xml:space="preserve">, </w:t>
      </w:r>
      <w:r w:rsidRPr="00AA584D">
        <w:rPr>
          <w:rStyle w:val="Emphasis"/>
          <w:highlight w:val="cyan"/>
        </w:rPr>
        <w:t>hurt</w:t>
      </w:r>
      <w:r w:rsidRPr="00AA584D">
        <w:rPr>
          <w:rStyle w:val="Emphasis"/>
        </w:rPr>
        <w:t xml:space="preserve">ing </w:t>
      </w:r>
      <w:r w:rsidRPr="00AA584D">
        <w:rPr>
          <w:rStyle w:val="Emphasis"/>
          <w:highlight w:val="cyan"/>
        </w:rPr>
        <w:t>the</w:t>
      </w:r>
      <w:r w:rsidRPr="00AA584D">
        <w:rPr>
          <w:rStyle w:val="Emphasis"/>
        </w:rPr>
        <w:t xml:space="preserve"> </w:t>
      </w:r>
      <w:r w:rsidRPr="00AA584D">
        <w:rPr>
          <w:rStyle w:val="Emphasis"/>
          <w:highlight w:val="cyan"/>
        </w:rPr>
        <w:t>COVID</w:t>
      </w:r>
      <w:r w:rsidRPr="00AA584D">
        <w:rPr>
          <w:rStyle w:val="Emphasis"/>
        </w:rPr>
        <w:t xml:space="preserve">-19 </w:t>
      </w:r>
      <w:r w:rsidRPr="00AA584D">
        <w:rPr>
          <w:rStyle w:val="Emphasis"/>
          <w:highlight w:val="cyan"/>
        </w:rPr>
        <w:t>response</w:t>
      </w:r>
      <w:r w:rsidRPr="00AA584D">
        <w:rPr>
          <w:sz w:val="16"/>
        </w:rPr>
        <w:t xml:space="preserve">? How might these </w:t>
      </w:r>
      <w:r w:rsidRPr="00AA584D">
        <w:rPr>
          <w:rStyle w:val="Emphasis"/>
        </w:rPr>
        <w:t>rules</w:t>
      </w:r>
      <w:r w:rsidRPr="00AA584D">
        <w:rPr>
          <w:sz w:val="16"/>
        </w:rPr>
        <w:t xml:space="preserve"> </w:t>
      </w:r>
      <w:r w:rsidRPr="00AA584D">
        <w:rPr>
          <w:rStyle w:val="Emphasis"/>
        </w:rPr>
        <w:t>harm</w:t>
      </w:r>
      <w:r w:rsidRPr="00AA584D">
        <w:rPr>
          <w:sz w:val="16"/>
        </w:rPr>
        <w:t xml:space="preserve"> future </w:t>
      </w:r>
      <w:r w:rsidRPr="00AA584D">
        <w:rPr>
          <w:rStyle w:val="Emphasis"/>
        </w:rPr>
        <w:t>crisis responses</w:t>
      </w:r>
      <w:r w:rsidRPr="00AA584D">
        <w:rPr>
          <w:sz w:val="16"/>
        </w:rPr>
        <w:t>?</w:t>
      </w:r>
    </w:p>
    <w:p w14:paraId="36206340" w14:textId="77777777" w:rsidR="00586EDF" w:rsidRPr="00AA584D" w:rsidRDefault="00586EDF" w:rsidP="00586EDF">
      <w:pPr>
        <w:rPr>
          <w:sz w:val="16"/>
        </w:rPr>
      </w:pPr>
      <w:r w:rsidRPr="00AA584D">
        <w:rPr>
          <w:sz w:val="16"/>
        </w:rPr>
        <w:t xml:space="preserve">Congress and the President’s pandemic response so far has mostly consisted of hasty “flash policy” such as stimulus and bailouts. However, </w:t>
      </w:r>
      <w:r w:rsidRPr="00AA584D">
        <w:rPr>
          <w:rStyle w:val="StyleUnderline"/>
        </w:rPr>
        <w:t xml:space="preserve">the </w:t>
      </w:r>
      <w:r w:rsidRPr="0081373A">
        <w:rPr>
          <w:rStyle w:val="Emphasis"/>
          <w:highlight w:val="cyan"/>
        </w:rPr>
        <w:t>COVID</w:t>
      </w:r>
      <w:r w:rsidRPr="00AA584D">
        <w:rPr>
          <w:rStyle w:val="StyleUnderline"/>
        </w:rPr>
        <w:t xml:space="preserve">-19 pandemic is different from a normal economic shock. </w:t>
      </w:r>
      <w:r w:rsidRPr="00AA584D">
        <w:rPr>
          <w:rStyle w:val="Emphasis"/>
        </w:rPr>
        <w:t xml:space="preserve">It </w:t>
      </w:r>
      <w:r w:rsidRPr="0081373A">
        <w:rPr>
          <w:rStyle w:val="Emphasis"/>
          <w:highlight w:val="cyan"/>
        </w:rPr>
        <w:t>requires a different respons</w:t>
      </w:r>
      <w:r w:rsidRPr="00AA584D">
        <w:rPr>
          <w:rStyle w:val="Emphasis"/>
        </w:rPr>
        <w:t>e</w:t>
      </w:r>
      <w:r w:rsidRPr="00AA584D">
        <w:rPr>
          <w:sz w:val="16"/>
        </w:rPr>
        <w:t xml:space="preserve">. </w:t>
      </w:r>
      <w:r w:rsidRPr="0081373A">
        <w:rPr>
          <w:rStyle w:val="StyleUnderline"/>
          <w:highlight w:val="cyan"/>
        </w:rPr>
        <w:t>Standard</w:t>
      </w:r>
      <w:r w:rsidRPr="00AA584D">
        <w:rPr>
          <w:rStyle w:val="StyleUnderline"/>
        </w:rPr>
        <w:t xml:space="preserve"> </w:t>
      </w:r>
      <w:r w:rsidRPr="0081373A">
        <w:rPr>
          <w:rStyle w:val="StyleUnderline"/>
          <w:highlight w:val="cyan"/>
        </w:rPr>
        <w:t>stimulus</w:t>
      </w:r>
      <w:r w:rsidRPr="00AA584D">
        <w:rPr>
          <w:rStyle w:val="StyleUnderline"/>
        </w:rPr>
        <w:t xml:space="preserve"> policies</w:t>
      </w:r>
      <w:r w:rsidRPr="00AA584D">
        <w:rPr>
          <w:sz w:val="16"/>
        </w:rPr>
        <w:t xml:space="preserve"> </w:t>
      </w:r>
      <w:r w:rsidRPr="00AA584D">
        <w:rPr>
          <w:rStyle w:val="StyleUnderline"/>
        </w:rPr>
        <w:t>attempt to stimulate</w:t>
      </w:r>
      <w:r w:rsidRPr="00AA584D">
        <w:rPr>
          <w:sz w:val="16"/>
        </w:rPr>
        <w:t xml:space="preserve"> more </w:t>
      </w:r>
      <w:r w:rsidRPr="00AA584D">
        <w:rPr>
          <w:rStyle w:val="StyleUnderline"/>
        </w:rPr>
        <w:t>economic transactions</w:t>
      </w:r>
      <w:r w:rsidRPr="00AA584D">
        <w:rPr>
          <w:sz w:val="16"/>
        </w:rPr>
        <w:t xml:space="preserve"> between people. This is precisely how diseases spread. From a public health perspective, </w:t>
      </w:r>
      <w:r w:rsidRPr="00AA584D">
        <w:rPr>
          <w:rStyle w:val="Emphasis"/>
        </w:rPr>
        <w:t xml:space="preserve">stimulus </w:t>
      </w:r>
      <w:r w:rsidRPr="0081373A">
        <w:rPr>
          <w:rStyle w:val="Emphasis"/>
          <w:highlight w:val="cyan"/>
        </w:rPr>
        <w:t>is unwise</w:t>
      </w:r>
      <w:r w:rsidRPr="00AA584D">
        <w:rPr>
          <w:sz w:val="16"/>
        </w:rPr>
        <w:t>.</w:t>
      </w:r>
    </w:p>
    <w:p w14:paraId="138C5489" w14:textId="77777777" w:rsidR="00586EDF" w:rsidRPr="00AA584D" w:rsidRDefault="00586EDF" w:rsidP="00586EDF">
      <w:pPr>
        <w:rPr>
          <w:sz w:val="16"/>
        </w:rPr>
      </w:pPr>
      <w:r w:rsidRPr="00AA584D">
        <w:rPr>
          <w:sz w:val="16"/>
        </w:rPr>
        <w:t xml:space="preserve">Even after contagion dies down, there remains the fact that </w:t>
      </w:r>
      <w:r w:rsidRPr="00AA584D">
        <w:rPr>
          <w:rStyle w:val="Emphasis"/>
        </w:rPr>
        <w:t xml:space="preserve">stimulus is </w:t>
      </w:r>
      <w:r w:rsidRPr="0081373A">
        <w:rPr>
          <w:rStyle w:val="Emphasis"/>
          <w:highlight w:val="cyan"/>
        </w:rPr>
        <w:t>driven by politics</w:t>
      </w:r>
      <w:r w:rsidRPr="0081373A">
        <w:rPr>
          <w:rStyle w:val="StyleUnderline"/>
          <w:highlight w:val="cyan"/>
        </w:rPr>
        <w:t xml:space="preserve"> more than economics</w:t>
      </w:r>
      <w:r w:rsidRPr="00AA584D">
        <w:rPr>
          <w:sz w:val="16"/>
        </w:rPr>
        <w:t>. Much of the post-2008 financial crisis stimulus was ill-targeted or wasted.</w:t>
      </w:r>
    </w:p>
    <w:p w14:paraId="0993CDC9" w14:textId="77777777" w:rsidR="00586EDF" w:rsidRPr="00AA584D" w:rsidRDefault="00586EDF" w:rsidP="00586EDF">
      <w:pPr>
        <w:rPr>
          <w:sz w:val="16"/>
        </w:rPr>
      </w:pPr>
      <w:r w:rsidRPr="0081373A">
        <w:rPr>
          <w:rStyle w:val="StyleUnderline"/>
          <w:highlight w:val="cyan"/>
        </w:rPr>
        <w:t>The</w:t>
      </w:r>
      <w:r w:rsidRPr="00AA584D">
        <w:rPr>
          <w:rStyle w:val="StyleUnderline"/>
        </w:rPr>
        <w:t xml:space="preserve"> federal </w:t>
      </w:r>
      <w:r w:rsidRPr="0081373A">
        <w:rPr>
          <w:rStyle w:val="Emphasis"/>
          <w:highlight w:val="cyan"/>
        </w:rPr>
        <w:t>government</w:t>
      </w:r>
      <w:r w:rsidRPr="00AA584D">
        <w:rPr>
          <w:rStyle w:val="StyleUnderline"/>
        </w:rPr>
        <w:t xml:space="preserve"> </w:t>
      </w:r>
      <w:r w:rsidRPr="0081373A">
        <w:rPr>
          <w:rStyle w:val="StyleUnderline"/>
          <w:highlight w:val="cyan"/>
        </w:rPr>
        <w:t>by nature</w:t>
      </w:r>
      <w:r w:rsidRPr="00AA584D">
        <w:rPr>
          <w:rStyle w:val="StyleUnderline"/>
        </w:rPr>
        <w:t xml:space="preserve"> </w:t>
      </w:r>
      <w:r w:rsidRPr="0081373A">
        <w:rPr>
          <w:rStyle w:val="StyleUnderline"/>
          <w:highlight w:val="cyan"/>
        </w:rPr>
        <w:t xml:space="preserve">is a </w:t>
      </w:r>
      <w:r w:rsidRPr="0081373A">
        <w:rPr>
          <w:rStyle w:val="StyleUnderline"/>
        </w:rPr>
        <w:t>large</w:t>
      </w:r>
      <w:r w:rsidRPr="00AA584D">
        <w:rPr>
          <w:rStyle w:val="StyleUnderline"/>
        </w:rPr>
        <w:t xml:space="preserve"> and </w:t>
      </w:r>
      <w:r w:rsidRPr="0081373A">
        <w:rPr>
          <w:rStyle w:val="Emphasis"/>
          <w:highlight w:val="cyan"/>
        </w:rPr>
        <w:t>inflexible institution</w:t>
      </w:r>
      <w:r w:rsidRPr="00AA584D">
        <w:rPr>
          <w:sz w:val="16"/>
        </w:rPr>
        <w:t>. People expect things of Washington that it simply cannot do. Bipartisan political dysfunction is making an already difficult task impossible.</w:t>
      </w:r>
    </w:p>
    <w:p w14:paraId="064A4C79" w14:textId="77777777" w:rsidR="00586EDF" w:rsidRDefault="00586EDF" w:rsidP="00586EDF">
      <w:pPr>
        <w:rPr>
          <w:sz w:val="16"/>
        </w:rPr>
      </w:pPr>
      <w:r w:rsidRPr="00AA584D">
        <w:rPr>
          <w:sz w:val="16"/>
        </w:rPr>
        <w:t xml:space="preserve">As Congress gears up for a Phase 4 stimulus, </w:t>
      </w:r>
      <w:r w:rsidRPr="0081373A">
        <w:rPr>
          <w:rStyle w:val="Emphasis"/>
          <w:highlight w:val="cyan"/>
        </w:rPr>
        <w:t>it is crucial</w:t>
      </w:r>
      <w:r w:rsidRPr="00AA584D">
        <w:rPr>
          <w:rStyle w:val="Emphasis"/>
        </w:rPr>
        <w:t xml:space="preserve"> </w:t>
      </w:r>
      <w:r w:rsidRPr="00AA584D">
        <w:rPr>
          <w:sz w:val="16"/>
        </w:rPr>
        <w:t>that</w:t>
      </w:r>
      <w:r w:rsidRPr="00AA584D">
        <w:rPr>
          <w:rStyle w:val="Emphasis"/>
        </w:rPr>
        <w:t xml:space="preserve"> </w:t>
      </w:r>
      <w:r w:rsidRPr="0081373A">
        <w:rPr>
          <w:rStyle w:val="Emphasis"/>
          <w:highlight w:val="cyan"/>
        </w:rPr>
        <w:t>regulatory reform</w:t>
      </w:r>
      <w:r w:rsidRPr="00AA584D">
        <w:rPr>
          <w:sz w:val="16"/>
        </w:rPr>
        <w:t xml:space="preserve"> be part of the package. The top two priorities now are keeping people safe and </w:t>
      </w:r>
      <w:r w:rsidRPr="0081373A">
        <w:rPr>
          <w:rStyle w:val="Emphasis"/>
          <w:highlight w:val="cyan"/>
        </w:rPr>
        <w:t>minimiz</w:t>
      </w:r>
      <w:r w:rsidRPr="00AA584D">
        <w:rPr>
          <w:sz w:val="16"/>
        </w:rPr>
        <w:t xml:space="preserve">ing </w:t>
      </w:r>
      <w:r w:rsidRPr="0081373A">
        <w:rPr>
          <w:rStyle w:val="Emphasis"/>
          <w:highlight w:val="cyan"/>
        </w:rPr>
        <w:t>econo</w:t>
      </w:r>
      <w:r w:rsidRPr="00AA584D">
        <w:rPr>
          <w:rStyle w:val="Emphasis"/>
        </w:rPr>
        <w:t xml:space="preserve">mic </w:t>
      </w:r>
      <w:r w:rsidRPr="0081373A">
        <w:rPr>
          <w:rStyle w:val="Emphasis"/>
          <w:highlight w:val="cyan"/>
        </w:rPr>
        <w:t>damage</w:t>
      </w:r>
      <w:r w:rsidRPr="00AA584D">
        <w:rPr>
          <w:sz w:val="16"/>
        </w:rPr>
        <w:t xml:space="preserve">, in that order. </w:t>
      </w:r>
      <w:r w:rsidRPr="0081373A">
        <w:rPr>
          <w:rStyle w:val="Emphasis"/>
          <w:highlight w:val="cyan"/>
        </w:rPr>
        <w:t>Regulatory </w:t>
      </w:r>
      <w:hyperlink r:id="rId76" w:tgtFrame="_blank" w:history="1">
        <w:r w:rsidRPr="0081373A">
          <w:rPr>
            <w:rStyle w:val="Emphasis"/>
            <w:highlight w:val="cyan"/>
          </w:rPr>
          <w:t>sludge</w:t>
        </w:r>
      </w:hyperlink>
      <w:r w:rsidRPr="00AA584D">
        <w:rPr>
          <w:sz w:val="16"/>
        </w:rPr>
        <w:t xml:space="preserve">, as legal scholar Cass Sunstein calls it, </w:t>
      </w:r>
      <w:r w:rsidRPr="0081373A">
        <w:rPr>
          <w:rStyle w:val="Emphasis"/>
          <w:highlight w:val="cyan"/>
        </w:rPr>
        <w:t>is harming</w:t>
      </w:r>
      <w:r w:rsidRPr="00AA584D">
        <w:rPr>
          <w:sz w:val="16"/>
        </w:rPr>
        <w:t xml:space="preserve"> both </w:t>
      </w:r>
      <w:r w:rsidRPr="0081373A">
        <w:rPr>
          <w:rStyle w:val="Emphasis"/>
          <w:highlight w:val="cyan"/>
        </w:rPr>
        <w:t>objectives</w:t>
      </w:r>
      <w:r w:rsidRPr="00AA584D">
        <w:rPr>
          <w:sz w:val="16"/>
        </w:rPr>
        <w:t>.</w:t>
      </w:r>
    </w:p>
    <w:p w14:paraId="6B647720" w14:textId="77777777" w:rsidR="00586EDF" w:rsidRDefault="00586EDF" w:rsidP="00586EDF">
      <w:pPr>
        <w:pStyle w:val="Heading4"/>
      </w:pPr>
      <w:r>
        <w:t>Investors are key.</w:t>
      </w:r>
    </w:p>
    <w:p w14:paraId="083AF72C" w14:textId="77777777" w:rsidR="00586EDF" w:rsidRDefault="00586EDF" w:rsidP="00586EDF">
      <w:r w:rsidRPr="001A77F6">
        <w:rPr>
          <w:rStyle w:val="Style13ptBold"/>
        </w:rPr>
        <w:t>Lynch, 20</w:t>
      </w:r>
      <w:r>
        <w:t xml:space="preserve"> (David, 6-24-2020, "IMF says global economic collapse caused by coronavirus will be even worse than feared", Washington Post, https://www.washingtonpost.com/business/2020/06/24/imf-global-economy-coronavirus/ accessed: 7-3-2020)//yeed</w:t>
      </w:r>
    </w:p>
    <w:p w14:paraId="5928FFDD" w14:textId="77777777" w:rsidR="00586EDF" w:rsidRDefault="00586EDF" w:rsidP="00586EDF">
      <w:r w:rsidRPr="00C60096">
        <w:rPr>
          <w:rStyle w:val="Emphasis"/>
        </w:rPr>
        <w:t>The</w:t>
      </w:r>
      <w:r w:rsidRPr="00C60096">
        <w:rPr>
          <w:rStyle w:val="StyleUnderline"/>
        </w:rPr>
        <w:t xml:space="preserve"> </w:t>
      </w:r>
      <w:r w:rsidRPr="00C60096">
        <w:rPr>
          <w:rStyle w:val="Emphasis"/>
        </w:rPr>
        <w:t>I</w:t>
      </w:r>
      <w:r w:rsidRPr="00C60096">
        <w:rPr>
          <w:rStyle w:val="StyleUnderline"/>
        </w:rPr>
        <w:t xml:space="preserve">nternational </w:t>
      </w:r>
      <w:r w:rsidRPr="00C60096">
        <w:rPr>
          <w:rStyle w:val="Emphasis"/>
        </w:rPr>
        <w:t>M</w:t>
      </w:r>
      <w:r w:rsidRPr="00C60096">
        <w:rPr>
          <w:rStyle w:val="StyleUnderline"/>
        </w:rPr>
        <w:t xml:space="preserve">onetary </w:t>
      </w:r>
      <w:r w:rsidRPr="00C60096">
        <w:rPr>
          <w:rStyle w:val="Emphasis"/>
        </w:rPr>
        <w:t>F</w:t>
      </w:r>
      <w:r w:rsidRPr="00C60096">
        <w:rPr>
          <w:rStyle w:val="StyleUnderline"/>
        </w:rPr>
        <w:t>und</w:t>
      </w:r>
      <w:r>
        <w:t xml:space="preserve"> on Wednesday </w:t>
      </w:r>
      <w:r w:rsidRPr="00C60096">
        <w:rPr>
          <w:rStyle w:val="StyleUnderline"/>
        </w:rPr>
        <w:t>painted a bleak portrait of the global economy</w:t>
      </w:r>
      <w:r>
        <w:t xml:space="preserve">, saying the </w:t>
      </w:r>
      <w:r w:rsidRPr="00C60096">
        <w:rPr>
          <w:rStyle w:val="StyleUnderline"/>
        </w:rPr>
        <w:t>coronavirus</w:t>
      </w:r>
      <w:r>
        <w:t xml:space="preserve"> pandemic </w:t>
      </w:r>
      <w:r w:rsidRPr="00C60096">
        <w:rPr>
          <w:rStyle w:val="StyleUnderline"/>
        </w:rPr>
        <w:t>has caused more widespread damage than expected and will be followed by a sluggish recovery</w:t>
      </w:r>
      <w:r>
        <w:t>.</w:t>
      </w:r>
    </w:p>
    <w:p w14:paraId="14ECB9EC" w14:textId="77777777" w:rsidR="00586EDF" w:rsidRDefault="00586EDF" w:rsidP="00586EDF">
      <w:r w:rsidRPr="00C60096">
        <w:rPr>
          <w:rStyle w:val="StyleUnderline"/>
        </w:rPr>
        <w:t>The global economy will shrink this year by 4.9 percent</w:t>
      </w:r>
      <w:r>
        <w:t>, worse than the 3 percent decline predicted in April, the IMF said</w:t>
      </w:r>
    </w:p>
    <w:p w14:paraId="58A55725" w14:textId="77777777" w:rsidR="00586EDF" w:rsidRDefault="00586EDF" w:rsidP="00586EDF">
      <w:r w:rsidRPr="00C60096">
        <w:rPr>
          <w:rStyle w:val="Emphasis"/>
        </w:rPr>
        <w:t>No major economy is escaping the pandemic</w:t>
      </w:r>
      <w:r>
        <w:t xml:space="preserve">. </w:t>
      </w:r>
      <w:r w:rsidRPr="00C60096">
        <w:rPr>
          <w:rStyle w:val="StyleUnderline"/>
        </w:rPr>
        <w:t>The U.S. economy</w:t>
      </w:r>
      <w:r>
        <w:t>, the world's largest</w:t>
      </w:r>
      <w:r w:rsidRPr="00C60096">
        <w:rPr>
          <w:rStyle w:val="StyleUnderline"/>
        </w:rPr>
        <w:t>, is expected to shrink this year by 8 percent</w:t>
      </w:r>
      <w:r>
        <w:t xml:space="preserve">. Countries that use the single </w:t>
      </w:r>
      <w:r w:rsidRPr="00C60096">
        <w:rPr>
          <w:rStyle w:val="StyleUnderline"/>
        </w:rPr>
        <w:t>European</w:t>
      </w:r>
      <w:r>
        <w:t xml:space="preserve"> </w:t>
      </w:r>
      <w:r w:rsidRPr="00C60096">
        <w:rPr>
          <w:rStyle w:val="StyleUnderline"/>
        </w:rPr>
        <w:t>currency</w:t>
      </w:r>
      <w:r>
        <w:t xml:space="preserve"> are </w:t>
      </w:r>
      <w:r w:rsidRPr="00C60096">
        <w:rPr>
          <w:rStyle w:val="StyleUnderline"/>
        </w:rPr>
        <w:t>headed for a decline of more than 10 percent</w:t>
      </w:r>
      <w:r>
        <w:t xml:space="preserve"> while </w:t>
      </w:r>
      <w:r w:rsidRPr="00C60096">
        <w:rPr>
          <w:rStyle w:val="StyleUnderline"/>
        </w:rPr>
        <w:t>Japan</w:t>
      </w:r>
      <w:r>
        <w:t xml:space="preserve">ese </w:t>
      </w:r>
      <w:r w:rsidRPr="00C60096">
        <w:rPr>
          <w:rStyle w:val="StyleUnderline"/>
        </w:rPr>
        <w:t>output</w:t>
      </w:r>
      <w:r>
        <w:t xml:space="preserve"> </w:t>
      </w:r>
      <w:r w:rsidRPr="00C60096">
        <w:rPr>
          <w:rStyle w:val="StyleUnderline"/>
        </w:rPr>
        <w:t>will fall by 5.8 percent</w:t>
      </w:r>
      <w:r>
        <w:t>, the IMF said.</w:t>
      </w:r>
    </w:p>
    <w:p w14:paraId="5A0CFA0F" w14:textId="77777777" w:rsidR="00586EDF" w:rsidRDefault="00586EDF" w:rsidP="00586EDF">
      <w:r w:rsidRPr="00E94C35">
        <w:rPr>
          <w:rStyle w:val="StyleUnderline"/>
        </w:rPr>
        <w:t>The Chinese economy</w:t>
      </w:r>
      <w:r>
        <w:t xml:space="preserve">, </w:t>
      </w:r>
      <w:r w:rsidRPr="00E94C35">
        <w:rPr>
          <w:rStyle w:val="StyleUnderline"/>
        </w:rPr>
        <w:t>suffering</w:t>
      </w:r>
      <w:r>
        <w:t xml:space="preserve"> the twin ravages of the pandemic and the trade war with the United States, is projected </w:t>
      </w:r>
      <w:r w:rsidRPr="00E94C35">
        <w:rPr>
          <w:rStyle w:val="StyleUnderline"/>
        </w:rPr>
        <w:t>to eke out</w:t>
      </w:r>
      <w:r>
        <w:t xml:space="preserve"> </w:t>
      </w:r>
      <w:r w:rsidRPr="00E94C35">
        <w:rPr>
          <w:rStyle w:val="StyleUnderline"/>
        </w:rPr>
        <w:t>just</w:t>
      </w:r>
      <w:r>
        <w:t xml:space="preserve"> a </w:t>
      </w:r>
      <w:r w:rsidRPr="00E94C35">
        <w:rPr>
          <w:rStyle w:val="StyleUnderline"/>
        </w:rPr>
        <w:t>1 percent gain</w:t>
      </w:r>
      <w:r>
        <w:t xml:space="preserve"> — its worst performance in several decades.</w:t>
      </w:r>
    </w:p>
    <w:p w14:paraId="3EE20690" w14:textId="77777777" w:rsidR="00586EDF" w:rsidRDefault="00586EDF" w:rsidP="00586EDF">
      <w:r>
        <w:t>"Maybe we can say the world has bottomed out, for now, and we're in a recovery phase," said Gita Gopinath, the IMF's chief economist. "But still, the strength of the recovery is highly uncertain because there is no solution yet to the health crisis."</w:t>
      </w:r>
    </w:p>
    <w:p w14:paraId="0022987C" w14:textId="77777777" w:rsidR="00586EDF" w:rsidRDefault="00586EDF" w:rsidP="00586EDF">
      <w:r>
        <w:t>By the end of next year, the pandemic will have cost the global economy $12.5 trillion in lost output, she added.</w:t>
      </w:r>
    </w:p>
    <w:p w14:paraId="4A407C2D" w14:textId="77777777" w:rsidR="00586EDF" w:rsidRDefault="00586EDF" w:rsidP="00586EDF">
      <w:r>
        <w:t>Current conditions are considerably more dire than the "unprecedented decline in global activity" that the fund projected two months ago. Since mid-April, economic data suggest "even deeper downturns than previously projected," the fund said.</w:t>
      </w:r>
    </w:p>
    <w:p w14:paraId="26E8ADDB" w14:textId="77777777" w:rsidR="00586EDF" w:rsidRDefault="00586EDF" w:rsidP="00586EDF">
      <w:r>
        <w:t xml:space="preserve">Fund officials blamed the darker forecast on the effects of social distancing; scarring to global production capacity from the lockdown of activity; and the productivity cost of new safety and hygiene rules. </w:t>
      </w:r>
      <w:r w:rsidRPr="00E94C35">
        <w:rPr>
          <w:rStyle w:val="StyleUnderline"/>
        </w:rPr>
        <w:t>Some economies also are still struggling to control the coronavirus, the fund added without naming specific governments.</w:t>
      </w:r>
    </w:p>
    <w:p w14:paraId="476274D0" w14:textId="77777777" w:rsidR="00586EDF" w:rsidRDefault="00586EDF" w:rsidP="00586EDF">
      <w:r>
        <w:t>The forecast assumes countries will not reimpose comprehensive lockdowns even if the pandemic flares up again.</w:t>
      </w:r>
    </w:p>
    <w:p w14:paraId="272829A1" w14:textId="77777777" w:rsidR="00586EDF" w:rsidRDefault="00586EDF" w:rsidP="00586EDF">
      <w:r>
        <w:t>Government crisis-fighting efforts — including $11 trillion in spending and tax cuts — have kept the economic collapse from worsening, the fund said.</w:t>
      </w:r>
    </w:p>
    <w:p w14:paraId="4AD1C5B4" w14:textId="77777777" w:rsidR="00586EDF" w:rsidRDefault="00586EDF" w:rsidP="00586EDF">
      <w:r>
        <w:t>"</w:t>
      </w:r>
      <w:r w:rsidRPr="00E94C35">
        <w:rPr>
          <w:rStyle w:val="StyleUnderline"/>
        </w:rPr>
        <w:t>Today's IMF report is a warning to the world about what will happen if policymakers take their foot off the gas,</w:t>
      </w:r>
      <w:r>
        <w:t xml:space="preserve">" said Josh Lipsky, former IMF senior adviser who is now with the Atlantic Council. " … </w:t>
      </w:r>
      <w:r w:rsidRPr="00E94C35">
        <w:rPr>
          <w:rStyle w:val="StyleUnderline"/>
        </w:rPr>
        <w:t>The uncertain spread of the virus, risk of rising trade tensions and debt vulnerabilities in emerging economies all lead to the same conclusion — we have not done enough."</w:t>
      </w:r>
    </w:p>
    <w:p w14:paraId="6C9A576A" w14:textId="77777777" w:rsidR="00586EDF" w:rsidRDefault="00586EDF" w:rsidP="00586EDF">
      <w:r>
        <w:t>Along with backing continued central bank support for low interest rates, the IMF is calling for wealthy nations to grant substantial debt relief to the world's poorest countries. Earlier this month, the fund approved its 70th request for emergency financial aid, a $148 million loan for Guinea.</w:t>
      </w:r>
    </w:p>
    <w:p w14:paraId="78187338" w14:textId="77777777" w:rsidR="00586EDF" w:rsidRDefault="00586EDF" w:rsidP="00586EDF">
      <w:r>
        <w:t>The funds are intended to help Guinean officials pay for urgently needed medical programs to deal with a worsening local coronavirus outbreak.</w:t>
      </w:r>
    </w:p>
    <w:p w14:paraId="5D0912F8" w14:textId="77777777" w:rsidR="00586EDF" w:rsidRDefault="00586EDF" w:rsidP="00586EDF">
      <w:r>
        <w:t>The fund's economic forecast is more downbeat than some major investment firms. Goldman Sachs, for example, earlier this month raised its U.S. forecast to -4.2 percent from -5.2 percent.</w:t>
      </w:r>
    </w:p>
    <w:p w14:paraId="40299606" w14:textId="77777777" w:rsidR="00586EDF" w:rsidRDefault="00586EDF" w:rsidP="00586EDF">
      <w:r>
        <w:t>The fund also issued a warning to investors, who have been buoyed by a stock market recovery from the lows of late March.</w:t>
      </w:r>
    </w:p>
    <w:p w14:paraId="166D4D88" w14:textId="77777777" w:rsidR="00586EDF" w:rsidRDefault="00586EDF" w:rsidP="00586EDF">
      <w:r>
        <w:t>"</w:t>
      </w:r>
      <w:r w:rsidRPr="00E94C35">
        <w:rPr>
          <w:rStyle w:val="StyleUnderline"/>
        </w:rPr>
        <w:t>The extent of the recent rebound in financial market sentiment appears disconnected from shifts in underlying economic prospects</w:t>
      </w:r>
      <w:r>
        <w:t>," the fund said.</w:t>
      </w:r>
    </w:p>
    <w:p w14:paraId="7A441CB7" w14:textId="77777777" w:rsidR="00586EDF" w:rsidRDefault="00586EDF" w:rsidP="00586EDF">
      <w:r w:rsidRPr="00E94C35">
        <w:rPr>
          <w:rStyle w:val="StyleUnderline"/>
        </w:rPr>
        <w:t>If investors subsequently decide they have been overly optimistic, financial conditions could tighten and further hobble the recovery</w:t>
      </w:r>
      <w:r>
        <w:t>, the fund warned.</w:t>
      </w:r>
    </w:p>
    <w:p w14:paraId="220E8F2B" w14:textId="77777777" w:rsidR="00586EDF" w:rsidRDefault="00586EDF" w:rsidP="00586EDF">
      <w:r>
        <w:t>That is not the only question clouding the forecast. Uncertainty over the pandemic's future course, including prospects for a vaccine, weigh on assessments of economic growth. A medical breakthrough could render obsolete forecasts of a decline.</w:t>
      </w:r>
    </w:p>
    <w:p w14:paraId="239733AC" w14:textId="77777777" w:rsidR="00586EDF" w:rsidRPr="00E94C35" w:rsidRDefault="00586EDF" w:rsidP="00586EDF">
      <w:pPr>
        <w:rPr>
          <w:rStyle w:val="StyleUnderline"/>
          <w:u w:val="none"/>
        </w:rPr>
      </w:pPr>
      <w:r>
        <w:t>"Downside risks, however, remain significant," the fund cautioned.</w:t>
      </w:r>
    </w:p>
    <w:p w14:paraId="7AA61929" w14:textId="77777777" w:rsidR="00586EDF" w:rsidRDefault="00586EDF" w:rsidP="00586EDF">
      <w:r w:rsidRPr="00E94C35">
        <w:rPr>
          <w:rStyle w:val="StyleUnderline"/>
        </w:rPr>
        <w:t>Low-income countries also are likely to be especially hard hit, with inequality set to worsen</w:t>
      </w:r>
      <w:r>
        <w:t xml:space="preserve">, the fund said. </w:t>
      </w:r>
      <w:r w:rsidRPr="00E94C35">
        <w:rPr>
          <w:rStyle w:val="StyleUnderline"/>
        </w:rPr>
        <w:t>Progress in recent years on reducing the share of the world's population living in extreme poverty</w:t>
      </w:r>
      <w:r>
        <w:t xml:space="preserve"> — less than $1.90 per day — could reverse amid the global economic hurricane.</w:t>
      </w:r>
    </w:p>
    <w:p w14:paraId="51202544" w14:textId="77777777" w:rsidR="00586EDF" w:rsidRPr="00456038" w:rsidRDefault="00586EDF" w:rsidP="00586EDF">
      <w:pPr>
        <w:rPr>
          <w:u w:val="single"/>
        </w:rPr>
      </w:pPr>
      <w:r>
        <w:t xml:space="preserve">Earlier this month, Kristalina </w:t>
      </w:r>
      <w:r w:rsidRPr="00E94C35">
        <w:rPr>
          <w:rStyle w:val="StyleUnderline"/>
        </w:rPr>
        <w:t>Georgieva</w:t>
      </w:r>
      <w:r>
        <w:t xml:space="preserve">, the fund's managing director, </w:t>
      </w:r>
      <w:r w:rsidRPr="00E94C35">
        <w:rPr>
          <w:rStyle w:val="StyleUnderline"/>
        </w:rPr>
        <w:t>called the pandemic recession "a crisis like no other"</w:t>
      </w:r>
      <w:r>
        <w:t xml:space="preserve"> and said that </w:t>
      </w:r>
      <w:r w:rsidRPr="00E94C35">
        <w:rPr>
          <w:rStyle w:val="StyleUnderline"/>
        </w:rPr>
        <w:t>by the end of this year, an unprecedented 170 countries would see average individual incomes fall.</w:t>
      </w:r>
    </w:p>
    <w:p w14:paraId="594286C8" w14:textId="77777777" w:rsidR="00586EDF" w:rsidRDefault="00586EDF" w:rsidP="00586EDF">
      <w:pPr>
        <w:pStyle w:val="Heading3"/>
      </w:pPr>
      <w:r>
        <w:t>1AR – AT: Recovery Likely</w:t>
      </w:r>
    </w:p>
    <w:p w14:paraId="683981C4" w14:textId="77777777" w:rsidR="00586EDF" w:rsidRPr="00C80CAB" w:rsidRDefault="00586EDF" w:rsidP="00586EDF">
      <w:pPr>
        <w:pStyle w:val="Heading4"/>
        <w:rPr>
          <w:szCs w:val="26"/>
        </w:rPr>
      </w:pPr>
      <w:r>
        <w:rPr>
          <w:szCs w:val="26"/>
        </w:rPr>
        <w:t>Recovery will not be simple.</w:t>
      </w:r>
    </w:p>
    <w:p w14:paraId="0134379D" w14:textId="77777777" w:rsidR="00586EDF" w:rsidRPr="00684BF3" w:rsidRDefault="00586EDF" w:rsidP="00586EDF">
      <w:r w:rsidRPr="00C80CAB">
        <w:rPr>
          <w:rStyle w:val="Heading4Char"/>
          <w:szCs w:val="26"/>
        </w:rPr>
        <w:t>Tokic 20</w:t>
      </w:r>
      <w:r w:rsidRPr="00684BF3">
        <w:t xml:space="preserve"> – (Damir Tokic is a professor of finance at the International University of Monaco and a member of the research lab at the INSEEC U Paris. He is also a registered Commodity Trading Advisor; “Long‐term consequences of the 2020 coronavirus pandemics: Historical global‐macro context”; US National Library of Medicine, National Institute of Health; D.A. July 2</w:t>
      </w:r>
      <w:r w:rsidRPr="00684BF3">
        <w:rPr>
          <w:vertAlign w:val="superscript"/>
        </w:rPr>
        <w:t>nd</w:t>
      </w:r>
      <w:r w:rsidRPr="00684BF3">
        <w:t xml:space="preserve"> 2020, [Published June 8</w:t>
      </w:r>
      <w:r w:rsidRPr="00684BF3">
        <w:rPr>
          <w:vertAlign w:val="superscript"/>
        </w:rPr>
        <w:t>th</w:t>
      </w:r>
      <w:r w:rsidRPr="00684BF3">
        <w:t xml:space="preserve"> 2020]; </w:t>
      </w:r>
      <w:hyperlink r:id="rId77" w:history="1">
        <w:r w:rsidRPr="00684BF3">
          <w:rPr>
            <w:rStyle w:val="Hyperlink"/>
          </w:rPr>
          <w:t>https://www.ncbi.nlm.nih.gov/pmc/articles/PMC7300918/</w:t>
        </w:r>
      </w:hyperlink>
      <w:r w:rsidRPr="00684BF3">
        <w:t>) //LFS—JCM</w:t>
      </w:r>
    </w:p>
    <w:p w14:paraId="4B463BBB" w14:textId="77777777" w:rsidR="00586EDF" w:rsidRPr="00435AA3" w:rsidRDefault="00586EDF" w:rsidP="00586EDF">
      <w:pPr>
        <w:rPr>
          <w:sz w:val="16"/>
        </w:rPr>
      </w:pPr>
      <w:r w:rsidRPr="00435AA3">
        <w:rPr>
          <w:sz w:val="16"/>
        </w:rPr>
        <w:t xml:space="preserve">Thus, over the short‐term, </w:t>
      </w:r>
      <w:r w:rsidRPr="00A07476">
        <w:rPr>
          <w:rStyle w:val="StyleUnderline"/>
          <w:highlight w:val="cyan"/>
        </w:rPr>
        <w:t xml:space="preserve">it is </w:t>
      </w:r>
      <w:r w:rsidRPr="00A07476">
        <w:rPr>
          <w:rStyle w:val="Emphasis"/>
          <w:highlight w:val="cyan"/>
        </w:rPr>
        <w:t>unlikely</w:t>
      </w:r>
      <w:r w:rsidRPr="00435AA3">
        <w:rPr>
          <w:rStyle w:val="StyleUnderline"/>
        </w:rPr>
        <w:t xml:space="preserve"> </w:t>
      </w:r>
      <w:r w:rsidRPr="00435AA3">
        <w:rPr>
          <w:sz w:val="16"/>
        </w:rPr>
        <w:t xml:space="preserve">that </w:t>
      </w:r>
      <w:r w:rsidRPr="00A07476">
        <w:rPr>
          <w:rStyle w:val="StyleUnderline"/>
          <w:highlight w:val="cyan"/>
        </w:rPr>
        <w:t xml:space="preserve">the </w:t>
      </w:r>
      <w:r w:rsidRPr="00A07476">
        <w:rPr>
          <w:rStyle w:val="Emphasis"/>
          <w:highlight w:val="cyan"/>
        </w:rPr>
        <w:t>economy would</w:t>
      </w:r>
      <w:r w:rsidRPr="00435AA3">
        <w:rPr>
          <w:rStyle w:val="StyleUnderline"/>
        </w:rPr>
        <w:t xml:space="preserve"> be able to </w:t>
      </w:r>
      <w:r w:rsidRPr="00A07476">
        <w:rPr>
          <w:rStyle w:val="Emphasis"/>
          <w:highlight w:val="cyan"/>
        </w:rPr>
        <w:t>accomplish</w:t>
      </w:r>
      <w:r w:rsidRPr="00435AA3">
        <w:rPr>
          <w:rStyle w:val="StyleUnderline"/>
        </w:rPr>
        <w:t xml:space="preserve"> the </w:t>
      </w:r>
      <w:r w:rsidRPr="00A07476">
        <w:rPr>
          <w:rStyle w:val="StyleUnderline"/>
          <w:highlight w:val="cyan"/>
        </w:rPr>
        <w:t xml:space="preserve">quick </w:t>
      </w:r>
      <w:r w:rsidRPr="00A07476">
        <w:rPr>
          <w:rStyle w:val="Emphasis"/>
        </w:rPr>
        <w:t xml:space="preserve">V‐shape </w:t>
      </w:r>
      <w:r w:rsidRPr="00A07476">
        <w:rPr>
          <w:rStyle w:val="Emphasis"/>
          <w:highlight w:val="cyan"/>
        </w:rPr>
        <w:t>recovery</w:t>
      </w:r>
      <w:r w:rsidRPr="00435AA3">
        <w:rPr>
          <w:sz w:val="16"/>
        </w:rPr>
        <w:t xml:space="preserve">, as embedded in the stock market prediction. </w:t>
      </w:r>
      <w:r w:rsidRPr="00435AA3">
        <w:rPr>
          <w:rStyle w:val="StyleUnderline"/>
        </w:rPr>
        <w:t>Over the long term, the COVID</w:t>
      </w:r>
      <w:r w:rsidRPr="00435AA3">
        <w:rPr>
          <w:sz w:val="16"/>
        </w:rPr>
        <w:t xml:space="preserve">‐19 </w:t>
      </w:r>
      <w:r w:rsidRPr="00A07476">
        <w:rPr>
          <w:rStyle w:val="StyleUnderline"/>
          <w:highlight w:val="cyan"/>
        </w:rPr>
        <w:t>pandemic will accelerate</w:t>
      </w:r>
      <w:r w:rsidRPr="00435AA3">
        <w:rPr>
          <w:sz w:val="16"/>
        </w:rPr>
        <w:t xml:space="preserve"> the trends of </w:t>
      </w:r>
      <w:r w:rsidRPr="00A07476">
        <w:rPr>
          <w:rStyle w:val="Emphasis"/>
          <w:highlight w:val="cyan"/>
        </w:rPr>
        <w:t>de‐globalization and de‐dollarization</w:t>
      </w:r>
      <w:r w:rsidRPr="00435AA3">
        <w:rPr>
          <w:sz w:val="16"/>
        </w:rPr>
        <w:t xml:space="preserve">, </w:t>
      </w:r>
      <w:r w:rsidRPr="00A07476">
        <w:rPr>
          <w:rStyle w:val="StyleUnderline"/>
          <w:highlight w:val="cyan"/>
        </w:rPr>
        <w:t>producing</w:t>
      </w:r>
      <w:r w:rsidRPr="00435AA3">
        <w:rPr>
          <w:rStyle w:val="StyleUnderline"/>
        </w:rPr>
        <w:t xml:space="preserve"> a highly </w:t>
      </w:r>
      <w:r w:rsidRPr="00A07476">
        <w:rPr>
          <w:rStyle w:val="Emphasis"/>
          <w:highlight w:val="cyan"/>
        </w:rPr>
        <w:t>uncertain geopolitical</w:t>
      </w:r>
      <w:r w:rsidRPr="00435AA3">
        <w:rPr>
          <w:rStyle w:val="StyleUnderline"/>
        </w:rPr>
        <w:t xml:space="preserve"> and </w:t>
      </w:r>
      <w:r w:rsidRPr="00435AA3">
        <w:rPr>
          <w:rStyle w:val="Emphasis"/>
        </w:rPr>
        <w:t xml:space="preserve">economic </w:t>
      </w:r>
      <w:r w:rsidRPr="00A07476">
        <w:rPr>
          <w:rStyle w:val="Emphasis"/>
          <w:highlight w:val="cyan"/>
        </w:rPr>
        <w:t>future</w:t>
      </w:r>
      <w:r w:rsidRPr="00435AA3">
        <w:rPr>
          <w:sz w:val="16"/>
        </w:rPr>
        <w:t>. Based on these observations, the L‐shape economic recovery model is the most likely outcome, with the uncertain duration and depth of the “I” part of the “L.”</w:t>
      </w:r>
    </w:p>
    <w:p w14:paraId="606E4987" w14:textId="77777777" w:rsidR="00586EDF" w:rsidRPr="00435AA3" w:rsidRDefault="00586EDF" w:rsidP="00586EDF">
      <w:pPr>
        <w:rPr>
          <w:sz w:val="16"/>
        </w:rPr>
      </w:pPr>
      <w:r w:rsidRPr="00435AA3">
        <w:rPr>
          <w:sz w:val="16"/>
        </w:rPr>
        <w:t xml:space="preserve">More broadly, </w:t>
      </w:r>
      <w:r w:rsidRPr="00A07476">
        <w:rPr>
          <w:rStyle w:val="StyleUnderline"/>
          <w:highlight w:val="cyan"/>
        </w:rPr>
        <w:t>within the</w:t>
      </w:r>
      <w:r w:rsidRPr="00435AA3">
        <w:rPr>
          <w:rStyle w:val="StyleUnderline"/>
        </w:rPr>
        <w:t xml:space="preserve"> global‐macro </w:t>
      </w:r>
      <w:r w:rsidRPr="00A07476">
        <w:rPr>
          <w:rStyle w:val="StyleUnderline"/>
          <w:highlight w:val="cyan"/>
        </w:rPr>
        <w:t>historical context</w:t>
      </w:r>
      <w:r w:rsidRPr="00435AA3">
        <w:rPr>
          <w:sz w:val="16"/>
        </w:rPr>
        <w:t xml:space="preserve">, </w:t>
      </w:r>
      <w:r w:rsidRPr="00A07476">
        <w:rPr>
          <w:rStyle w:val="StyleUnderline"/>
          <w:highlight w:val="cyan"/>
        </w:rPr>
        <w:t>we see</w:t>
      </w:r>
      <w:r w:rsidRPr="00435AA3">
        <w:rPr>
          <w:sz w:val="16"/>
        </w:rPr>
        <w:t xml:space="preserve"> </w:t>
      </w:r>
      <w:r w:rsidRPr="00A07476">
        <w:rPr>
          <w:rStyle w:val="StyleUnderline"/>
          <w:highlight w:val="cyan"/>
        </w:rPr>
        <w:t>the</w:t>
      </w:r>
      <w:r w:rsidRPr="00A07476">
        <w:rPr>
          <w:rStyle w:val="StyleUnderline"/>
        </w:rPr>
        <w:t xml:space="preserve"> occurrence of the </w:t>
      </w:r>
      <w:r w:rsidRPr="00A07476">
        <w:rPr>
          <w:rStyle w:val="StyleUnderline"/>
          <w:highlight w:val="cyan"/>
        </w:rPr>
        <w:t>pattern</w:t>
      </w:r>
      <w:r w:rsidRPr="00435AA3">
        <w:rPr>
          <w:sz w:val="16"/>
        </w:rPr>
        <w:t>: </w:t>
      </w:r>
      <w:r w:rsidRPr="00A07476">
        <w:rPr>
          <w:rStyle w:val="Emphasis"/>
          <w:highlight w:val="cyan"/>
        </w:rPr>
        <w:t>War</w:t>
      </w:r>
      <w:r w:rsidRPr="00435AA3">
        <w:rPr>
          <w:rStyle w:val="Emphasis"/>
        </w:rPr>
        <w:t>—</w:t>
      </w:r>
      <w:r w:rsidRPr="00A07476">
        <w:rPr>
          <w:rStyle w:val="Emphasis"/>
          <w:highlight w:val="cyan"/>
        </w:rPr>
        <w:t>Post War Recovery</w:t>
      </w:r>
      <w:r w:rsidRPr="00435AA3">
        <w:rPr>
          <w:rStyle w:val="Emphasis"/>
        </w:rPr>
        <w:t>—</w:t>
      </w:r>
      <w:r w:rsidRPr="00A07476">
        <w:rPr>
          <w:rStyle w:val="Emphasis"/>
          <w:highlight w:val="cyan"/>
        </w:rPr>
        <w:t>Financial</w:t>
      </w:r>
      <w:r w:rsidRPr="00435AA3">
        <w:rPr>
          <w:rStyle w:val="Emphasis"/>
        </w:rPr>
        <w:t xml:space="preserve"> </w:t>
      </w:r>
      <w:r w:rsidRPr="00A07476">
        <w:rPr>
          <w:rStyle w:val="Emphasis"/>
          <w:highlight w:val="cyan"/>
        </w:rPr>
        <w:t>Crisis</w:t>
      </w:r>
      <w:r w:rsidRPr="00435AA3">
        <w:rPr>
          <w:rStyle w:val="Emphasis"/>
        </w:rPr>
        <w:t>—</w:t>
      </w:r>
      <w:r w:rsidRPr="00A07476">
        <w:rPr>
          <w:rStyle w:val="Emphasis"/>
          <w:highlight w:val="cyan"/>
        </w:rPr>
        <w:t>New War</w:t>
      </w:r>
      <w:r w:rsidRPr="00435AA3">
        <w:rPr>
          <w:sz w:val="16"/>
        </w:rPr>
        <w:t xml:space="preserve">. The </w:t>
      </w:r>
      <w:r w:rsidRPr="00A07476">
        <w:rPr>
          <w:rStyle w:val="StyleUnderline"/>
          <w:highlight w:val="cyan"/>
        </w:rPr>
        <w:t>pre‐pandemic</w:t>
      </w:r>
      <w:r w:rsidRPr="00435AA3">
        <w:rPr>
          <w:rStyle w:val="StyleUnderline"/>
        </w:rPr>
        <w:t xml:space="preserve"> state </w:t>
      </w:r>
      <w:r w:rsidRPr="00A07476">
        <w:rPr>
          <w:rStyle w:val="StyleUnderline"/>
          <w:highlight w:val="cyan"/>
        </w:rPr>
        <w:t>was</w:t>
      </w:r>
      <w:r w:rsidRPr="00435AA3">
        <w:rPr>
          <w:sz w:val="16"/>
        </w:rPr>
        <w:t xml:space="preserve"> still </w:t>
      </w:r>
      <w:r w:rsidRPr="00A07476">
        <w:rPr>
          <w:rStyle w:val="StyleUnderline"/>
          <w:highlight w:val="cyan"/>
        </w:rPr>
        <w:t>within</w:t>
      </w:r>
      <w:r w:rsidRPr="00435AA3">
        <w:rPr>
          <w:rStyle w:val="StyleUnderline"/>
        </w:rPr>
        <w:t xml:space="preserve"> the </w:t>
      </w:r>
      <w:r w:rsidRPr="00A07476">
        <w:rPr>
          <w:rStyle w:val="Emphasis"/>
          <w:highlight w:val="cyan"/>
        </w:rPr>
        <w:t>Financial Crisis</w:t>
      </w:r>
      <w:r w:rsidRPr="00435AA3">
        <w:rPr>
          <w:rStyle w:val="StyleUnderline"/>
        </w:rPr>
        <w:t> mode</w:t>
      </w:r>
      <w:r w:rsidRPr="00435AA3">
        <w:rPr>
          <w:sz w:val="16"/>
        </w:rPr>
        <w:t xml:space="preserve">, </w:t>
      </w:r>
      <w:r w:rsidRPr="00A07476">
        <w:rPr>
          <w:rStyle w:val="StyleUnderline"/>
          <w:highlight w:val="cyan"/>
        </w:rPr>
        <w:t>with</w:t>
      </w:r>
      <w:r w:rsidRPr="00435AA3">
        <w:rPr>
          <w:rStyle w:val="StyleUnderline"/>
        </w:rPr>
        <w:t xml:space="preserve"> the </w:t>
      </w:r>
      <w:r w:rsidRPr="00A07476">
        <w:rPr>
          <w:rStyle w:val="StyleUnderline"/>
          <w:highlight w:val="cyan"/>
        </w:rPr>
        <w:t>desperate</w:t>
      </w:r>
      <w:r w:rsidRPr="00435AA3">
        <w:rPr>
          <w:sz w:val="16"/>
        </w:rPr>
        <w:t xml:space="preserve"> mix of </w:t>
      </w:r>
      <w:r w:rsidRPr="00A07476">
        <w:rPr>
          <w:rStyle w:val="StyleUnderline"/>
          <w:highlight w:val="cyan"/>
        </w:rPr>
        <w:t>monetary</w:t>
      </w:r>
      <w:r w:rsidRPr="00435AA3">
        <w:rPr>
          <w:rStyle w:val="StyleUnderline"/>
        </w:rPr>
        <w:t xml:space="preserve"> and fiscal </w:t>
      </w:r>
      <w:r w:rsidRPr="00A07476">
        <w:rPr>
          <w:rStyle w:val="StyleUnderline"/>
          <w:highlight w:val="cyan"/>
        </w:rPr>
        <w:t>policies</w:t>
      </w:r>
      <w:r w:rsidRPr="00435AA3">
        <w:rPr>
          <w:rStyle w:val="StyleUnderline"/>
        </w:rPr>
        <w:t xml:space="preserve"> aiming </w:t>
      </w:r>
      <w:r w:rsidRPr="00A07476">
        <w:rPr>
          <w:rStyle w:val="StyleUnderline"/>
          <w:highlight w:val="cyan"/>
        </w:rPr>
        <w:t>to reflate</w:t>
      </w:r>
      <w:r w:rsidRPr="00435AA3">
        <w:rPr>
          <w:rStyle w:val="StyleUnderline"/>
        </w:rPr>
        <w:t xml:space="preserve"> the economy </w:t>
      </w:r>
      <w:r w:rsidRPr="00A07476">
        <w:rPr>
          <w:rStyle w:val="StyleUnderline"/>
          <w:highlight w:val="cyan"/>
        </w:rPr>
        <w:t>post‐</w:t>
      </w:r>
      <w:r w:rsidRPr="00435AA3">
        <w:rPr>
          <w:rStyle w:val="StyleUnderline"/>
        </w:rPr>
        <w:t>20</w:t>
      </w:r>
      <w:r w:rsidRPr="00A07476">
        <w:rPr>
          <w:rStyle w:val="StyleUnderline"/>
          <w:highlight w:val="cyan"/>
        </w:rPr>
        <w:t>08</w:t>
      </w:r>
      <w:r w:rsidRPr="00435AA3">
        <w:rPr>
          <w:rStyle w:val="StyleUnderline"/>
        </w:rPr>
        <w:t xml:space="preserve"> </w:t>
      </w:r>
      <w:r w:rsidRPr="00A07476">
        <w:rPr>
          <w:rStyle w:val="StyleUnderline"/>
          <w:highlight w:val="cyan"/>
        </w:rPr>
        <w:t>recession</w:t>
      </w:r>
      <w:r w:rsidRPr="00435AA3">
        <w:rPr>
          <w:sz w:val="16"/>
        </w:rPr>
        <w:t>, and even going back to the 2002 recession.</w:t>
      </w:r>
    </w:p>
    <w:p w14:paraId="0207A81F" w14:textId="77777777" w:rsidR="00586EDF" w:rsidRPr="00456038" w:rsidRDefault="00586EDF" w:rsidP="00586EDF">
      <w:pPr>
        <w:rPr>
          <w:sz w:val="16"/>
        </w:rPr>
      </w:pPr>
      <w:r w:rsidRPr="00A07476">
        <w:rPr>
          <w:rStyle w:val="StyleUnderline"/>
          <w:highlight w:val="cyan"/>
        </w:rPr>
        <w:t>The question is whether this pattern will</w:t>
      </w:r>
      <w:r w:rsidRPr="00435AA3">
        <w:rPr>
          <w:rStyle w:val="StyleUnderline"/>
        </w:rPr>
        <w:t xml:space="preserve"> </w:t>
      </w:r>
      <w:r w:rsidRPr="00A07476">
        <w:rPr>
          <w:rStyle w:val="StyleUnderline"/>
          <w:highlight w:val="cyan"/>
        </w:rPr>
        <w:t>continue with </w:t>
      </w:r>
      <w:r w:rsidRPr="00A07476">
        <w:rPr>
          <w:rStyle w:val="Emphasis"/>
          <w:highlight w:val="cyan"/>
        </w:rPr>
        <w:t>the new war</w:t>
      </w:r>
      <w:r w:rsidRPr="00435AA3">
        <w:rPr>
          <w:sz w:val="16"/>
        </w:rPr>
        <w:t> (</w:t>
      </w:r>
      <w:r w:rsidRPr="00435AA3">
        <w:rPr>
          <w:rStyle w:val="StyleUnderline"/>
        </w:rPr>
        <w:t>other than Cold War II</w:t>
      </w:r>
      <w:r w:rsidRPr="00435AA3">
        <w:rPr>
          <w:sz w:val="16"/>
        </w:rPr>
        <w:t xml:space="preserve">), </w:t>
      </w:r>
      <w:r w:rsidRPr="00A07476">
        <w:rPr>
          <w:rStyle w:val="StyleUnderline"/>
          <w:highlight w:val="cyan"/>
        </w:rPr>
        <w:t>as</w:t>
      </w:r>
      <w:r w:rsidRPr="00435AA3">
        <w:rPr>
          <w:rStyle w:val="StyleUnderline"/>
        </w:rPr>
        <w:t xml:space="preserve"> the </w:t>
      </w:r>
      <w:r w:rsidRPr="00A07476">
        <w:rPr>
          <w:rStyle w:val="StyleUnderline"/>
          <w:highlight w:val="cyan"/>
        </w:rPr>
        <w:t>part of</w:t>
      </w:r>
      <w:r w:rsidRPr="00435AA3">
        <w:rPr>
          <w:rStyle w:val="StyleUnderline"/>
        </w:rPr>
        <w:t xml:space="preserve"> the trend of accelerating </w:t>
      </w:r>
      <w:r w:rsidRPr="00A07476">
        <w:rPr>
          <w:rStyle w:val="StyleUnderline"/>
          <w:highlight w:val="cyan"/>
        </w:rPr>
        <w:t>de‐globalization</w:t>
      </w:r>
      <w:r w:rsidRPr="00435AA3">
        <w:rPr>
          <w:sz w:val="16"/>
        </w:rPr>
        <w:t>. Alternatively, the COVID‐19 pandemic can be viewed as a war, and we could be entering a period of the post‐COVID‐19‐war recovery, with the focus on sustainable infrastructure building and renewed global solidarity, which actually could create a completely new long‐term trend of sustainable globalization. Let us hope for the latter.</w:t>
      </w:r>
    </w:p>
    <w:p w14:paraId="7AC96C33" w14:textId="77777777" w:rsidR="00586EDF" w:rsidRDefault="00586EDF" w:rsidP="00586EDF">
      <w:pPr>
        <w:pStyle w:val="Heading3"/>
      </w:pPr>
      <w:r>
        <w:t>1AR – AT: No Slow Growth Impact</w:t>
      </w:r>
    </w:p>
    <w:p w14:paraId="1C48D08D" w14:textId="77777777" w:rsidR="00586EDF" w:rsidRPr="00C80CAB" w:rsidRDefault="00586EDF" w:rsidP="00586EDF">
      <w:pPr>
        <w:pStyle w:val="Heading4"/>
        <w:rPr>
          <w:szCs w:val="26"/>
        </w:rPr>
      </w:pPr>
      <w:r>
        <w:rPr>
          <w:szCs w:val="26"/>
        </w:rPr>
        <w:t>Economic security is national security – recognizing that convergence is key to sustain primacy</w:t>
      </w:r>
    </w:p>
    <w:p w14:paraId="30756A8B" w14:textId="77777777" w:rsidR="00586EDF" w:rsidRPr="00684BF3" w:rsidRDefault="00586EDF" w:rsidP="00586EDF">
      <w:r w:rsidRPr="00C80CAB">
        <w:rPr>
          <w:rStyle w:val="Heading4Char"/>
          <w:szCs w:val="26"/>
        </w:rPr>
        <w:t>McCormick et al. 20</w:t>
      </w:r>
      <w:r w:rsidRPr="00684BF3">
        <w:t xml:space="preserve"> – (David H. McCormick is the CEO of Bridgewater Associates, a global macro investment firm. Previously, he served in senior positions in the Treasury Department, the White House, and the Commerce Department. He is a graduate of West Point and a veteran of the First Gulf War; Charles E. Luftig is a senior manager at Bridgewater Associates. He previously served as the deputy general counsel in the Office of Management and Budget and held several legal and policy roles at the National Security Council, including senior adviser in the office of the National Security Adviser; James M. Cunningham is a research associate at Bridgewater Associates. He previously worked as a national security analyst at the American Enterprise Institute and the Hoover Institution; “Economic Might, National Security, and the Future of American Statecraft”; Texas National Security Review; D.A. July 1</w:t>
      </w:r>
      <w:r w:rsidRPr="00684BF3">
        <w:rPr>
          <w:vertAlign w:val="superscript"/>
        </w:rPr>
        <w:t>st</w:t>
      </w:r>
      <w:r w:rsidRPr="00684BF3">
        <w:t xml:space="preserve"> 2020, [Published Summer 2020]; Vol. 3, Issue 3; </w:t>
      </w:r>
      <w:hyperlink r:id="rId78" w:history="1">
        <w:r w:rsidRPr="00684BF3">
          <w:rPr>
            <w:rStyle w:val="Hyperlink"/>
          </w:rPr>
          <w:t>https://tnsr.org/2020/05/economic-might-national-security-future-american-statecraft/</w:t>
        </w:r>
      </w:hyperlink>
      <w:r w:rsidRPr="00684BF3">
        <w:t>) //LFS—JCM</w:t>
      </w:r>
    </w:p>
    <w:p w14:paraId="23852E9D" w14:textId="77777777" w:rsidR="00586EDF" w:rsidRPr="00684BF3" w:rsidRDefault="00586EDF" w:rsidP="00586EDF">
      <w:pPr>
        <w:rPr>
          <w:sz w:val="16"/>
        </w:rPr>
      </w:pPr>
      <w:r w:rsidRPr="00684BF3">
        <w:rPr>
          <w:rStyle w:val="StyleUnderline"/>
        </w:rPr>
        <w:t xml:space="preserve">The </w:t>
      </w:r>
      <w:r w:rsidRPr="00496D4C">
        <w:rPr>
          <w:rStyle w:val="Emphasis"/>
          <w:highlight w:val="cyan"/>
        </w:rPr>
        <w:t>COVID</w:t>
      </w:r>
      <w:r w:rsidRPr="00684BF3">
        <w:rPr>
          <w:rStyle w:val="StyleUnderline"/>
        </w:rPr>
        <w:t xml:space="preserve">-19 crisis </w:t>
      </w:r>
      <w:r w:rsidRPr="00496D4C">
        <w:rPr>
          <w:rStyle w:val="Emphasis"/>
          <w:highlight w:val="cyan"/>
        </w:rPr>
        <w:t>and</w:t>
      </w:r>
      <w:r w:rsidRPr="00684BF3">
        <w:rPr>
          <w:sz w:val="16"/>
        </w:rPr>
        <w:t xml:space="preserve"> the resulting </w:t>
      </w:r>
      <w:r w:rsidRPr="00496D4C">
        <w:rPr>
          <w:rStyle w:val="Emphasis"/>
          <w:highlight w:val="cyan"/>
        </w:rPr>
        <w:t>economic devastation</w:t>
      </w:r>
      <w:r w:rsidRPr="00684BF3">
        <w:rPr>
          <w:rStyle w:val="StyleUnderline"/>
        </w:rPr>
        <w:t xml:space="preserve"> have </w:t>
      </w:r>
      <w:r w:rsidRPr="00496D4C">
        <w:rPr>
          <w:rStyle w:val="Emphasis"/>
          <w:highlight w:val="cyan"/>
        </w:rPr>
        <w:t>fueled</w:t>
      </w:r>
      <w:r w:rsidRPr="00684BF3">
        <w:rPr>
          <w:sz w:val="16"/>
        </w:rPr>
        <w:t xml:space="preserve"> already </w:t>
      </w:r>
      <w:r w:rsidRPr="00684BF3">
        <w:rPr>
          <w:rStyle w:val="StyleUnderline"/>
        </w:rPr>
        <w:t xml:space="preserve">growing </w:t>
      </w:r>
      <w:r w:rsidRPr="00496D4C">
        <w:rPr>
          <w:rStyle w:val="Emphasis"/>
          <w:highlight w:val="cyan"/>
        </w:rPr>
        <w:t>concerns about</w:t>
      </w:r>
      <w:r w:rsidRPr="00496D4C">
        <w:rPr>
          <w:rStyle w:val="StyleUnderline"/>
          <w:highlight w:val="cyan"/>
        </w:rPr>
        <w:t xml:space="preserve"> the</w:t>
      </w:r>
      <w:r w:rsidRPr="00684BF3">
        <w:rPr>
          <w:rStyle w:val="StyleUnderline"/>
        </w:rPr>
        <w:t xml:space="preserve"> state of the </w:t>
      </w:r>
      <w:r w:rsidRPr="00496D4C">
        <w:rPr>
          <w:rStyle w:val="StyleUnderline"/>
          <w:highlight w:val="cyan"/>
        </w:rPr>
        <w:t>U.S</w:t>
      </w:r>
      <w:r w:rsidRPr="00684BF3">
        <w:rPr>
          <w:rStyle w:val="StyleUnderline"/>
        </w:rPr>
        <w:t xml:space="preserve">.-led </w:t>
      </w:r>
      <w:r w:rsidRPr="00496D4C">
        <w:rPr>
          <w:rStyle w:val="Emphasis"/>
        </w:rPr>
        <w:t xml:space="preserve">world </w:t>
      </w:r>
      <w:r w:rsidRPr="00496D4C">
        <w:rPr>
          <w:rStyle w:val="Emphasis"/>
          <w:highlight w:val="cyan"/>
        </w:rPr>
        <w:t>order</w:t>
      </w:r>
      <w:r w:rsidRPr="00684BF3">
        <w:rPr>
          <w:sz w:val="16"/>
        </w:rPr>
        <w:t>.</w:t>
      </w:r>
      <w:hyperlink r:id="rId79" w:anchor="_ftn1" w:history="1">
        <w:r w:rsidRPr="00684BF3">
          <w:rPr>
            <w:rStyle w:val="Hyperlink"/>
            <w:sz w:val="16"/>
          </w:rPr>
          <w:t>1</w:t>
        </w:r>
      </w:hyperlink>
      <w:r w:rsidRPr="00684BF3">
        <w:rPr>
          <w:sz w:val="16"/>
        </w:rPr>
        <w:t xml:space="preserve"> For the past decade, public figures have raised concerns about </w:t>
      </w:r>
      <w:r w:rsidRPr="00684BF3">
        <w:rPr>
          <w:rStyle w:val="StyleUnderline"/>
        </w:rPr>
        <w:t xml:space="preserve">the </w:t>
      </w:r>
      <w:r w:rsidRPr="00684BF3">
        <w:rPr>
          <w:rStyle w:val="Emphasis"/>
        </w:rPr>
        <w:t>rise</w:t>
      </w:r>
      <w:r w:rsidRPr="00684BF3">
        <w:rPr>
          <w:rStyle w:val="StyleUnderline"/>
        </w:rPr>
        <w:t xml:space="preserve"> of </w:t>
      </w:r>
      <w:r w:rsidRPr="00684BF3">
        <w:rPr>
          <w:rStyle w:val="Emphasis"/>
        </w:rPr>
        <w:t>China</w:t>
      </w:r>
      <w:r w:rsidRPr="00684BF3">
        <w:rPr>
          <w:sz w:val="16"/>
        </w:rPr>
        <w:t>,</w:t>
      </w:r>
      <w:hyperlink r:id="rId80" w:anchor="_ftn2" w:history="1">
        <w:r w:rsidRPr="00684BF3">
          <w:rPr>
            <w:rStyle w:val="Hyperlink"/>
            <w:sz w:val="16"/>
          </w:rPr>
          <w:t>2</w:t>
        </w:r>
      </w:hyperlink>
      <w:r w:rsidRPr="00684BF3">
        <w:rPr>
          <w:sz w:val="16"/>
        </w:rPr>
        <w:t xml:space="preserve"> the </w:t>
      </w:r>
      <w:r w:rsidRPr="00684BF3">
        <w:rPr>
          <w:rStyle w:val="Emphasis"/>
        </w:rPr>
        <w:t>erosion</w:t>
      </w:r>
      <w:r w:rsidRPr="00684BF3">
        <w:rPr>
          <w:rStyle w:val="StyleUnderline"/>
        </w:rPr>
        <w:t xml:space="preserve"> of the </w:t>
      </w:r>
      <w:r w:rsidRPr="00684BF3">
        <w:rPr>
          <w:rStyle w:val="Emphasis"/>
        </w:rPr>
        <w:t>American dream</w:t>
      </w:r>
      <w:r w:rsidRPr="00684BF3">
        <w:rPr>
          <w:sz w:val="16"/>
        </w:rPr>
        <w:t>,</w:t>
      </w:r>
      <w:hyperlink r:id="rId81" w:anchor="_ftn3" w:history="1">
        <w:r w:rsidRPr="00684BF3">
          <w:rPr>
            <w:rStyle w:val="Hyperlink"/>
            <w:sz w:val="16"/>
          </w:rPr>
          <w:t>3</w:t>
        </w:r>
      </w:hyperlink>
      <w:r w:rsidRPr="00684BF3">
        <w:rPr>
          <w:sz w:val="16"/>
        </w:rPr>
        <w:t> </w:t>
      </w:r>
      <w:r w:rsidRPr="00684BF3">
        <w:rPr>
          <w:rStyle w:val="StyleUnderline"/>
        </w:rPr>
        <w:t xml:space="preserve">the perceived </w:t>
      </w:r>
      <w:r w:rsidRPr="00684BF3">
        <w:rPr>
          <w:rStyle w:val="Emphasis"/>
        </w:rPr>
        <w:t>failures of</w:t>
      </w:r>
      <w:r w:rsidRPr="00684BF3">
        <w:rPr>
          <w:rStyle w:val="StyleUnderline"/>
        </w:rPr>
        <w:t xml:space="preserve"> </w:t>
      </w:r>
      <w:r w:rsidRPr="00684BF3">
        <w:rPr>
          <w:sz w:val="16"/>
        </w:rPr>
        <w:t xml:space="preserve">American </w:t>
      </w:r>
      <w:r w:rsidRPr="00684BF3">
        <w:rPr>
          <w:rStyle w:val="Emphasis"/>
        </w:rPr>
        <w:t>leadership</w:t>
      </w:r>
      <w:r w:rsidRPr="00684BF3">
        <w:rPr>
          <w:sz w:val="16"/>
        </w:rPr>
        <w:t>,</w:t>
      </w:r>
      <w:hyperlink r:id="rId82" w:anchor="_ftn4" w:history="1">
        <w:r w:rsidRPr="00684BF3">
          <w:rPr>
            <w:rStyle w:val="Hyperlink"/>
            <w:sz w:val="16"/>
          </w:rPr>
          <w:t>4</w:t>
        </w:r>
      </w:hyperlink>
      <w:r w:rsidRPr="00684BF3">
        <w:rPr>
          <w:sz w:val="16"/>
        </w:rPr>
        <w:t> </w:t>
      </w:r>
      <w:r w:rsidRPr="00684BF3">
        <w:rPr>
          <w:rStyle w:val="StyleUnderline"/>
        </w:rPr>
        <w:t>and America’s</w:t>
      </w:r>
      <w:r w:rsidRPr="00684BF3">
        <w:rPr>
          <w:sz w:val="16"/>
        </w:rPr>
        <w:t xml:space="preserve"> relative </w:t>
      </w:r>
      <w:r w:rsidRPr="00684BF3">
        <w:rPr>
          <w:rStyle w:val="Emphasis"/>
        </w:rPr>
        <w:t>loss of power</w:t>
      </w:r>
      <w:r w:rsidRPr="00684BF3">
        <w:rPr>
          <w:sz w:val="16"/>
        </w:rPr>
        <w:t>.</w:t>
      </w:r>
      <w:hyperlink r:id="rId83" w:anchor="_ftn5" w:history="1">
        <w:r w:rsidRPr="00684BF3">
          <w:rPr>
            <w:rStyle w:val="Hyperlink"/>
            <w:sz w:val="16"/>
          </w:rPr>
          <w:t>5</w:t>
        </w:r>
      </w:hyperlink>
      <w:r w:rsidRPr="00684BF3">
        <w:rPr>
          <w:sz w:val="16"/>
        </w:rPr>
        <w:t xml:space="preserve"> Now, </w:t>
      </w:r>
      <w:r w:rsidRPr="00684BF3">
        <w:rPr>
          <w:rStyle w:val="StyleUnderline"/>
        </w:rPr>
        <w:t xml:space="preserve">suffering through a tragic </w:t>
      </w:r>
      <w:r w:rsidRPr="00684BF3">
        <w:rPr>
          <w:rStyle w:val="Emphasis"/>
        </w:rPr>
        <w:t>international crisis</w:t>
      </w:r>
      <w:r w:rsidRPr="00684BF3">
        <w:rPr>
          <w:sz w:val="16"/>
        </w:rPr>
        <w:t>, it is only natural that people might wonder what the future holds. Whether one agrees with these concerns or not, it is undeniable that many Americans are uneasy about their country’s future.</w:t>
      </w:r>
      <w:hyperlink r:id="rId84" w:anchor="_ftn6" w:history="1">
        <w:r w:rsidRPr="00684BF3">
          <w:rPr>
            <w:rStyle w:val="Hyperlink"/>
            <w:sz w:val="16"/>
          </w:rPr>
          <w:t>6</w:t>
        </w:r>
      </w:hyperlink>
    </w:p>
    <w:p w14:paraId="475A07E3" w14:textId="77777777" w:rsidR="00586EDF" w:rsidRPr="000C3AA0" w:rsidRDefault="00586EDF" w:rsidP="00586EDF">
      <w:pPr>
        <w:rPr>
          <w:sz w:val="16"/>
        </w:rPr>
      </w:pPr>
      <w:r w:rsidRPr="000C3AA0">
        <w:rPr>
          <w:sz w:val="16"/>
        </w:rPr>
        <w:t xml:space="preserve">The reality of </w:t>
      </w:r>
      <w:r w:rsidRPr="00684BF3">
        <w:rPr>
          <w:rStyle w:val="StyleUnderline"/>
        </w:rPr>
        <w:t>American power is complicated</w:t>
      </w:r>
      <w:r w:rsidRPr="000C3AA0">
        <w:rPr>
          <w:sz w:val="16"/>
        </w:rPr>
        <w:t xml:space="preserve">. By most measures, </w:t>
      </w:r>
      <w:r w:rsidRPr="00496D4C">
        <w:rPr>
          <w:rStyle w:val="StyleUnderline"/>
          <w:highlight w:val="cyan"/>
        </w:rPr>
        <w:t>the</w:t>
      </w:r>
      <w:r w:rsidRPr="00496D4C">
        <w:rPr>
          <w:rStyle w:val="StyleUnderline"/>
        </w:rPr>
        <w:t xml:space="preserve"> </w:t>
      </w:r>
      <w:r w:rsidRPr="00496D4C">
        <w:rPr>
          <w:rStyle w:val="Emphasis"/>
          <w:highlight w:val="cyan"/>
        </w:rPr>
        <w:t>U</w:t>
      </w:r>
      <w:r w:rsidRPr="00684BF3">
        <w:rPr>
          <w:rStyle w:val="StyleUnderline"/>
        </w:rPr>
        <w:t xml:space="preserve">nited </w:t>
      </w:r>
      <w:r w:rsidRPr="00496D4C">
        <w:rPr>
          <w:rStyle w:val="Emphasis"/>
          <w:highlight w:val="cyan"/>
        </w:rPr>
        <w:t>S</w:t>
      </w:r>
      <w:r w:rsidRPr="00684BF3">
        <w:rPr>
          <w:rStyle w:val="StyleUnderline"/>
        </w:rPr>
        <w:t xml:space="preserve">tates </w:t>
      </w:r>
      <w:r w:rsidRPr="00496D4C">
        <w:rPr>
          <w:rStyle w:val="Emphasis"/>
          <w:highlight w:val="cyan"/>
        </w:rPr>
        <w:t>still</w:t>
      </w:r>
      <w:r w:rsidRPr="00684BF3">
        <w:rPr>
          <w:rStyle w:val="StyleUnderline"/>
        </w:rPr>
        <w:t xml:space="preserve"> </w:t>
      </w:r>
      <w:r w:rsidRPr="00496D4C">
        <w:rPr>
          <w:rStyle w:val="StyleUnderline"/>
          <w:highlight w:val="cyan"/>
        </w:rPr>
        <w:t xml:space="preserve">enjoys </w:t>
      </w:r>
      <w:r w:rsidRPr="00496D4C">
        <w:rPr>
          <w:rStyle w:val="Emphasis"/>
          <w:highlight w:val="cyan"/>
        </w:rPr>
        <w:t>preeminence</w:t>
      </w:r>
      <w:r w:rsidRPr="000C3AA0">
        <w:rPr>
          <w:sz w:val="16"/>
        </w:rPr>
        <w:t xml:space="preserve">: It </w:t>
      </w:r>
      <w:r w:rsidRPr="00684BF3">
        <w:rPr>
          <w:rStyle w:val="StyleUnderline"/>
        </w:rPr>
        <w:t xml:space="preserve">maintains the world’s </w:t>
      </w:r>
      <w:r w:rsidRPr="000C3AA0">
        <w:rPr>
          <w:rStyle w:val="Emphasis"/>
        </w:rPr>
        <w:t>most powerful military</w:t>
      </w:r>
      <w:r w:rsidRPr="000C3AA0">
        <w:rPr>
          <w:sz w:val="16"/>
        </w:rPr>
        <w:t xml:space="preserve"> and </w:t>
      </w:r>
      <w:r w:rsidRPr="00684BF3">
        <w:rPr>
          <w:rStyle w:val="StyleUnderline"/>
        </w:rPr>
        <w:t>is the global leader in tech</w:t>
      </w:r>
      <w:r w:rsidRPr="000C3AA0">
        <w:rPr>
          <w:sz w:val="16"/>
        </w:rPr>
        <w:t xml:space="preserve">nological </w:t>
      </w:r>
      <w:r w:rsidRPr="00684BF3">
        <w:rPr>
          <w:rStyle w:val="StyleUnderline"/>
        </w:rPr>
        <w:t xml:space="preserve">development </w:t>
      </w:r>
      <w:r w:rsidRPr="000C3AA0">
        <w:rPr>
          <w:rStyle w:val="Emphasis"/>
        </w:rPr>
        <w:t>and innovation</w:t>
      </w:r>
      <w:r w:rsidRPr="000C3AA0">
        <w:rPr>
          <w:sz w:val="16"/>
        </w:rPr>
        <w:t>.</w:t>
      </w:r>
      <w:hyperlink r:id="rId85" w:anchor="_ftn7" w:history="1">
        <w:r w:rsidRPr="000C3AA0">
          <w:rPr>
            <w:rStyle w:val="Hyperlink"/>
            <w:sz w:val="16"/>
          </w:rPr>
          <w:t>7</w:t>
        </w:r>
      </w:hyperlink>
      <w:r w:rsidRPr="000C3AA0">
        <w:rPr>
          <w:sz w:val="16"/>
        </w:rPr>
        <w:t> </w:t>
      </w:r>
      <w:r w:rsidRPr="00684BF3">
        <w:rPr>
          <w:rStyle w:val="StyleUnderline"/>
        </w:rPr>
        <w:t xml:space="preserve">It possesses unrivaled </w:t>
      </w:r>
      <w:r w:rsidRPr="000C3AA0">
        <w:rPr>
          <w:rStyle w:val="Emphasis"/>
        </w:rPr>
        <w:t>structural power</w:t>
      </w:r>
      <w:r w:rsidRPr="000C3AA0">
        <w:rPr>
          <w:sz w:val="16"/>
        </w:rPr>
        <w:t xml:space="preserve">, </w:t>
      </w:r>
      <w:r w:rsidRPr="00684BF3">
        <w:rPr>
          <w:rStyle w:val="StyleUnderline"/>
        </w:rPr>
        <w:t>due</w:t>
      </w:r>
      <w:r w:rsidRPr="000C3AA0">
        <w:rPr>
          <w:sz w:val="16"/>
        </w:rPr>
        <w:t xml:space="preserve"> both </w:t>
      </w:r>
      <w:r w:rsidRPr="00684BF3">
        <w:rPr>
          <w:rStyle w:val="StyleUnderline"/>
        </w:rPr>
        <w:t xml:space="preserve">to its </w:t>
      </w:r>
      <w:r w:rsidRPr="000C3AA0">
        <w:rPr>
          <w:rStyle w:val="Emphasis"/>
        </w:rPr>
        <w:t>reserve currency</w:t>
      </w:r>
      <w:r w:rsidRPr="00684BF3">
        <w:rPr>
          <w:rStyle w:val="StyleUnderline"/>
        </w:rPr>
        <w:t xml:space="preserve"> and to America’s role in</w:t>
      </w:r>
      <w:r w:rsidRPr="000C3AA0">
        <w:rPr>
          <w:sz w:val="16"/>
        </w:rPr>
        <w:t xml:space="preserve"> </w:t>
      </w:r>
      <w:r w:rsidRPr="00684BF3">
        <w:rPr>
          <w:rStyle w:val="StyleUnderline"/>
        </w:rPr>
        <w:t>having shaped the</w:t>
      </w:r>
      <w:r w:rsidRPr="000C3AA0">
        <w:rPr>
          <w:sz w:val="16"/>
        </w:rPr>
        <w:t xml:space="preserve"> principles of the </w:t>
      </w:r>
      <w:r w:rsidRPr="00684BF3">
        <w:rPr>
          <w:rStyle w:val="StyleUnderline"/>
        </w:rPr>
        <w:t>global order and</w:t>
      </w:r>
      <w:r w:rsidRPr="000C3AA0">
        <w:rPr>
          <w:sz w:val="16"/>
        </w:rPr>
        <w:t xml:space="preserve"> of international </w:t>
      </w:r>
      <w:r w:rsidRPr="00684BF3">
        <w:rPr>
          <w:rStyle w:val="StyleUnderline"/>
        </w:rPr>
        <w:t>institutions</w:t>
      </w:r>
      <w:r w:rsidRPr="000C3AA0">
        <w:rPr>
          <w:sz w:val="16"/>
        </w:rPr>
        <w:t>.</w:t>
      </w:r>
      <w:hyperlink r:id="rId86" w:anchor="_ftn8" w:history="1">
        <w:r w:rsidRPr="000C3AA0">
          <w:rPr>
            <w:rStyle w:val="Hyperlink"/>
            <w:sz w:val="16"/>
          </w:rPr>
          <w:t>8</w:t>
        </w:r>
      </w:hyperlink>
      <w:r w:rsidRPr="000C3AA0">
        <w:rPr>
          <w:sz w:val="16"/>
        </w:rPr>
        <w:t xml:space="preserve"> Its network of </w:t>
      </w:r>
      <w:r w:rsidRPr="000C3AA0">
        <w:rPr>
          <w:rStyle w:val="Emphasis"/>
        </w:rPr>
        <w:t>like-minded allies</w:t>
      </w:r>
      <w:r w:rsidRPr="00684BF3">
        <w:rPr>
          <w:rStyle w:val="StyleUnderline"/>
        </w:rPr>
        <w:t xml:space="preserve"> and partners</w:t>
      </w:r>
      <w:r w:rsidRPr="000C3AA0">
        <w:rPr>
          <w:sz w:val="16"/>
        </w:rPr>
        <w:t xml:space="preserve"> has </w:t>
      </w:r>
      <w:r w:rsidRPr="00684BF3">
        <w:rPr>
          <w:rStyle w:val="StyleUnderline"/>
        </w:rPr>
        <w:t>endowed it with a unique ability to influence international affairs</w:t>
      </w:r>
      <w:r w:rsidRPr="000C3AA0">
        <w:rPr>
          <w:sz w:val="16"/>
        </w:rPr>
        <w:t>.</w:t>
      </w:r>
      <w:hyperlink r:id="rId87" w:anchor="_ftn9" w:history="1">
        <w:r w:rsidRPr="000C3AA0">
          <w:rPr>
            <w:rStyle w:val="Hyperlink"/>
            <w:sz w:val="16"/>
          </w:rPr>
          <w:t>9</w:t>
        </w:r>
      </w:hyperlink>
      <w:r w:rsidRPr="000C3AA0">
        <w:rPr>
          <w:sz w:val="16"/>
        </w:rPr>
        <w:t xml:space="preserve"> And </w:t>
      </w:r>
      <w:r w:rsidRPr="00496D4C">
        <w:rPr>
          <w:rStyle w:val="StyleUnderline"/>
          <w:highlight w:val="cyan"/>
        </w:rPr>
        <w:t>a</w:t>
      </w:r>
      <w:r w:rsidRPr="000C3AA0">
        <w:rPr>
          <w:sz w:val="16"/>
        </w:rPr>
        <w:t xml:space="preserve"> vibrant, </w:t>
      </w:r>
      <w:r w:rsidRPr="00496D4C">
        <w:rPr>
          <w:rStyle w:val="Emphasis"/>
          <w:highlight w:val="cyan"/>
        </w:rPr>
        <w:t>strong economy</w:t>
      </w:r>
      <w:r w:rsidRPr="00496D4C">
        <w:rPr>
          <w:rStyle w:val="StyleUnderline"/>
          <w:highlight w:val="cyan"/>
        </w:rPr>
        <w:t xml:space="preserve"> has </w:t>
      </w:r>
      <w:r w:rsidRPr="00496D4C">
        <w:rPr>
          <w:rStyle w:val="Emphasis"/>
          <w:highlight w:val="cyan"/>
        </w:rPr>
        <w:t>sustained</w:t>
      </w:r>
      <w:r w:rsidRPr="00684BF3">
        <w:rPr>
          <w:rStyle w:val="Emphasis"/>
        </w:rPr>
        <w:t xml:space="preserve"> the growth of</w:t>
      </w:r>
      <w:r w:rsidRPr="00684BF3">
        <w:rPr>
          <w:rStyle w:val="StyleUnderline"/>
        </w:rPr>
        <w:t xml:space="preserve"> </w:t>
      </w:r>
      <w:r w:rsidRPr="00496D4C">
        <w:rPr>
          <w:rStyle w:val="StyleUnderline"/>
          <w:highlight w:val="cyan"/>
        </w:rPr>
        <w:t>American</w:t>
      </w:r>
      <w:r w:rsidRPr="00684BF3">
        <w:rPr>
          <w:rStyle w:val="StyleUnderline"/>
        </w:rPr>
        <w:t xml:space="preserve"> </w:t>
      </w:r>
      <w:r w:rsidRPr="00496D4C">
        <w:rPr>
          <w:rStyle w:val="Emphasis"/>
          <w:highlight w:val="cyan"/>
        </w:rPr>
        <w:t>power</w:t>
      </w:r>
      <w:r w:rsidRPr="000C3AA0">
        <w:rPr>
          <w:sz w:val="16"/>
        </w:rPr>
        <w:t>,</w:t>
      </w:r>
      <w:hyperlink r:id="rId88" w:anchor="_ftn10" w:history="1">
        <w:r w:rsidRPr="000C3AA0">
          <w:rPr>
            <w:rStyle w:val="Hyperlink"/>
            <w:sz w:val="16"/>
          </w:rPr>
          <w:t>10</w:t>
        </w:r>
      </w:hyperlink>
      <w:r w:rsidRPr="000C3AA0">
        <w:rPr>
          <w:sz w:val="16"/>
        </w:rPr>
        <w:t> helped along by America’s unique political values and culture, and its standing as a symbol of democracy for the world.</w:t>
      </w:r>
      <w:hyperlink r:id="rId89" w:anchor="_ftn11" w:history="1">
        <w:r w:rsidRPr="000C3AA0">
          <w:rPr>
            <w:rStyle w:val="Hyperlink"/>
            <w:sz w:val="16"/>
          </w:rPr>
          <w:t>11</w:t>
        </w:r>
      </w:hyperlink>
    </w:p>
    <w:p w14:paraId="63ED7AE9" w14:textId="77777777" w:rsidR="00586EDF" w:rsidRPr="000C3AA0" w:rsidRDefault="00586EDF" w:rsidP="00586EDF">
      <w:pPr>
        <w:rPr>
          <w:sz w:val="16"/>
        </w:rPr>
      </w:pPr>
      <w:r w:rsidRPr="000C3AA0">
        <w:rPr>
          <w:sz w:val="16"/>
        </w:rPr>
        <w:t xml:space="preserve">At the same time, despite its many advantages, </w:t>
      </w:r>
      <w:r w:rsidRPr="000C3AA0">
        <w:rPr>
          <w:rStyle w:val="Emphasis"/>
        </w:rPr>
        <w:t>America</w:t>
      </w:r>
      <w:r w:rsidRPr="000C3AA0">
        <w:rPr>
          <w:rStyle w:val="StyleUnderline"/>
        </w:rPr>
        <w:t xml:space="preserve"> currently </w:t>
      </w:r>
      <w:r w:rsidRPr="000C3AA0">
        <w:rPr>
          <w:rStyle w:val="Emphasis"/>
        </w:rPr>
        <w:t>faces</w:t>
      </w:r>
      <w:r w:rsidRPr="000C3AA0">
        <w:rPr>
          <w:rStyle w:val="StyleUnderline"/>
        </w:rPr>
        <w:t xml:space="preserve"> serious </w:t>
      </w:r>
      <w:r w:rsidRPr="000C3AA0">
        <w:rPr>
          <w:rStyle w:val="Emphasis"/>
        </w:rPr>
        <w:t>headwinds</w:t>
      </w:r>
      <w:r w:rsidRPr="000C3AA0">
        <w:rPr>
          <w:rStyle w:val="StyleUnderline"/>
        </w:rPr>
        <w:t>, including</w:t>
      </w:r>
      <w:r w:rsidRPr="000C3AA0">
        <w:rPr>
          <w:sz w:val="16"/>
        </w:rPr>
        <w:t xml:space="preserve"> high levels of </w:t>
      </w:r>
      <w:r w:rsidRPr="000C3AA0">
        <w:rPr>
          <w:rStyle w:val="Emphasis"/>
        </w:rPr>
        <w:t>debt</w:t>
      </w:r>
      <w:r w:rsidRPr="000C3AA0">
        <w:rPr>
          <w:rStyle w:val="StyleUnderline"/>
        </w:rPr>
        <w:t xml:space="preserve">, reduced economic </w:t>
      </w:r>
      <w:r w:rsidRPr="000C3AA0">
        <w:rPr>
          <w:rStyle w:val="Emphasis"/>
        </w:rPr>
        <w:t>mobility</w:t>
      </w:r>
      <w:r w:rsidRPr="000C3AA0">
        <w:rPr>
          <w:sz w:val="16"/>
        </w:rPr>
        <w:t xml:space="preserve">, political discord, </w:t>
      </w:r>
      <w:r w:rsidRPr="000C3AA0">
        <w:rPr>
          <w:rStyle w:val="StyleUnderline"/>
        </w:rPr>
        <w:t>and</w:t>
      </w:r>
      <w:r w:rsidRPr="000C3AA0">
        <w:rPr>
          <w:sz w:val="16"/>
        </w:rPr>
        <w:t xml:space="preserve"> the emergence of </w:t>
      </w:r>
      <w:r w:rsidRPr="000C3AA0">
        <w:rPr>
          <w:rStyle w:val="StyleUnderline"/>
        </w:rPr>
        <w:t xml:space="preserve">a </w:t>
      </w:r>
      <w:r w:rsidRPr="000C3AA0">
        <w:rPr>
          <w:rStyle w:val="Emphasis"/>
        </w:rPr>
        <w:t>rising power</w:t>
      </w:r>
      <w:r w:rsidRPr="000C3AA0">
        <w:rPr>
          <w:sz w:val="16"/>
        </w:rPr>
        <w:t>.</w:t>
      </w:r>
      <w:hyperlink r:id="rId90" w:anchor="_ftn12" w:history="1">
        <w:r w:rsidRPr="000C3AA0">
          <w:rPr>
            <w:rStyle w:val="Hyperlink"/>
            <w:sz w:val="16"/>
          </w:rPr>
          <w:t>12</w:t>
        </w:r>
      </w:hyperlink>
      <w:r w:rsidRPr="000C3AA0">
        <w:rPr>
          <w:sz w:val="16"/>
        </w:rPr>
        <w:t> </w:t>
      </w:r>
      <w:r w:rsidRPr="000C3AA0">
        <w:rPr>
          <w:rStyle w:val="StyleUnderline"/>
        </w:rPr>
        <w:t>Even prior to the</w:t>
      </w:r>
      <w:r w:rsidRPr="000C3AA0">
        <w:rPr>
          <w:sz w:val="16"/>
        </w:rPr>
        <w:t xml:space="preserve"> outbreak of the </w:t>
      </w:r>
      <w:r w:rsidRPr="000C3AA0">
        <w:rPr>
          <w:rStyle w:val="StyleUnderline"/>
        </w:rPr>
        <w:t>pandemic</w:t>
      </w:r>
      <w:r w:rsidRPr="000C3AA0">
        <w:rPr>
          <w:sz w:val="16"/>
        </w:rPr>
        <w:t xml:space="preserve">, </w:t>
      </w:r>
      <w:r w:rsidRPr="000C3AA0">
        <w:rPr>
          <w:rStyle w:val="StyleUnderline"/>
        </w:rPr>
        <w:t>America’s</w:t>
      </w:r>
      <w:r w:rsidRPr="000C3AA0">
        <w:rPr>
          <w:sz w:val="16"/>
        </w:rPr>
        <w:t xml:space="preserve"> long-term </w:t>
      </w:r>
      <w:r w:rsidRPr="000C3AA0">
        <w:rPr>
          <w:rStyle w:val="StyleUnderline"/>
        </w:rPr>
        <w:t>spending commitments</w:t>
      </w:r>
      <w:r w:rsidRPr="000C3AA0">
        <w:rPr>
          <w:sz w:val="16"/>
        </w:rPr>
        <w:t xml:space="preserve"> — including government and private debt, and pension and entitlement liabilities — </w:t>
      </w:r>
      <w:r w:rsidRPr="000C3AA0">
        <w:rPr>
          <w:rStyle w:val="StyleUnderline"/>
        </w:rPr>
        <w:t>totaled roughly 10 times the</w:t>
      </w:r>
      <w:r w:rsidRPr="000C3AA0">
        <w:rPr>
          <w:sz w:val="16"/>
        </w:rPr>
        <w:t xml:space="preserve"> country’s </w:t>
      </w:r>
      <w:r w:rsidRPr="000C3AA0">
        <w:rPr>
          <w:rStyle w:val="StyleUnderline"/>
        </w:rPr>
        <w:t>GDP</w:t>
      </w:r>
      <w:r w:rsidRPr="000C3AA0">
        <w:rPr>
          <w:sz w:val="16"/>
        </w:rPr>
        <w:t>.</w:t>
      </w:r>
      <w:hyperlink r:id="rId91" w:anchor="_ftn13" w:history="1">
        <w:r w:rsidRPr="000C3AA0">
          <w:rPr>
            <w:rStyle w:val="Hyperlink"/>
            <w:sz w:val="16"/>
          </w:rPr>
          <w:t>13</w:t>
        </w:r>
      </w:hyperlink>
      <w:r w:rsidRPr="000C3AA0">
        <w:rPr>
          <w:sz w:val="16"/>
        </w:rPr>
        <w:t> </w:t>
      </w:r>
      <w:r w:rsidRPr="000C3AA0">
        <w:rPr>
          <w:rStyle w:val="StyleUnderline"/>
        </w:rPr>
        <w:t>These developments</w:t>
      </w:r>
      <w:r w:rsidRPr="000C3AA0">
        <w:rPr>
          <w:sz w:val="16"/>
        </w:rPr>
        <w:t>, combined with growing political polarization,</w:t>
      </w:r>
      <w:hyperlink r:id="rId92" w:anchor="_ftn14" w:history="1">
        <w:r w:rsidRPr="000C3AA0">
          <w:rPr>
            <w:rStyle w:val="Hyperlink"/>
            <w:sz w:val="16"/>
          </w:rPr>
          <w:t>14</w:t>
        </w:r>
      </w:hyperlink>
      <w:r w:rsidRPr="000C3AA0">
        <w:rPr>
          <w:sz w:val="16"/>
        </w:rPr>
        <w:t> </w:t>
      </w:r>
      <w:r w:rsidRPr="000C3AA0">
        <w:rPr>
          <w:rStyle w:val="StyleUnderline"/>
        </w:rPr>
        <w:t xml:space="preserve">have contributed to </w:t>
      </w:r>
      <w:r w:rsidRPr="000C3AA0">
        <w:rPr>
          <w:sz w:val="16"/>
        </w:rPr>
        <w:t xml:space="preserve">domestic </w:t>
      </w:r>
      <w:r w:rsidRPr="000C3AA0">
        <w:rPr>
          <w:rStyle w:val="StyleUnderline"/>
        </w:rPr>
        <w:t>unease</w:t>
      </w:r>
      <w:r w:rsidRPr="000C3AA0">
        <w:rPr>
          <w:sz w:val="16"/>
        </w:rPr>
        <w:t>, something the pandemic may worsen.</w:t>
      </w:r>
      <w:hyperlink r:id="rId93" w:anchor="_ftn15" w:history="1">
        <w:r w:rsidRPr="000C3AA0">
          <w:rPr>
            <w:rStyle w:val="Hyperlink"/>
            <w:sz w:val="16"/>
          </w:rPr>
          <w:t>15</w:t>
        </w:r>
      </w:hyperlink>
    </w:p>
    <w:p w14:paraId="2891289E" w14:textId="77777777" w:rsidR="00586EDF" w:rsidRPr="000C3AA0" w:rsidRDefault="00586EDF" w:rsidP="00586EDF">
      <w:pPr>
        <w:rPr>
          <w:sz w:val="16"/>
        </w:rPr>
      </w:pPr>
      <w:r w:rsidRPr="000C3AA0">
        <w:rPr>
          <w:sz w:val="16"/>
        </w:rPr>
        <w:t xml:space="preserve">The </w:t>
      </w:r>
      <w:r w:rsidRPr="00496D4C">
        <w:rPr>
          <w:rStyle w:val="StyleUnderline"/>
          <w:highlight w:val="cyan"/>
        </w:rPr>
        <w:t xml:space="preserve">emergence of </w:t>
      </w:r>
      <w:r w:rsidRPr="00496D4C">
        <w:rPr>
          <w:rStyle w:val="Emphasis"/>
          <w:highlight w:val="cyan"/>
        </w:rPr>
        <w:t>Asian economies</w:t>
      </w:r>
      <w:r w:rsidRPr="00496D4C">
        <w:rPr>
          <w:rStyle w:val="StyleUnderline"/>
          <w:highlight w:val="cyan"/>
        </w:rPr>
        <w:t xml:space="preserve"> as</w:t>
      </w:r>
      <w:r w:rsidRPr="000C3AA0">
        <w:rPr>
          <w:sz w:val="16"/>
        </w:rPr>
        <w:t xml:space="preserve"> the </w:t>
      </w:r>
      <w:r w:rsidRPr="00496D4C">
        <w:rPr>
          <w:rStyle w:val="StyleUnderline"/>
          <w:highlight w:val="cyan"/>
        </w:rPr>
        <w:t>drivers of</w:t>
      </w:r>
      <w:r w:rsidRPr="000C3AA0">
        <w:rPr>
          <w:rStyle w:val="StyleUnderline"/>
        </w:rPr>
        <w:t xml:space="preserve"> </w:t>
      </w:r>
      <w:r w:rsidRPr="000C3AA0">
        <w:rPr>
          <w:rStyle w:val="Emphasis"/>
        </w:rPr>
        <w:t xml:space="preserve">global </w:t>
      </w:r>
      <w:r w:rsidRPr="00496D4C">
        <w:rPr>
          <w:rStyle w:val="Emphasis"/>
          <w:highlight w:val="cyan"/>
        </w:rPr>
        <w:t>growth</w:t>
      </w:r>
      <w:r w:rsidRPr="000C3AA0">
        <w:rPr>
          <w:sz w:val="16"/>
        </w:rPr>
        <w:t xml:space="preserve"> and </w:t>
      </w:r>
      <w:r w:rsidRPr="000C3AA0">
        <w:rPr>
          <w:rStyle w:val="StyleUnderline"/>
        </w:rPr>
        <w:t xml:space="preserve">the </w:t>
      </w:r>
      <w:r w:rsidRPr="000C3AA0">
        <w:rPr>
          <w:rStyle w:val="Emphasis"/>
        </w:rPr>
        <w:t>rise of China</w:t>
      </w:r>
      <w:r w:rsidRPr="000C3AA0">
        <w:rPr>
          <w:sz w:val="16"/>
        </w:rPr>
        <w:t xml:space="preserve"> have also </w:t>
      </w:r>
      <w:r w:rsidRPr="00496D4C">
        <w:rPr>
          <w:rStyle w:val="Emphasis"/>
          <w:highlight w:val="cyan"/>
        </w:rPr>
        <w:t>challenge</w:t>
      </w:r>
      <w:r w:rsidRPr="000C3AA0">
        <w:rPr>
          <w:rStyle w:val="Emphasis"/>
        </w:rPr>
        <w:t>d</w:t>
      </w:r>
      <w:r w:rsidRPr="000C3AA0">
        <w:rPr>
          <w:rStyle w:val="StyleUnderline"/>
        </w:rPr>
        <w:t xml:space="preserve"> American </w:t>
      </w:r>
      <w:r w:rsidRPr="00496D4C">
        <w:rPr>
          <w:rStyle w:val="Emphasis"/>
          <w:highlight w:val="cyan"/>
        </w:rPr>
        <w:t>preeminence</w:t>
      </w:r>
      <w:r w:rsidRPr="000C3AA0">
        <w:rPr>
          <w:sz w:val="16"/>
        </w:rPr>
        <w:t>.</w:t>
      </w:r>
      <w:hyperlink r:id="rId94" w:anchor="_ftn16" w:history="1">
        <w:r w:rsidRPr="000C3AA0">
          <w:rPr>
            <w:rStyle w:val="Hyperlink"/>
            <w:sz w:val="16"/>
          </w:rPr>
          <w:t>16</w:t>
        </w:r>
      </w:hyperlink>
      <w:r w:rsidRPr="000C3AA0">
        <w:rPr>
          <w:sz w:val="16"/>
        </w:rPr>
        <w:t xml:space="preserve"> The </w:t>
      </w:r>
      <w:r w:rsidRPr="00496D4C">
        <w:rPr>
          <w:rStyle w:val="Emphasis"/>
          <w:highlight w:val="cyan"/>
        </w:rPr>
        <w:t>C</w:t>
      </w:r>
      <w:r w:rsidRPr="000C3AA0">
        <w:rPr>
          <w:rStyle w:val="StyleUnderline"/>
        </w:rPr>
        <w:t xml:space="preserve">hinese </w:t>
      </w:r>
      <w:r w:rsidRPr="00496D4C">
        <w:rPr>
          <w:rStyle w:val="Emphasis"/>
          <w:highlight w:val="cyan"/>
        </w:rPr>
        <w:t>C</w:t>
      </w:r>
      <w:r w:rsidRPr="000C3AA0">
        <w:rPr>
          <w:rStyle w:val="StyleUnderline"/>
        </w:rPr>
        <w:t xml:space="preserve">ommunist </w:t>
      </w:r>
      <w:r w:rsidRPr="00496D4C">
        <w:rPr>
          <w:rStyle w:val="Emphasis"/>
          <w:highlight w:val="cyan"/>
        </w:rPr>
        <w:t>P</w:t>
      </w:r>
      <w:r w:rsidRPr="000C3AA0">
        <w:rPr>
          <w:rStyle w:val="StyleUnderline"/>
        </w:rPr>
        <w:t>arty</w:t>
      </w:r>
      <w:r w:rsidRPr="000C3AA0">
        <w:rPr>
          <w:sz w:val="16"/>
        </w:rPr>
        <w:t xml:space="preserve"> has </w:t>
      </w:r>
      <w:r w:rsidRPr="00496D4C">
        <w:rPr>
          <w:rStyle w:val="StyleUnderline"/>
          <w:highlight w:val="cyan"/>
        </w:rPr>
        <w:t>proclaimed</w:t>
      </w:r>
      <w:r w:rsidRPr="000C3AA0">
        <w:rPr>
          <w:sz w:val="16"/>
        </w:rPr>
        <w:t xml:space="preserve"> its plans to achieve </w:t>
      </w:r>
      <w:r w:rsidRPr="000C3AA0">
        <w:rPr>
          <w:rStyle w:val="Emphasis"/>
        </w:rPr>
        <w:t xml:space="preserve">great power </w:t>
      </w:r>
      <w:r w:rsidRPr="00496D4C">
        <w:rPr>
          <w:rStyle w:val="Emphasis"/>
          <w:highlight w:val="cyan"/>
        </w:rPr>
        <w:t>primacy</w:t>
      </w:r>
      <w:r w:rsidRPr="000C3AA0">
        <w:rPr>
          <w:sz w:val="16"/>
        </w:rPr>
        <w:t xml:space="preserve"> in the coming decades and has </w:t>
      </w:r>
      <w:r w:rsidRPr="00496D4C">
        <w:rPr>
          <w:rStyle w:val="StyleUnderline"/>
          <w:highlight w:val="cyan"/>
        </w:rPr>
        <w:t>set</w:t>
      </w:r>
      <w:r w:rsidRPr="000C3AA0">
        <w:rPr>
          <w:rStyle w:val="StyleUnderline"/>
        </w:rPr>
        <w:t xml:space="preserve"> about </w:t>
      </w:r>
      <w:r w:rsidRPr="00496D4C">
        <w:rPr>
          <w:rStyle w:val="Emphasis"/>
          <w:highlight w:val="cyan"/>
        </w:rPr>
        <w:t>contesting</w:t>
      </w:r>
      <w:r w:rsidRPr="000C3AA0">
        <w:rPr>
          <w:rStyle w:val="StyleUnderline"/>
        </w:rPr>
        <w:t xml:space="preserve"> </w:t>
      </w:r>
      <w:r w:rsidRPr="00496D4C">
        <w:rPr>
          <w:rStyle w:val="StyleUnderline"/>
          <w:highlight w:val="cyan"/>
        </w:rPr>
        <w:t xml:space="preserve">American </w:t>
      </w:r>
      <w:r w:rsidRPr="00496D4C">
        <w:rPr>
          <w:rStyle w:val="Emphasis"/>
          <w:highlight w:val="cyan"/>
        </w:rPr>
        <w:t>economic</w:t>
      </w:r>
      <w:r w:rsidRPr="000C3AA0">
        <w:rPr>
          <w:sz w:val="16"/>
        </w:rPr>
        <w:t xml:space="preserve">, military, structural, and cultural </w:t>
      </w:r>
      <w:r w:rsidRPr="00496D4C">
        <w:rPr>
          <w:rStyle w:val="Emphasis"/>
          <w:highlight w:val="cyan"/>
        </w:rPr>
        <w:t>power</w:t>
      </w:r>
      <w:r w:rsidRPr="000C3AA0">
        <w:rPr>
          <w:sz w:val="16"/>
        </w:rPr>
        <w:t>.</w:t>
      </w:r>
      <w:hyperlink r:id="rId95" w:anchor="_ftn17" w:history="1">
        <w:r w:rsidRPr="000C3AA0">
          <w:rPr>
            <w:rStyle w:val="Hyperlink"/>
            <w:sz w:val="16"/>
          </w:rPr>
          <w:t>17</w:t>
        </w:r>
      </w:hyperlink>
      <w:r w:rsidRPr="000C3AA0">
        <w:rPr>
          <w:sz w:val="16"/>
        </w:rPr>
        <w:t xml:space="preserve"> These developments in China raise the question: </w:t>
      </w:r>
      <w:r w:rsidRPr="000C3AA0">
        <w:rPr>
          <w:rStyle w:val="StyleUnderline"/>
        </w:rPr>
        <w:t>What is America’s plan</w:t>
      </w:r>
      <w:r w:rsidRPr="000C3AA0">
        <w:rPr>
          <w:sz w:val="16"/>
        </w:rPr>
        <w:t xml:space="preserve"> for preserving its great power primacy</w:t>
      </w:r>
      <w:r w:rsidRPr="000C3AA0">
        <w:rPr>
          <w:rStyle w:val="StyleUnderline"/>
        </w:rPr>
        <w:t>?</w:t>
      </w:r>
    </w:p>
    <w:p w14:paraId="63D0056C" w14:textId="77777777" w:rsidR="00586EDF" w:rsidRPr="002615EB" w:rsidRDefault="00586EDF" w:rsidP="00586EDF">
      <w:pPr>
        <w:rPr>
          <w:sz w:val="16"/>
        </w:rPr>
      </w:pPr>
      <w:r w:rsidRPr="002615EB">
        <w:rPr>
          <w:rStyle w:val="StyleUnderline"/>
        </w:rPr>
        <w:t>Some in America have gone through similar crises</w:t>
      </w:r>
      <w:r w:rsidRPr="002615EB">
        <w:rPr>
          <w:sz w:val="16"/>
        </w:rPr>
        <w:t xml:space="preserve"> of confidence before,</w:t>
      </w:r>
      <w:hyperlink r:id="rId96" w:anchor="_ftn18" w:history="1">
        <w:r w:rsidRPr="002615EB">
          <w:rPr>
            <w:rStyle w:val="Hyperlink"/>
            <w:sz w:val="16"/>
          </w:rPr>
          <w:t>18</w:t>
        </w:r>
      </w:hyperlink>
      <w:r w:rsidRPr="002615EB">
        <w:rPr>
          <w:sz w:val="16"/>
        </w:rPr>
        <w:t xml:space="preserve"> and </w:t>
      </w:r>
      <w:r w:rsidRPr="002615EB">
        <w:rPr>
          <w:rStyle w:val="StyleUnderline"/>
        </w:rPr>
        <w:t>each time the country has leveraged its</w:t>
      </w:r>
      <w:r w:rsidRPr="002615EB">
        <w:rPr>
          <w:sz w:val="16"/>
        </w:rPr>
        <w:t xml:space="preserve"> unique </w:t>
      </w:r>
      <w:r w:rsidRPr="002615EB">
        <w:rPr>
          <w:rStyle w:val="StyleUnderline"/>
        </w:rPr>
        <w:t>strengths</w:t>
      </w:r>
      <w:r w:rsidRPr="002615EB">
        <w:rPr>
          <w:sz w:val="16"/>
        </w:rPr>
        <w:t xml:space="preserve"> and capacities </w:t>
      </w:r>
      <w:r w:rsidRPr="002615EB">
        <w:rPr>
          <w:rStyle w:val="StyleUnderline"/>
        </w:rPr>
        <w:t>to recover</w:t>
      </w:r>
      <w:r w:rsidRPr="002615EB">
        <w:rPr>
          <w:sz w:val="16"/>
        </w:rPr>
        <w:t xml:space="preserve"> and reach new heights.</w:t>
      </w:r>
      <w:hyperlink r:id="rId97" w:anchor="_ftn19" w:history="1">
        <w:r w:rsidRPr="002615EB">
          <w:rPr>
            <w:rStyle w:val="Hyperlink"/>
            <w:sz w:val="16"/>
          </w:rPr>
          <w:t>19</w:t>
        </w:r>
      </w:hyperlink>
      <w:r w:rsidRPr="002615EB">
        <w:rPr>
          <w:sz w:val="16"/>
        </w:rPr>
        <w:t xml:space="preserve"> How then, with these current headwinds, can the United States repeat that cycle of renewal? What unique strengths and asymmetric advantages can today’s leaders leverage to achieve that goal? That question is the primary focus of this article. To answer it, we examine </w:t>
      </w:r>
      <w:r w:rsidRPr="002615EB">
        <w:rPr>
          <w:rStyle w:val="StyleUnderline"/>
        </w:rPr>
        <w:t xml:space="preserve">the </w:t>
      </w:r>
      <w:r w:rsidRPr="00496D4C">
        <w:rPr>
          <w:rStyle w:val="Emphasis"/>
          <w:highlight w:val="cyan"/>
        </w:rPr>
        <w:t>power</w:t>
      </w:r>
      <w:r w:rsidRPr="002615EB">
        <w:rPr>
          <w:sz w:val="16"/>
        </w:rPr>
        <w:t xml:space="preserve"> that </w:t>
      </w:r>
      <w:r w:rsidRPr="00496D4C">
        <w:rPr>
          <w:rStyle w:val="Emphasis"/>
          <w:highlight w:val="cyan"/>
        </w:rPr>
        <w:t>resides at</w:t>
      </w:r>
      <w:r w:rsidRPr="002615EB">
        <w:rPr>
          <w:rStyle w:val="Emphasis"/>
        </w:rPr>
        <w:t xml:space="preserve"> </w:t>
      </w:r>
      <w:r w:rsidRPr="00496D4C">
        <w:rPr>
          <w:rStyle w:val="Emphasis"/>
          <w:highlight w:val="cyan"/>
        </w:rPr>
        <w:t>the intersection of economics and national security</w:t>
      </w:r>
      <w:r w:rsidRPr="002615EB">
        <w:rPr>
          <w:sz w:val="16"/>
        </w:rPr>
        <w:t xml:space="preserve"> and in doing so argue that </w:t>
      </w:r>
      <w:r w:rsidRPr="002615EB">
        <w:rPr>
          <w:rStyle w:val="StyleUnderline"/>
        </w:rPr>
        <w:t xml:space="preserve">America’s </w:t>
      </w:r>
      <w:r w:rsidRPr="002615EB">
        <w:rPr>
          <w:rStyle w:val="Emphasis"/>
        </w:rPr>
        <w:t>economic</w:t>
      </w:r>
      <w:r w:rsidRPr="002615EB">
        <w:rPr>
          <w:rStyle w:val="StyleUnderline"/>
        </w:rPr>
        <w:t xml:space="preserve"> power </w:t>
      </w:r>
      <w:r w:rsidRPr="002615EB">
        <w:rPr>
          <w:rStyle w:val="Emphasis"/>
        </w:rPr>
        <w:t>underwrites</w:t>
      </w:r>
      <w:r w:rsidRPr="002615EB">
        <w:rPr>
          <w:rStyle w:val="StyleUnderline"/>
        </w:rPr>
        <w:t xml:space="preserve"> its national </w:t>
      </w:r>
      <w:r w:rsidRPr="002615EB">
        <w:rPr>
          <w:rStyle w:val="Emphasis"/>
        </w:rPr>
        <w:t>security</w:t>
      </w:r>
      <w:r w:rsidRPr="002615EB">
        <w:rPr>
          <w:sz w:val="16"/>
        </w:rPr>
        <w:t xml:space="preserve">. We believe </w:t>
      </w:r>
      <w:r w:rsidRPr="002615EB">
        <w:rPr>
          <w:rStyle w:val="Emphasis"/>
        </w:rPr>
        <w:t>more can be done</w:t>
      </w:r>
      <w:r w:rsidRPr="002615EB">
        <w:rPr>
          <w:rStyle w:val="StyleUnderline"/>
        </w:rPr>
        <w:t xml:space="preserve"> to </w:t>
      </w:r>
      <w:r w:rsidRPr="002615EB">
        <w:rPr>
          <w:rStyle w:val="Emphasis"/>
        </w:rPr>
        <w:t>sustain</w:t>
      </w:r>
      <w:r w:rsidRPr="002615EB">
        <w:rPr>
          <w:rStyle w:val="StyleUnderline"/>
        </w:rPr>
        <w:t xml:space="preserve"> the country’s </w:t>
      </w:r>
      <w:r w:rsidRPr="002615EB">
        <w:rPr>
          <w:rStyle w:val="Emphasis"/>
        </w:rPr>
        <w:t>economic might</w:t>
      </w:r>
      <w:r w:rsidRPr="002615EB">
        <w:rPr>
          <w:sz w:val="16"/>
        </w:rPr>
        <w:t xml:space="preserve"> and </w:t>
      </w:r>
      <w:r w:rsidRPr="002615EB">
        <w:rPr>
          <w:rStyle w:val="StyleUnderline"/>
        </w:rPr>
        <w:t xml:space="preserve">to </w:t>
      </w:r>
      <w:r w:rsidRPr="002615EB">
        <w:rPr>
          <w:rStyle w:val="Emphasis"/>
        </w:rPr>
        <w:t>leverage</w:t>
      </w:r>
      <w:r w:rsidRPr="002615EB">
        <w:rPr>
          <w:rStyle w:val="StyleUnderline"/>
        </w:rPr>
        <w:t xml:space="preserve"> it in service of American </w:t>
      </w:r>
      <w:r w:rsidRPr="002615EB">
        <w:rPr>
          <w:rStyle w:val="Emphasis"/>
        </w:rPr>
        <w:t>primacy</w:t>
      </w:r>
      <w:r w:rsidRPr="002615EB">
        <w:rPr>
          <w:sz w:val="16"/>
        </w:rPr>
        <w:t>.</w:t>
      </w:r>
    </w:p>
    <w:p w14:paraId="3E6CD9C6" w14:textId="77777777" w:rsidR="00586EDF" w:rsidRPr="002615EB" w:rsidRDefault="00586EDF" w:rsidP="00586EDF">
      <w:pPr>
        <w:rPr>
          <w:sz w:val="16"/>
        </w:rPr>
      </w:pPr>
      <w:r w:rsidRPr="002615EB">
        <w:rPr>
          <w:sz w:val="16"/>
        </w:rPr>
        <w:t>As the 2017 National Security Strategy succinctly puts it, “</w:t>
      </w:r>
      <w:r w:rsidRPr="00496D4C">
        <w:rPr>
          <w:rStyle w:val="Emphasis"/>
          <w:highlight w:val="cyan"/>
        </w:rPr>
        <w:t>Economic security is national security</w:t>
      </w:r>
      <w:r w:rsidRPr="002615EB">
        <w:rPr>
          <w:sz w:val="16"/>
        </w:rPr>
        <w:t>.”</w:t>
      </w:r>
      <w:hyperlink r:id="rId98" w:anchor="_ftn20" w:history="1">
        <w:r w:rsidRPr="002615EB">
          <w:rPr>
            <w:rStyle w:val="Hyperlink"/>
            <w:sz w:val="16"/>
          </w:rPr>
          <w:t>20</w:t>
        </w:r>
      </w:hyperlink>
      <w:r w:rsidRPr="002615EB">
        <w:rPr>
          <w:sz w:val="16"/>
        </w:rPr>
        <w:t> </w:t>
      </w:r>
      <w:r w:rsidRPr="002615EB">
        <w:rPr>
          <w:rStyle w:val="StyleUnderline"/>
        </w:rPr>
        <w:t>Driven by economic interdependence</w:t>
      </w:r>
      <w:r w:rsidRPr="002615EB">
        <w:rPr>
          <w:sz w:val="16"/>
        </w:rPr>
        <w:t xml:space="preserve">, the race to develop </w:t>
      </w:r>
      <w:r w:rsidRPr="002615EB">
        <w:rPr>
          <w:rStyle w:val="StyleUnderline"/>
        </w:rPr>
        <w:t>transformational technologies, and the ubiquity of cyberspace, national security and economics are converging</w:t>
      </w:r>
      <w:r w:rsidRPr="002615EB">
        <w:rPr>
          <w:sz w:val="16"/>
        </w:rPr>
        <w:t xml:space="preserve">. And </w:t>
      </w:r>
      <w:r w:rsidRPr="002615EB">
        <w:rPr>
          <w:rStyle w:val="StyleUnderline"/>
        </w:rPr>
        <w:t xml:space="preserve">that </w:t>
      </w:r>
      <w:r w:rsidRPr="002615EB">
        <w:rPr>
          <w:rStyle w:val="Emphasis"/>
        </w:rPr>
        <w:t>convergence is</w:t>
      </w:r>
      <w:r w:rsidRPr="002615EB">
        <w:rPr>
          <w:sz w:val="16"/>
        </w:rPr>
        <w:t>, according to Henry Farrell and Abraham Newman, “</w:t>
      </w:r>
      <w:r w:rsidRPr="002615EB">
        <w:rPr>
          <w:rStyle w:val="Emphasis"/>
        </w:rPr>
        <w:t>turning</w:t>
      </w:r>
      <w:r w:rsidRPr="002615EB">
        <w:rPr>
          <w:rStyle w:val="StyleUnderline"/>
        </w:rPr>
        <w:t xml:space="preserve"> the </w:t>
      </w:r>
      <w:r w:rsidRPr="002615EB">
        <w:rPr>
          <w:rStyle w:val="Emphasis"/>
        </w:rPr>
        <w:t>global</w:t>
      </w:r>
      <w:r w:rsidRPr="002615EB">
        <w:rPr>
          <w:rStyle w:val="StyleUnderline"/>
        </w:rPr>
        <w:t xml:space="preserve"> networked </w:t>
      </w:r>
      <w:r w:rsidRPr="002615EB">
        <w:rPr>
          <w:rStyle w:val="Emphasis"/>
        </w:rPr>
        <w:t>economy into a space of strategic actions</w:t>
      </w:r>
      <w:r w:rsidRPr="002615EB">
        <w:rPr>
          <w:sz w:val="16"/>
        </w:rPr>
        <w:t xml:space="preserve">, counteractions, threats, targeting, counter-targeting </w:t>
      </w:r>
      <w:r w:rsidRPr="002615EB">
        <w:rPr>
          <w:rStyle w:val="StyleUnderline"/>
        </w:rPr>
        <w:t>and decoupling</w:t>
      </w:r>
      <w:r w:rsidRPr="002615EB">
        <w:rPr>
          <w:sz w:val="16"/>
        </w:rPr>
        <w:t>.”</w:t>
      </w:r>
      <w:hyperlink r:id="rId99" w:anchor="_ftn21" w:history="1">
        <w:r w:rsidRPr="002615EB">
          <w:rPr>
            <w:rStyle w:val="Hyperlink"/>
            <w:sz w:val="16"/>
          </w:rPr>
          <w:t>21</w:t>
        </w:r>
      </w:hyperlink>
      <w:r w:rsidRPr="002615EB">
        <w:rPr>
          <w:sz w:val="16"/>
        </w:rPr>
        <w:t> This has, in some respects, been true for decades, but it is accelerating.</w:t>
      </w:r>
    </w:p>
    <w:p w14:paraId="70EB5D17" w14:textId="77777777" w:rsidR="00586EDF" w:rsidRPr="002615EB" w:rsidRDefault="00586EDF" w:rsidP="00586EDF">
      <w:pPr>
        <w:rPr>
          <w:sz w:val="16"/>
        </w:rPr>
      </w:pPr>
      <w:r w:rsidRPr="002615EB">
        <w:rPr>
          <w:rStyle w:val="StyleUnderline"/>
        </w:rPr>
        <w:t xml:space="preserve">Other countries, including </w:t>
      </w:r>
      <w:r w:rsidRPr="00496D4C">
        <w:rPr>
          <w:rStyle w:val="Emphasis"/>
          <w:highlight w:val="cyan"/>
        </w:rPr>
        <w:t>Russia and China</w:t>
      </w:r>
      <w:r w:rsidRPr="002615EB">
        <w:rPr>
          <w:rStyle w:val="StyleUnderline"/>
        </w:rPr>
        <w:t xml:space="preserve">, have </w:t>
      </w:r>
      <w:r w:rsidRPr="00496D4C">
        <w:rPr>
          <w:rStyle w:val="Emphasis"/>
          <w:highlight w:val="cyan"/>
        </w:rPr>
        <w:t>recognized this</w:t>
      </w:r>
      <w:r w:rsidRPr="002615EB">
        <w:rPr>
          <w:sz w:val="16"/>
        </w:rPr>
        <w:t xml:space="preserve"> reality </w:t>
      </w:r>
      <w:r w:rsidRPr="002615EB">
        <w:rPr>
          <w:rStyle w:val="StyleUnderline"/>
        </w:rPr>
        <w:t>and are</w:t>
      </w:r>
      <w:r w:rsidRPr="002615EB">
        <w:rPr>
          <w:sz w:val="16"/>
        </w:rPr>
        <w:t xml:space="preserve"> already </w:t>
      </w:r>
      <w:r w:rsidRPr="002615EB">
        <w:rPr>
          <w:rStyle w:val="StyleUnderline"/>
        </w:rPr>
        <w:t>integrating their economic and security strategies</w:t>
      </w:r>
      <w:r w:rsidRPr="002615EB">
        <w:rPr>
          <w:sz w:val="16"/>
        </w:rPr>
        <w:t xml:space="preserve"> in order </w:t>
      </w:r>
      <w:r w:rsidRPr="002615EB">
        <w:rPr>
          <w:rStyle w:val="StyleUnderline"/>
        </w:rPr>
        <w:t>to compete with the United States</w:t>
      </w:r>
      <w:r w:rsidRPr="002615EB">
        <w:rPr>
          <w:sz w:val="16"/>
        </w:rPr>
        <w:t>.</w:t>
      </w:r>
      <w:hyperlink r:id="rId100" w:anchor="_ftn22" w:history="1">
        <w:r w:rsidRPr="002615EB">
          <w:rPr>
            <w:rStyle w:val="Hyperlink"/>
            <w:sz w:val="16"/>
          </w:rPr>
          <w:t>22</w:t>
        </w:r>
      </w:hyperlink>
      <w:r w:rsidRPr="002615EB">
        <w:rPr>
          <w:sz w:val="16"/>
        </w:rPr>
        <w:t xml:space="preserve"> However, over the past two decades </w:t>
      </w:r>
      <w:r w:rsidRPr="00496D4C">
        <w:rPr>
          <w:rStyle w:val="StyleUnderline"/>
          <w:highlight w:val="cyan"/>
        </w:rPr>
        <w:t>the</w:t>
      </w:r>
      <w:r w:rsidRPr="002615EB">
        <w:rPr>
          <w:rStyle w:val="StyleUnderline"/>
        </w:rPr>
        <w:t xml:space="preserve"> </w:t>
      </w:r>
      <w:r w:rsidRPr="00496D4C">
        <w:rPr>
          <w:rStyle w:val="StyleUnderline"/>
          <w:highlight w:val="cyan"/>
        </w:rPr>
        <w:t>U</w:t>
      </w:r>
      <w:r w:rsidRPr="002615EB">
        <w:rPr>
          <w:rStyle w:val="StyleUnderline"/>
        </w:rPr>
        <w:t xml:space="preserve">nited </w:t>
      </w:r>
      <w:r w:rsidRPr="00496D4C">
        <w:rPr>
          <w:rStyle w:val="StyleUnderline"/>
          <w:highlight w:val="cyan"/>
        </w:rPr>
        <w:t>S</w:t>
      </w:r>
      <w:r w:rsidRPr="002615EB">
        <w:rPr>
          <w:rStyle w:val="StyleUnderline"/>
        </w:rPr>
        <w:t xml:space="preserve">tates </w:t>
      </w:r>
      <w:r w:rsidRPr="00496D4C">
        <w:rPr>
          <w:rStyle w:val="StyleUnderline"/>
          <w:highlight w:val="cyan"/>
        </w:rPr>
        <w:t xml:space="preserve">has been </w:t>
      </w:r>
      <w:r w:rsidRPr="00496D4C">
        <w:rPr>
          <w:rStyle w:val="Emphasis"/>
          <w:highlight w:val="cyan"/>
        </w:rPr>
        <w:t>slow to adapt</w:t>
      </w:r>
      <w:r w:rsidRPr="002615EB">
        <w:rPr>
          <w:sz w:val="16"/>
        </w:rPr>
        <w:t>. The Trump administration’s recognition that America is engaged in great power competition and that China is its primary strategic competitor is a critical step in the right direction, as was the administration’s acknowledgment that “promoting American prosperity makes America more secure and advances American inﬂuence in the world.”</w:t>
      </w:r>
      <w:hyperlink r:id="rId101" w:anchor="_ftn23" w:history="1">
        <w:r w:rsidRPr="002615EB">
          <w:rPr>
            <w:rStyle w:val="Hyperlink"/>
            <w:sz w:val="16"/>
          </w:rPr>
          <w:t>23</w:t>
        </w:r>
      </w:hyperlink>
      <w:r w:rsidRPr="002615EB">
        <w:rPr>
          <w:sz w:val="16"/>
        </w:rPr>
        <w:t xml:space="preserve"> Yet, </w:t>
      </w:r>
      <w:r w:rsidRPr="002615EB">
        <w:rPr>
          <w:rStyle w:val="StyleUnderline"/>
        </w:rPr>
        <w:t xml:space="preserve">the </w:t>
      </w:r>
      <w:r w:rsidRPr="002615EB">
        <w:rPr>
          <w:rStyle w:val="Emphasis"/>
        </w:rPr>
        <w:t>U</w:t>
      </w:r>
      <w:r w:rsidRPr="002615EB">
        <w:rPr>
          <w:rStyle w:val="StyleUnderline"/>
        </w:rPr>
        <w:t xml:space="preserve">nited </w:t>
      </w:r>
      <w:r w:rsidRPr="002615EB">
        <w:rPr>
          <w:rStyle w:val="Emphasis"/>
        </w:rPr>
        <w:t>S</w:t>
      </w:r>
      <w:r w:rsidRPr="002615EB">
        <w:rPr>
          <w:rStyle w:val="StyleUnderline"/>
        </w:rPr>
        <w:t xml:space="preserve">tates still </w:t>
      </w:r>
      <w:r w:rsidRPr="002615EB">
        <w:rPr>
          <w:rStyle w:val="Emphasis"/>
        </w:rPr>
        <w:t>needs to improve</w:t>
      </w:r>
      <w:r w:rsidRPr="002615EB">
        <w:rPr>
          <w:sz w:val="16"/>
        </w:rPr>
        <w:t xml:space="preserve"> and develop </w:t>
      </w:r>
      <w:r w:rsidRPr="002615EB">
        <w:rPr>
          <w:rStyle w:val="StyleUnderline"/>
        </w:rPr>
        <w:t xml:space="preserve">the </w:t>
      </w:r>
      <w:r w:rsidRPr="002615EB">
        <w:rPr>
          <w:rStyle w:val="Emphasis"/>
        </w:rPr>
        <w:t>structures</w:t>
      </w:r>
      <w:r w:rsidRPr="002615EB">
        <w:rPr>
          <w:rStyle w:val="StyleUnderline"/>
        </w:rPr>
        <w:t xml:space="preserve"> and </w:t>
      </w:r>
      <w:r w:rsidRPr="002615EB">
        <w:rPr>
          <w:rStyle w:val="Emphasis"/>
        </w:rPr>
        <w:t>human capital</w:t>
      </w:r>
      <w:r w:rsidRPr="002615EB">
        <w:rPr>
          <w:rStyle w:val="StyleUnderline"/>
        </w:rPr>
        <w:t xml:space="preserve"> that would</w:t>
      </w:r>
      <w:r w:rsidRPr="002615EB">
        <w:rPr>
          <w:sz w:val="16"/>
        </w:rPr>
        <w:t xml:space="preserve"> best </w:t>
      </w:r>
      <w:r w:rsidRPr="002615EB">
        <w:rPr>
          <w:rStyle w:val="StyleUnderline"/>
        </w:rPr>
        <w:t>address</w:t>
      </w:r>
      <w:r w:rsidRPr="002615EB">
        <w:rPr>
          <w:sz w:val="16"/>
        </w:rPr>
        <w:t xml:space="preserve"> those </w:t>
      </w:r>
      <w:r w:rsidRPr="002615EB">
        <w:rPr>
          <w:rStyle w:val="StyleUnderline"/>
        </w:rPr>
        <w:t>issues</w:t>
      </w:r>
      <w:r w:rsidRPr="002615EB">
        <w:rPr>
          <w:sz w:val="16"/>
        </w:rPr>
        <w:t xml:space="preserve">. And while the Trump administration’s forthcoming economic security strategy will likely outline valuable guidance, </w:t>
      </w:r>
      <w:r w:rsidRPr="00496D4C">
        <w:rPr>
          <w:rStyle w:val="StyleUnderline"/>
          <w:highlight w:val="cyan"/>
        </w:rPr>
        <w:t>the</w:t>
      </w:r>
      <w:r w:rsidRPr="002615EB">
        <w:rPr>
          <w:rStyle w:val="StyleUnderline"/>
        </w:rPr>
        <w:t xml:space="preserve"> </w:t>
      </w:r>
      <w:r w:rsidRPr="00496D4C">
        <w:rPr>
          <w:rStyle w:val="StyleUnderline"/>
          <w:highlight w:val="cyan"/>
        </w:rPr>
        <w:t>U</w:t>
      </w:r>
      <w:r w:rsidRPr="002615EB">
        <w:rPr>
          <w:rStyle w:val="StyleUnderline"/>
        </w:rPr>
        <w:t xml:space="preserve">nited </w:t>
      </w:r>
      <w:r w:rsidRPr="00496D4C">
        <w:rPr>
          <w:rStyle w:val="StyleUnderline"/>
          <w:highlight w:val="cyan"/>
        </w:rPr>
        <w:t>S</w:t>
      </w:r>
      <w:r w:rsidRPr="002615EB">
        <w:rPr>
          <w:rStyle w:val="StyleUnderline"/>
        </w:rPr>
        <w:t xml:space="preserve">tates </w:t>
      </w:r>
      <w:r w:rsidRPr="00496D4C">
        <w:rPr>
          <w:rStyle w:val="StyleUnderline"/>
          <w:highlight w:val="cyan"/>
        </w:rPr>
        <w:t>has</w:t>
      </w:r>
      <w:r w:rsidRPr="002615EB">
        <w:rPr>
          <w:sz w:val="16"/>
        </w:rPr>
        <w:t xml:space="preserve">, for decades, </w:t>
      </w:r>
      <w:r w:rsidRPr="00496D4C">
        <w:rPr>
          <w:rStyle w:val="StyleUnderline"/>
          <w:highlight w:val="cyan"/>
        </w:rPr>
        <w:t>lacked</w:t>
      </w:r>
      <w:r w:rsidRPr="002615EB">
        <w:rPr>
          <w:rStyle w:val="StyleUnderline"/>
        </w:rPr>
        <w:t xml:space="preserve"> a clear agenda for coordinating</w:t>
      </w:r>
      <w:r w:rsidRPr="002615EB">
        <w:rPr>
          <w:sz w:val="16"/>
        </w:rPr>
        <w:t xml:space="preserve"> its </w:t>
      </w:r>
      <w:r w:rsidRPr="00496D4C">
        <w:rPr>
          <w:rStyle w:val="StyleUnderline"/>
          <w:highlight w:val="cyan"/>
        </w:rPr>
        <w:t>economic statecraft</w:t>
      </w:r>
      <w:r w:rsidRPr="002615EB">
        <w:rPr>
          <w:sz w:val="16"/>
        </w:rPr>
        <w:t xml:space="preserve">, domestic </w:t>
      </w:r>
      <w:r w:rsidRPr="002615EB">
        <w:rPr>
          <w:rStyle w:val="StyleUnderline"/>
        </w:rPr>
        <w:t xml:space="preserve">investments, and international partnerships </w:t>
      </w:r>
      <w:r w:rsidRPr="00496D4C">
        <w:rPr>
          <w:rStyle w:val="StyleUnderline"/>
          <w:highlight w:val="cyan"/>
        </w:rPr>
        <w:t>to sustain</w:t>
      </w:r>
      <w:r w:rsidRPr="002615EB">
        <w:rPr>
          <w:sz w:val="16"/>
        </w:rPr>
        <w:t xml:space="preserve"> </w:t>
      </w:r>
      <w:r w:rsidRPr="002615EB">
        <w:rPr>
          <w:rStyle w:val="Emphasis"/>
        </w:rPr>
        <w:t xml:space="preserve">American </w:t>
      </w:r>
      <w:r w:rsidRPr="00496D4C">
        <w:rPr>
          <w:rStyle w:val="Emphasis"/>
          <w:highlight w:val="cyan"/>
        </w:rPr>
        <w:t>primacy</w:t>
      </w:r>
      <w:r w:rsidRPr="002615EB">
        <w:rPr>
          <w:sz w:val="16"/>
        </w:rPr>
        <w:t>.</w:t>
      </w:r>
    </w:p>
    <w:p w14:paraId="105F253B" w14:textId="77777777" w:rsidR="00586EDF" w:rsidRPr="002615EB" w:rsidRDefault="00586EDF" w:rsidP="00586EDF">
      <w:pPr>
        <w:rPr>
          <w:sz w:val="16"/>
          <w:szCs w:val="16"/>
        </w:rPr>
      </w:pPr>
      <w:r w:rsidRPr="002615EB">
        <w:rPr>
          <w:sz w:val="16"/>
          <w:szCs w:val="16"/>
        </w:rPr>
        <w:t>We believe policymakers should take steps to integrate economic and national security policy. They can do this by adopting a three-part policy agenda to promote 1) innovation; 2) economic statecraft; and 3) international coordination. We propose a principled policy to fund, coordinate, and incentivize domestic innovation and to attract and develop the people needed to do so. We recommend policymakers evolve the country’s economic statecraft toolkit and develop a more targeted and sustainable strategy for its use. And we encourage coordination with allies and partners, as well as engagement in some multilateral structures. Doing so will make pro-innovation policies and economic statecraft far more effective.</w:t>
      </w:r>
    </w:p>
    <w:p w14:paraId="2D24153D" w14:textId="77777777" w:rsidR="00586EDF" w:rsidRPr="002615EB" w:rsidRDefault="00586EDF" w:rsidP="00586EDF">
      <w:pPr>
        <w:rPr>
          <w:sz w:val="16"/>
          <w:szCs w:val="16"/>
        </w:rPr>
      </w:pPr>
      <w:r w:rsidRPr="002615EB">
        <w:rPr>
          <w:sz w:val="16"/>
          <w:szCs w:val="16"/>
        </w:rPr>
        <w:t>To make this new agenda a reality, the U.S. government will also need new approaches to policymaking and managing talent. In this article, we explore potential process and institutional reforms that could overcome longstanding stovepipes and bureaucratic interests, and we recommend new talent management strategies to ensure the right people, with the right expertise and experience, are seated around the policymaking table.</w:t>
      </w:r>
    </w:p>
    <w:p w14:paraId="5C4F7F9A" w14:textId="77777777" w:rsidR="00586EDF" w:rsidRPr="002615EB" w:rsidRDefault="00586EDF" w:rsidP="00586EDF">
      <w:pPr>
        <w:rPr>
          <w:sz w:val="16"/>
        </w:rPr>
      </w:pPr>
      <w:r w:rsidRPr="002615EB">
        <w:rPr>
          <w:sz w:val="16"/>
        </w:rPr>
        <w:t xml:space="preserve">The policy agenda presented here is an effort to further strengthen America’s economic dynamism and renew how the country builds and leverages its power in a rapidly changing and increasingly competitive landscape. </w:t>
      </w:r>
      <w:r w:rsidRPr="002615EB">
        <w:rPr>
          <w:rStyle w:val="StyleUnderline"/>
        </w:rPr>
        <w:t>There are other critical building blocks</w:t>
      </w:r>
      <w:r w:rsidRPr="002615EB">
        <w:rPr>
          <w:sz w:val="16"/>
        </w:rPr>
        <w:t xml:space="preserve"> of American power — ranging from military readiness and modernization to the health of the democratic process — that deserve the attention of America’s leaders but are not addressed here. </w:t>
      </w:r>
      <w:r w:rsidRPr="002615EB">
        <w:rPr>
          <w:rStyle w:val="StyleUnderline"/>
        </w:rPr>
        <w:t>This agenda focuses on</w:t>
      </w:r>
      <w:r w:rsidRPr="002615EB">
        <w:rPr>
          <w:sz w:val="16"/>
        </w:rPr>
        <w:t xml:space="preserve"> advancing </w:t>
      </w:r>
      <w:r w:rsidRPr="002615EB">
        <w:rPr>
          <w:rStyle w:val="StyleUnderline"/>
        </w:rPr>
        <w:t>America’s interests by</w:t>
      </w:r>
      <w:r w:rsidRPr="002615EB">
        <w:rPr>
          <w:sz w:val="16"/>
        </w:rPr>
        <w:t>, in the words of Sen. Marco Rubio, “</w:t>
      </w:r>
      <w:r w:rsidRPr="00496D4C">
        <w:rPr>
          <w:rStyle w:val="Emphasis"/>
          <w:highlight w:val="cyan"/>
        </w:rPr>
        <w:t>rejuvenating</w:t>
      </w:r>
      <w:r w:rsidRPr="00496D4C">
        <w:rPr>
          <w:rStyle w:val="StyleUnderline"/>
          <w:highlight w:val="cyan"/>
        </w:rPr>
        <w:t xml:space="preserve"> our</w:t>
      </w:r>
      <w:r w:rsidRPr="002615EB">
        <w:rPr>
          <w:rStyle w:val="StyleUnderline"/>
        </w:rPr>
        <w:t xml:space="preserve"> nation’s </w:t>
      </w:r>
      <w:r w:rsidRPr="00496D4C">
        <w:rPr>
          <w:rStyle w:val="Emphasis"/>
          <w:highlight w:val="cyan"/>
        </w:rPr>
        <w:t>economic power</w:t>
      </w:r>
      <w:r w:rsidRPr="002615EB">
        <w:rPr>
          <w:sz w:val="16"/>
        </w:rPr>
        <w:t>.”</w:t>
      </w:r>
      <w:hyperlink r:id="rId102" w:anchor="_ftn24" w:history="1">
        <w:r w:rsidRPr="002615EB">
          <w:rPr>
            <w:rStyle w:val="Hyperlink"/>
            <w:sz w:val="16"/>
          </w:rPr>
          <w:t>24</w:t>
        </w:r>
      </w:hyperlink>
      <w:r w:rsidRPr="002615EB">
        <w:rPr>
          <w:sz w:val="16"/>
        </w:rPr>
        <w:t> </w:t>
      </w:r>
      <w:r w:rsidRPr="002615EB">
        <w:rPr>
          <w:rStyle w:val="StyleUnderline"/>
        </w:rPr>
        <w:t>Our goal is</w:t>
      </w:r>
      <w:r w:rsidRPr="002615EB">
        <w:rPr>
          <w:sz w:val="16"/>
        </w:rPr>
        <w:t xml:space="preserve"> ambitious and targeted — </w:t>
      </w:r>
      <w:r w:rsidRPr="002615EB">
        <w:rPr>
          <w:rStyle w:val="StyleUnderline"/>
        </w:rPr>
        <w:t>to adapt U.S. policy</w:t>
      </w:r>
      <w:r w:rsidRPr="002615EB">
        <w:rPr>
          <w:sz w:val="16"/>
        </w:rPr>
        <w:t xml:space="preserve"> and policymaking </w:t>
      </w:r>
      <w:r w:rsidRPr="00496D4C">
        <w:rPr>
          <w:rStyle w:val="StyleUnderline"/>
          <w:highlight w:val="cyan"/>
        </w:rPr>
        <w:t xml:space="preserve">to </w:t>
      </w:r>
      <w:r w:rsidRPr="00496D4C">
        <w:rPr>
          <w:rStyle w:val="Emphasis"/>
          <w:highlight w:val="cyan"/>
        </w:rPr>
        <w:t>ensure</w:t>
      </w:r>
      <w:r w:rsidRPr="002615EB">
        <w:rPr>
          <w:rStyle w:val="StyleUnderline"/>
        </w:rPr>
        <w:t xml:space="preserve"> America’s </w:t>
      </w:r>
      <w:r w:rsidRPr="00496D4C">
        <w:rPr>
          <w:rStyle w:val="Emphasis"/>
          <w:highlight w:val="cyan"/>
        </w:rPr>
        <w:t>economic</w:t>
      </w:r>
      <w:r w:rsidRPr="002615EB">
        <w:rPr>
          <w:sz w:val="16"/>
        </w:rPr>
        <w:t xml:space="preserve">, technological, </w:t>
      </w:r>
      <w:r w:rsidRPr="00496D4C">
        <w:rPr>
          <w:rStyle w:val="StyleUnderline"/>
          <w:highlight w:val="cyan"/>
        </w:rPr>
        <w:t>and</w:t>
      </w:r>
      <w:r w:rsidRPr="002615EB">
        <w:rPr>
          <w:rStyle w:val="StyleUnderline"/>
        </w:rPr>
        <w:t xml:space="preserve"> </w:t>
      </w:r>
      <w:r w:rsidRPr="00496D4C">
        <w:rPr>
          <w:rStyle w:val="Emphasis"/>
          <w:highlight w:val="cyan"/>
        </w:rPr>
        <w:t>political leadership</w:t>
      </w:r>
      <w:r w:rsidRPr="002615EB">
        <w:rPr>
          <w:rStyle w:val="StyleUnderline"/>
        </w:rPr>
        <w:t xml:space="preserve"> for decades</w:t>
      </w:r>
      <w:r w:rsidRPr="002615EB">
        <w:rPr>
          <w:sz w:val="16"/>
        </w:rPr>
        <w:t xml:space="preserve"> to come.</w:t>
      </w:r>
    </w:p>
    <w:p w14:paraId="70DF2ADB" w14:textId="77777777" w:rsidR="00586EDF" w:rsidRPr="002615EB" w:rsidRDefault="00586EDF" w:rsidP="00586EDF">
      <w:pPr>
        <w:rPr>
          <w:sz w:val="16"/>
          <w:szCs w:val="16"/>
        </w:rPr>
      </w:pPr>
      <w:r w:rsidRPr="002615EB">
        <w:rPr>
          <w:sz w:val="16"/>
          <w:szCs w:val="16"/>
        </w:rPr>
        <w:t>The Convergence of National Security and Economics</w:t>
      </w:r>
    </w:p>
    <w:p w14:paraId="3C7C13B0" w14:textId="77777777" w:rsidR="00586EDF" w:rsidRPr="00496D4C" w:rsidRDefault="00586EDF" w:rsidP="00586EDF">
      <w:pPr>
        <w:rPr>
          <w:sz w:val="16"/>
        </w:rPr>
      </w:pPr>
      <w:r w:rsidRPr="00496D4C">
        <w:rPr>
          <w:rStyle w:val="StyleUnderline"/>
          <w:highlight w:val="cyan"/>
        </w:rPr>
        <w:t xml:space="preserve">National </w:t>
      </w:r>
      <w:r w:rsidRPr="00496D4C">
        <w:rPr>
          <w:rStyle w:val="Emphasis"/>
          <w:highlight w:val="cyan"/>
        </w:rPr>
        <w:t>security and economics</w:t>
      </w:r>
      <w:r w:rsidRPr="00496D4C">
        <w:rPr>
          <w:rStyle w:val="StyleUnderline"/>
          <w:highlight w:val="cyan"/>
        </w:rPr>
        <w:t xml:space="preserve"> have</w:t>
      </w:r>
      <w:r w:rsidRPr="00496D4C">
        <w:rPr>
          <w:sz w:val="16"/>
        </w:rPr>
        <w:t xml:space="preserve"> long </w:t>
      </w:r>
      <w:r w:rsidRPr="00496D4C">
        <w:rPr>
          <w:rStyle w:val="StyleUnderline"/>
          <w:highlight w:val="cyan"/>
        </w:rPr>
        <w:t xml:space="preserve">been </w:t>
      </w:r>
      <w:r w:rsidRPr="00496D4C">
        <w:rPr>
          <w:rStyle w:val="Emphasis"/>
          <w:highlight w:val="cyan"/>
        </w:rPr>
        <w:t>connected</w:t>
      </w:r>
      <w:r w:rsidRPr="00496D4C">
        <w:rPr>
          <w:sz w:val="16"/>
        </w:rPr>
        <w:t>, and, since its earliest days, the United States has leveraged that reality to advance its national objectives.</w:t>
      </w:r>
      <w:hyperlink r:id="rId103" w:anchor="_ftn25" w:history="1">
        <w:r w:rsidRPr="00496D4C">
          <w:rPr>
            <w:rStyle w:val="Hyperlink"/>
            <w:sz w:val="16"/>
          </w:rPr>
          <w:t>25</w:t>
        </w:r>
      </w:hyperlink>
      <w:r w:rsidRPr="00496D4C">
        <w:rPr>
          <w:sz w:val="16"/>
        </w:rPr>
        <w:t xml:space="preserve"> However, since World War II, </w:t>
      </w:r>
      <w:r w:rsidRPr="00496D4C">
        <w:rPr>
          <w:rStyle w:val="StyleUnderline"/>
        </w:rPr>
        <w:t>these two spheres have grown</w:t>
      </w:r>
      <w:r w:rsidRPr="00496D4C">
        <w:rPr>
          <w:sz w:val="16"/>
        </w:rPr>
        <w:t xml:space="preserve"> ever more </w:t>
      </w:r>
      <w:r w:rsidRPr="00496D4C">
        <w:rPr>
          <w:rStyle w:val="StyleUnderline"/>
        </w:rPr>
        <w:t>intertwined</w:t>
      </w:r>
      <w:r w:rsidRPr="00496D4C">
        <w:rPr>
          <w:sz w:val="16"/>
        </w:rPr>
        <w:t xml:space="preserve">. In many respects, </w:t>
      </w:r>
      <w:r w:rsidRPr="00496D4C">
        <w:rPr>
          <w:rStyle w:val="StyleUnderline"/>
        </w:rPr>
        <w:t xml:space="preserve">that </w:t>
      </w:r>
      <w:r w:rsidRPr="00496D4C">
        <w:rPr>
          <w:rStyle w:val="Emphasis"/>
          <w:highlight w:val="cyan"/>
        </w:rPr>
        <w:t>convergence bolstered</w:t>
      </w:r>
      <w:r w:rsidRPr="00496D4C">
        <w:rPr>
          <w:rStyle w:val="StyleUnderline"/>
        </w:rPr>
        <w:t xml:space="preserve"> American </w:t>
      </w:r>
      <w:r w:rsidRPr="00496D4C">
        <w:rPr>
          <w:rStyle w:val="Emphasis"/>
          <w:highlight w:val="cyan"/>
        </w:rPr>
        <w:t>primacy</w:t>
      </w:r>
      <w:r w:rsidRPr="00496D4C">
        <w:rPr>
          <w:sz w:val="16"/>
        </w:rPr>
        <w:t xml:space="preserve">, particularly </w:t>
      </w:r>
      <w:r w:rsidRPr="00496D4C">
        <w:rPr>
          <w:rStyle w:val="StyleUnderline"/>
        </w:rPr>
        <w:t>as a result of America’s influence over the global economy and its leadership of</w:t>
      </w:r>
      <w:r w:rsidRPr="00496D4C">
        <w:rPr>
          <w:sz w:val="16"/>
        </w:rPr>
        <w:t xml:space="preserve"> international institutions and in </w:t>
      </w:r>
      <w:r w:rsidRPr="00496D4C">
        <w:rPr>
          <w:rStyle w:val="StyleUnderline"/>
        </w:rPr>
        <w:t>innovation</w:t>
      </w:r>
      <w:r w:rsidRPr="00496D4C">
        <w:rPr>
          <w:sz w:val="16"/>
        </w:rPr>
        <w:t>.</w:t>
      </w:r>
    </w:p>
    <w:p w14:paraId="7F0C11CA" w14:textId="77777777" w:rsidR="00586EDF" w:rsidRPr="00456038" w:rsidRDefault="00586EDF" w:rsidP="00586EDF">
      <w:pPr>
        <w:rPr>
          <w:sz w:val="16"/>
        </w:rPr>
      </w:pPr>
      <w:r w:rsidRPr="00496D4C">
        <w:rPr>
          <w:rStyle w:val="StyleUnderline"/>
        </w:rPr>
        <w:t xml:space="preserve">Economic </w:t>
      </w:r>
      <w:r w:rsidRPr="00496D4C">
        <w:rPr>
          <w:rStyle w:val="Emphasis"/>
          <w:highlight w:val="cyan"/>
        </w:rPr>
        <w:t>interdependence</w:t>
      </w:r>
      <w:r w:rsidRPr="00496D4C">
        <w:rPr>
          <w:sz w:val="16"/>
        </w:rPr>
        <w:t xml:space="preserve"> between states </w:t>
      </w:r>
      <w:r w:rsidRPr="00496D4C">
        <w:rPr>
          <w:rStyle w:val="StyleUnderline"/>
          <w:highlight w:val="cyan"/>
        </w:rPr>
        <w:t xml:space="preserve">is </w:t>
      </w:r>
      <w:r w:rsidRPr="00496D4C">
        <w:rPr>
          <w:rStyle w:val="Emphasis"/>
          <w:highlight w:val="cyan"/>
        </w:rPr>
        <w:t>unbalanced</w:t>
      </w:r>
      <w:r w:rsidRPr="00496D4C">
        <w:rPr>
          <w:sz w:val="16"/>
        </w:rPr>
        <w:t xml:space="preserve">, </w:t>
      </w:r>
      <w:r w:rsidRPr="00496D4C">
        <w:rPr>
          <w:rStyle w:val="StyleUnderline"/>
          <w:highlight w:val="cyan"/>
        </w:rPr>
        <w:t>giving</w:t>
      </w:r>
      <w:r w:rsidRPr="00496D4C">
        <w:rPr>
          <w:sz w:val="16"/>
        </w:rPr>
        <w:t xml:space="preserve"> some </w:t>
      </w:r>
      <w:r w:rsidRPr="00496D4C">
        <w:rPr>
          <w:rStyle w:val="StyleUnderline"/>
          <w:highlight w:val="cyan"/>
        </w:rPr>
        <w:t>states</w:t>
      </w:r>
      <w:r w:rsidRPr="00496D4C">
        <w:rPr>
          <w:rStyle w:val="StyleUnderline"/>
        </w:rPr>
        <w:t xml:space="preserve"> an</w:t>
      </w:r>
      <w:r w:rsidRPr="00496D4C">
        <w:rPr>
          <w:sz w:val="16"/>
        </w:rPr>
        <w:t xml:space="preserve"> asymmetric, or disproportionate, </w:t>
      </w:r>
      <w:r w:rsidRPr="00496D4C">
        <w:rPr>
          <w:rStyle w:val="StyleUnderline"/>
          <w:highlight w:val="cyan"/>
        </w:rPr>
        <w:t xml:space="preserve">ability to </w:t>
      </w:r>
      <w:r w:rsidRPr="00496D4C">
        <w:rPr>
          <w:rStyle w:val="Emphasis"/>
          <w:highlight w:val="cyan"/>
        </w:rPr>
        <w:t>influence</w:t>
      </w:r>
      <w:r w:rsidRPr="00496D4C">
        <w:rPr>
          <w:rStyle w:val="StyleUnderline"/>
        </w:rPr>
        <w:t xml:space="preserve"> their </w:t>
      </w:r>
      <w:r w:rsidRPr="00496D4C">
        <w:rPr>
          <w:rStyle w:val="Emphasis"/>
          <w:highlight w:val="cyan"/>
        </w:rPr>
        <w:t>economic partners</w:t>
      </w:r>
      <w:r w:rsidRPr="00496D4C">
        <w:rPr>
          <w:sz w:val="16"/>
        </w:rPr>
        <w:t xml:space="preserve">. Over time, </w:t>
      </w:r>
      <w:r w:rsidRPr="00496D4C">
        <w:rPr>
          <w:rStyle w:val="StyleUnderline"/>
        </w:rPr>
        <w:t>globalization</w:t>
      </w:r>
      <w:r w:rsidRPr="00496D4C">
        <w:rPr>
          <w:sz w:val="16"/>
        </w:rPr>
        <w:t xml:space="preserve"> has also </w:t>
      </w:r>
      <w:r w:rsidRPr="00496D4C">
        <w:rPr>
          <w:rStyle w:val="StyleUnderline"/>
        </w:rPr>
        <w:t>led to the development of asymmetric networks</w:t>
      </w:r>
      <w:r w:rsidRPr="00496D4C">
        <w:rPr>
          <w:sz w:val="16"/>
        </w:rPr>
        <w:t xml:space="preserve">, which </w:t>
      </w:r>
      <w:r w:rsidRPr="00496D4C">
        <w:rPr>
          <w:rStyle w:val="StyleUnderline"/>
        </w:rPr>
        <w:t>have given</w:t>
      </w:r>
      <w:r w:rsidRPr="00496D4C">
        <w:rPr>
          <w:sz w:val="16"/>
        </w:rPr>
        <w:t xml:space="preserve"> certain countries, particularly </w:t>
      </w:r>
      <w:r w:rsidRPr="00496D4C">
        <w:rPr>
          <w:rStyle w:val="StyleUnderline"/>
          <w:highlight w:val="cyan"/>
        </w:rPr>
        <w:t>the</w:t>
      </w:r>
      <w:r w:rsidRPr="00496D4C">
        <w:rPr>
          <w:rStyle w:val="StyleUnderline"/>
        </w:rPr>
        <w:t xml:space="preserve"> </w:t>
      </w:r>
      <w:r w:rsidRPr="00496D4C">
        <w:rPr>
          <w:rStyle w:val="Emphasis"/>
          <w:highlight w:val="cyan"/>
        </w:rPr>
        <w:t>U</w:t>
      </w:r>
      <w:r w:rsidRPr="00496D4C">
        <w:rPr>
          <w:rStyle w:val="StyleUnderline"/>
        </w:rPr>
        <w:t xml:space="preserve">nited </w:t>
      </w:r>
      <w:r w:rsidRPr="00496D4C">
        <w:rPr>
          <w:rStyle w:val="Emphasis"/>
          <w:highlight w:val="cyan"/>
        </w:rPr>
        <w:t>S</w:t>
      </w:r>
      <w:r w:rsidRPr="00496D4C">
        <w:rPr>
          <w:rStyle w:val="StyleUnderline"/>
        </w:rPr>
        <w:t xml:space="preserve">tates, </w:t>
      </w:r>
      <w:r w:rsidRPr="00496D4C">
        <w:rPr>
          <w:rStyle w:val="Emphasis"/>
          <w:highlight w:val="cyan"/>
        </w:rPr>
        <w:t>outsized advantage</w:t>
      </w:r>
      <w:r w:rsidRPr="00496D4C">
        <w:rPr>
          <w:sz w:val="16"/>
        </w:rPr>
        <w:t>.</w:t>
      </w:r>
      <w:hyperlink r:id="rId104" w:anchor="_ftn26" w:history="1">
        <w:r w:rsidRPr="00496D4C">
          <w:rPr>
            <w:rStyle w:val="Hyperlink"/>
            <w:sz w:val="16"/>
          </w:rPr>
          <w:t>26</w:t>
        </w:r>
      </w:hyperlink>
      <w:r w:rsidRPr="00496D4C">
        <w:rPr>
          <w:sz w:val="16"/>
        </w:rPr>
        <w:t xml:space="preserve"> Today, money and information flow through central locations in the global economy, and </w:t>
      </w:r>
      <w:r w:rsidRPr="00496D4C">
        <w:rPr>
          <w:rStyle w:val="StyleUnderline"/>
        </w:rPr>
        <w:t xml:space="preserve">the United States </w:t>
      </w:r>
      <w:r w:rsidRPr="00496D4C">
        <w:rPr>
          <w:rStyle w:val="StyleUnderline"/>
          <w:highlight w:val="cyan"/>
        </w:rPr>
        <w:t>has</w:t>
      </w:r>
      <w:r w:rsidRPr="00496D4C">
        <w:rPr>
          <w:rStyle w:val="StyleUnderline"/>
        </w:rPr>
        <w:t xml:space="preserve"> long had preponderant </w:t>
      </w:r>
      <w:r w:rsidRPr="00496D4C">
        <w:rPr>
          <w:rStyle w:val="Emphasis"/>
          <w:highlight w:val="cyan"/>
        </w:rPr>
        <w:t>influence over</w:t>
      </w:r>
      <w:r w:rsidRPr="00496D4C">
        <w:rPr>
          <w:sz w:val="16"/>
        </w:rPr>
        <w:t xml:space="preserve"> those </w:t>
      </w:r>
      <w:r w:rsidRPr="00496D4C">
        <w:rPr>
          <w:rStyle w:val="Emphasis"/>
          <w:highlight w:val="cyan"/>
        </w:rPr>
        <w:t>choke points</w:t>
      </w:r>
      <w:r w:rsidRPr="00496D4C">
        <w:rPr>
          <w:sz w:val="16"/>
        </w:rPr>
        <w:t xml:space="preserve">. With jurisdiction over the “hubs” of financial and information flows, such as The Society for Worldwide Interbank Financial Telecommunication (SWIFT) and the dollar clearance system, and the institutions built to enforce that jurisdiction, </w:t>
      </w:r>
      <w:r w:rsidRPr="00496D4C">
        <w:rPr>
          <w:rStyle w:val="StyleUnderline"/>
        </w:rPr>
        <w:t xml:space="preserve">the United States has often been ahead of the curve in its </w:t>
      </w:r>
      <w:r w:rsidRPr="00496D4C">
        <w:rPr>
          <w:rStyle w:val="Emphasis"/>
        </w:rPr>
        <w:t>use of economic tools</w:t>
      </w:r>
      <w:r w:rsidRPr="00496D4C">
        <w:rPr>
          <w:rStyle w:val="StyleUnderline"/>
        </w:rPr>
        <w:t xml:space="preserve"> for national </w:t>
      </w:r>
      <w:r w:rsidRPr="00496D4C">
        <w:rPr>
          <w:rStyle w:val="Emphasis"/>
        </w:rPr>
        <w:t>security purposes</w:t>
      </w:r>
      <w:r w:rsidRPr="00496D4C">
        <w:rPr>
          <w:sz w:val="16"/>
        </w:rPr>
        <w:t>.</w:t>
      </w:r>
      <w:hyperlink r:id="rId105" w:anchor="_ftn27" w:history="1">
        <w:r w:rsidRPr="00496D4C">
          <w:rPr>
            <w:rStyle w:val="Hyperlink"/>
            <w:sz w:val="16"/>
          </w:rPr>
          <w:t>27</w:t>
        </w:r>
      </w:hyperlink>
      <w:r w:rsidRPr="00496D4C">
        <w:rPr>
          <w:sz w:val="16"/>
        </w:rPr>
        <w:t xml:space="preserve"> Moreover, </w:t>
      </w:r>
      <w:r w:rsidRPr="00496D4C">
        <w:rPr>
          <w:rStyle w:val="StyleUnderline"/>
        </w:rPr>
        <w:t xml:space="preserve">U.S. </w:t>
      </w:r>
      <w:r w:rsidRPr="00496D4C">
        <w:rPr>
          <w:rStyle w:val="Emphasis"/>
          <w:highlight w:val="cyan"/>
        </w:rPr>
        <w:t>leadership</w:t>
      </w:r>
      <w:r w:rsidRPr="00496D4C">
        <w:rPr>
          <w:rStyle w:val="StyleUnderline"/>
        </w:rPr>
        <w:t xml:space="preserve"> </w:t>
      </w:r>
      <w:r w:rsidRPr="00496D4C">
        <w:rPr>
          <w:rStyle w:val="StyleUnderline"/>
          <w:highlight w:val="cyan"/>
        </w:rPr>
        <w:t>allowed America to set</w:t>
      </w:r>
      <w:r w:rsidRPr="00496D4C">
        <w:rPr>
          <w:sz w:val="16"/>
        </w:rPr>
        <w:t xml:space="preserve"> the </w:t>
      </w:r>
      <w:r w:rsidRPr="00496D4C">
        <w:rPr>
          <w:rStyle w:val="Emphasis"/>
          <w:highlight w:val="cyan"/>
        </w:rPr>
        <w:t>standards</w:t>
      </w:r>
      <w:r w:rsidRPr="00496D4C">
        <w:rPr>
          <w:rStyle w:val="StyleUnderline"/>
          <w:highlight w:val="cyan"/>
        </w:rPr>
        <w:t xml:space="preserve"> for</w:t>
      </w:r>
      <w:r w:rsidRPr="00496D4C">
        <w:rPr>
          <w:sz w:val="16"/>
        </w:rPr>
        <w:t xml:space="preserve"> many </w:t>
      </w:r>
      <w:r w:rsidRPr="00496D4C">
        <w:rPr>
          <w:rStyle w:val="Emphasis"/>
        </w:rPr>
        <w:t xml:space="preserve">existing </w:t>
      </w:r>
      <w:r w:rsidRPr="00496D4C">
        <w:rPr>
          <w:rStyle w:val="Emphasis"/>
          <w:highlight w:val="cyan"/>
        </w:rPr>
        <w:t>tech</w:t>
      </w:r>
      <w:r w:rsidRPr="00496D4C">
        <w:rPr>
          <w:rStyle w:val="Emphasis"/>
        </w:rPr>
        <w:t>nologies</w:t>
      </w:r>
      <w:r w:rsidRPr="00496D4C">
        <w:rPr>
          <w:rStyle w:val="StyleUnderline"/>
        </w:rPr>
        <w:t xml:space="preserve"> </w:t>
      </w:r>
      <w:r w:rsidRPr="00496D4C">
        <w:rPr>
          <w:rStyle w:val="StyleUnderline"/>
          <w:highlight w:val="cyan"/>
        </w:rPr>
        <w:t xml:space="preserve">and </w:t>
      </w:r>
      <w:r w:rsidRPr="00496D4C">
        <w:rPr>
          <w:rStyle w:val="Emphasis"/>
          <w:highlight w:val="cyan"/>
        </w:rPr>
        <w:t>shape</w:t>
      </w:r>
      <w:r w:rsidRPr="00496D4C">
        <w:rPr>
          <w:rStyle w:val="StyleUnderline"/>
        </w:rPr>
        <w:t xml:space="preserve"> the formation of </w:t>
      </w:r>
      <w:r w:rsidRPr="00496D4C">
        <w:rPr>
          <w:rStyle w:val="Emphasis"/>
        </w:rPr>
        <w:t xml:space="preserve">international </w:t>
      </w:r>
      <w:r w:rsidRPr="00496D4C">
        <w:rPr>
          <w:rStyle w:val="Emphasis"/>
          <w:highlight w:val="cyan"/>
        </w:rPr>
        <w:t>institutions</w:t>
      </w:r>
      <w:r w:rsidRPr="00496D4C">
        <w:rPr>
          <w:sz w:val="16"/>
        </w:rPr>
        <w:t xml:space="preserve">, further </w:t>
      </w:r>
      <w:r w:rsidRPr="00496D4C">
        <w:rPr>
          <w:rStyle w:val="StyleUnderline"/>
          <w:highlight w:val="cyan"/>
        </w:rPr>
        <w:t xml:space="preserve">extending its </w:t>
      </w:r>
      <w:r w:rsidRPr="00496D4C">
        <w:rPr>
          <w:rStyle w:val="Emphasis"/>
          <w:highlight w:val="cyan"/>
        </w:rPr>
        <w:t>influence</w:t>
      </w:r>
      <w:r w:rsidRPr="00496D4C">
        <w:rPr>
          <w:sz w:val="16"/>
        </w:rPr>
        <w:t>.</w:t>
      </w:r>
    </w:p>
    <w:p w14:paraId="0D135DD5" w14:textId="77777777" w:rsidR="00586EDF" w:rsidRDefault="00586EDF" w:rsidP="00586EDF">
      <w:pPr>
        <w:pStyle w:val="Heading3"/>
      </w:pPr>
      <w:r>
        <w:t>1AR – AT: No Econ Collapse War</w:t>
      </w:r>
    </w:p>
    <w:p w14:paraId="3B037A23" w14:textId="77777777" w:rsidR="00586EDF" w:rsidRPr="00C80CAB" w:rsidRDefault="00586EDF" w:rsidP="00586EDF">
      <w:pPr>
        <w:pStyle w:val="Heading4"/>
        <w:rPr>
          <w:szCs w:val="26"/>
        </w:rPr>
      </w:pPr>
      <w:r w:rsidRPr="00C80CAB">
        <w:rPr>
          <w:szCs w:val="26"/>
        </w:rPr>
        <w:t>Economic decline from deglobalization causes war</w:t>
      </w:r>
      <w:r>
        <w:rPr>
          <w:szCs w:val="26"/>
        </w:rPr>
        <w:t>.</w:t>
      </w:r>
    </w:p>
    <w:p w14:paraId="0F716EAE" w14:textId="77777777" w:rsidR="00586EDF" w:rsidRPr="00684BF3" w:rsidRDefault="00586EDF" w:rsidP="00586EDF">
      <w:r w:rsidRPr="00C80CAB">
        <w:rPr>
          <w:rStyle w:val="Heading4Char"/>
          <w:szCs w:val="26"/>
        </w:rPr>
        <w:t>Rogoff 20</w:t>
      </w:r>
      <w:r w:rsidRPr="00684BF3">
        <w:t xml:space="preserve"> – (Kenneth Rogoff, Professor of Economics and Public Policy at Harvard University and recipient of the 2011 Deutsche Bank Prize in Financial Economics, was the chief economist of the International Monetary Fund from 2001 to 2003; “Deglobalization Will Hurt Growth Everywhere”; Project Syndicate; D.A. July 2</w:t>
      </w:r>
      <w:r w:rsidRPr="00684BF3">
        <w:rPr>
          <w:vertAlign w:val="superscript"/>
        </w:rPr>
        <w:t>nd</w:t>
      </w:r>
      <w:r w:rsidRPr="00684BF3">
        <w:t xml:space="preserve"> 2020, [Published June 3</w:t>
      </w:r>
      <w:r w:rsidRPr="00684BF3">
        <w:rPr>
          <w:vertAlign w:val="superscript"/>
        </w:rPr>
        <w:t>rd</w:t>
      </w:r>
      <w:r w:rsidRPr="00684BF3">
        <w:t xml:space="preserve"> 2020]; </w:t>
      </w:r>
      <w:hyperlink r:id="rId106" w:history="1">
        <w:r w:rsidRPr="00684BF3">
          <w:rPr>
            <w:rStyle w:val="Hyperlink"/>
          </w:rPr>
          <w:t>https://www.project-syndicate.org/commentary/deglobalization-threat-to-world-economy-and-united-states-by-kenneth-rogoff-2020-06</w:t>
        </w:r>
      </w:hyperlink>
      <w:r w:rsidRPr="00684BF3">
        <w:t>) //LFS—JCM</w:t>
      </w:r>
    </w:p>
    <w:p w14:paraId="0DAFB426" w14:textId="77777777" w:rsidR="00586EDF" w:rsidRPr="00684BF3" w:rsidRDefault="00586EDF" w:rsidP="00586EDF">
      <w:pPr>
        <w:rPr>
          <w:sz w:val="16"/>
        </w:rPr>
      </w:pPr>
      <w:r w:rsidRPr="00684BF3">
        <w:rPr>
          <w:sz w:val="16"/>
        </w:rPr>
        <w:t xml:space="preserve">CAMBRIDGE – </w:t>
      </w:r>
      <w:r w:rsidRPr="00684BF3">
        <w:rPr>
          <w:rStyle w:val="StyleUnderline"/>
          <w:highlight w:val="cyan"/>
        </w:rPr>
        <w:t xml:space="preserve">The </w:t>
      </w:r>
      <w:r w:rsidRPr="00684BF3">
        <w:rPr>
          <w:rStyle w:val="Emphasis"/>
          <w:highlight w:val="cyan"/>
        </w:rPr>
        <w:t>post-pandemic</w:t>
      </w:r>
      <w:r w:rsidRPr="00684BF3">
        <w:rPr>
          <w:sz w:val="16"/>
        </w:rPr>
        <w:t xml:space="preserve"> world </w:t>
      </w:r>
      <w:r w:rsidRPr="00684BF3">
        <w:rPr>
          <w:rStyle w:val="Emphasis"/>
          <w:highlight w:val="cyan"/>
        </w:rPr>
        <w:t>economy</w:t>
      </w:r>
      <w:r w:rsidRPr="00684BF3">
        <w:rPr>
          <w:rStyle w:val="StyleUnderline"/>
          <w:highlight w:val="cyan"/>
        </w:rPr>
        <w:t xml:space="preserve"> seems likely to be</w:t>
      </w:r>
      <w:r w:rsidRPr="00684BF3">
        <w:rPr>
          <w:rStyle w:val="StyleUnderline"/>
        </w:rPr>
        <w:t xml:space="preserve"> a</w:t>
      </w:r>
      <w:r w:rsidRPr="00684BF3">
        <w:rPr>
          <w:sz w:val="16"/>
        </w:rPr>
        <w:t xml:space="preserve"> far </w:t>
      </w:r>
      <w:r w:rsidRPr="00684BF3">
        <w:rPr>
          <w:rStyle w:val="Emphasis"/>
          <w:highlight w:val="cyan"/>
        </w:rPr>
        <w:t>less globalized</w:t>
      </w:r>
      <w:r w:rsidRPr="00684BF3">
        <w:rPr>
          <w:rStyle w:val="StyleUnderline"/>
        </w:rPr>
        <w:t xml:space="preserve"> economy</w:t>
      </w:r>
      <w:r w:rsidRPr="00684BF3">
        <w:rPr>
          <w:sz w:val="16"/>
        </w:rPr>
        <w:t xml:space="preserve">, </w:t>
      </w:r>
      <w:r w:rsidRPr="00684BF3">
        <w:rPr>
          <w:rStyle w:val="StyleUnderline"/>
        </w:rPr>
        <w:t>with</w:t>
      </w:r>
      <w:r w:rsidRPr="00684BF3">
        <w:rPr>
          <w:sz w:val="16"/>
        </w:rPr>
        <w:t xml:space="preserve"> political </w:t>
      </w:r>
      <w:r w:rsidRPr="00684BF3">
        <w:rPr>
          <w:rStyle w:val="StyleUnderline"/>
        </w:rPr>
        <w:t>leaders</w:t>
      </w:r>
      <w:r w:rsidRPr="00684BF3">
        <w:rPr>
          <w:sz w:val="16"/>
        </w:rPr>
        <w:t xml:space="preserve"> and publics </w:t>
      </w:r>
      <w:r w:rsidRPr="00684BF3">
        <w:rPr>
          <w:rStyle w:val="StyleUnderline"/>
        </w:rPr>
        <w:t xml:space="preserve">rejecting openness </w:t>
      </w:r>
      <w:r w:rsidRPr="00684BF3">
        <w:rPr>
          <w:sz w:val="16"/>
        </w:rPr>
        <w:t xml:space="preserve">in a manner </w:t>
      </w:r>
      <w:r w:rsidRPr="00684BF3">
        <w:rPr>
          <w:rStyle w:val="StyleUnderline"/>
          <w:highlight w:val="cyan"/>
        </w:rPr>
        <w:t>unlike anything seen since</w:t>
      </w:r>
      <w:r w:rsidRPr="00684BF3">
        <w:rPr>
          <w:rStyle w:val="StyleUnderline"/>
        </w:rPr>
        <w:t xml:space="preserve"> the tariff wars</w:t>
      </w:r>
      <w:r w:rsidRPr="00684BF3">
        <w:rPr>
          <w:sz w:val="16"/>
        </w:rPr>
        <w:t xml:space="preserve"> and competitive devaluations </w:t>
      </w:r>
      <w:r w:rsidRPr="00684BF3">
        <w:rPr>
          <w:rStyle w:val="StyleUnderline"/>
        </w:rPr>
        <w:t xml:space="preserve">of </w:t>
      </w:r>
      <w:r w:rsidRPr="00684BF3">
        <w:rPr>
          <w:rStyle w:val="StyleUnderline"/>
          <w:highlight w:val="cyan"/>
        </w:rPr>
        <w:t>the</w:t>
      </w:r>
      <w:r w:rsidRPr="00684BF3">
        <w:rPr>
          <w:sz w:val="16"/>
        </w:rPr>
        <w:t xml:space="preserve"> 19</w:t>
      </w:r>
      <w:r w:rsidRPr="00684BF3">
        <w:rPr>
          <w:rStyle w:val="StyleUnderline"/>
          <w:highlight w:val="cyan"/>
        </w:rPr>
        <w:t>30s</w:t>
      </w:r>
      <w:r w:rsidRPr="00684BF3">
        <w:rPr>
          <w:sz w:val="16"/>
        </w:rPr>
        <w:t xml:space="preserve">. And </w:t>
      </w:r>
      <w:r w:rsidRPr="00684BF3">
        <w:rPr>
          <w:rStyle w:val="StyleUnderline"/>
          <w:highlight w:val="cyan"/>
        </w:rPr>
        <w:t xml:space="preserve">the </w:t>
      </w:r>
      <w:r w:rsidRPr="00684BF3">
        <w:rPr>
          <w:rStyle w:val="Emphasis"/>
          <w:highlight w:val="cyan"/>
        </w:rPr>
        <w:t>byproduct will be</w:t>
      </w:r>
      <w:r w:rsidRPr="00684BF3">
        <w:rPr>
          <w:sz w:val="16"/>
        </w:rPr>
        <w:t xml:space="preserve"> not just </w:t>
      </w:r>
      <w:r w:rsidRPr="00684BF3">
        <w:rPr>
          <w:rStyle w:val="Emphasis"/>
          <w:highlight w:val="cyan"/>
        </w:rPr>
        <w:t>slow</w:t>
      </w:r>
      <w:r w:rsidRPr="00684BF3">
        <w:rPr>
          <w:rStyle w:val="Emphasis"/>
        </w:rPr>
        <w:t xml:space="preserve">er </w:t>
      </w:r>
      <w:r w:rsidRPr="00684BF3">
        <w:rPr>
          <w:rStyle w:val="Emphasis"/>
          <w:highlight w:val="cyan"/>
        </w:rPr>
        <w:t>growth</w:t>
      </w:r>
      <w:r w:rsidRPr="00684BF3">
        <w:rPr>
          <w:sz w:val="16"/>
        </w:rPr>
        <w:t xml:space="preserve">, but </w:t>
      </w:r>
      <w:r w:rsidRPr="00684BF3">
        <w:rPr>
          <w:rStyle w:val="StyleUnderline"/>
        </w:rPr>
        <w:t xml:space="preserve">a </w:t>
      </w:r>
      <w:r w:rsidRPr="00684BF3">
        <w:rPr>
          <w:rStyle w:val="Emphasis"/>
        </w:rPr>
        <w:t>significant fall</w:t>
      </w:r>
      <w:r w:rsidRPr="00684BF3">
        <w:rPr>
          <w:rStyle w:val="StyleUnderline"/>
        </w:rPr>
        <w:t xml:space="preserve"> in national </w:t>
      </w:r>
      <w:r w:rsidRPr="00684BF3">
        <w:rPr>
          <w:rStyle w:val="Emphasis"/>
        </w:rPr>
        <w:t>incomes</w:t>
      </w:r>
      <w:r w:rsidRPr="00684BF3">
        <w:rPr>
          <w:sz w:val="16"/>
        </w:rPr>
        <w:t xml:space="preserve"> for all but perhaps the largest and most diversified economies.</w:t>
      </w:r>
    </w:p>
    <w:p w14:paraId="289ECC5B" w14:textId="77777777" w:rsidR="00586EDF" w:rsidRPr="00684BF3" w:rsidRDefault="00586EDF" w:rsidP="00586EDF">
      <w:pPr>
        <w:rPr>
          <w:rStyle w:val="StyleUnderline"/>
        </w:rPr>
      </w:pPr>
      <w:r w:rsidRPr="00684BF3">
        <w:rPr>
          <w:sz w:val="16"/>
        </w:rPr>
        <w:t>In his prescient 2001 book </w:t>
      </w:r>
      <w:hyperlink r:id="rId107" w:tgtFrame="_blank" w:history="1">
        <w:r w:rsidRPr="00684BF3">
          <w:rPr>
            <w:rStyle w:val="Hyperlink"/>
            <w:sz w:val="16"/>
          </w:rPr>
          <w:t>The End of Globalization</w:t>
        </w:r>
      </w:hyperlink>
      <w:r w:rsidRPr="00684BF3">
        <w:rPr>
          <w:sz w:val="16"/>
        </w:rPr>
        <w:t>, the Princeton economic historian </w:t>
      </w:r>
      <w:hyperlink r:id="rId108" w:history="1">
        <w:r w:rsidRPr="00684BF3">
          <w:rPr>
            <w:rStyle w:val="Hyperlink"/>
            <w:sz w:val="16"/>
          </w:rPr>
          <w:t>Harold James</w:t>
        </w:r>
      </w:hyperlink>
      <w:r w:rsidRPr="00684BF3">
        <w:rPr>
          <w:sz w:val="16"/>
        </w:rPr>
        <w:t xml:space="preserve"> showed how </w:t>
      </w:r>
      <w:r w:rsidRPr="00684BF3">
        <w:rPr>
          <w:rStyle w:val="StyleUnderline"/>
          <w:highlight w:val="cyan"/>
        </w:rPr>
        <w:t xml:space="preserve">an earlier era of </w:t>
      </w:r>
      <w:r w:rsidRPr="00684BF3">
        <w:rPr>
          <w:rStyle w:val="Emphasis"/>
          <w:highlight w:val="cyan"/>
        </w:rPr>
        <w:t>global economic</w:t>
      </w:r>
      <w:r w:rsidRPr="00684BF3">
        <w:rPr>
          <w:rStyle w:val="StyleUnderline"/>
        </w:rPr>
        <w:t xml:space="preserve"> and financial </w:t>
      </w:r>
      <w:r w:rsidRPr="00684BF3">
        <w:rPr>
          <w:rStyle w:val="StyleUnderline"/>
          <w:highlight w:val="cyan"/>
        </w:rPr>
        <w:t xml:space="preserve">integration </w:t>
      </w:r>
      <w:r w:rsidRPr="00684BF3">
        <w:rPr>
          <w:rStyle w:val="Emphasis"/>
          <w:highlight w:val="cyan"/>
        </w:rPr>
        <w:t>collapsed</w:t>
      </w:r>
      <w:r w:rsidRPr="00684BF3">
        <w:rPr>
          <w:rStyle w:val="StyleUnderline"/>
          <w:highlight w:val="cyan"/>
        </w:rPr>
        <w:t xml:space="preserve"> under the</w:t>
      </w:r>
      <w:r w:rsidRPr="00684BF3">
        <w:rPr>
          <w:rStyle w:val="StyleUnderline"/>
        </w:rPr>
        <w:t xml:space="preserve"> pressures of</w:t>
      </w:r>
      <w:r w:rsidRPr="00684BF3">
        <w:rPr>
          <w:sz w:val="16"/>
        </w:rPr>
        <w:t xml:space="preserve"> unexpected events during </w:t>
      </w:r>
      <w:r w:rsidRPr="00684BF3">
        <w:rPr>
          <w:rStyle w:val="Emphasis"/>
        </w:rPr>
        <w:t xml:space="preserve">the </w:t>
      </w:r>
      <w:r w:rsidRPr="00684BF3">
        <w:rPr>
          <w:rStyle w:val="Emphasis"/>
          <w:highlight w:val="cyan"/>
        </w:rPr>
        <w:t>Great Depression</w:t>
      </w:r>
      <w:r w:rsidRPr="00684BF3">
        <w:rPr>
          <w:rStyle w:val="StyleUnderline"/>
        </w:rPr>
        <w:t xml:space="preserve"> of the</w:t>
      </w:r>
      <w:r w:rsidRPr="00684BF3">
        <w:rPr>
          <w:sz w:val="16"/>
        </w:rPr>
        <w:t xml:space="preserve"> 19</w:t>
      </w:r>
      <w:r w:rsidRPr="00684BF3">
        <w:rPr>
          <w:rStyle w:val="StyleUnderline"/>
        </w:rPr>
        <w:t>30s</w:t>
      </w:r>
      <w:r w:rsidRPr="00684BF3">
        <w:rPr>
          <w:sz w:val="16"/>
        </w:rPr>
        <w:t xml:space="preserve">, </w:t>
      </w:r>
      <w:r w:rsidRPr="00684BF3">
        <w:rPr>
          <w:rStyle w:val="Emphasis"/>
          <w:highlight w:val="cyan"/>
        </w:rPr>
        <w:t>culminating in World War II</w:t>
      </w:r>
      <w:r w:rsidRPr="00684BF3">
        <w:rPr>
          <w:sz w:val="16"/>
        </w:rPr>
        <w:t xml:space="preserve">. </w:t>
      </w:r>
      <w:r w:rsidRPr="00684BF3">
        <w:rPr>
          <w:rStyle w:val="StyleUnderline"/>
          <w:highlight w:val="cyan"/>
        </w:rPr>
        <w:t>Today</w:t>
      </w:r>
      <w:r w:rsidRPr="00684BF3">
        <w:rPr>
          <w:sz w:val="16"/>
        </w:rPr>
        <w:t xml:space="preserve">, the </w:t>
      </w:r>
      <w:r w:rsidRPr="00684BF3">
        <w:rPr>
          <w:rStyle w:val="Emphasis"/>
          <w:highlight w:val="cyan"/>
        </w:rPr>
        <w:t>COVID</w:t>
      </w:r>
      <w:r w:rsidRPr="00684BF3">
        <w:rPr>
          <w:sz w:val="16"/>
        </w:rPr>
        <w:t xml:space="preserve">-19 pandemic </w:t>
      </w:r>
      <w:r w:rsidRPr="00684BF3">
        <w:rPr>
          <w:rStyle w:val="Emphasis"/>
          <w:highlight w:val="cyan"/>
        </w:rPr>
        <w:t>appears to be accelerating</w:t>
      </w:r>
      <w:r w:rsidRPr="00684BF3">
        <w:rPr>
          <w:sz w:val="16"/>
        </w:rPr>
        <w:t xml:space="preserve"> </w:t>
      </w:r>
      <w:r w:rsidRPr="00684BF3">
        <w:rPr>
          <w:rStyle w:val="StyleUnderline"/>
        </w:rPr>
        <w:t>another</w:t>
      </w:r>
      <w:r w:rsidRPr="00684BF3">
        <w:rPr>
          <w:sz w:val="16"/>
        </w:rPr>
        <w:t xml:space="preserve"> </w:t>
      </w:r>
      <w:r w:rsidRPr="00684BF3">
        <w:rPr>
          <w:rStyle w:val="Emphasis"/>
          <w:highlight w:val="cyan"/>
        </w:rPr>
        <w:t>withdrawal</w:t>
      </w:r>
      <w:r w:rsidRPr="00684BF3">
        <w:rPr>
          <w:rStyle w:val="Emphasis"/>
        </w:rPr>
        <w:t xml:space="preserve"> from globalization</w:t>
      </w:r>
      <w:r w:rsidRPr="00684BF3">
        <w:rPr>
          <w:rStyle w:val="StyleUnderline"/>
        </w:rPr>
        <w:t>.</w:t>
      </w:r>
    </w:p>
    <w:p w14:paraId="6F127B86" w14:textId="77777777" w:rsidR="00586EDF" w:rsidRPr="00684BF3" w:rsidRDefault="00586EDF" w:rsidP="00586EDF">
      <w:pPr>
        <w:rPr>
          <w:sz w:val="16"/>
        </w:rPr>
      </w:pPr>
      <w:r w:rsidRPr="00684BF3">
        <w:rPr>
          <w:rStyle w:val="StyleUnderline"/>
        </w:rPr>
        <w:t>The</w:t>
      </w:r>
      <w:r w:rsidRPr="00684BF3">
        <w:rPr>
          <w:sz w:val="16"/>
        </w:rPr>
        <w:t xml:space="preserve"> current </w:t>
      </w:r>
      <w:r w:rsidRPr="00684BF3">
        <w:rPr>
          <w:rStyle w:val="Emphasis"/>
        </w:rPr>
        <w:t>retreat began</w:t>
      </w:r>
      <w:r w:rsidRPr="00684BF3">
        <w:rPr>
          <w:rStyle w:val="StyleUnderline"/>
        </w:rPr>
        <w:t xml:space="preserve"> with</w:t>
      </w:r>
      <w:r w:rsidRPr="00684BF3">
        <w:rPr>
          <w:sz w:val="16"/>
        </w:rPr>
        <w:t xml:space="preserve"> Donald </w:t>
      </w:r>
      <w:r w:rsidRPr="00684BF3">
        <w:rPr>
          <w:rStyle w:val="Emphasis"/>
        </w:rPr>
        <w:t>Trump</w:t>
      </w:r>
      <w:r w:rsidRPr="00684BF3">
        <w:rPr>
          <w:sz w:val="16"/>
        </w:rPr>
        <w:t xml:space="preserve">’s victory in the 2016 US presidential election, which led to tariff wars between the United States and China. </w:t>
      </w:r>
      <w:r w:rsidRPr="00684BF3">
        <w:rPr>
          <w:rStyle w:val="StyleUnderline"/>
        </w:rPr>
        <w:t xml:space="preserve">The </w:t>
      </w:r>
      <w:r w:rsidRPr="00684BF3">
        <w:rPr>
          <w:rStyle w:val="Emphasis"/>
        </w:rPr>
        <w:t>pandemic</w:t>
      </w:r>
      <w:r w:rsidRPr="00684BF3">
        <w:rPr>
          <w:rStyle w:val="StyleUnderline"/>
        </w:rPr>
        <w:t xml:space="preserve"> will likely </w:t>
      </w:r>
      <w:r w:rsidRPr="00684BF3">
        <w:rPr>
          <w:rStyle w:val="Emphasis"/>
        </w:rPr>
        <w:t>have a</w:t>
      </w:r>
      <w:r w:rsidRPr="00684BF3">
        <w:rPr>
          <w:rStyle w:val="StyleUnderline"/>
        </w:rPr>
        <w:t xml:space="preserve">n even larger </w:t>
      </w:r>
      <w:r w:rsidRPr="00684BF3">
        <w:rPr>
          <w:rStyle w:val="Emphasis"/>
        </w:rPr>
        <w:t>negative</w:t>
      </w:r>
      <w:r w:rsidRPr="00684BF3">
        <w:rPr>
          <w:rStyle w:val="StyleUnderline"/>
        </w:rPr>
        <w:t xml:space="preserve"> long-term </w:t>
      </w:r>
      <w:r w:rsidRPr="00684BF3">
        <w:rPr>
          <w:rStyle w:val="Emphasis"/>
        </w:rPr>
        <w:t>impact</w:t>
      </w:r>
      <w:r w:rsidRPr="00684BF3">
        <w:rPr>
          <w:sz w:val="16"/>
        </w:rPr>
        <w:t xml:space="preserve"> on trade, partly because </w:t>
      </w:r>
      <w:r w:rsidRPr="00684BF3">
        <w:rPr>
          <w:rStyle w:val="StyleUnderline"/>
        </w:rPr>
        <w:t>governments</w:t>
      </w:r>
      <w:r w:rsidRPr="00684BF3">
        <w:rPr>
          <w:sz w:val="16"/>
        </w:rPr>
        <w:t xml:space="preserve"> increasingly </w:t>
      </w:r>
      <w:r w:rsidRPr="00684BF3">
        <w:rPr>
          <w:rStyle w:val="StyleUnderline"/>
        </w:rPr>
        <w:t>recognize</w:t>
      </w:r>
      <w:r w:rsidRPr="00684BF3">
        <w:rPr>
          <w:sz w:val="16"/>
        </w:rPr>
        <w:t xml:space="preserve"> that </w:t>
      </w:r>
      <w:r w:rsidRPr="00684BF3">
        <w:rPr>
          <w:rStyle w:val="StyleUnderline"/>
        </w:rPr>
        <w:t>they need to regard public-health</w:t>
      </w:r>
      <w:r w:rsidRPr="00684BF3">
        <w:rPr>
          <w:sz w:val="16"/>
        </w:rPr>
        <w:t xml:space="preserve"> capacity </w:t>
      </w:r>
      <w:r w:rsidRPr="00684BF3">
        <w:rPr>
          <w:rStyle w:val="StyleUnderline"/>
        </w:rPr>
        <w:t>as a national-security imperative</w:t>
      </w:r>
      <w:r w:rsidRPr="00684BF3">
        <w:rPr>
          <w:sz w:val="16"/>
        </w:rPr>
        <w:t>.</w:t>
      </w:r>
    </w:p>
    <w:p w14:paraId="3319B3EC" w14:textId="77777777" w:rsidR="00586EDF" w:rsidRPr="00684BF3" w:rsidRDefault="00586EDF" w:rsidP="00586EDF">
      <w:pPr>
        <w:rPr>
          <w:sz w:val="16"/>
        </w:rPr>
      </w:pPr>
      <w:r w:rsidRPr="00684BF3">
        <w:rPr>
          <w:rStyle w:val="StyleUnderline"/>
          <w:highlight w:val="cyan"/>
        </w:rPr>
        <w:t>The risk</w:t>
      </w:r>
      <w:r w:rsidRPr="00684BF3">
        <w:rPr>
          <w:rStyle w:val="StyleUnderline"/>
        </w:rPr>
        <w:t xml:space="preserve"> today </w:t>
      </w:r>
      <w:r w:rsidRPr="00684BF3">
        <w:rPr>
          <w:rStyle w:val="StyleUnderline"/>
          <w:highlight w:val="cyan"/>
        </w:rPr>
        <w:t>of</w:t>
      </w:r>
      <w:r w:rsidRPr="00684BF3">
        <w:rPr>
          <w:rStyle w:val="StyleUnderline"/>
        </w:rPr>
        <w:t xml:space="preserve"> a</w:t>
      </w:r>
      <w:r w:rsidRPr="00684BF3">
        <w:rPr>
          <w:sz w:val="16"/>
        </w:rPr>
        <w:t xml:space="preserve"> debilitating </w:t>
      </w:r>
      <w:r w:rsidRPr="00684BF3">
        <w:rPr>
          <w:rStyle w:val="StyleUnderline"/>
        </w:rPr>
        <w:t>19</w:t>
      </w:r>
      <w:r w:rsidRPr="00684BF3">
        <w:rPr>
          <w:rStyle w:val="Emphasis"/>
          <w:highlight w:val="cyan"/>
        </w:rPr>
        <w:t>30s</w:t>
      </w:r>
      <w:r w:rsidRPr="00684BF3">
        <w:rPr>
          <w:rStyle w:val="StyleUnderline"/>
        </w:rPr>
        <w:t xml:space="preserve">-style </w:t>
      </w:r>
      <w:r w:rsidRPr="00684BF3">
        <w:rPr>
          <w:rStyle w:val="Emphasis"/>
          <w:highlight w:val="cyan"/>
        </w:rPr>
        <w:t>overshoot</w:t>
      </w:r>
      <w:r w:rsidRPr="00684BF3">
        <w:rPr>
          <w:rStyle w:val="StyleUnderline"/>
        </w:rPr>
        <w:t xml:space="preserve"> </w:t>
      </w:r>
      <w:r w:rsidRPr="00684BF3">
        <w:rPr>
          <w:rStyle w:val="StyleUnderline"/>
          <w:highlight w:val="cyan"/>
        </w:rPr>
        <w:t xml:space="preserve">in </w:t>
      </w:r>
      <w:r w:rsidRPr="00684BF3">
        <w:rPr>
          <w:rStyle w:val="Emphasis"/>
          <w:highlight w:val="cyan"/>
        </w:rPr>
        <w:t>deglobalization</w:t>
      </w:r>
      <w:r w:rsidRPr="00684BF3">
        <w:rPr>
          <w:rStyle w:val="StyleUnderline"/>
          <w:highlight w:val="cyan"/>
        </w:rPr>
        <w:t xml:space="preserve"> is massive</w:t>
      </w:r>
      <w:r w:rsidRPr="00684BF3">
        <w:rPr>
          <w:sz w:val="16"/>
        </w:rPr>
        <w:t xml:space="preserve">, particularly if the US-China relationship continues to fray. And </w:t>
      </w:r>
      <w:r w:rsidRPr="00684BF3">
        <w:rPr>
          <w:rStyle w:val="StyleUnderline"/>
        </w:rPr>
        <w:t>it is folly to think</w:t>
      </w:r>
      <w:r w:rsidRPr="00684BF3">
        <w:rPr>
          <w:sz w:val="16"/>
        </w:rPr>
        <w:t xml:space="preserve"> that </w:t>
      </w:r>
      <w:r w:rsidRPr="00684BF3">
        <w:rPr>
          <w:rStyle w:val="StyleUnderline"/>
        </w:rPr>
        <w:t xml:space="preserve">a chaotic, crisis-driven </w:t>
      </w:r>
      <w:r w:rsidRPr="00684BF3">
        <w:rPr>
          <w:rStyle w:val="Emphasis"/>
          <w:highlight w:val="cyan"/>
        </w:rPr>
        <w:t>retreat</w:t>
      </w:r>
      <w:r w:rsidRPr="00684BF3">
        <w:rPr>
          <w:rStyle w:val="StyleUnderline"/>
        </w:rPr>
        <w:t xml:space="preserve"> from globalization </w:t>
      </w:r>
      <w:r w:rsidRPr="00684BF3">
        <w:rPr>
          <w:rStyle w:val="Emphasis"/>
        </w:rPr>
        <w:t>will</w:t>
      </w:r>
      <w:r w:rsidRPr="00684BF3">
        <w:rPr>
          <w:rStyle w:val="StyleUnderline"/>
        </w:rPr>
        <w:t xml:space="preserve"> not </w:t>
      </w:r>
      <w:r w:rsidRPr="00684BF3">
        <w:rPr>
          <w:rStyle w:val="Emphasis"/>
          <w:highlight w:val="cyan"/>
        </w:rPr>
        <w:t>introduce</w:t>
      </w:r>
      <w:r w:rsidRPr="00684BF3">
        <w:rPr>
          <w:rStyle w:val="Emphasis"/>
        </w:rPr>
        <w:t xml:space="preserve"> more</w:t>
      </w:r>
      <w:r w:rsidRPr="00684BF3">
        <w:rPr>
          <w:sz w:val="16"/>
        </w:rPr>
        <w:t xml:space="preserve"> – and vastly more serious – </w:t>
      </w:r>
      <w:r w:rsidRPr="00684BF3">
        <w:rPr>
          <w:rStyle w:val="Emphasis"/>
          <w:highlight w:val="cyan"/>
        </w:rPr>
        <w:t>problems</w:t>
      </w:r>
      <w:r w:rsidRPr="00684BF3">
        <w:rPr>
          <w:sz w:val="16"/>
        </w:rPr>
        <w:t>.</w:t>
      </w:r>
    </w:p>
    <w:p w14:paraId="7C184277" w14:textId="77777777" w:rsidR="00586EDF" w:rsidRPr="00684BF3" w:rsidRDefault="00586EDF" w:rsidP="00586EDF">
      <w:pPr>
        <w:rPr>
          <w:sz w:val="16"/>
        </w:rPr>
      </w:pPr>
      <w:r w:rsidRPr="00684BF3">
        <w:rPr>
          <w:rStyle w:val="StyleUnderline"/>
        </w:rPr>
        <w:t xml:space="preserve">Even the US, with its highly </w:t>
      </w:r>
      <w:r w:rsidRPr="00684BF3">
        <w:rPr>
          <w:rStyle w:val="Emphasis"/>
        </w:rPr>
        <w:t>diversified economy</w:t>
      </w:r>
      <w:r w:rsidRPr="00684BF3">
        <w:rPr>
          <w:rStyle w:val="StyleUnderline"/>
        </w:rPr>
        <w:t>, world-</w:t>
      </w:r>
      <w:r w:rsidRPr="00684BF3">
        <w:rPr>
          <w:rStyle w:val="Emphasis"/>
        </w:rPr>
        <w:t>leading technology</w:t>
      </w:r>
      <w:r w:rsidRPr="00684BF3">
        <w:rPr>
          <w:rStyle w:val="StyleUnderline"/>
        </w:rPr>
        <w:t xml:space="preserve">, and </w:t>
      </w:r>
      <w:r w:rsidRPr="00684BF3">
        <w:rPr>
          <w:rStyle w:val="Emphasis"/>
        </w:rPr>
        <w:t>strong</w:t>
      </w:r>
      <w:r w:rsidRPr="00684BF3">
        <w:rPr>
          <w:rStyle w:val="StyleUnderline"/>
        </w:rPr>
        <w:t xml:space="preserve"> natural-</w:t>
      </w:r>
      <w:r w:rsidRPr="00684BF3">
        <w:rPr>
          <w:rStyle w:val="Emphasis"/>
        </w:rPr>
        <w:t>resource base</w:t>
      </w:r>
      <w:r w:rsidRPr="00684BF3">
        <w:rPr>
          <w:rStyle w:val="StyleUnderline"/>
        </w:rPr>
        <w:t xml:space="preserve">, could suffer a </w:t>
      </w:r>
      <w:r w:rsidRPr="00684BF3">
        <w:rPr>
          <w:rStyle w:val="Emphasis"/>
        </w:rPr>
        <w:t>significant decline</w:t>
      </w:r>
      <w:r w:rsidRPr="00684BF3">
        <w:rPr>
          <w:rStyle w:val="StyleUnderline"/>
        </w:rPr>
        <w:t xml:space="preserve"> in</w:t>
      </w:r>
      <w:r w:rsidRPr="00684BF3">
        <w:rPr>
          <w:sz w:val="16"/>
        </w:rPr>
        <w:t xml:space="preserve"> real </w:t>
      </w:r>
      <w:r w:rsidRPr="00684BF3">
        <w:rPr>
          <w:rStyle w:val="Emphasis"/>
        </w:rPr>
        <w:t>GDP</w:t>
      </w:r>
      <w:r w:rsidRPr="00684BF3">
        <w:rPr>
          <w:rStyle w:val="StyleUnderline"/>
        </w:rPr>
        <w:t xml:space="preserve"> as a result of deglobalization</w:t>
      </w:r>
      <w:r w:rsidRPr="00684BF3">
        <w:rPr>
          <w:sz w:val="16"/>
        </w:rPr>
        <w:t xml:space="preserve">. For smaller economies and developing countries that are unable to reach critical mass in many sectors and often lack natural resources, a breakdown in trade would </w:t>
      </w:r>
      <w:r w:rsidRPr="00684BF3">
        <w:rPr>
          <w:rStyle w:val="Emphasis"/>
        </w:rPr>
        <w:t>reverse many decades of growth.</w:t>
      </w:r>
      <w:r w:rsidRPr="00684BF3">
        <w:rPr>
          <w:sz w:val="16"/>
        </w:rPr>
        <w:t xml:space="preserve"> And that is before considering the long-lasting impact of social-distancing and quarantine measures.</w:t>
      </w:r>
    </w:p>
    <w:p w14:paraId="49BAD859" w14:textId="77777777" w:rsidR="00586EDF" w:rsidRPr="00684BF3" w:rsidRDefault="00586EDF" w:rsidP="00586EDF">
      <w:pPr>
        <w:rPr>
          <w:sz w:val="16"/>
        </w:rPr>
      </w:pPr>
      <w:r w:rsidRPr="00684BF3">
        <w:rPr>
          <w:sz w:val="16"/>
        </w:rPr>
        <w:t>The late economist </w:t>
      </w:r>
      <w:hyperlink r:id="rId109" w:history="1">
        <w:r w:rsidRPr="00684BF3">
          <w:rPr>
            <w:rStyle w:val="Hyperlink"/>
            <w:sz w:val="16"/>
          </w:rPr>
          <w:t>Alberto Alesina</w:t>
        </w:r>
      </w:hyperlink>
      <w:r w:rsidRPr="00684BF3">
        <w:rPr>
          <w:sz w:val="16"/>
        </w:rPr>
        <w:t>, a towering figure in the field of political economy, argued that for a well-governed country in the age of globalization, </w:t>
      </w:r>
      <w:hyperlink r:id="rId110" w:tgtFrame="_blank" w:history="1">
        <w:r w:rsidRPr="00684BF3">
          <w:rPr>
            <w:rStyle w:val="Hyperlink"/>
            <w:sz w:val="16"/>
          </w:rPr>
          <w:t>small can be beautiful</w:t>
        </w:r>
      </w:hyperlink>
      <w:r w:rsidRPr="00684BF3">
        <w:rPr>
          <w:sz w:val="16"/>
        </w:rPr>
        <w:t xml:space="preserve">. But today, </w:t>
      </w:r>
      <w:r w:rsidRPr="00684BF3">
        <w:rPr>
          <w:rStyle w:val="Emphasis"/>
        </w:rPr>
        <w:t>small countries that lack</w:t>
      </w:r>
      <w:r w:rsidRPr="00684BF3">
        <w:rPr>
          <w:rStyle w:val="StyleUnderline"/>
        </w:rPr>
        <w:t xml:space="preserve"> a close </w:t>
      </w:r>
      <w:r w:rsidRPr="00684BF3">
        <w:rPr>
          <w:rStyle w:val="Emphasis"/>
        </w:rPr>
        <w:t>economic alliance</w:t>
      </w:r>
      <w:r w:rsidRPr="00684BF3">
        <w:rPr>
          <w:rStyle w:val="StyleUnderline"/>
        </w:rPr>
        <w:t xml:space="preserve"> with a </w:t>
      </w:r>
      <w:r w:rsidRPr="00684BF3">
        <w:rPr>
          <w:rStyle w:val="Emphasis"/>
        </w:rPr>
        <w:t>large state</w:t>
      </w:r>
      <w:r w:rsidRPr="00684BF3">
        <w:rPr>
          <w:sz w:val="16"/>
        </w:rPr>
        <w:t xml:space="preserve"> or union </w:t>
      </w:r>
      <w:r w:rsidRPr="00684BF3">
        <w:rPr>
          <w:rStyle w:val="StyleUnderline"/>
        </w:rPr>
        <w:t xml:space="preserve">face huge </w:t>
      </w:r>
      <w:r w:rsidRPr="00684BF3">
        <w:rPr>
          <w:rStyle w:val="Emphasis"/>
        </w:rPr>
        <w:t>economic risks</w:t>
      </w:r>
      <w:r w:rsidRPr="00684BF3">
        <w:rPr>
          <w:sz w:val="16"/>
        </w:rPr>
        <w:t>.</w:t>
      </w:r>
    </w:p>
    <w:p w14:paraId="200AB7C2" w14:textId="77777777" w:rsidR="00586EDF" w:rsidRPr="00684BF3" w:rsidRDefault="00586EDF" w:rsidP="00586EDF">
      <w:pPr>
        <w:rPr>
          <w:sz w:val="16"/>
          <w:szCs w:val="16"/>
        </w:rPr>
      </w:pPr>
      <w:r w:rsidRPr="00684BF3">
        <w:rPr>
          <w:sz w:val="16"/>
          <w:szCs w:val="16"/>
        </w:rPr>
        <w:t>True, globalization has fueled economic inequalities among the approximately one billion people who live in advanced economies. Trade competition has hammered low-wage workers in some sectors, even while making goods less expensive for everyone. Financial globalization has arguably had an even larger effect by increasing the profits of multinational corporations and offering new high-return foreign-investment instruments for the wealthy, especially since 1980.</w:t>
      </w:r>
    </w:p>
    <w:p w14:paraId="563856C1" w14:textId="77777777" w:rsidR="00586EDF" w:rsidRPr="00684BF3" w:rsidRDefault="00586EDF" w:rsidP="00586EDF">
      <w:pPr>
        <w:rPr>
          <w:sz w:val="16"/>
        </w:rPr>
      </w:pPr>
      <w:r w:rsidRPr="00684BF3">
        <w:rPr>
          <w:sz w:val="16"/>
        </w:rPr>
        <w:t>In his 2014 bestseller </w:t>
      </w:r>
      <w:hyperlink r:id="rId111" w:tgtFrame="_blank" w:history="1">
        <w:r w:rsidRPr="00684BF3">
          <w:rPr>
            <w:rStyle w:val="Hyperlink"/>
            <w:sz w:val="16"/>
          </w:rPr>
          <w:t>Capital in the Twenty-First Century</w:t>
        </w:r>
      </w:hyperlink>
      <w:r w:rsidRPr="00684BF3">
        <w:rPr>
          <w:sz w:val="16"/>
        </w:rPr>
        <w:t xml:space="preserve">, Thomas </w:t>
      </w:r>
      <w:r w:rsidRPr="00684BF3">
        <w:rPr>
          <w:rStyle w:val="StyleUnderline"/>
        </w:rPr>
        <w:t>Piketty cited rising income and wealth inequalities as evidence that capitalism has failed</w:t>
      </w:r>
      <w:r w:rsidRPr="00684BF3">
        <w:rPr>
          <w:sz w:val="16"/>
        </w:rPr>
        <w:t xml:space="preserve">. But whom has it failed? Outside of the advanced economies – where 86% of the world’s population lives – </w:t>
      </w:r>
      <w:r w:rsidRPr="00684BF3">
        <w:rPr>
          <w:rStyle w:val="StyleUnderline"/>
        </w:rPr>
        <w:t xml:space="preserve">global </w:t>
      </w:r>
      <w:r w:rsidRPr="00684BF3">
        <w:rPr>
          <w:rStyle w:val="Emphasis"/>
        </w:rPr>
        <w:t>capitalism has lifted billions</w:t>
      </w:r>
      <w:r w:rsidRPr="00684BF3">
        <w:rPr>
          <w:rStyle w:val="StyleUnderline"/>
        </w:rPr>
        <w:t xml:space="preserve"> of people </w:t>
      </w:r>
      <w:r w:rsidRPr="00684BF3">
        <w:rPr>
          <w:rStyle w:val="Emphasis"/>
        </w:rPr>
        <w:t>out of</w:t>
      </w:r>
      <w:r w:rsidRPr="00684BF3">
        <w:rPr>
          <w:rStyle w:val="StyleUnderline"/>
        </w:rPr>
        <w:t xml:space="preserve"> desperate </w:t>
      </w:r>
      <w:r w:rsidRPr="00684BF3">
        <w:rPr>
          <w:rStyle w:val="Emphasis"/>
        </w:rPr>
        <w:t>poverty</w:t>
      </w:r>
      <w:r w:rsidRPr="00684BF3">
        <w:rPr>
          <w:sz w:val="16"/>
        </w:rPr>
        <w:t xml:space="preserve">. Surely, therefore, </w:t>
      </w:r>
      <w:r w:rsidRPr="00684BF3">
        <w:rPr>
          <w:rStyle w:val="StyleUnderline"/>
        </w:rPr>
        <w:t xml:space="preserve">an </w:t>
      </w:r>
      <w:r w:rsidRPr="00684BF3">
        <w:rPr>
          <w:rStyle w:val="Emphasis"/>
        </w:rPr>
        <w:t>overshoot</w:t>
      </w:r>
      <w:r w:rsidRPr="00684BF3">
        <w:rPr>
          <w:rStyle w:val="StyleUnderline"/>
        </w:rPr>
        <w:t xml:space="preserve"> in </w:t>
      </w:r>
      <w:r w:rsidRPr="00684BF3">
        <w:rPr>
          <w:rStyle w:val="Emphasis"/>
        </w:rPr>
        <w:t>deglobalization</w:t>
      </w:r>
      <w:r w:rsidRPr="00684BF3">
        <w:rPr>
          <w:rStyle w:val="StyleUnderline"/>
        </w:rPr>
        <w:t xml:space="preserve"> risks </w:t>
      </w:r>
      <w:r w:rsidRPr="00684BF3">
        <w:rPr>
          <w:rStyle w:val="Emphasis"/>
        </w:rPr>
        <w:t>hurting</w:t>
      </w:r>
      <w:r w:rsidRPr="00684BF3">
        <w:rPr>
          <w:rStyle w:val="StyleUnderline"/>
        </w:rPr>
        <w:t xml:space="preserve"> far </w:t>
      </w:r>
      <w:r w:rsidRPr="00684BF3">
        <w:rPr>
          <w:rStyle w:val="Emphasis"/>
        </w:rPr>
        <w:t>more people</w:t>
      </w:r>
      <w:r w:rsidRPr="00684BF3">
        <w:rPr>
          <w:rStyle w:val="StyleUnderline"/>
        </w:rPr>
        <w:t xml:space="preserve"> than it helps</w:t>
      </w:r>
      <w:r w:rsidRPr="00684BF3">
        <w:rPr>
          <w:sz w:val="16"/>
        </w:rPr>
        <w:t>.</w:t>
      </w:r>
    </w:p>
    <w:p w14:paraId="4A651CAE" w14:textId="77777777" w:rsidR="00586EDF" w:rsidRPr="00684BF3" w:rsidRDefault="00586EDF" w:rsidP="00586EDF">
      <w:pPr>
        <w:rPr>
          <w:sz w:val="16"/>
        </w:rPr>
      </w:pPr>
      <w:r w:rsidRPr="00684BF3">
        <w:rPr>
          <w:sz w:val="16"/>
        </w:rPr>
        <w:t xml:space="preserve">To be sure, the current model of globalization needs adjusting, particularly by greatly strengthening the social safety net in advanced economies and – to the extent possible – in </w:t>
      </w:r>
      <w:r w:rsidRPr="00684BF3">
        <w:rPr>
          <w:rStyle w:val="StyleUnderline"/>
        </w:rPr>
        <w:t>emerging markets</w:t>
      </w:r>
      <w:r w:rsidRPr="00684BF3">
        <w:rPr>
          <w:sz w:val="16"/>
        </w:rPr>
        <w:t xml:space="preserve">, too. But </w:t>
      </w:r>
      <w:r w:rsidRPr="00684BF3">
        <w:rPr>
          <w:rStyle w:val="Emphasis"/>
          <w:highlight w:val="cyan"/>
        </w:rPr>
        <w:t>building resilience does not mean tearing down the</w:t>
      </w:r>
      <w:r w:rsidRPr="00684BF3">
        <w:rPr>
          <w:rStyle w:val="Emphasis"/>
        </w:rPr>
        <w:t xml:space="preserve"> entire </w:t>
      </w:r>
      <w:r w:rsidRPr="00684BF3">
        <w:rPr>
          <w:rStyle w:val="Emphasis"/>
          <w:highlight w:val="cyan"/>
        </w:rPr>
        <w:t>system</w:t>
      </w:r>
      <w:r w:rsidRPr="00684BF3">
        <w:rPr>
          <w:rStyle w:val="StyleUnderline"/>
        </w:rPr>
        <w:t xml:space="preserve"> </w:t>
      </w:r>
      <w:r w:rsidRPr="00684BF3">
        <w:rPr>
          <w:rStyle w:val="StyleUnderline"/>
          <w:highlight w:val="cyan"/>
        </w:rPr>
        <w:t>and starting over</w:t>
      </w:r>
      <w:r w:rsidRPr="00684BF3">
        <w:rPr>
          <w:sz w:val="16"/>
        </w:rPr>
        <w:t xml:space="preserve"> again.</w:t>
      </w:r>
    </w:p>
    <w:p w14:paraId="240A0EA3" w14:textId="77777777" w:rsidR="00586EDF" w:rsidRPr="00684BF3" w:rsidRDefault="00586EDF" w:rsidP="00586EDF">
      <w:pPr>
        <w:rPr>
          <w:sz w:val="16"/>
        </w:rPr>
      </w:pPr>
      <w:r w:rsidRPr="00684BF3">
        <w:rPr>
          <w:rStyle w:val="Emphasis"/>
        </w:rPr>
        <w:t>The US has more to lose from deglobalization</w:t>
      </w:r>
      <w:r w:rsidRPr="00684BF3">
        <w:rPr>
          <w:rStyle w:val="StyleUnderline"/>
        </w:rPr>
        <w:t xml:space="preserve"> than some of its politicians</w:t>
      </w:r>
      <w:r w:rsidRPr="00684BF3">
        <w:rPr>
          <w:sz w:val="16"/>
        </w:rPr>
        <w:t xml:space="preserve">, on both the right and the left, </w:t>
      </w:r>
      <w:r w:rsidRPr="00684BF3">
        <w:rPr>
          <w:rStyle w:val="StyleUnderline"/>
        </w:rPr>
        <w:t>seem to realize</w:t>
      </w:r>
      <w:r w:rsidRPr="00684BF3">
        <w:rPr>
          <w:sz w:val="16"/>
        </w:rPr>
        <w:t xml:space="preserve">. For starters, </w:t>
      </w:r>
      <w:r w:rsidRPr="00684BF3">
        <w:rPr>
          <w:rStyle w:val="StyleUnderline"/>
        </w:rPr>
        <w:t xml:space="preserve">the </w:t>
      </w:r>
      <w:r w:rsidRPr="00684BF3">
        <w:rPr>
          <w:rStyle w:val="Emphasis"/>
        </w:rPr>
        <w:t>global trading system</w:t>
      </w:r>
      <w:r w:rsidRPr="00684BF3">
        <w:rPr>
          <w:rStyle w:val="StyleUnderline"/>
        </w:rPr>
        <w:t xml:space="preserve"> is part of a </w:t>
      </w:r>
      <w:r w:rsidRPr="00684BF3">
        <w:rPr>
          <w:rStyle w:val="Emphasis"/>
        </w:rPr>
        <w:t>compact whereby the US gets to be the hegemon</w:t>
      </w:r>
      <w:r w:rsidRPr="00684BF3">
        <w:rPr>
          <w:rStyle w:val="StyleUnderline"/>
        </w:rPr>
        <w:t xml:space="preserve"> in a world where most countries, including China, have a stake in making the international order work</w:t>
      </w:r>
      <w:r w:rsidRPr="00684BF3">
        <w:rPr>
          <w:sz w:val="16"/>
        </w:rPr>
        <w:t>.</w:t>
      </w:r>
    </w:p>
    <w:p w14:paraId="30E04B5F" w14:textId="77777777" w:rsidR="00586EDF" w:rsidRPr="00456038" w:rsidRDefault="00586EDF" w:rsidP="00586EDF"/>
    <w:p w14:paraId="27B85248" w14:textId="77777777" w:rsidR="00586EDF" w:rsidRPr="00456038" w:rsidRDefault="00586EDF" w:rsidP="00586EDF">
      <w:pPr>
        <w:pStyle w:val="Heading3"/>
      </w:pPr>
      <w:r w:rsidRPr="00456038">
        <w:t>1AR – AT: No Spillover Internationally</w:t>
      </w:r>
    </w:p>
    <w:p w14:paraId="653954AB" w14:textId="77777777" w:rsidR="00586EDF" w:rsidRPr="00C80CAB" w:rsidRDefault="00586EDF" w:rsidP="00586EDF">
      <w:pPr>
        <w:pStyle w:val="Heading4"/>
        <w:rPr>
          <w:szCs w:val="26"/>
        </w:rPr>
      </w:pPr>
      <w:r>
        <w:rPr>
          <w:szCs w:val="26"/>
        </w:rPr>
        <w:t>Spills over globally.</w:t>
      </w:r>
    </w:p>
    <w:p w14:paraId="63720D05" w14:textId="77777777" w:rsidR="00586EDF" w:rsidRPr="00684BF3" w:rsidRDefault="00586EDF" w:rsidP="00586EDF">
      <w:r w:rsidRPr="00C80CAB">
        <w:rPr>
          <w:rStyle w:val="Heading4Char"/>
          <w:szCs w:val="26"/>
        </w:rPr>
        <w:t>Korowicz 20</w:t>
      </w:r>
      <w:r w:rsidRPr="00684BF3">
        <w:t xml:space="preserve"> – (David Korowicz is a physicist and human systems ecologist, degree in Physics from Trinity College Dublin, the University of London and the Tyndall National Institute, fellow of The Institute for Integrated Economic Research-Australia; “We Need to Talk About Catastrophic Global Risk”; Resilience; D.A. July 1</w:t>
      </w:r>
      <w:r w:rsidRPr="00684BF3">
        <w:rPr>
          <w:vertAlign w:val="superscript"/>
        </w:rPr>
        <w:t>st</w:t>
      </w:r>
      <w:r w:rsidRPr="00684BF3">
        <w:t xml:space="preserve"> 2020, [Published March 4</w:t>
      </w:r>
      <w:r w:rsidRPr="00684BF3">
        <w:rPr>
          <w:vertAlign w:val="superscript"/>
        </w:rPr>
        <w:t>th</w:t>
      </w:r>
      <w:r w:rsidRPr="00684BF3">
        <w:t xml:space="preserve"> 2020]; </w:t>
      </w:r>
      <w:hyperlink r:id="rId112" w:history="1">
        <w:r w:rsidRPr="00684BF3">
          <w:rPr>
            <w:rStyle w:val="Hyperlink"/>
          </w:rPr>
          <w:t>https://www.resilience.org/stories/2020-03-04/we-need-to-talk-about-catastrophic-global-risk/</w:t>
        </w:r>
      </w:hyperlink>
      <w:r w:rsidRPr="00684BF3">
        <w:t>) //LFS—JCM</w:t>
      </w:r>
    </w:p>
    <w:p w14:paraId="296A5E0C" w14:textId="77777777" w:rsidR="00586EDF" w:rsidRPr="00684BF3" w:rsidRDefault="00586EDF" w:rsidP="00586EDF">
      <w:pPr>
        <w:rPr>
          <w:sz w:val="16"/>
        </w:rPr>
      </w:pPr>
      <w:r w:rsidRPr="00684BF3">
        <w:rPr>
          <w:sz w:val="16"/>
        </w:rPr>
        <w:t xml:space="preserve">This </w:t>
      </w:r>
      <w:r w:rsidRPr="00684BF3">
        <w:rPr>
          <w:rStyle w:val="StyleUnderline"/>
        </w:rPr>
        <w:t xml:space="preserve">shock is propagating through a </w:t>
      </w:r>
      <w:r w:rsidRPr="00684BF3">
        <w:rPr>
          <w:rStyle w:val="Emphasis"/>
        </w:rPr>
        <w:t>global economy</w:t>
      </w:r>
      <w:r w:rsidRPr="00684BF3">
        <w:rPr>
          <w:sz w:val="16"/>
        </w:rPr>
        <w:t xml:space="preserve"> that </w:t>
      </w:r>
      <w:r w:rsidRPr="00684BF3">
        <w:rPr>
          <w:rStyle w:val="StyleUnderline"/>
        </w:rPr>
        <w:t xml:space="preserve">prior to the virus had </w:t>
      </w:r>
      <w:r w:rsidRPr="00684BF3">
        <w:rPr>
          <w:rStyle w:val="Emphasis"/>
        </w:rPr>
        <w:t>declining</w:t>
      </w:r>
      <w:r>
        <w:rPr>
          <w:rStyle w:val="Emphasis"/>
        </w:rPr>
        <w:t xml:space="preserve"> </w:t>
      </w:r>
      <w:hyperlink r:id="rId113" w:history="1">
        <w:r w:rsidRPr="00684BF3">
          <w:rPr>
            <w:rStyle w:val="Emphasis"/>
          </w:rPr>
          <w:t>resilience</w:t>
        </w:r>
      </w:hyperlink>
      <w:r>
        <w:rPr>
          <w:rStyle w:val="Emphasis"/>
        </w:rPr>
        <w:t xml:space="preserve"> </w:t>
      </w:r>
      <w:r w:rsidRPr="00684BF3">
        <w:rPr>
          <w:rStyle w:val="Emphasis"/>
        </w:rPr>
        <w:t>and adaptive</w:t>
      </w:r>
      <w:r w:rsidRPr="00684BF3">
        <w:rPr>
          <w:rStyle w:val="StyleUnderline"/>
        </w:rPr>
        <w:t xml:space="preserve"> capacity</w:t>
      </w:r>
      <w:r w:rsidRPr="00684BF3">
        <w:rPr>
          <w:sz w:val="16"/>
        </w:rPr>
        <w:t xml:space="preserve">. </w:t>
      </w:r>
      <w:r w:rsidRPr="00456038">
        <w:rPr>
          <w:rStyle w:val="Emphasis"/>
          <w:highlight w:val="cyan"/>
        </w:rPr>
        <w:t>Weakening economic growth</w:t>
      </w:r>
      <w:r w:rsidRPr="00684BF3">
        <w:rPr>
          <w:sz w:val="16"/>
        </w:rPr>
        <w:t xml:space="preserve">, ever-growing indebtedness, </w:t>
      </w:r>
      <w:r w:rsidRPr="00684BF3">
        <w:rPr>
          <w:rStyle w:val="StyleUnderline"/>
        </w:rPr>
        <w:t xml:space="preserve">increased </w:t>
      </w:r>
      <w:r w:rsidRPr="00684BF3">
        <w:rPr>
          <w:rStyle w:val="Emphasis"/>
        </w:rPr>
        <w:t>tensions</w:t>
      </w:r>
      <w:r w:rsidRPr="00684BF3">
        <w:rPr>
          <w:sz w:val="16"/>
        </w:rPr>
        <w:t xml:space="preserve"> within and </w:t>
      </w:r>
      <w:r w:rsidRPr="00684BF3">
        <w:rPr>
          <w:rStyle w:val="Emphasis"/>
        </w:rPr>
        <w:t>between countries</w:t>
      </w:r>
      <w:r w:rsidRPr="00684BF3">
        <w:rPr>
          <w:rStyle w:val="StyleUnderline"/>
        </w:rPr>
        <w:t>, and the</w:t>
      </w:r>
      <w:r w:rsidRPr="00684BF3">
        <w:rPr>
          <w:sz w:val="16"/>
        </w:rPr>
        <w:t xml:space="preserve"> growing </w:t>
      </w:r>
      <w:r w:rsidRPr="00684BF3">
        <w:rPr>
          <w:rStyle w:val="StyleUnderline"/>
        </w:rPr>
        <w:t>potential for shocks from climate</w:t>
      </w:r>
      <w:r w:rsidRPr="00684BF3">
        <w:rPr>
          <w:sz w:val="16"/>
        </w:rPr>
        <w:t xml:space="preserve"> and environmental change, and resource constraints and disruptions, </w:t>
      </w:r>
      <w:r w:rsidRPr="00456038">
        <w:rPr>
          <w:rStyle w:val="StyleUnderline"/>
          <w:highlight w:val="cyan"/>
        </w:rPr>
        <w:t xml:space="preserve">mean we </w:t>
      </w:r>
      <w:r w:rsidRPr="00684BF3">
        <w:rPr>
          <w:rStyle w:val="StyleUnderline"/>
        </w:rPr>
        <w:t>were</w:t>
      </w:r>
      <w:r w:rsidRPr="00684BF3">
        <w:rPr>
          <w:sz w:val="16"/>
        </w:rPr>
        <w:t xml:space="preserve"> already </w:t>
      </w:r>
      <w:r w:rsidRPr="00456038">
        <w:rPr>
          <w:rStyle w:val="StyleUnderline"/>
          <w:highlight w:val="cyan"/>
        </w:rPr>
        <w:t>in</w:t>
      </w:r>
      <w:r w:rsidRPr="00684BF3">
        <w:rPr>
          <w:sz w:val="16"/>
        </w:rPr>
        <w:t xml:space="preserve"> uncertain and </w:t>
      </w:r>
      <w:r w:rsidRPr="00456038">
        <w:rPr>
          <w:rStyle w:val="Emphasis"/>
          <w:highlight w:val="cyan"/>
        </w:rPr>
        <w:t>dangerous territory</w:t>
      </w:r>
      <w:r w:rsidRPr="00684BF3">
        <w:rPr>
          <w:sz w:val="16"/>
        </w:rPr>
        <w:t xml:space="preserve">. The </w:t>
      </w:r>
      <w:r w:rsidRPr="00684BF3">
        <w:rPr>
          <w:rStyle w:val="StyleUnderline"/>
        </w:rPr>
        <w:t>warning</w:t>
      </w:r>
      <w:r w:rsidRPr="00684BF3">
        <w:rPr>
          <w:sz w:val="16"/>
        </w:rPr>
        <w:t xml:space="preserve"> in January 2020 </w:t>
      </w:r>
      <w:r w:rsidRPr="00684BF3">
        <w:rPr>
          <w:rStyle w:val="StyleUnderline"/>
        </w:rPr>
        <w:t>by</w:t>
      </w:r>
      <w:r w:rsidRPr="00684BF3">
        <w:rPr>
          <w:sz w:val="16"/>
        </w:rPr>
        <w:t xml:space="preserve"> Kristalina </w:t>
      </w:r>
      <w:r w:rsidRPr="00684BF3">
        <w:rPr>
          <w:rStyle w:val="StyleUnderline"/>
        </w:rPr>
        <w:t>Georgieva</w:t>
      </w:r>
      <w:r w:rsidRPr="00684BF3">
        <w:rPr>
          <w:sz w:val="16"/>
        </w:rPr>
        <w:t xml:space="preserve">, the head of the International Monetary Fund, </w:t>
      </w:r>
      <w:r w:rsidRPr="00684BF3">
        <w:rPr>
          <w:rStyle w:val="StyleUnderline"/>
        </w:rPr>
        <w:t xml:space="preserve">that </w:t>
      </w:r>
      <w:r w:rsidRPr="00456038">
        <w:rPr>
          <w:rStyle w:val="StyleUnderline"/>
          <w:highlight w:val="cyan"/>
        </w:rPr>
        <w:t>the</w:t>
      </w:r>
      <w:r w:rsidRPr="00684BF3">
        <w:rPr>
          <w:sz w:val="16"/>
        </w:rPr>
        <w:t xml:space="preserve"> global </w:t>
      </w:r>
      <w:r w:rsidRPr="00456038">
        <w:rPr>
          <w:rStyle w:val="Emphasis"/>
          <w:highlight w:val="cyan"/>
        </w:rPr>
        <w:t>economy risks</w:t>
      </w:r>
      <w:r w:rsidRPr="00684BF3">
        <w:rPr>
          <w:rStyle w:val="StyleUnderline"/>
        </w:rPr>
        <w:t xml:space="preserve"> the </w:t>
      </w:r>
      <w:r w:rsidRPr="00456038">
        <w:rPr>
          <w:rStyle w:val="Emphasis"/>
          <w:highlight w:val="cyan"/>
        </w:rPr>
        <w:t>return</w:t>
      </w:r>
      <w:r w:rsidRPr="00456038">
        <w:rPr>
          <w:rStyle w:val="StyleUnderline"/>
          <w:highlight w:val="cyan"/>
        </w:rPr>
        <w:t xml:space="preserve"> of</w:t>
      </w:r>
      <w:r w:rsidRPr="00684BF3">
        <w:rPr>
          <w:rStyle w:val="StyleUnderline"/>
        </w:rPr>
        <w:t xml:space="preserve"> the </w:t>
      </w:r>
      <w:r w:rsidRPr="00456038">
        <w:rPr>
          <w:rStyle w:val="Emphasis"/>
          <w:highlight w:val="cyan"/>
        </w:rPr>
        <w:t>Great Depression</w:t>
      </w:r>
      <w:r w:rsidRPr="00684BF3">
        <w:rPr>
          <w:sz w:val="16"/>
        </w:rPr>
        <w:t xml:space="preserve">, </w:t>
      </w:r>
      <w:r w:rsidRPr="00684BF3">
        <w:rPr>
          <w:rStyle w:val="StyleUnderline"/>
        </w:rPr>
        <w:t>surprised few</w:t>
      </w:r>
      <w:hyperlink r:id="rId114" w:anchor="_edn3" w:history="1">
        <w:r w:rsidRPr="00684BF3">
          <w:rPr>
            <w:rStyle w:val="Hyperlink"/>
            <w:sz w:val="16"/>
          </w:rPr>
          <w:t>[iii]</w:t>
        </w:r>
      </w:hyperlink>
      <w:r w:rsidRPr="00684BF3">
        <w:rPr>
          <w:sz w:val="16"/>
        </w:rPr>
        <w:t xml:space="preserve">. It’s no longer the preserve of peripheral Cassandras to warn of </w:t>
      </w:r>
      <w:r w:rsidRPr="00684BF3">
        <w:rPr>
          <w:rStyle w:val="StyleUnderline"/>
        </w:rPr>
        <w:t>escalating systemic risk</w:t>
      </w:r>
      <w:r w:rsidRPr="00684BF3">
        <w:rPr>
          <w:sz w:val="16"/>
        </w:rPr>
        <w:t>.</w:t>
      </w:r>
    </w:p>
    <w:p w14:paraId="70A6B50B" w14:textId="77777777" w:rsidR="00586EDF" w:rsidRPr="00684BF3" w:rsidRDefault="00586EDF" w:rsidP="00586EDF">
      <w:pPr>
        <w:rPr>
          <w:sz w:val="16"/>
        </w:rPr>
      </w:pPr>
      <w:r w:rsidRPr="00684BF3">
        <w:rPr>
          <w:rStyle w:val="StyleUnderline"/>
        </w:rPr>
        <w:t>The</w:t>
      </w:r>
      <w:r w:rsidRPr="00684BF3">
        <w:rPr>
          <w:sz w:val="16"/>
        </w:rPr>
        <w:t xml:space="preserve"> extent of the </w:t>
      </w:r>
      <w:r w:rsidRPr="00684BF3">
        <w:rPr>
          <w:rStyle w:val="Emphasis"/>
        </w:rPr>
        <w:t>damage</w:t>
      </w:r>
      <w:r w:rsidRPr="00684BF3">
        <w:rPr>
          <w:rStyle w:val="StyleUnderline"/>
        </w:rPr>
        <w:t xml:space="preserve"> this will do </w:t>
      </w:r>
      <w:r w:rsidRPr="00684BF3">
        <w:rPr>
          <w:rStyle w:val="Emphasis"/>
        </w:rPr>
        <w:t>to</w:t>
      </w:r>
      <w:r w:rsidRPr="00684BF3">
        <w:rPr>
          <w:rStyle w:val="StyleUnderline"/>
        </w:rPr>
        <w:t xml:space="preserve"> the </w:t>
      </w:r>
      <w:r w:rsidRPr="00684BF3">
        <w:rPr>
          <w:rStyle w:val="Emphasis"/>
        </w:rPr>
        <w:t>economy</w:t>
      </w:r>
      <w:r w:rsidRPr="00684BF3">
        <w:rPr>
          <w:sz w:val="16"/>
        </w:rPr>
        <w:t xml:space="preserve"> and society </w:t>
      </w:r>
      <w:r w:rsidRPr="00684BF3">
        <w:rPr>
          <w:rStyle w:val="StyleUnderline"/>
        </w:rPr>
        <w:t>is unclear</w:t>
      </w:r>
      <w:r w:rsidRPr="00684BF3">
        <w:rPr>
          <w:sz w:val="16"/>
        </w:rPr>
        <w:t xml:space="preserve">. </w:t>
      </w:r>
      <w:r w:rsidRPr="00684BF3">
        <w:rPr>
          <w:rStyle w:val="StyleUnderline"/>
        </w:rPr>
        <w:t>Beyond</w:t>
      </w:r>
      <w:r w:rsidRPr="00684BF3">
        <w:rPr>
          <w:sz w:val="16"/>
        </w:rPr>
        <w:t xml:space="preserve"> the impact on </w:t>
      </w:r>
      <w:r w:rsidRPr="00684BF3">
        <w:rPr>
          <w:rStyle w:val="StyleUnderline"/>
        </w:rPr>
        <w:t>health and healthcare</w:t>
      </w:r>
      <w:r w:rsidRPr="00684BF3">
        <w:rPr>
          <w:sz w:val="16"/>
        </w:rPr>
        <w:t xml:space="preserve"> systems, </w:t>
      </w:r>
      <w:r w:rsidRPr="00684BF3">
        <w:rPr>
          <w:rStyle w:val="StyleUnderline"/>
        </w:rPr>
        <w:t xml:space="preserve">it </w:t>
      </w:r>
      <w:r w:rsidRPr="00684BF3">
        <w:rPr>
          <w:rStyle w:val="Emphasis"/>
        </w:rPr>
        <w:t>exposes</w:t>
      </w:r>
      <w:r w:rsidRPr="00684BF3">
        <w:rPr>
          <w:rStyle w:val="StyleUnderline"/>
        </w:rPr>
        <w:t xml:space="preserve"> the </w:t>
      </w:r>
      <w:r w:rsidRPr="00684BF3">
        <w:rPr>
          <w:rStyle w:val="Emphasis"/>
        </w:rPr>
        <w:t>web of synchronized</w:t>
      </w:r>
      <w:r w:rsidRPr="00684BF3">
        <w:rPr>
          <w:sz w:val="16"/>
        </w:rPr>
        <w:t xml:space="preserve"> social and </w:t>
      </w:r>
      <w:r w:rsidRPr="00684BF3">
        <w:rPr>
          <w:rStyle w:val="StyleUnderline"/>
        </w:rPr>
        <w:t xml:space="preserve">economic </w:t>
      </w:r>
      <w:r w:rsidRPr="00684BF3">
        <w:rPr>
          <w:rStyle w:val="Emphasis"/>
        </w:rPr>
        <w:t>conditions that constitute</w:t>
      </w:r>
      <w:r w:rsidRPr="00684BF3">
        <w:rPr>
          <w:sz w:val="16"/>
        </w:rPr>
        <w:t xml:space="preserve"> the operational conditions of </w:t>
      </w:r>
      <w:r w:rsidRPr="00684BF3">
        <w:rPr>
          <w:rStyle w:val="StyleUnderline"/>
        </w:rPr>
        <w:t xml:space="preserve">our day-to-day </w:t>
      </w:r>
      <w:r w:rsidRPr="00684BF3">
        <w:rPr>
          <w:rStyle w:val="Emphasis"/>
        </w:rPr>
        <w:t>lives</w:t>
      </w:r>
      <w:r w:rsidRPr="00684BF3">
        <w:rPr>
          <w:sz w:val="16"/>
        </w:rPr>
        <w:t xml:space="preserve">. That </w:t>
      </w:r>
      <w:r w:rsidRPr="00456038">
        <w:rPr>
          <w:rStyle w:val="Emphasis"/>
          <w:highlight w:val="cyan"/>
        </w:rPr>
        <w:t>we take</w:t>
      </w:r>
      <w:r w:rsidRPr="00684BF3">
        <w:rPr>
          <w:rStyle w:val="StyleUnderline"/>
        </w:rPr>
        <w:t xml:space="preserve"> them </w:t>
      </w:r>
      <w:r w:rsidRPr="00456038">
        <w:rPr>
          <w:rStyle w:val="Emphasis"/>
          <w:highlight w:val="cyan"/>
        </w:rPr>
        <w:t>for granted</w:t>
      </w:r>
      <w:r w:rsidRPr="00456038">
        <w:rPr>
          <w:sz w:val="16"/>
          <w:highlight w:val="cyan"/>
        </w:rPr>
        <w:t xml:space="preserve"> </w:t>
      </w:r>
      <w:r w:rsidRPr="00684BF3">
        <w:rPr>
          <w:sz w:val="16"/>
        </w:rPr>
        <w:t xml:space="preserve">is a measure </w:t>
      </w:r>
      <w:r w:rsidRPr="00684BF3">
        <w:rPr>
          <w:rStyle w:val="StyleUnderline"/>
        </w:rPr>
        <w:t>of</w:t>
      </w:r>
      <w:r w:rsidRPr="00684BF3">
        <w:rPr>
          <w:sz w:val="16"/>
        </w:rPr>
        <w:t xml:space="preserve"> our habituation to </w:t>
      </w:r>
      <w:r w:rsidRPr="00456038">
        <w:rPr>
          <w:rStyle w:val="Emphasis"/>
          <w:highlight w:val="cyan"/>
        </w:rPr>
        <w:t>systemic stability</w:t>
      </w:r>
      <w:r w:rsidRPr="00684BF3">
        <w:rPr>
          <w:sz w:val="16"/>
        </w:rPr>
        <w:t xml:space="preserve">. </w:t>
      </w:r>
      <w:r w:rsidRPr="00684BF3">
        <w:rPr>
          <w:rStyle w:val="StyleUnderline"/>
        </w:rPr>
        <w:t>The more that this is disrupted by the</w:t>
      </w:r>
      <w:r w:rsidRPr="00684BF3">
        <w:rPr>
          <w:sz w:val="16"/>
        </w:rPr>
        <w:t xml:space="preserve"> direct and indirect impacts of the </w:t>
      </w:r>
      <w:r w:rsidRPr="00684BF3">
        <w:rPr>
          <w:rStyle w:val="Emphasis"/>
        </w:rPr>
        <w:t>pandemic</w:t>
      </w:r>
      <w:r w:rsidRPr="00684BF3">
        <w:rPr>
          <w:sz w:val="16"/>
        </w:rPr>
        <w:t xml:space="preserve">, </w:t>
      </w:r>
      <w:r w:rsidRPr="00684BF3">
        <w:rPr>
          <w:rStyle w:val="StyleUnderline"/>
        </w:rPr>
        <w:t>the greater</w:t>
      </w:r>
      <w:r w:rsidRPr="00684BF3">
        <w:rPr>
          <w:sz w:val="16"/>
        </w:rPr>
        <w:t xml:space="preserve"> the </w:t>
      </w:r>
      <w:r w:rsidRPr="00684BF3">
        <w:rPr>
          <w:rStyle w:val="StyleUnderline"/>
        </w:rPr>
        <w:t xml:space="preserve">potential for </w:t>
      </w:r>
      <w:r w:rsidRPr="00684BF3">
        <w:rPr>
          <w:rStyle w:val="Emphasis"/>
        </w:rPr>
        <w:t>further disruption</w:t>
      </w:r>
      <w:r w:rsidRPr="00684BF3">
        <w:rPr>
          <w:sz w:val="16"/>
        </w:rPr>
        <w:t xml:space="preserve">. This is true at scales from the local to global. </w:t>
      </w:r>
      <w:r w:rsidRPr="00684BF3">
        <w:rPr>
          <w:rStyle w:val="StyleUnderline"/>
        </w:rPr>
        <w:t>The</w:t>
      </w:r>
      <w:r w:rsidRPr="00684BF3">
        <w:rPr>
          <w:sz w:val="16"/>
        </w:rPr>
        <w:t xml:space="preserve"> inherent </w:t>
      </w:r>
      <w:r w:rsidRPr="00684BF3">
        <w:rPr>
          <w:rStyle w:val="StyleUnderline"/>
        </w:rPr>
        <w:t xml:space="preserve">uncertainty reflects our ignorance of the </w:t>
      </w:r>
      <w:r w:rsidRPr="00684BF3">
        <w:rPr>
          <w:rStyle w:val="Emphasis"/>
        </w:rPr>
        <w:t>complexity of</w:t>
      </w:r>
      <w:r w:rsidRPr="00684BF3">
        <w:rPr>
          <w:rStyle w:val="StyleUnderline"/>
        </w:rPr>
        <w:t xml:space="preserve"> our </w:t>
      </w:r>
      <w:r w:rsidRPr="00684BF3">
        <w:rPr>
          <w:rStyle w:val="Emphasis"/>
        </w:rPr>
        <w:t>dependencies</w:t>
      </w:r>
      <w:r w:rsidRPr="00684BF3">
        <w:rPr>
          <w:sz w:val="16"/>
        </w:rPr>
        <w:t>, and our behavioural and cultural adaptation to those conditions.</w:t>
      </w:r>
    </w:p>
    <w:p w14:paraId="467C5A29" w14:textId="77777777" w:rsidR="00586EDF" w:rsidRPr="00684BF3" w:rsidRDefault="00586EDF" w:rsidP="00586EDF">
      <w:pPr>
        <w:rPr>
          <w:sz w:val="16"/>
        </w:rPr>
      </w:pPr>
      <w:r w:rsidRPr="00456038">
        <w:rPr>
          <w:rStyle w:val="Emphasis"/>
          <w:highlight w:val="cyan"/>
        </w:rPr>
        <w:t>Slower</w:t>
      </w:r>
      <w:r w:rsidRPr="00684BF3">
        <w:rPr>
          <w:rStyle w:val="StyleUnderline"/>
        </w:rPr>
        <w:t xml:space="preserve"> global </w:t>
      </w:r>
      <w:r w:rsidRPr="00456038">
        <w:rPr>
          <w:rStyle w:val="Emphasis"/>
          <w:highlight w:val="cyan"/>
        </w:rPr>
        <w:t>growth</w:t>
      </w:r>
      <w:r w:rsidRPr="00684BF3">
        <w:rPr>
          <w:rStyle w:val="StyleUnderline"/>
        </w:rPr>
        <w:t xml:space="preserve"> and an </w:t>
      </w:r>
      <w:r w:rsidRPr="00456038">
        <w:rPr>
          <w:rStyle w:val="StyleUnderline"/>
          <w:highlight w:val="cyan"/>
        </w:rPr>
        <w:t>increase</w:t>
      </w:r>
      <w:r w:rsidRPr="00684BF3">
        <w:rPr>
          <w:rStyle w:val="StyleUnderline"/>
        </w:rPr>
        <w:t xml:space="preserve"> in </w:t>
      </w:r>
      <w:r w:rsidRPr="00456038">
        <w:rPr>
          <w:rStyle w:val="StyleUnderline"/>
          <w:highlight w:val="cyan"/>
        </w:rPr>
        <w:t xml:space="preserve">the likelihood of a </w:t>
      </w:r>
      <w:r w:rsidRPr="00456038">
        <w:rPr>
          <w:rStyle w:val="Emphasis"/>
          <w:highlight w:val="cyan"/>
        </w:rPr>
        <w:t>financial crisis</w:t>
      </w:r>
      <w:r w:rsidRPr="00684BF3">
        <w:rPr>
          <w:sz w:val="16"/>
        </w:rPr>
        <w:t xml:space="preserve"> </w:t>
      </w:r>
      <w:r w:rsidRPr="00684BF3">
        <w:rPr>
          <w:rStyle w:val="StyleUnderline"/>
        </w:rPr>
        <w:t>can be expected</w:t>
      </w:r>
      <w:r w:rsidRPr="00684BF3">
        <w:rPr>
          <w:sz w:val="16"/>
        </w:rPr>
        <w:t xml:space="preserve">. </w:t>
      </w:r>
      <w:r w:rsidRPr="00684BF3">
        <w:rPr>
          <w:rStyle w:val="StyleUnderline"/>
        </w:rPr>
        <w:t>If</w:t>
      </w:r>
      <w:r w:rsidRPr="00684BF3">
        <w:rPr>
          <w:sz w:val="16"/>
        </w:rPr>
        <w:t xml:space="preserve"> process </w:t>
      </w:r>
      <w:r w:rsidRPr="00684BF3">
        <w:rPr>
          <w:rStyle w:val="StyleUnderline"/>
        </w:rPr>
        <w:t>contagion begins to accelerate</w:t>
      </w:r>
      <w:r w:rsidRPr="00684BF3">
        <w:rPr>
          <w:sz w:val="16"/>
        </w:rPr>
        <w:t xml:space="preserve"> significantly, </w:t>
      </w:r>
      <w:r w:rsidRPr="00684BF3">
        <w:rPr>
          <w:rStyle w:val="StyleUnderline"/>
        </w:rPr>
        <w:t>there are limits on how</w:t>
      </w:r>
      <w:r w:rsidRPr="00684BF3">
        <w:rPr>
          <w:sz w:val="16"/>
        </w:rPr>
        <w:t xml:space="preserve"> much </w:t>
      </w:r>
      <w:r w:rsidRPr="00684BF3">
        <w:rPr>
          <w:rStyle w:val="StyleUnderline"/>
        </w:rPr>
        <w:t>governments and</w:t>
      </w:r>
      <w:r w:rsidRPr="00684BF3">
        <w:rPr>
          <w:sz w:val="16"/>
        </w:rPr>
        <w:t xml:space="preserve"> central </w:t>
      </w:r>
      <w:r w:rsidRPr="00684BF3">
        <w:rPr>
          <w:rStyle w:val="StyleUnderline"/>
        </w:rPr>
        <w:t>banks can</w:t>
      </w:r>
      <w:r w:rsidRPr="00684BF3">
        <w:rPr>
          <w:sz w:val="16"/>
        </w:rPr>
        <w:t xml:space="preserve"> do to </w:t>
      </w:r>
      <w:r w:rsidRPr="00684BF3">
        <w:rPr>
          <w:rStyle w:val="StyleUnderline"/>
        </w:rPr>
        <w:t>respond</w:t>
      </w:r>
      <w:r w:rsidRPr="00684BF3">
        <w:rPr>
          <w:sz w:val="16"/>
        </w:rPr>
        <w:t xml:space="preserve">. Injecting </w:t>
      </w:r>
      <w:r w:rsidRPr="00684BF3">
        <w:rPr>
          <w:rStyle w:val="Emphasis"/>
        </w:rPr>
        <w:t>stimulus</w:t>
      </w:r>
      <w:r w:rsidRPr="00684BF3">
        <w:rPr>
          <w:rStyle w:val="StyleUnderline"/>
        </w:rPr>
        <w:t xml:space="preserve"> can address a </w:t>
      </w:r>
      <w:r w:rsidRPr="00684BF3">
        <w:rPr>
          <w:sz w:val="16"/>
        </w:rPr>
        <w:t xml:space="preserve">demand </w:t>
      </w:r>
      <w:r w:rsidRPr="00684BF3">
        <w:rPr>
          <w:rStyle w:val="StyleUnderline"/>
        </w:rPr>
        <w:t>shock</w:t>
      </w:r>
      <w:r w:rsidRPr="00684BF3">
        <w:rPr>
          <w:sz w:val="16"/>
        </w:rPr>
        <w:t xml:space="preserve">, </w:t>
      </w:r>
      <w:r w:rsidRPr="00684BF3">
        <w:rPr>
          <w:rStyle w:val="StyleUnderline"/>
        </w:rPr>
        <w:t xml:space="preserve">but it would </w:t>
      </w:r>
      <w:r w:rsidRPr="00684BF3">
        <w:rPr>
          <w:rStyle w:val="Emphasis"/>
        </w:rPr>
        <w:t>have limited</w:t>
      </w:r>
      <w:r w:rsidRPr="00684BF3">
        <w:rPr>
          <w:sz w:val="16"/>
        </w:rPr>
        <w:t xml:space="preserve"> supply-side </w:t>
      </w:r>
      <w:r w:rsidRPr="00684BF3">
        <w:rPr>
          <w:rStyle w:val="Emphasis"/>
        </w:rPr>
        <w:t>effectiveness</w:t>
      </w:r>
      <w:r w:rsidRPr="00684BF3">
        <w:rPr>
          <w:sz w:val="16"/>
        </w:rPr>
        <w:t xml:space="preserve">. Assuming a deeper shock (equivalent to the 2% GDP contraction during the Global Financial Crisis) followed by stabilization, society and </w:t>
      </w:r>
      <w:r w:rsidRPr="00684BF3">
        <w:rPr>
          <w:rStyle w:val="Emphasis"/>
        </w:rPr>
        <w:t>economies</w:t>
      </w:r>
      <w:r w:rsidRPr="00684BF3">
        <w:rPr>
          <w:rStyle w:val="StyleUnderline"/>
        </w:rPr>
        <w:t xml:space="preserve"> will be left less resilient</w:t>
      </w:r>
      <w:r w:rsidRPr="00684BF3">
        <w:rPr>
          <w:sz w:val="16"/>
        </w:rPr>
        <w:t xml:space="preserve"> </w:t>
      </w:r>
      <w:r w:rsidRPr="00684BF3">
        <w:rPr>
          <w:rStyle w:val="StyleUnderline"/>
        </w:rPr>
        <w:t xml:space="preserve">as it </w:t>
      </w:r>
      <w:r w:rsidRPr="00684BF3">
        <w:rPr>
          <w:rStyle w:val="Emphasis"/>
        </w:rPr>
        <w:t>face</w:t>
      </w:r>
      <w:r w:rsidRPr="00684BF3">
        <w:rPr>
          <w:rStyle w:val="StyleUnderline"/>
        </w:rPr>
        <w:t>s</w:t>
      </w:r>
      <w:r w:rsidRPr="00684BF3">
        <w:rPr>
          <w:sz w:val="16"/>
        </w:rPr>
        <w:t xml:space="preserve"> the increasingly </w:t>
      </w:r>
      <w:r w:rsidRPr="00684BF3">
        <w:rPr>
          <w:rStyle w:val="Emphasis"/>
        </w:rPr>
        <w:t>turbulent years</w:t>
      </w:r>
      <w:r w:rsidRPr="00684BF3">
        <w:rPr>
          <w:rStyle w:val="StyleUnderline"/>
        </w:rPr>
        <w:t xml:space="preserve"> ahead</w:t>
      </w:r>
      <w:r w:rsidRPr="00684BF3">
        <w:rPr>
          <w:sz w:val="16"/>
        </w:rPr>
        <w:t>.</w:t>
      </w:r>
    </w:p>
    <w:p w14:paraId="2B9BB7C7" w14:textId="77777777" w:rsidR="00586EDF" w:rsidRPr="00684BF3" w:rsidRDefault="00586EDF" w:rsidP="00586EDF">
      <w:pPr>
        <w:rPr>
          <w:sz w:val="16"/>
        </w:rPr>
      </w:pPr>
      <w:r w:rsidRPr="00684BF3">
        <w:rPr>
          <w:rStyle w:val="StyleUnderline"/>
        </w:rPr>
        <w:t>At the</w:t>
      </w:r>
      <w:r w:rsidRPr="00684BF3">
        <w:rPr>
          <w:sz w:val="16"/>
        </w:rPr>
        <w:t xml:space="preserve"> furthest </w:t>
      </w:r>
      <w:r w:rsidRPr="00684BF3">
        <w:rPr>
          <w:rStyle w:val="StyleUnderline"/>
        </w:rPr>
        <w:t xml:space="preserve">extreme there is </w:t>
      </w:r>
      <w:r w:rsidRPr="00456038">
        <w:rPr>
          <w:rStyle w:val="Emphasis"/>
          <w:highlight w:val="cyan"/>
        </w:rPr>
        <w:t>runaway</w:t>
      </w:r>
      <w:r w:rsidRPr="00684BF3">
        <w:rPr>
          <w:sz w:val="16"/>
        </w:rPr>
        <w:t xml:space="preserve"> process </w:t>
      </w:r>
      <w:r w:rsidRPr="00456038">
        <w:rPr>
          <w:rStyle w:val="Emphasis"/>
          <w:highlight w:val="cyan"/>
        </w:rPr>
        <w:t>contagion</w:t>
      </w:r>
      <w:r w:rsidRPr="00684BF3">
        <w:rPr>
          <w:sz w:val="16"/>
        </w:rPr>
        <w:t xml:space="preserve">. </w:t>
      </w:r>
      <w:r w:rsidRPr="00684BF3">
        <w:rPr>
          <w:rStyle w:val="StyleUnderline"/>
        </w:rPr>
        <w:t>In</w:t>
      </w:r>
      <w:r w:rsidRPr="00684BF3">
        <w:rPr>
          <w:sz w:val="16"/>
        </w:rPr>
        <w:t xml:space="preserve"> such </w:t>
      </w:r>
      <w:r w:rsidRPr="00684BF3">
        <w:rPr>
          <w:rStyle w:val="StyleUnderline"/>
        </w:rPr>
        <w:t>a</w:t>
      </w:r>
      <w:r w:rsidRPr="00684BF3">
        <w:rPr>
          <w:sz w:val="16"/>
        </w:rPr>
        <w:t xml:space="preserve"> case </w:t>
      </w:r>
      <w:r w:rsidRPr="00684BF3">
        <w:rPr>
          <w:rStyle w:val="StyleUnderline"/>
        </w:rPr>
        <w:t>supply-chain contagion</w:t>
      </w:r>
      <w:r w:rsidRPr="00684BF3">
        <w:rPr>
          <w:sz w:val="16"/>
        </w:rPr>
        <w:t xml:space="preserve"> (broadly defined, </w:t>
      </w:r>
      <w:r w:rsidRPr="00684BF3">
        <w:rPr>
          <w:rStyle w:val="StyleUnderline"/>
        </w:rPr>
        <w:t xml:space="preserve">including </w:t>
      </w:r>
      <w:r w:rsidRPr="00684BF3">
        <w:rPr>
          <w:rStyle w:val="Emphasis"/>
        </w:rPr>
        <w:t>impacting critical infrastructure</w:t>
      </w:r>
      <w:r w:rsidRPr="00684BF3">
        <w:rPr>
          <w:sz w:val="16"/>
        </w:rPr>
        <w:t xml:space="preserve"> services, for example) </w:t>
      </w:r>
      <w:r w:rsidRPr="00684BF3">
        <w:rPr>
          <w:rStyle w:val="StyleUnderline"/>
        </w:rPr>
        <w:t>would</w:t>
      </w:r>
      <w:r w:rsidRPr="00684BF3">
        <w:rPr>
          <w:sz w:val="16"/>
        </w:rPr>
        <w:t xml:space="preserve"> begin to severely </w:t>
      </w:r>
      <w:r w:rsidRPr="00684BF3">
        <w:rPr>
          <w:rStyle w:val="Emphasis"/>
        </w:rPr>
        <w:t>undermine</w:t>
      </w:r>
      <w:r w:rsidRPr="00684BF3">
        <w:rPr>
          <w:rStyle w:val="StyleUnderline"/>
        </w:rPr>
        <w:t xml:space="preserve"> global</w:t>
      </w:r>
      <w:r w:rsidRPr="00684BF3">
        <w:rPr>
          <w:sz w:val="16"/>
        </w:rPr>
        <w:t xml:space="preserve"> socio-</w:t>
      </w:r>
      <w:r w:rsidRPr="00684BF3">
        <w:rPr>
          <w:rStyle w:val="Emphasis"/>
        </w:rPr>
        <w:t>economic integration</w:t>
      </w:r>
      <w:r w:rsidRPr="00684BF3">
        <w:rPr>
          <w:sz w:val="16"/>
        </w:rPr>
        <w:t xml:space="preserve"> and coherence. </w:t>
      </w:r>
      <w:r>
        <w:rPr>
          <w:sz w:val="16"/>
        </w:rPr>
        <w:t xml:space="preserve"> </w:t>
      </w:r>
      <w:r w:rsidRPr="00684BF3">
        <w:rPr>
          <w:sz w:val="16"/>
        </w:rPr>
        <w:t xml:space="preserve">As it disintegrated and </w:t>
      </w:r>
      <w:r w:rsidRPr="00684BF3">
        <w:rPr>
          <w:rStyle w:val="StyleUnderline"/>
        </w:rPr>
        <w:t>the forward-looking outlook became</w:t>
      </w:r>
      <w:r w:rsidRPr="00684BF3">
        <w:rPr>
          <w:sz w:val="16"/>
        </w:rPr>
        <w:t xml:space="preserve"> more </w:t>
      </w:r>
      <w:r w:rsidRPr="00684BF3">
        <w:rPr>
          <w:rStyle w:val="StyleUnderline"/>
        </w:rPr>
        <w:t>uncertain</w:t>
      </w:r>
      <w:r w:rsidRPr="00684BF3">
        <w:rPr>
          <w:sz w:val="16"/>
        </w:rPr>
        <w:t xml:space="preserve">, </w:t>
      </w:r>
      <w:r w:rsidRPr="00684BF3">
        <w:rPr>
          <w:rStyle w:val="StyleUnderline"/>
        </w:rPr>
        <w:t>the</w:t>
      </w:r>
      <w:r w:rsidRPr="00684BF3">
        <w:rPr>
          <w:sz w:val="16"/>
        </w:rPr>
        <w:t xml:space="preserve"> failing </w:t>
      </w:r>
      <w:r w:rsidRPr="00684BF3">
        <w:rPr>
          <w:rStyle w:val="StyleUnderline"/>
        </w:rPr>
        <w:t>financial system</w:t>
      </w:r>
      <w:r w:rsidRPr="00684BF3">
        <w:rPr>
          <w:sz w:val="16"/>
        </w:rPr>
        <w:t xml:space="preserve"> (</w:t>
      </w:r>
      <w:r w:rsidRPr="00684BF3">
        <w:rPr>
          <w:rStyle w:val="StyleUnderline"/>
        </w:rPr>
        <w:t>credit</w:t>
      </w:r>
      <w:r w:rsidRPr="00684BF3">
        <w:rPr>
          <w:sz w:val="16"/>
        </w:rPr>
        <w:t xml:space="preserve">, </w:t>
      </w:r>
      <w:r w:rsidRPr="00684BF3">
        <w:rPr>
          <w:rStyle w:val="StyleUnderline"/>
        </w:rPr>
        <w:t>bank</w:t>
      </w:r>
      <w:r w:rsidRPr="00684BF3">
        <w:rPr>
          <w:sz w:val="16"/>
        </w:rPr>
        <w:t xml:space="preserve"> solvency, </w:t>
      </w:r>
      <w:r w:rsidRPr="00684BF3">
        <w:rPr>
          <w:rStyle w:val="StyleUnderline"/>
        </w:rPr>
        <w:t>monetary stability and</w:t>
      </w:r>
      <w:r w:rsidRPr="00684BF3">
        <w:rPr>
          <w:sz w:val="16"/>
        </w:rPr>
        <w:t xml:space="preserve"> visibility, </w:t>
      </w:r>
      <w:r w:rsidRPr="00684BF3">
        <w:rPr>
          <w:rStyle w:val="StyleUnderline"/>
        </w:rPr>
        <w:t>counter-party risk</w:t>
      </w:r>
      <w:r w:rsidRPr="00684BF3">
        <w:rPr>
          <w:sz w:val="16"/>
        </w:rPr>
        <w:t xml:space="preserve">) </w:t>
      </w:r>
      <w:r w:rsidRPr="00684BF3">
        <w:rPr>
          <w:rStyle w:val="StyleUnderline"/>
        </w:rPr>
        <w:t xml:space="preserve">would </w:t>
      </w:r>
      <w:r w:rsidRPr="00456038">
        <w:rPr>
          <w:rStyle w:val="Emphasis"/>
          <w:highlight w:val="cyan"/>
        </w:rPr>
        <w:t>disrupt</w:t>
      </w:r>
      <w:r w:rsidRPr="00684BF3">
        <w:rPr>
          <w:sz w:val="16"/>
        </w:rPr>
        <w:t xml:space="preserve"> further </w:t>
      </w:r>
      <w:r w:rsidRPr="00456038">
        <w:rPr>
          <w:rStyle w:val="Emphasis"/>
          <w:highlight w:val="cyan"/>
        </w:rPr>
        <w:t>supply-chains</w:t>
      </w:r>
      <w:r w:rsidRPr="00684BF3">
        <w:rPr>
          <w:sz w:val="16"/>
        </w:rPr>
        <w:t xml:space="preserve"> inducing a </w:t>
      </w:r>
      <w:r w:rsidRPr="00684BF3">
        <w:rPr>
          <w:rStyle w:val="StyleUnderline"/>
        </w:rPr>
        <w:t>re-enforcing</w:t>
      </w:r>
      <w:r w:rsidRPr="00684BF3">
        <w:rPr>
          <w:sz w:val="16"/>
        </w:rPr>
        <w:t xml:space="preserve"> (positive feedback) supply-chain financial-system </w:t>
      </w:r>
      <w:r w:rsidRPr="00684BF3">
        <w:rPr>
          <w:rStyle w:val="StyleUnderline"/>
        </w:rPr>
        <w:t>cross-contagion</w:t>
      </w:r>
      <w:hyperlink r:id="rId115" w:anchor="_edn4" w:history="1">
        <w:r w:rsidRPr="00684BF3">
          <w:rPr>
            <w:rStyle w:val="Hyperlink"/>
            <w:sz w:val="16"/>
          </w:rPr>
          <w:t>[iv]</w:t>
        </w:r>
      </w:hyperlink>
      <w:r w:rsidRPr="00684BF3">
        <w:rPr>
          <w:sz w:val="16"/>
        </w:rPr>
        <w:t xml:space="preserve">. </w:t>
      </w:r>
      <w:r w:rsidRPr="00456038">
        <w:rPr>
          <w:rStyle w:val="Emphasis"/>
          <w:highlight w:val="cyan"/>
        </w:rPr>
        <w:t>No</w:t>
      </w:r>
      <w:r w:rsidRPr="00684BF3">
        <w:rPr>
          <w:rStyle w:val="StyleUnderline"/>
        </w:rPr>
        <w:t xml:space="preserve"> central </w:t>
      </w:r>
      <w:r w:rsidRPr="00456038">
        <w:rPr>
          <w:rStyle w:val="Emphasis"/>
          <w:highlight w:val="cyan"/>
        </w:rPr>
        <w:t>bank can maintain</w:t>
      </w:r>
      <w:r w:rsidRPr="00456038">
        <w:rPr>
          <w:rStyle w:val="StyleUnderline"/>
          <w:highlight w:val="cyan"/>
        </w:rPr>
        <w:t xml:space="preserve"> a</w:t>
      </w:r>
      <w:r w:rsidRPr="00684BF3">
        <w:rPr>
          <w:sz w:val="16"/>
        </w:rPr>
        <w:t xml:space="preserve"> credit-</w:t>
      </w:r>
      <w:r w:rsidRPr="00456038">
        <w:rPr>
          <w:rStyle w:val="Emphasis"/>
          <w:highlight w:val="cyan"/>
        </w:rPr>
        <w:t>monetary system</w:t>
      </w:r>
      <w:r w:rsidRPr="00456038">
        <w:rPr>
          <w:rStyle w:val="StyleUnderline"/>
          <w:highlight w:val="cyan"/>
        </w:rPr>
        <w:t xml:space="preserve"> if it’s</w:t>
      </w:r>
      <w:r w:rsidRPr="00684BF3">
        <w:rPr>
          <w:sz w:val="16"/>
        </w:rPr>
        <w:t xml:space="preserve"> core collateral, the expectation of </w:t>
      </w:r>
      <w:r w:rsidRPr="00456038">
        <w:rPr>
          <w:rStyle w:val="Emphasis"/>
          <w:highlight w:val="cyan"/>
        </w:rPr>
        <w:t>econ</w:t>
      </w:r>
      <w:r w:rsidRPr="00684BF3">
        <w:rPr>
          <w:rStyle w:val="StyleUnderline"/>
        </w:rPr>
        <w:t xml:space="preserve">omic production </w:t>
      </w:r>
      <w:r w:rsidRPr="00456038">
        <w:rPr>
          <w:rStyle w:val="Emphasis"/>
          <w:highlight w:val="cyan"/>
        </w:rPr>
        <w:t>is</w:t>
      </w:r>
      <w:r w:rsidRPr="00684BF3">
        <w:rPr>
          <w:sz w:val="16"/>
        </w:rPr>
        <w:t xml:space="preserve"> opaque and </w:t>
      </w:r>
      <w:r w:rsidRPr="00456038">
        <w:rPr>
          <w:rStyle w:val="Emphasis"/>
          <w:highlight w:val="cyan"/>
        </w:rPr>
        <w:t>collapsing</w:t>
      </w:r>
      <w:r w:rsidRPr="00684BF3">
        <w:rPr>
          <w:rStyle w:val="StyleUnderline"/>
        </w:rPr>
        <w:t xml:space="preserve"> in </w:t>
      </w:r>
      <w:r w:rsidRPr="00684BF3">
        <w:rPr>
          <w:rStyle w:val="Emphasis"/>
        </w:rPr>
        <w:t>real-time</w:t>
      </w:r>
      <w:r w:rsidRPr="00684BF3">
        <w:rPr>
          <w:sz w:val="16"/>
        </w:rPr>
        <w:t xml:space="preserve">. Beyond </w:t>
      </w:r>
      <w:r w:rsidRPr="00684BF3">
        <w:rPr>
          <w:rStyle w:val="StyleUnderline"/>
        </w:rPr>
        <w:t xml:space="preserve">a </w:t>
      </w:r>
      <w:r w:rsidRPr="00456038">
        <w:rPr>
          <w:rStyle w:val="Emphasis"/>
          <w:highlight w:val="cyan"/>
        </w:rPr>
        <w:t>tipping point</w:t>
      </w:r>
      <w:r w:rsidRPr="00684BF3">
        <w:rPr>
          <w:sz w:val="16"/>
        </w:rPr>
        <w:t xml:space="preserve">, this </w:t>
      </w:r>
      <w:r w:rsidRPr="00456038">
        <w:rPr>
          <w:rStyle w:val="StyleUnderline"/>
          <w:highlight w:val="cyan"/>
        </w:rPr>
        <w:t xml:space="preserve">could </w:t>
      </w:r>
      <w:r w:rsidRPr="00456038">
        <w:rPr>
          <w:rStyle w:val="Emphasis"/>
          <w:highlight w:val="cyan"/>
        </w:rPr>
        <w:t>accelerate rapidly</w:t>
      </w:r>
      <w:r w:rsidRPr="00684BF3">
        <w:rPr>
          <w:sz w:val="16"/>
        </w:rPr>
        <w:t xml:space="preserve">. It would effectively </w:t>
      </w:r>
      <w:r w:rsidRPr="00684BF3">
        <w:rPr>
          <w:rStyle w:val="Emphasis"/>
        </w:rPr>
        <w:t>shut-down</w:t>
      </w:r>
      <w:r w:rsidRPr="00684BF3">
        <w:rPr>
          <w:rStyle w:val="StyleUnderline"/>
        </w:rPr>
        <w:t xml:space="preserve"> the </w:t>
      </w:r>
      <w:r w:rsidRPr="00684BF3">
        <w:rPr>
          <w:rStyle w:val="Emphasis"/>
        </w:rPr>
        <w:t>flow of goods</w:t>
      </w:r>
      <w:r w:rsidRPr="00684BF3">
        <w:rPr>
          <w:sz w:val="16"/>
        </w:rPr>
        <w:t xml:space="preserve"> and services. Were this to happen, </w:t>
      </w:r>
      <w:r w:rsidRPr="00684BF3">
        <w:rPr>
          <w:rStyle w:val="StyleUnderline"/>
        </w:rPr>
        <w:t xml:space="preserve">it would </w:t>
      </w:r>
      <w:r w:rsidRPr="00684BF3">
        <w:rPr>
          <w:rStyle w:val="Emphasis"/>
        </w:rPr>
        <w:t xml:space="preserve">be </w:t>
      </w:r>
      <w:r w:rsidRPr="00456038">
        <w:rPr>
          <w:rStyle w:val="Emphasis"/>
          <w:highlight w:val="cyan"/>
        </w:rPr>
        <w:t>a global catastrophe</w:t>
      </w:r>
      <w:r w:rsidRPr="00684BF3">
        <w:rPr>
          <w:sz w:val="16"/>
        </w:rPr>
        <w:t xml:space="preserve"> of unprecedented scale and duration.</w:t>
      </w:r>
    </w:p>
    <w:p w14:paraId="0FE621D1" w14:textId="77777777" w:rsidR="00586EDF" w:rsidRPr="00684BF3" w:rsidRDefault="00586EDF" w:rsidP="00586EDF">
      <w:pPr>
        <w:rPr>
          <w:sz w:val="16"/>
          <w:szCs w:val="16"/>
        </w:rPr>
      </w:pPr>
      <w:r w:rsidRPr="00684BF3">
        <w:rPr>
          <w:sz w:val="16"/>
          <w:szCs w:val="16"/>
        </w:rPr>
        <w:t>This latter outcome is very unlikely.</w:t>
      </w:r>
    </w:p>
    <w:p w14:paraId="0AABFE36" w14:textId="77777777" w:rsidR="00586EDF" w:rsidRPr="00684BF3" w:rsidRDefault="00586EDF" w:rsidP="00586EDF">
      <w:pPr>
        <w:rPr>
          <w:sz w:val="16"/>
        </w:rPr>
      </w:pPr>
      <w:r w:rsidRPr="00684BF3">
        <w:rPr>
          <w:sz w:val="16"/>
        </w:rPr>
        <w:t>There are two elements that can be seen in the overview above. The first is related to the structure of civilisation, societal vulnerability, and the potential for contagion, and</w:t>
      </w:r>
      <w:r>
        <w:rPr>
          <w:sz w:val="16"/>
        </w:rPr>
        <w:t xml:space="preserve"> </w:t>
      </w:r>
      <w:r w:rsidRPr="00684BF3">
        <w:rPr>
          <w:sz w:val="16"/>
        </w:rPr>
        <w:t xml:space="preserve">in extremis, collapse. The second is that </w:t>
      </w:r>
      <w:r w:rsidRPr="00456038">
        <w:rPr>
          <w:rStyle w:val="StyleUnderline"/>
          <w:highlight w:val="cyan"/>
        </w:rPr>
        <w:t>society</w:t>
      </w:r>
      <w:r w:rsidRPr="00684BF3">
        <w:rPr>
          <w:sz w:val="16"/>
        </w:rPr>
        <w:t xml:space="preserve"> for broader reasons </w:t>
      </w:r>
      <w:r w:rsidRPr="00456038">
        <w:rPr>
          <w:rStyle w:val="StyleUnderline"/>
          <w:highlight w:val="cyan"/>
        </w:rPr>
        <w:t xml:space="preserve">is </w:t>
      </w:r>
      <w:r w:rsidRPr="00456038">
        <w:rPr>
          <w:rStyle w:val="Emphasis"/>
          <w:highlight w:val="cyan"/>
        </w:rPr>
        <w:t>losing resilience</w:t>
      </w:r>
      <w:r w:rsidRPr="00684BF3">
        <w:rPr>
          <w:rStyle w:val="Emphasis"/>
        </w:rPr>
        <w:t xml:space="preserve"> to shocks</w:t>
      </w:r>
      <w:r w:rsidRPr="00684BF3">
        <w:rPr>
          <w:rStyle w:val="StyleUnderline"/>
        </w:rPr>
        <w:t xml:space="preserve">, while </w:t>
      </w:r>
      <w:r w:rsidRPr="00684BF3">
        <w:rPr>
          <w:rStyle w:val="Emphasis"/>
        </w:rPr>
        <w:t>stressors</w:t>
      </w:r>
      <w:r w:rsidRPr="00684BF3">
        <w:rPr>
          <w:sz w:val="16"/>
        </w:rPr>
        <w:t xml:space="preserve">, environmental and socio-economic, </w:t>
      </w:r>
      <w:r w:rsidRPr="00684BF3">
        <w:rPr>
          <w:rStyle w:val="StyleUnderline"/>
        </w:rPr>
        <w:t xml:space="preserve">are </w:t>
      </w:r>
      <w:r w:rsidRPr="00684BF3">
        <w:rPr>
          <w:rStyle w:val="Emphasis"/>
        </w:rPr>
        <w:t>growing in</w:t>
      </w:r>
      <w:r w:rsidRPr="00684BF3">
        <w:rPr>
          <w:rStyle w:val="StyleUnderline"/>
        </w:rPr>
        <w:t xml:space="preserve"> range and </w:t>
      </w:r>
      <w:r w:rsidRPr="00684BF3">
        <w:rPr>
          <w:rStyle w:val="Emphasis"/>
        </w:rPr>
        <w:t>intensity</w:t>
      </w:r>
      <w:r w:rsidRPr="00684BF3">
        <w:rPr>
          <w:sz w:val="16"/>
        </w:rPr>
        <w:t xml:space="preserve">. This means </w:t>
      </w:r>
      <w:r w:rsidRPr="00684BF3">
        <w:rPr>
          <w:rStyle w:val="StyleUnderline"/>
        </w:rPr>
        <w:t>societal systems</w:t>
      </w:r>
      <w:r w:rsidRPr="00684BF3">
        <w:rPr>
          <w:sz w:val="16"/>
        </w:rPr>
        <w:t xml:space="preserve"> may </w:t>
      </w:r>
      <w:r w:rsidRPr="00684BF3">
        <w:rPr>
          <w:rStyle w:val="StyleUnderline"/>
        </w:rPr>
        <w:t xml:space="preserve">have </w:t>
      </w:r>
      <w:r w:rsidRPr="00684BF3">
        <w:rPr>
          <w:rStyle w:val="Emphasis"/>
        </w:rPr>
        <w:t>entered a period of</w:t>
      </w:r>
      <w:r w:rsidRPr="00684BF3">
        <w:rPr>
          <w:sz w:val="16"/>
        </w:rPr>
        <w:t xml:space="preserve"> sustained </w:t>
      </w:r>
      <w:r w:rsidRPr="00684BF3">
        <w:rPr>
          <w:rStyle w:val="StyleUnderline"/>
        </w:rPr>
        <w:t xml:space="preserve">global </w:t>
      </w:r>
      <w:r w:rsidRPr="00684BF3">
        <w:rPr>
          <w:rStyle w:val="Emphasis"/>
        </w:rPr>
        <w:t>destabilization</w:t>
      </w:r>
      <w:r w:rsidRPr="00684BF3">
        <w:rPr>
          <w:sz w:val="16"/>
        </w:rPr>
        <w:t xml:space="preserve">, </w:t>
      </w:r>
      <w:r w:rsidRPr="00684BF3">
        <w:rPr>
          <w:rStyle w:val="Emphasis"/>
        </w:rPr>
        <w:t>coupled to</w:t>
      </w:r>
      <w:r w:rsidRPr="00684BF3">
        <w:rPr>
          <w:sz w:val="16"/>
        </w:rPr>
        <w:t xml:space="preserve"> an </w:t>
      </w:r>
      <w:r w:rsidRPr="00684BF3">
        <w:rPr>
          <w:rStyle w:val="Emphasis"/>
        </w:rPr>
        <w:t>increasing likelihood of catastrophic</w:t>
      </w:r>
      <w:r w:rsidRPr="00684BF3">
        <w:rPr>
          <w:rStyle w:val="StyleUnderline"/>
        </w:rPr>
        <w:t xml:space="preserve"> systems </w:t>
      </w:r>
      <w:r w:rsidRPr="00684BF3">
        <w:rPr>
          <w:rStyle w:val="Emphasis"/>
        </w:rPr>
        <w:t>failure</w:t>
      </w:r>
      <w:r w:rsidRPr="00684BF3">
        <w:rPr>
          <w:sz w:val="16"/>
        </w:rPr>
        <w:t>. It is to these elements that we now briefly turn our attention to.</w:t>
      </w:r>
    </w:p>
    <w:p w14:paraId="03440256" w14:textId="77777777" w:rsidR="00586EDF" w:rsidRPr="00684BF3" w:rsidRDefault="00586EDF" w:rsidP="00586EDF">
      <w:pPr>
        <w:rPr>
          <w:sz w:val="16"/>
          <w:szCs w:val="16"/>
        </w:rPr>
      </w:pPr>
      <w:r w:rsidRPr="00684BF3">
        <w:rPr>
          <w:sz w:val="16"/>
          <w:szCs w:val="16"/>
        </w:rPr>
        <w:t>Dependency and Systemic Vulnerability</w:t>
      </w:r>
    </w:p>
    <w:p w14:paraId="631A50DE" w14:textId="77777777" w:rsidR="00586EDF" w:rsidRPr="00684BF3" w:rsidRDefault="00586EDF" w:rsidP="00586EDF">
      <w:pPr>
        <w:rPr>
          <w:rStyle w:val="StyleUnderline"/>
        </w:rPr>
      </w:pPr>
      <w:r w:rsidRPr="00456038">
        <w:rPr>
          <w:rStyle w:val="StyleUnderline"/>
          <w:highlight w:val="cyan"/>
        </w:rPr>
        <w:t>We have become</w:t>
      </w:r>
      <w:r w:rsidRPr="00684BF3">
        <w:rPr>
          <w:sz w:val="16"/>
        </w:rPr>
        <w:t xml:space="preserve"> ever-more </w:t>
      </w:r>
      <w:r w:rsidRPr="00456038">
        <w:rPr>
          <w:rStyle w:val="StyleUnderline"/>
          <w:highlight w:val="cyan"/>
        </w:rPr>
        <w:t xml:space="preserve">part of a </w:t>
      </w:r>
      <w:r w:rsidRPr="00684BF3">
        <w:rPr>
          <w:rStyle w:val="Emphasis"/>
        </w:rPr>
        <w:t xml:space="preserve">singular </w:t>
      </w:r>
      <w:r w:rsidRPr="00456038">
        <w:rPr>
          <w:rStyle w:val="Emphasis"/>
          <w:highlight w:val="cyan"/>
        </w:rPr>
        <w:t>civilizational organism</w:t>
      </w:r>
      <w:r w:rsidRPr="00684BF3">
        <w:rPr>
          <w:rStyle w:val="StyleUnderline"/>
        </w:rPr>
        <w:t xml:space="preserve"> </w:t>
      </w:r>
      <w:r w:rsidRPr="00456038">
        <w:rPr>
          <w:rStyle w:val="StyleUnderline"/>
          <w:highlight w:val="cyan"/>
        </w:rPr>
        <w:t>that has</w:t>
      </w:r>
      <w:r w:rsidRPr="00684BF3">
        <w:rPr>
          <w:rStyle w:val="StyleUnderline"/>
        </w:rPr>
        <w:t xml:space="preserve"> grown in scale, </w:t>
      </w:r>
      <w:r w:rsidRPr="00684BF3">
        <w:rPr>
          <w:rStyle w:val="Emphasis"/>
        </w:rPr>
        <w:t>complexity</w:t>
      </w:r>
      <w:r w:rsidRPr="00684BF3">
        <w:rPr>
          <w:rStyle w:val="StyleUnderline"/>
        </w:rPr>
        <w:t xml:space="preserve">, </w:t>
      </w:r>
      <w:r w:rsidRPr="00684BF3">
        <w:rPr>
          <w:rStyle w:val="Emphasis"/>
        </w:rPr>
        <w:t>interdependence</w:t>
      </w:r>
      <w:r w:rsidRPr="00684BF3">
        <w:rPr>
          <w:rStyle w:val="StyleUnderline"/>
        </w:rPr>
        <w:t xml:space="preserve">, and </w:t>
      </w:r>
      <w:r w:rsidRPr="00684BF3">
        <w:rPr>
          <w:rStyle w:val="Emphasis"/>
        </w:rPr>
        <w:t>speed</w:t>
      </w:r>
      <w:r w:rsidRPr="00684BF3">
        <w:rPr>
          <w:sz w:val="16"/>
        </w:rPr>
        <w:t xml:space="preserve">. </w:t>
      </w:r>
      <w:r w:rsidRPr="00684BF3">
        <w:rPr>
          <w:rStyle w:val="StyleUnderline"/>
        </w:rPr>
        <w:t>As it</w:t>
      </w:r>
      <w:r w:rsidRPr="00684BF3">
        <w:rPr>
          <w:sz w:val="16"/>
        </w:rPr>
        <w:t xml:space="preserve"> has </w:t>
      </w:r>
      <w:r w:rsidRPr="00684BF3">
        <w:rPr>
          <w:rStyle w:val="StyleUnderline"/>
        </w:rPr>
        <w:t>evolved</w:t>
      </w:r>
      <w:r w:rsidRPr="00684BF3">
        <w:rPr>
          <w:sz w:val="16"/>
        </w:rPr>
        <w:t xml:space="preserve">, </w:t>
      </w:r>
      <w:r w:rsidRPr="00684BF3">
        <w:rPr>
          <w:rStyle w:val="StyleUnderline"/>
        </w:rPr>
        <w:t xml:space="preserve">it has </w:t>
      </w:r>
      <w:r w:rsidRPr="00456038">
        <w:rPr>
          <w:rStyle w:val="Emphasis"/>
          <w:highlight w:val="cyan"/>
        </w:rPr>
        <w:t>optimized</w:t>
      </w:r>
      <w:r w:rsidRPr="00684BF3">
        <w:rPr>
          <w:sz w:val="16"/>
        </w:rPr>
        <w:t xml:space="preserve"> towards </w:t>
      </w:r>
      <w:r w:rsidRPr="00456038">
        <w:rPr>
          <w:rStyle w:val="Emphasis"/>
          <w:highlight w:val="cyan"/>
        </w:rPr>
        <w:t>growth</w:t>
      </w:r>
      <w:r w:rsidRPr="00684BF3">
        <w:rPr>
          <w:rStyle w:val="StyleUnderline"/>
        </w:rPr>
        <w:t xml:space="preserve">, efficiency </w:t>
      </w:r>
      <w:r w:rsidRPr="00684BF3">
        <w:rPr>
          <w:rStyle w:val="Emphasis"/>
        </w:rPr>
        <w:t>and self-stabilization</w:t>
      </w:r>
      <w:r w:rsidRPr="00684BF3">
        <w:rPr>
          <w:sz w:val="16"/>
        </w:rPr>
        <w:t xml:space="preserve">. People, organisations, businesses, and </w:t>
      </w:r>
      <w:r w:rsidRPr="00684BF3">
        <w:rPr>
          <w:rStyle w:val="StyleUnderline"/>
        </w:rPr>
        <w:t>countries</w:t>
      </w:r>
      <w:r w:rsidRPr="00684BF3">
        <w:rPr>
          <w:sz w:val="16"/>
        </w:rPr>
        <w:t xml:space="preserve"> can design and </w:t>
      </w:r>
      <w:r w:rsidRPr="00684BF3">
        <w:rPr>
          <w:rStyle w:val="StyleUnderline"/>
        </w:rPr>
        <w:t>influence it in parts</w:t>
      </w:r>
      <w:r w:rsidRPr="00684BF3">
        <w:rPr>
          <w:sz w:val="16"/>
        </w:rPr>
        <w:t xml:space="preserve">, but the whole is the emergent outcome of many interactions evolving over time. There’s nobody in control. It is these </w:t>
      </w:r>
      <w:r w:rsidRPr="00684BF3">
        <w:rPr>
          <w:rStyle w:val="Emphasis"/>
        </w:rPr>
        <w:t>structural</w:t>
      </w:r>
      <w:r w:rsidRPr="00684BF3">
        <w:rPr>
          <w:rStyle w:val="StyleUnderline"/>
        </w:rPr>
        <w:t xml:space="preserve"> and dynamical </w:t>
      </w:r>
      <w:r w:rsidRPr="00684BF3">
        <w:rPr>
          <w:rStyle w:val="Emphasis"/>
        </w:rPr>
        <w:t>properties</w:t>
      </w:r>
      <w:r w:rsidRPr="00684BF3">
        <w:rPr>
          <w:sz w:val="16"/>
        </w:rPr>
        <w:t xml:space="preserve"> that </w:t>
      </w:r>
      <w:r w:rsidRPr="00684BF3">
        <w:rPr>
          <w:rStyle w:val="Emphasis"/>
        </w:rPr>
        <w:t>define</w:t>
      </w:r>
      <w:r w:rsidRPr="00684BF3">
        <w:rPr>
          <w:rStyle w:val="StyleUnderline"/>
        </w:rPr>
        <w:t xml:space="preserve"> societal </w:t>
      </w:r>
      <w:r w:rsidRPr="00684BF3">
        <w:rPr>
          <w:rStyle w:val="Emphasis"/>
        </w:rPr>
        <w:t>stability</w:t>
      </w:r>
      <w:r w:rsidRPr="00684BF3">
        <w:rPr>
          <w:rStyle w:val="StyleUnderline"/>
        </w:rPr>
        <w:t xml:space="preserve">, </w:t>
      </w:r>
      <w:r w:rsidRPr="00684BF3">
        <w:rPr>
          <w:rStyle w:val="Emphasis"/>
        </w:rPr>
        <w:t>resilience</w:t>
      </w:r>
      <w:r w:rsidRPr="00684BF3">
        <w:rPr>
          <w:rStyle w:val="StyleUnderline"/>
        </w:rPr>
        <w:t>, vulnerability, the propensity to contagion</w:t>
      </w:r>
      <w:r w:rsidRPr="00684BF3">
        <w:rPr>
          <w:sz w:val="16"/>
        </w:rPr>
        <w:t xml:space="preserve"> processes, </w:t>
      </w:r>
      <w:r w:rsidRPr="00684BF3">
        <w:rPr>
          <w:rStyle w:val="StyleUnderline"/>
        </w:rPr>
        <w:t xml:space="preserve">global systemic </w:t>
      </w:r>
      <w:r w:rsidRPr="00684BF3">
        <w:rPr>
          <w:rStyle w:val="Emphasis"/>
        </w:rPr>
        <w:t>destabilization</w:t>
      </w:r>
      <w:r w:rsidRPr="00684BF3">
        <w:rPr>
          <w:rStyle w:val="StyleUnderline"/>
        </w:rPr>
        <w:t xml:space="preserve">, </w:t>
      </w:r>
      <w:r w:rsidRPr="00684BF3">
        <w:rPr>
          <w:rStyle w:val="Emphasis"/>
        </w:rPr>
        <w:t>and collapse</w:t>
      </w:r>
      <w:r w:rsidRPr="00684BF3">
        <w:rPr>
          <w:rStyle w:val="StyleUnderline"/>
        </w:rPr>
        <w:t xml:space="preserve"> dynamics.</w:t>
      </w:r>
    </w:p>
    <w:p w14:paraId="039D3443" w14:textId="77777777" w:rsidR="00586EDF" w:rsidRPr="00684BF3" w:rsidRDefault="00586EDF" w:rsidP="00586EDF">
      <w:pPr>
        <w:rPr>
          <w:sz w:val="16"/>
        </w:rPr>
      </w:pPr>
      <w:r w:rsidRPr="00684BF3">
        <w:rPr>
          <w:rStyle w:val="StyleUnderline"/>
        </w:rPr>
        <w:t xml:space="preserve">Our </w:t>
      </w:r>
      <w:r w:rsidRPr="00684BF3">
        <w:rPr>
          <w:rStyle w:val="Emphasis"/>
        </w:rPr>
        <w:t>ability to sustain</w:t>
      </w:r>
      <w:r w:rsidRPr="00684BF3">
        <w:rPr>
          <w:rStyle w:val="StyleUnderline"/>
        </w:rPr>
        <w:t xml:space="preserve"> our basic </w:t>
      </w:r>
      <w:r w:rsidRPr="00684BF3">
        <w:rPr>
          <w:rStyle w:val="Emphasis"/>
        </w:rPr>
        <w:t>needs</w:t>
      </w:r>
      <w:r w:rsidRPr="00684BF3">
        <w:rPr>
          <w:sz w:val="16"/>
        </w:rPr>
        <w:t xml:space="preserve"> anywhere, now </w:t>
      </w:r>
      <w:r w:rsidRPr="00684BF3">
        <w:rPr>
          <w:rStyle w:val="Emphasis"/>
        </w:rPr>
        <w:t>depends upon</w:t>
      </w:r>
      <w:r w:rsidRPr="00684BF3">
        <w:rPr>
          <w:rStyle w:val="StyleUnderline"/>
        </w:rPr>
        <w:t xml:space="preserve"> system </w:t>
      </w:r>
      <w:r w:rsidRPr="00684BF3">
        <w:rPr>
          <w:rStyle w:val="Emphasis"/>
        </w:rPr>
        <w:t>integration</w:t>
      </w:r>
      <w:r w:rsidRPr="00684BF3">
        <w:rPr>
          <w:sz w:val="16"/>
        </w:rPr>
        <w:t xml:space="preserve"> everywhere. That means </w:t>
      </w:r>
      <w:r w:rsidRPr="00684BF3">
        <w:rPr>
          <w:rStyle w:val="StyleUnderline"/>
        </w:rPr>
        <w:t>no infrastructure</w:t>
      </w:r>
      <w:r w:rsidRPr="00684BF3">
        <w:rPr>
          <w:sz w:val="16"/>
        </w:rPr>
        <w:t xml:space="preserve">, society </w:t>
      </w:r>
      <w:r w:rsidRPr="00684BF3">
        <w:rPr>
          <w:rStyle w:val="StyleUnderline"/>
        </w:rPr>
        <w:t>or country can be fully resilient as the conditions that maintain function are dispersed</w:t>
      </w:r>
      <w:r w:rsidRPr="00684BF3">
        <w:rPr>
          <w:sz w:val="16"/>
        </w:rPr>
        <w:t xml:space="preserve"> beyond visibility or control.</w:t>
      </w:r>
    </w:p>
    <w:p w14:paraId="40EAB021" w14:textId="77777777" w:rsidR="00586EDF" w:rsidRPr="00684BF3" w:rsidRDefault="00586EDF" w:rsidP="00586EDF">
      <w:pPr>
        <w:rPr>
          <w:sz w:val="16"/>
        </w:rPr>
      </w:pPr>
      <w:r w:rsidRPr="00684BF3">
        <w:rPr>
          <w:sz w:val="16"/>
        </w:rPr>
        <w:t xml:space="preserve">To get a sense of why complexity can amplify a societal shock, </w:t>
      </w:r>
      <w:r w:rsidRPr="00684BF3">
        <w:rPr>
          <w:rStyle w:val="StyleUnderline"/>
        </w:rPr>
        <w:t>consider sophisticated surgery that requires</w:t>
      </w:r>
      <w:r w:rsidRPr="00684BF3">
        <w:rPr>
          <w:sz w:val="16"/>
        </w:rPr>
        <w:t xml:space="preserve"> the skills of </w:t>
      </w:r>
      <w:r w:rsidRPr="00684BF3">
        <w:rPr>
          <w:rStyle w:val="StyleUnderline"/>
        </w:rPr>
        <w:t>five distinct specialists</w:t>
      </w:r>
      <w:r w:rsidRPr="00684BF3">
        <w:rPr>
          <w:sz w:val="16"/>
        </w:rPr>
        <w:t xml:space="preserve"> working in concert. </w:t>
      </w:r>
      <w:r w:rsidRPr="00684BF3">
        <w:rPr>
          <w:rStyle w:val="StyleUnderline"/>
        </w:rPr>
        <w:t>If just one surgeon is incapacitated, the whole operation must be stopped</w:t>
      </w:r>
      <w:r w:rsidRPr="00684BF3">
        <w:rPr>
          <w:sz w:val="16"/>
        </w:rPr>
        <w:t xml:space="preserve">, they can’t just do 80% of the procedure. </w:t>
      </w:r>
      <w:r w:rsidRPr="00684BF3">
        <w:rPr>
          <w:rStyle w:val="StyleUnderline"/>
        </w:rPr>
        <w:t xml:space="preserve">This </w:t>
      </w:r>
      <w:r w:rsidRPr="00684BF3">
        <w:rPr>
          <w:rStyle w:val="Emphasis"/>
        </w:rPr>
        <w:t>vulnerability to the weakest link</w:t>
      </w:r>
      <w:r w:rsidRPr="00684BF3">
        <w:rPr>
          <w:sz w:val="16"/>
        </w:rPr>
        <w:t xml:space="preserve"> (sometimes called</w:t>
      </w:r>
      <w:r>
        <w:rPr>
          <w:sz w:val="16"/>
        </w:rPr>
        <w:t xml:space="preserve"> </w:t>
      </w:r>
      <w:r w:rsidRPr="00684BF3">
        <w:rPr>
          <w:sz w:val="16"/>
        </w:rPr>
        <w:t xml:space="preserve">Liebig’s Law of the Minimum) </w:t>
      </w:r>
      <w:r w:rsidRPr="00684BF3">
        <w:rPr>
          <w:rStyle w:val="StyleUnderline"/>
        </w:rPr>
        <w:t>becomes more acute as businesses</w:t>
      </w:r>
      <w:r w:rsidRPr="00684BF3">
        <w:rPr>
          <w:sz w:val="16"/>
        </w:rPr>
        <w:t xml:space="preserve">, critical </w:t>
      </w:r>
      <w:r w:rsidRPr="00684BF3">
        <w:rPr>
          <w:rStyle w:val="StyleUnderline"/>
        </w:rPr>
        <w:t>infrastructures and public bodies depend upon</w:t>
      </w:r>
      <w:r w:rsidRPr="00684BF3">
        <w:rPr>
          <w:sz w:val="16"/>
        </w:rPr>
        <w:t xml:space="preserve"> increasing numbers of </w:t>
      </w:r>
      <w:r w:rsidRPr="00684BF3">
        <w:rPr>
          <w:rStyle w:val="StyleUnderline"/>
        </w:rPr>
        <w:t>specialized roles</w:t>
      </w:r>
      <w:r w:rsidRPr="00684BF3">
        <w:rPr>
          <w:sz w:val="16"/>
        </w:rPr>
        <w:t xml:space="preserve"> and inputs that are essential for the output of the whole. As those outputs, be they goods or services, may be necessary inputs into other businesses and services, </w:t>
      </w:r>
      <w:r w:rsidRPr="00684BF3">
        <w:rPr>
          <w:rStyle w:val="Emphasis"/>
        </w:rPr>
        <w:t>failure can cascade</w:t>
      </w:r>
      <w:r w:rsidRPr="00684BF3">
        <w:rPr>
          <w:sz w:val="16"/>
        </w:rPr>
        <w:t>, even shutting organisations where everybody is available.</w:t>
      </w:r>
    </w:p>
    <w:p w14:paraId="0673A7E6" w14:textId="77777777" w:rsidR="00586EDF" w:rsidRPr="00684BF3" w:rsidRDefault="00586EDF" w:rsidP="00586EDF">
      <w:pPr>
        <w:rPr>
          <w:sz w:val="16"/>
        </w:rPr>
      </w:pPr>
      <w:r w:rsidRPr="00684BF3">
        <w:rPr>
          <w:sz w:val="16"/>
        </w:rPr>
        <w:t xml:space="preserve">Because </w:t>
      </w:r>
      <w:r w:rsidRPr="00456038">
        <w:rPr>
          <w:rStyle w:val="Emphasis"/>
          <w:highlight w:val="cyan"/>
        </w:rPr>
        <w:t>society depends</w:t>
      </w:r>
      <w:r w:rsidRPr="00684BF3">
        <w:rPr>
          <w:rStyle w:val="StyleUnderline"/>
        </w:rPr>
        <w:t xml:space="preserve"> up</w:t>
      </w:r>
      <w:r w:rsidRPr="00456038">
        <w:rPr>
          <w:rStyle w:val="StyleUnderline"/>
          <w:highlight w:val="cyan"/>
        </w:rPr>
        <w:t>on</w:t>
      </w:r>
      <w:r w:rsidRPr="00684BF3">
        <w:rPr>
          <w:sz w:val="16"/>
        </w:rPr>
        <w:t xml:space="preserve"> multiple </w:t>
      </w:r>
      <w:r w:rsidRPr="00684BF3">
        <w:rPr>
          <w:rStyle w:val="StyleUnderline"/>
        </w:rPr>
        <w:t xml:space="preserve">interacting </w:t>
      </w:r>
      <w:r w:rsidRPr="00456038">
        <w:rPr>
          <w:rStyle w:val="Emphasis"/>
          <w:highlight w:val="cyan"/>
        </w:rPr>
        <w:t>networks</w:t>
      </w:r>
      <w:r w:rsidRPr="00684BF3">
        <w:rPr>
          <w:sz w:val="16"/>
        </w:rPr>
        <w:t xml:space="preserve">, within cities and </w:t>
      </w:r>
      <w:r w:rsidRPr="00684BF3">
        <w:rPr>
          <w:rStyle w:val="StyleUnderline"/>
        </w:rPr>
        <w:t>across the globe</w:t>
      </w:r>
      <w:r w:rsidRPr="00684BF3">
        <w:rPr>
          <w:sz w:val="16"/>
        </w:rPr>
        <w:t xml:space="preserve">, </w:t>
      </w:r>
      <w:r w:rsidRPr="00684BF3">
        <w:rPr>
          <w:rStyle w:val="StyleUnderline"/>
        </w:rPr>
        <w:t>there are</w:t>
      </w:r>
      <w:r w:rsidRPr="00684BF3">
        <w:rPr>
          <w:sz w:val="16"/>
        </w:rPr>
        <w:t xml:space="preserve"> many </w:t>
      </w:r>
      <w:r w:rsidRPr="00684BF3">
        <w:rPr>
          <w:rStyle w:val="StyleUnderline"/>
        </w:rPr>
        <w:t>routes to cascading disruption</w:t>
      </w:r>
      <w:r w:rsidRPr="00684BF3">
        <w:rPr>
          <w:sz w:val="16"/>
        </w:rPr>
        <w:t xml:space="preserve">. This is an example of non-linearity- </w:t>
      </w:r>
      <w:r w:rsidRPr="00684BF3">
        <w:rPr>
          <w:rStyle w:val="StyleUnderline"/>
        </w:rPr>
        <w:t>a relatively small number of</w:t>
      </w:r>
      <w:r w:rsidRPr="00684BF3">
        <w:rPr>
          <w:sz w:val="16"/>
        </w:rPr>
        <w:t xml:space="preserve"> directly impacted </w:t>
      </w:r>
      <w:r w:rsidRPr="00684BF3">
        <w:rPr>
          <w:rStyle w:val="StyleUnderline"/>
        </w:rPr>
        <w:t>people</w:t>
      </w:r>
      <w:r w:rsidRPr="00684BF3">
        <w:rPr>
          <w:sz w:val="16"/>
        </w:rPr>
        <w:t xml:space="preserve"> or functions </w:t>
      </w:r>
      <w:r w:rsidRPr="00684BF3">
        <w:rPr>
          <w:rStyle w:val="StyleUnderline"/>
        </w:rPr>
        <w:t>can</w:t>
      </w:r>
      <w:r w:rsidRPr="00684BF3">
        <w:rPr>
          <w:sz w:val="16"/>
        </w:rPr>
        <w:t xml:space="preserve"> still </w:t>
      </w:r>
      <w:r w:rsidRPr="00684BF3">
        <w:rPr>
          <w:rStyle w:val="StyleUnderline"/>
        </w:rPr>
        <w:t>cause the failure of a whole system</w:t>
      </w:r>
      <w:r w:rsidRPr="00684BF3">
        <w:rPr>
          <w:sz w:val="16"/>
        </w:rPr>
        <w:t xml:space="preserve">. </w:t>
      </w:r>
      <w:r w:rsidRPr="00456038">
        <w:rPr>
          <w:rStyle w:val="StyleUnderline"/>
          <w:highlight w:val="cyan"/>
        </w:rPr>
        <w:t xml:space="preserve">The </w:t>
      </w:r>
      <w:r w:rsidRPr="00456038">
        <w:rPr>
          <w:rStyle w:val="Emphasis"/>
          <w:highlight w:val="cyan"/>
        </w:rPr>
        <w:t>speed of</w:t>
      </w:r>
      <w:r w:rsidRPr="00684BF3">
        <w:rPr>
          <w:rStyle w:val="Emphasis"/>
        </w:rPr>
        <w:t xml:space="preserve"> our</w:t>
      </w:r>
      <w:r w:rsidRPr="00684BF3">
        <w:rPr>
          <w:rStyle w:val="StyleUnderline"/>
        </w:rPr>
        <w:t xml:space="preserve"> societal </w:t>
      </w:r>
      <w:r w:rsidRPr="00684BF3">
        <w:rPr>
          <w:rStyle w:val="Emphasis"/>
        </w:rPr>
        <w:t>processes</w:t>
      </w:r>
      <w:r w:rsidRPr="00684BF3">
        <w:rPr>
          <w:sz w:val="16"/>
        </w:rPr>
        <w:t xml:space="preserve">, </w:t>
      </w:r>
      <w:r w:rsidRPr="00684BF3">
        <w:rPr>
          <w:rStyle w:val="StyleUnderline"/>
        </w:rPr>
        <w:t xml:space="preserve">from </w:t>
      </w:r>
      <w:r w:rsidRPr="00684BF3">
        <w:rPr>
          <w:rStyle w:val="Emphasis"/>
        </w:rPr>
        <w:t>Just-in-Time logistics</w:t>
      </w:r>
      <w:r w:rsidRPr="00684BF3">
        <w:rPr>
          <w:rStyle w:val="StyleUnderline"/>
        </w:rPr>
        <w:t xml:space="preserve"> to </w:t>
      </w:r>
      <w:r w:rsidRPr="00456038">
        <w:rPr>
          <w:rStyle w:val="Emphasis"/>
          <w:highlight w:val="cyan"/>
        </w:rPr>
        <w:t>financial transactions</w:t>
      </w:r>
      <w:r w:rsidRPr="00684BF3">
        <w:rPr>
          <w:rStyle w:val="StyleUnderline"/>
        </w:rPr>
        <w:t xml:space="preserve"> </w:t>
      </w:r>
      <w:r w:rsidRPr="00456038">
        <w:rPr>
          <w:rStyle w:val="StyleUnderline"/>
          <w:highlight w:val="cyan"/>
        </w:rPr>
        <w:t>means</w:t>
      </w:r>
      <w:r w:rsidRPr="00684BF3">
        <w:rPr>
          <w:sz w:val="16"/>
        </w:rPr>
        <w:t xml:space="preserve"> that </w:t>
      </w:r>
      <w:r w:rsidRPr="00456038">
        <w:rPr>
          <w:rStyle w:val="Emphasis"/>
          <w:highlight w:val="cyan"/>
        </w:rPr>
        <w:t>shocks</w:t>
      </w:r>
      <w:r w:rsidRPr="00456038">
        <w:rPr>
          <w:rStyle w:val="StyleUnderline"/>
          <w:highlight w:val="cyan"/>
        </w:rPr>
        <w:t xml:space="preserve"> can </w:t>
      </w:r>
      <w:r w:rsidRPr="00456038">
        <w:rPr>
          <w:rStyle w:val="Emphasis"/>
          <w:highlight w:val="cyan"/>
        </w:rPr>
        <w:t>rapidly cascade</w:t>
      </w:r>
      <w:r w:rsidRPr="00684BF3">
        <w:rPr>
          <w:sz w:val="16"/>
        </w:rPr>
        <w:t>.</w:t>
      </w:r>
    </w:p>
    <w:p w14:paraId="1DFCE817" w14:textId="77777777" w:rsidR="00586EDF" w:rsidRPr="00684BF3" w:rsidRDefault="00586EDF" w:rsidP="00586EDF">
      <w:pPr>
        <w:rPr>
          <w:sz w:val="16"/>
        </w:rPr>
      </w:pPr>
      <w:r w:rsidRPr="00684BF3">
        <w:rPr>
          <w:sz w:val="16"/>
        </w:rPr>
        <w:t xml:space="preserve">We can </w:t>
      </w:r>
      <w:r w:rsidRPr="00456038">
        <w:rPr>
          <w:rStyle w:val="StyleUnderline"/>
          <w:highlight w:val="cyan"/>
        </w:rPr>
        <w:t>think of society as an ecosystem</w:t>
      </w:r>
      <w:r w:rsidRPr="00684BF3">
        <w:rPr>
          <w:sz w:val="16"/>
        </w:rPr>
        <w:t xml:space="preserve">, </w:t>
      </w:r>
      <w:r w:rsidRPr="00456038">
        <w:rPr>
          <w:rStyle w:val="StyleUnderline"/>
          <w:highlight w:val="cyan"/>
        </w:rPr>
        <w:t xml:space="preserve">with </w:t>
      </w:r>
      <w:r w:rsidRPr="00456038">
        <w:rPr>
          <w:rStyle w:val="Emphasis"/>
          <w:highlight w:val="cyan"/>
        </w:rPr>
        <w:t>keystone</w:t>
      </w:r>
      <w:r w:rsidRPr="00456038">
        <w:rPr>
          <w:rStyle w:val="StyleUnderline"/>
          <w:highlight w:val="cyan"/>
        </w:rPr>
        <w:t xml:space="preserve"> species providing</w:t>
      </w:r>
      <w:r w:rsidRPr="00684BF3">
        <w:rPr>
          <w:sz w:val="16"/>
        </w:rPr>
        <w:t xml:space="preserve"> the </w:t>
      </w:r>
      <w:r w:rsidRPr="00684BF3">
        <w:rPr>
          <w:rStyle w:val="Emphasis"/>
        </w:rPr>
        <w:t xml:space="preserve">structural </w:t>
      </w:r>
      <w:r w:rsidRPr="00456038">
        <w:rPr>
          <w:rStyle w:val="Emphasis"/>
          <w:highlight w:val="cyan"/>
        </w:rPr>
        <w:t>anchors</w:t>
      </w:r>
      <w:r w:rsidRPr="00684BF3">
        <w:rPr>
          <w:sz w:val="16"/>
        </w:rPr>
        <w:t xml:space="preserve"> through which society functions. </w:t>
      </w:r>
      <w:r w:rsidRPr="00684BF3">
        <w:rPr>
          <w:rStyle w:val="StyleUnderline"/>
        </w:rPr>
        <w:t xml:space="preserve">Such </w:t>
      </w:r>
      <w:r w:rsidRPr="00684BF3">
        <w:rPr>
          <w:rStyle w:val="Emphasis"/>
        </w:rPr>
        <w:t>keystones include</w:t>
      </w:r>
      <w:r w:rsidRPr="00684BF3">
        <w:rPr>
          <w:rStyle w:val="StyleUnderline"/>
        </w:rPr>
        <w:t xml:space="preserve"> </w:t>
      </w:r>
      <w:r w:rsidRPr="00456038">
        <w:rPr>
          <w:rStyle w:val="StyleUnderline"/>
          <w:highlight w:val="cyan"/>
        </w:rPr>
        <w:t>critical infrastructure</w:t>
      </w:r>
      <w:r w:rsidRPr="00684BF3">
        <w:rPr>
          <w:sz w:val="16"/>
        </w:rPr>
        <w:t xml:space="preserve"> (the grid, telecommunications, water and sanitation etc.); </w:t>
      </w:r>
      <w:r w:rsidRPr="00456038">
        <w:rPr>
          <w:rStyle w:val="Emphasis"/>
          <w:highlight w:val="cyan"/>
        </w:rPr>
        <w:t>the financial system</w:t>
      </w:r>
      <w:r w:rsidRPr="00684BF3">
        <w:rPr>
          <w:rStyle w:val="StyleUnderline"/>
        </w:rPr>
        <w:t xml:space="preserve">; societal cohesion; </w:t>
      </w:r>
      <w:r w:rsidRPr="00456038">
        <w:rPr>
          <w:rStyle w:val="Emphasis"/>
          <w:highlight w:val="cyan"/>
        </w:rPr>
        <w:t>supply-chains</w:t>
      </w:r>
      <w:r w:rsidRPr="00684BF3">
        <w:rPr>
          <w:rStyle w:val="StyleUnderline"/>
        </w:rPr>
        <w:t xml:space="preserve">, </w:t>
      </w:r>
      <w:r w:rsidRPr="00456038">
        <w:rPr>
          <w:rStyle w:val="StyleUnderline"/>
          <w:highlight w:val="cyan"/>
        </w:rPr>
        <w:t>and</w:t>
      </w:r>
      <w:r w:rsidRPr="00684BF3">
        <w:rPr>
          <w:sz w:val="16"/>
        </w:rPr>
        <w:t xml:space="preserve"> environmental </w:t>
      </w:r>
      <w:r w:rsidRPr="00456038">
        <w:rPr>
          <w:rStyle w:val="Emphasis"/>
          <w:highlight w:val="cyan"/>
        </w:rPr>
        <w:t>inputs</w:t>
      </w:r>
      <w:r w:rsidRPr="00684BF3">
        <w:rPr>
          <w:sz w:val="16"/>
        </w:rPr>
        <w:t xml:space="preserve"> (food, oil, water etc.). These are also interdependent with each other, </w:t>
      </w:r>
      <w:r w:rsidRPr="00456038">
        <w:rPr>
          <w:rStyle w:val="Emphasis"/>
          <w:highlight w:val="cyan"/>
        </w:rPr>
        <w:t>if you remove</w:t>
      </w:r>
      <w:r w:rsidRPr="00684BF3">
        <w:rPr>
          <w:rStyle w:val="StyleUnderline"/>
        </w:rPr>
        <w:t xml:space="preserve"> any </w:t>
      </w:r>
      <w:r w:rsidRPr="00456038">
        <w:rPr>
          <w:rStyle w:val="Emphasis"/>
          <w:highlight w:val="cyan"/>
        </w:rPr>
        <w:t>one</w:t>
      </w:r>
      <w:r w:rsidRPr="00684BF3">
        <w:rPr>
          <w:rStyle w:val="StyleUnderline"/>
        </w:rPr>
        <w:t xml:space="preserve"> of them, </w:t>
      </w:r>
      <w:r w:rsidRPr="00456038">
        <w:rPr>
          <w:rStyle w:val="Emphasis"/>
          <w:highlight w:val="cyan"/>
        </w:rPr>
        <w:t>the others</w:t>
      </w:r>
      <w:r w:rsidRPr="00456038">
        <w:rPr>
          <w:rStyle w:val="StyleUnderline"/>
          <w:highlight w:val="cyan"/>
        </w:rPr>
        <w:t xml:space="preserve"> will </w:t>
      </w:r>
      <w:r w:rsidRPr="00456038">
        <w:rPr>
          <w:rStyle w:val="Emphasis"/>
          <w:highlight w:val="cyan"/>
        </w:rPr>
        <w:t>topple</w:t>
      </w:r>
      <w:r w:rsidRPr="00684BF3">
        <w:rPr>
          <w:sz w:val="16"/>
        </w:rPr>
        <w:t>.</w:t>
      </w:r>
      <w:r>
        <w:rPr>
          <w:sz w:val="16"/>
        </w:rPr>
        <w:t xml:space="preserve"> </w:t>
      </w:r>
      <w:r w:rsidRPr="00684BF3">
        <w:rPr>
          <w:sz w:val="16"/>
        </w:rPr>
        <w:t xml:space="preserve"> </w:t>
      </w:r>
      <w:r w:rsidRPr="00684BF3">
        <w:rPr>
          <w:rStyle w:val="StyleUnderline"/>
        </w:rPr>
        <w:t>This allows us to see</w:t>
      </w:r>
      <w:r w:rsidRPr="00684BF3">
        <w:rPr>
          <w:sz w:val="16"/>
        </w:rPr>
        <w:t xml:space="preserve"> other </w:t>
      </w:r>
      <w:r w:rsidRPr="00684BF3">
        <w:rPr>
          <w:rStyle w:val="Emphasis"/>
        </w:rPr>
        <w:t>paths toward systemic failure</w:t>
      </w:r>
      <w:r w:rsidRPr="00684BF3">
        <w:rPr>
          <w:sz w:val="16"/>
        </w:rPr>
        <w:t>.</w:t>
      </w:r>
    </w:p>
    <w:p w14:paraId="0A60836A" w14:textId="77777777" w:rsidR="00586EDF" w:rsidRPr="00684BF3" w:rsidRDefault="00586EDF" w:rsidP="00586EDF">
      <w:pPr>
        <w:rPr>
          <w:sz w:val="16"/>
          <w:szCs w:val="16"/>
        </w:rPr>
      </w:pPr>
      <w:r w:rsidRPr="00684BF3">
        <w:rPr>
          <w:sz w:val="16"/>
          <w:szCs w:val="16"/>
        </w:rPr>
        <w:t>A severe solar storm, natural disaster, or a major physical-cyber-attack on the grid provides one avenue to large-scale critical infrastructure failure. The President’s National Infrastructure Advisory Council 2018 report</w:t>
      </w:r>
      <w:hyperlink r:id="rId116" w:anchor="_edn5" w:history="1">
        <w:r w:rsidRPr="00684BF3">
          <w:rPr>
            <w:rStyle w:val="Hyperlink"/>
            <w:sz w:val="16"/>
            <w:szCs w:val="16"/>
          </w:rPr>
          <w:t>[v]</w:t>
        </w:r>
      </w:hyperlink>
      <w:r>
        <w:rPr>
          <w:sz w:val="16"/>
          <w:szCs w:val="16"/>
        </w:rPr>
        <w:t xml:space="preserve"> </w:t>
      </w:r>
      <w:r w:rsidRPr="00684BF3">
        <w:rPr>
          <w:sz w:val="16"/>
          <w:szCs w:val="16"/>
        </w:rPr>
        <w:t>examined the United States preparedness for a prolonged wide-area catastrophic power outage. Again, it would undermine societal integration and lifeline operations. Depending upon the centrality of the impacted region/ networks to global systems integration, it could drive global process contagion and systemic failure. Growing international tensions are therefore adding to this risk. A massive cyber-attack or war between parties with high global centrality becomes everybody’s problem- even the toe is in trouble if the heart goes to war with the liver.</w:t>
      </w:r>
    </w:p>
    <w:p w14:paraId="339E30CE" w14:textId="77777777" w:rsidR="00586EDF" w:rsidRPr="00684BF3" w:rsidRDefault="00586EDF" w:rsidP="00586EDF">
      <w:pPr>
        <w:rPr>
          <w:sz w:val="16"/>
        </w:rPr>
      </w:pPr>
      <w:r w:rsidRPr="00456038">
        <w:rPr>
          <w:rStyle w:val="StyleUnderline"/>
          <w:highlight w:val="cyan"/>
        </w:rPr>
        <w:t>The</w:t>
      </w:r>
      <w:r w:rsidRPr="00684BF3">
        <w:rPr>
          <w:rStyle w:val="StyleUnderline"/>
        </w:rPr>
        <w:t xml:space="preserve"> global </w:t>
      </w:r>
      <w:r w:rsidRPr="00456038">
        <w:rPr>
          <w:rStyle w:val="Emphasis"/>
          <w:highlight w:val="cyan"/>
        </w:rPr>
        <w:t>financial system is</w:t>
      </w:r>
      <w:r w:rsidRPr="00684BF3">
        <w:rPr>
          <w:sz w:val="16"/>
        </w:rPr>
        <w:t xml:space="preserve"> also </w:t>
      </w:r>
      <w:r w:rsidRPr="00456038">
        <w:rPr>
          <w:rStyle w:val="StyleUnderline"/>
          <w:highlight w:val="cyan"/>
        </w:rPr>
        <w:t>a</w:t>
      </w:r>
      <w:r w:rsidRPr="00684BF3">
        <w:rPr>
          <w:rStyle w:val="StyleUnderline"/>
        </w:rPr>
        <w:t xml:space="preserve">n increasing </w:t>
      </w:r>
      <w:r w:rsidRPr="00456038">
        <w:rPr>
          <w:rStyle w:val="Emphasis"/>
          <w:highlight w:val="cyan"/>
        </w:rPr>
        <w:t>source of catastrophic risk</w:t>
      </w:r>
      <w:r w:rsidRPr="00684BF3">
        <w:rPr>
          <w:sz w:val="16"/>
        </w:rPr>
        <w:t xml:space="preserve">, </w:t>
      </w:r>
      <w:r w:rsidRPr="00684BF3">
        <w:rPr>
          <w:rStyle w:val="StyleUnderline"/>
        </w:rPr>
        <w:t>it’s the operating system for</w:t>
      </w:r>
      <w:r w:rsidRPr="00684BF3">
        <w:rPr>
          <w:sz w:val="16"/>
        </w:rPr>
        <w:t xml:space="preserve"> the flow of </w:t>
      </w:r>
      <w:r w:rsidRPr="00684BF3">
        <w:rPr>
          <w:rStyle w:val="StyleUnderline"/>
        </w:rPr>
        <w:t>goods and services</w:t>
      </w:r>
      <w:r w:rsidRPr="00684BF3">
        <w:rPr>
          <w:sz w:val="16"/>
        </w:rPr>
        <w:t xml:space="preserve">. </w:t>
      </w:r>
      <w:r w:rsidRPr="00684BF3">
        <w:rPr>
          <w:rStyle w:val="StyleUnderline"/>
        </w:rPr>
        <w:t>It is</w:t>
      </w:r>
      <w:r w:rsidRPr="00684BF3">
        <w:rPr>
          <w:sz w:val="16"/>
        </w:rPr>
        <w:t xml:space="preserve"> massively </w:t>
      </w:r>
      <w:r w:rsidRPr="00684BF3">
        <w:rPr>
          <w:rStyle w:val="StyleUnderline"/>
        </w:rPr>
        <w:t>overindebted</w:t>
      </w:r>
      <w:r w:rsidRPr="00684BF3">
        <w:rPr>
          <w:sz w:val="16"/>
        </w:rPr>
        <w:t xml:space="preserve"> (there are far more claims on future economic growth than can ever be delivered) </w:t>
      </w:r>
      <w:r w:rsidRPr="00684BF3">
        <w:rPr>
          <w:rStyle w:val="StyleUnderline"/>
        </w:rPr>
        <w:t xml:space="preserve">and </w:t>
      </w:r>
      <w:r w:rsidRPr="00456038">
        <w:rPr>
          <w:rStyle w:val="Emphasis"/>
          <w:highlight w:val="cyan"/>
        </w:rPr>
        <w:t>it is losing resilience</w:t>
      </w:r>
      <w:r w:rsidRPr="00684BF3">
        <w:rPr>
          <w:sz w:val="16"/>
        </w:rPr>
        <w:t xml:space="preserve"> as </w:t>
      </w:r>
      <w:r w:rsidRPr="00684BF3">
        <w:rPr>
          <w:rStyle w:val="StyleUnderline"/>
        </w:rPr>
        <w:t>monetary policy becomes less effective</w:t>
      </w:r>
      <w:r w:rsidRPr="00684BF3">
        <w:rPr>
          <w:sz w:val="16"/>
        </w:rPr>
        <w:t xml:space="preserve">, and polarization within countries and discord between them intensifies. Indeed, </w:t>
      </w:r>
      <w:r w:rsidRPr="00684BF3">
        <w:rPr>
          <w:rStyle w:val="StyleUnderline"/>
        </w:rPr>
        <w:t>this is what is increasing</w:t>
      </w:r>
      <w:r w:rsidRPr="00684BF3">
        <w:rPr>
          <w:sz w:val="16"/>
        </w:rPr>
        <w:t xml:space="preserve"> general </w:t>
      </w:r>
      <w:r w:rsidRPr="00684BF3">
        <w:rPr>
          <w:rStyle w:val="StyleUnderline"/>
        </w:rPr>
        <w:t>vulnerability to supply-chain contagion from a pandemic</w:t>
      </w:r>
      <w:r w:rsidRPr="00684BF3">
        <w:rPr>
          <w:sz w:val="16"/>
        </w:rPr>
        <w:t xml:space="preserve"> or other catastrophic shock. </w:t>
      </w:r>
      <w:r w:rsidRPr="00684BF3">
        <w:rPr>
          <w:rStyle w:val="StyleUnderline"/>
        </w:rPr>
        <w:t>It now faces the convergence of</w:t>
      </w:r>
      <w:r w:rsidRPr="00684BF3">
        <w:rPr>
          <w:sz w:val="16"/>
        </w:rPr>
        <w:t xml:space="preserve"> growing climate change and </w:t>
      </w:r>
      <w:r w:rsidRPr="00684BF3">
        <w:rPr>
          <w:rStyle w:val="StyleUnderline"/>
        </w:rPr>
        <w:t>environment</w:t>
      </w:r>
      <w:r w:rsidRPr="00684BF3">
        <w:rPr>
          <w:sz w:val="16"/>
        </w:rPr>
        <w:t xml:space="preserve"> related </w:t>
      </w:r>
      <w:r w:rsidRPr="00684BF3">
        <w:rPr>
          <w:rStyle w:val="StyleUnderline"/>
        </w:rPr>
        <w:t>impacts</w:t>
      </w:r>
      <w:r w:rsidRPr="00684BF3">
        <w:rPr>
          <w:sz w:val="16"/>
        </w:rPr>
        <w:t xml:space="preserve">, multi-dimensional </w:t>
      </w:r>
      <w:r w:rsidRPr="00684BF3">
        <w:rPr>
          <w:rStyle w:val="StyleUnderline"/>
        </w:rPr>
        <w:t xml:space="preserve">threats to </w:t>
      </w:r>
      <w:r w:rsidRPr="00684BF3">
        <w:rPr>
          <w:rStyle w:val="Emphasis"/>
        </w:rPr>
        <w:t>food security</w:t>
      </w:r>
      <w:r w:rsidRPr="00684BF3">
        <w:rPr>
          <w:sz w:val="16"/>
        </w:rPr>
        <w:t xml:space="preserve">, potential </w:t>
      </w:r>
      <w:r w:rsidRPr="00684BF3">
        <w:rPr>
          <w:rStyle w:val="StyleUnderline"/>
        </w:rPr>
        <w:t xml:space="preserve">critical </w:t>
      </w:r>
      <w:r w:rsidRPr="00684BF3">
        <w:rPr>
          <w:rStyle w:val="Emphasis"/>
        </w:rPr>
        <w:t>resource constraints</w:t>
      </w:r>
      <w:r w:rsidRPr="00684BF3">
        <w:rPr>
          <w:sz w:val="16"/>
        </w:rPr>
        <w:t xml:space="preserve">, and the </w:t>
      </w:r>
      <w:r w:rsidRPr="00684BF3">
        <w:rPr>
          <w:rStyle w:val="Emphasis"/>
        </w:rPr>
        <w:t>feedback of those stressors</w:t>
      </w:r>
      <w:r w:rsidRPr="00684BF3">
        <w:rPr>
          <w:rStyle w:val="StyleUnderline"/>
        </w:rPr>
        <w:t xml:space="preserve"> on socio-political stability and conflict</w:t>
      </w:r>
      <w:r w:rsidRPr="00684BF3">
        <w:rPr>
          <w:sz w:val="16"/>
        </w:rPr>
        <w:t xml:space="preserve">. </w:t>
      </w:r>
      <w:r w:rsidRPr="00684BF3">
        <w:rPr>
          <w:rStyle w:val="Emphasis"/>
        </w:rPr>
        <w:t>A</w:t>
      </w:r>
      <w:r w:rsidRPr="00684BF3">
        <w:rPr>
          <w:rStyle w:val="StyleUnderline"/>
        </w:rPr>
        <w:t xml:space="preserve"> global </w:t>
      </w:r>
      <w:r w:rsidRPr="00684BF3">
        <w:rPr>
          <w:rStyle w:val="Emphasis"/>
        </w:rPr>
        <w:t>financial system collapse</w:t>
      </w:r>
      <w:r w:rsidRPr="00684BF3">
        <w:rPr>
          <w:rStyle w:val="StyleUnderline"/>
        </w:rPr>
        <w:t xml:space="preserve"> would be</w:t>
      </w:r>
      <w:r w:rsidRPr="00684BF3">
        <w:rPr>
          <w:sz w:val="16"/>
        </w:rPr>
        <w:t xml:space="preserve"> </w:t>
      </w:r>
      <w:r w:rsidRPr="00684BF3">
        <w:rPr>
          <w:rStyle w:val="StyleUnderline"/>
        </w:rPr>
        <w:t>similar to a catastrophic pandemic collapse</w:t>
      </w:r>
      <w:r w:rsidRPr="00684BF3">
        <w:rPr>
          <w:sz w:val="16"/>
        </w:rPr>
        <w:t>, just an inversion of the initiating shock- a financial-system supply-chain cross-contagion.</w:t>
      </w:r>
    </w:p>
    <w:p w14:paraId="56C32A9F" w14:textId="77777777" w:rsidR="00586EDF" w:rsidRPr="00684BF3" w:rsidRDefault="00586EDF" w:rsidP="00586EDF">
      <w:pPr>
        <w:rPr>
          <w:sz w:val="16"/>
        </w:rPr>
      </w:pPr>
      <w:r w:rsidRPr="00684BF3">
        <w:rPr>
          <w:rStyle w:val="StyleUnderline"/>
        </w:rPr>
        <w:t>Pandemic risk is</w:t>
      </w:r>
      <w:r w:rsidRPr="00684BF3">
        <w:rPr>
          <w:sz w:val="16"/>
        </w:rPr>
        <w:t xml:space="preserve"> also </w:t>
      </w:r>
      <w:r w:rsidRPr="00684BF3">
        <w:rPr>
          <w:rStyle w:val="StyleUnderline"/>
        </w:rPr>
        <w:t>growing</w:t>
      </w:r>
      <w:r w:rsidRPr="00684BF3">
        <w:rPr>
          <w:sz w:val="16"/>
        </w:rPr>
        <w:t xml:space="preserve">. </w:t>
      </w:r>
      <w:r w:rsidRPr="00684BF3">
        <w:rPr>
          <w:rStyle w:val="Emphasis"/>
        </w:rPr>
        <w:t>It may not be COVID</w:t>
      </w:r>
      <w:r w:rsidRPr="00684BF3">
        <w:rPr>
          <w:sz w:val="16"/>
        </w:rPr>
        <w:t xml:space="preserve">-19 </w:t>
      </w:r>
      <w:r w:rsidRPr="00684BF3">
        <w:rPr>
          <w:rStyle w:val="StyleUnderline"/>
        </w:rPr>
        <w:t>but</w:t>
      </w:r>
      <w:r w:rsidRPr="00684BF3">
        <w:rPr>
          <w:sz w:val="16"/>
        </w:rPr>
        <w:t xml:space="preserve"> someday, somewhere, a virus with high infectivity and virulence will emerge with potentially catastrophic consequences for our species. Urbanization, a large-scale animal food industry, intensive transportation networks, advances in widely accessible biotechnology, our increasing incursion into animal habitats, the expanding impacts of climate and environmental change, and </w:t>
      </w:r>
      <w:r w:rsidRPr="00684BF3">
        <w:rPr>
          <w:rStyle w:val="StyleUnderline"/>
        </w:rPr>
        <w:t>the</w:t>
      </w:r>
      <w:r w:rsidRPr="00684BF3">
        <w:rPr>
          <w:sz w:val="16"/>
        </w:rPr>
        <w:t xml:space="preserve"> </w:t>
      </w:r>
      <w:r w:rsidRPr="00684BF3">
        <w:rPr>
          <w:rStyle w:val="StyleUnderline"/>
        </w:rPr>
        <w:t>growing likelihood of socio-political instability are increasing</w:t>
      </w:r>
      <w:r w:rsidRPr="00684BF3">
        <w:rPr>
          <w:sz w:val="16"/>
        </w:rPr>
        <w:t xml:space="preserve"> the likelihood of such an emergence.</w:t>
      </w:r>
    </w:p>
    <w:p w14:paraId="18470329" w14:textId="77777777" w:rsidR="00586EDF" w:rsidRPr="00684BF3" w:rsidRDefault="00586EDF" w:rsidP="00586EDF">
      <w:pPr>
        <w:rPr>
          <w:sz w:val="16"/>
          <w:szCs w:val="16"/>
        </w:rPr>
      </w:pPr>
      <w:r w:rsidRPr="00684BF3">
        <w:rPr>
          <w:sz w:val="16"/>
          <w:szCs w:val="16"/>
        </w:rPr>
        <w:t>The Age of Destabilization</w:t>
      </w:r>
    </w:p>
    <w:p w14:paraId="7750F6DC" w14:textId="77777777" w:rsidR="00586EDF" w:rsidRPr="00684BF3" w:rsidRDefault="00586EDF" w:rsidP="00586EDF">
      <w:pPr>
        <w:rPr>
          <w:sz w:val="16"/>
        </w:rPr>
      </w:pPr>
      <w:r w:rsidRPr="00684BF3">
        <w:rPr>
          <w:sz w:val="16"/>
        </w:rPr>
        <w:t xml:space="preserve">The </w:t>
      </w:r>
      <w:r w:rsidRPr="00456038">
        <w:rPr>
          <w:rStyle w:val="Emphasis"/>
          <w:highlight w:val="cyan"/>
        </w:rPr>
        <w:t>recovery from</w:t>
      </w:r>
      <w:r w:rsidRPr="00684BF3">
        <w:rPr>
          <w:sz w:val="16"/>
        </w:rPr>
        <w:t xml:space="preserve"> the </w:t>
      </w:r>
      <w:r w:rsidRPr="00456038">
        <w:rPr>
          <w:rStyle w:val="Emphasis"/>
          <w:highlight w:val="cyan"/>
        </w:rPr>
        <w:t>COVID</w:t>
      </w:r>
      <w:r w:rsidRPr="00684BF3">
        <w:rPr>
          <w:rStyle w:val="StyleUnderline"/>
        </w:rPr>
        <w:t>-19</w:t>
      </w:r>
      <w:r w:rsidRPr="00684BF3">
        <w:rPr>
          <w:sz w:val="16"/>
        </w:rPr>
        <w:t xml:space="preserve"> shock </w:t>
      </w:r>
      <w:r w:rsidRPr="00456038">
        <w:rPr>
          <w:rStyle w:val="Emphasis"/>
          <w:highlight w:val="cyan"/>
        </w:rPr>
        <w:t>will be slow</w:t>
      </w:r>
      <w:r w:rsidRPr="00684BF3">
        <w:rPr>
          <w:sz w:val="16"/>
        </w:rPr>
        <w:t xml:space="preserve">. In addition, </w:t>
      </w:r>
      <w:r w:rsidRPr="00684BF3">
        <w:rPr>
          <w:rStyle w:val="StyleUnderline"/>
        </w:rPr>
        <w:t>there is potential for further pandemic waves</w:t>
      </w:r>
      <w:r w:rsidRPr="00684BF3">
        <w:rPr>
          <w:sz w:val="16"/>
        </w:rPr>
        <w:t xml:space="preserve">. </w:t>
      </w:r>
      <w:r w:rsidRPr="00684BF3">
        <w:rPr>
          <w:rStyle w:val="StyleUnderline"/>
        </w:rPr>
        <w:t>It may also contribute to</w:t>
      </w:r>
      <w:r w:rsidRPr="00684BF3">
        <w:rPr>
          <w:sz w:val="16"/>
        </w:rPr>
        <w:t xml:space="preserve"> the generation of </w:t>
      </w:r>
      <w:r w:rsidRPr="00684BF3">
        <w:rPr>
          <w:rStyle w:val="StyleUnderline"/>
        </w:rPr>
        <w:t>new stresses and shocks later in the year.</w:t>
      </w:r>
      <w:r w:rsidRPr="00684BF3">
        <w:rPr>
          <w:sz w:val="16"/>
        </w:rPr>
        <w:t xml:space="preserve"> For example, the disruptions to agricultural production in China and elsewhere (due to COVID-19), Australia</w:t>
      </w:r>
      <w:hyperlink r:id="rId117" w:anchor="_edn6" w:history="1">
        <w:r w:rsidRPr="00684BF3">
          <w:rPr>
            <w:rStyle w:val="Hyperlink"/>
            <w:sz w:val="16"/>
          </w:rPr>
          <w:t>[vi]</w:t>
        </w:r>
      </w:hyperlink>
      <w:r>
        <w:rPr>
          <w:sz w:val="16"/>
        </w:rPr>
        <w:t xml:space="preserve"> </w:t>
      </w:r>
      <w:r w:rsidRPr="00684BF3">
        <w:rPr>
          <w:sz w:val="16"/>
        </w:rPr>
        <w:t>(drought influenced by climate change), East Africa (locust plague influenced by climate change) is more likely to be further compounded by other climate impacts as yet unrealised</w:t>
      </w:r>
      <w:hyperlink r:id="rId118" w:anchor="_edn7" w:history="1">
        <w:r w:rsidRPr="00684BF3">
          <w:rPr>
            <w:rStyle w:val="Hyperlink"/>
            <w:sz w:val="16"/>
          </w:rPr>
          <w:t>[vii]</w:t>
        </w:r>
      </w:hyperlink>
      <w:r w:rsidRPr="00684BF3">
        <w:rPr>
          <w:sz w:val="16"/>
        </w:rPr>
        <w:t>. A rise in the cost of staples on global food markets is more likely to drive social unrest and even state failure in poorer countries</w:t>
      </w:r>
      <w:hyperlink r:id="rId119" w:anchor="_edn8" w:history="1">
        <w:r w:rsidRPr="00684BF3">
          <w:rPr>
            <w:rStyle w:val="Hyperlink"/>
            <w:sz w:val="16"/>
          </w:rPr>
          <w:t>[viii]</w:t>
        </w:r>
      </w:hyperlink>
      <w:r w:rsidRPr="00684BF3">
        <w:rPr>
          <w:sz w:val="16"/>
        </w:rPr>
        <w:t xml:space="preserve">, generating new stresses through global systems. This would </w:t>
      </w:r>
      <w:r w:rsidRPr="00684BF3">
        <w:rPr>
          <w:rStyle w:val="StyleUnderline"/>
        </w:rPr>
        <w:t>increase stress</w:t>
      </w:r>
      <w:r w:rsidRPr="00684BF3">
        <w:rPr>
          <w:sz w:val="16"/>
        </w:rPr>
        <w:t xml:space="preserve"> even </w:t>
      </w:r>
      <w:r w:rsidRPr="00684BF3">
        <w:rPr>
          <w:rStyle w:val="StyleUnderline"/>
        </w:rPr>
        <w:t xml:space="preserve">in rich countries, with more of the </w:t>
      </w:r>
      <w:r w:rsidRPr="00684BF3">
        <w:rPr>
          <w:rStyle w:val="Emphasis"/>
        </w:rPr>
        <w:t>population</w:t>
      </w:r>
      <w:r w:rsidRPr="00684BF3">
        <w:rPr>
          <w:rStyle w:val="StyleUnderline"/>
        </w:rPr>
        <w:t xml:space="preserve"> struggling to get by</w:t>
      </w:r>
      <w:r w:rsidRPr="00684BF3">
        <w:rPr>
          <w:sz w:val="16"/>
        </w:rPr>
        <w:t xml:space="preserve">, and </w:t>
      </w:r>
      <w:r w:rsidRPr="00684BF3">
        <w:rPr>
          <w:rStyle w:val="Emphasis"/>
        </w:rPr>
        <w:t>feeling</w:t>
      </w:r>
      <w:r w:rsidRPr="00684BF3">
        <w:rPr>
          <w:rStyle w:val="StyleUnderline"/>
        </w:rPr>
        <w:t xml:space="preserve"> the effects of a </w:t>
      </w:r>
      <w:r w:rsidRPr="00684BF3">
        <w:rPr>
          <w:rStyle w:val="Emphasis"/>
        </w:rPr>
        <w:t>slowing global economy</w:t>
      </w:r>
      <w:r w:rsidRPr="00684BF3">
        <w:rPr>
          <w:sz w:val="16"/>
        </w:rPr>
        <w:t xml:space="preserve"> in addition </w:t>
      </w:r>
      <w:r w:rsidRPr="00684BF3">
        <w:rPr>
          <w:rStyle w:val="StyleUnderline"/>
        </w:rPr>
        <w:t>to the economic impacts of COVID-19</w:t>
      </w:r>
      <w:r w:rsidRPr="00684BF3">
        <w:rPr>
          <w:sz w:val="16"/>
        </w:rPr>
        <w:t xml:space="preserve">. It could be expected to </w:t>
      </w:r>
      <w:r w:rsidRPr="00684BF3">
        <w:rPr>
          <w:rStyle w:val="StyleUnderline"/>
        </w:rPr>
        <w:t>squeeze discretionary income, putting further pressure on economies and the financial system</w:t>
      </w:r>
      <w:r w:rsidRPr="00684BF3">
        <w:rPr>
          <w:sz w:val="16"/>
        </w:rPr>
        <w:t xml:space="preserve">, and increase social tensions. This is but one speculative path, </w:t>
      </w:r>
      <w:r w:rsidRPr="00684BF3">
        <w:rPr>
          <w:rStyle w:val="StyleUnderline"/>
        </w:rPr>
        <w:t>there are innumerable potential</w:t>
      </w:r>
      <w:r w:rsidRPr="00684BF3">
        <w:rPr>
          <w:sz w:val="16"/>
        </w:rPr>
        <w:t xml:space="preserve"> interactions and a myriad of potential tail </w:t>
      </w:r>
      <w:r w:rsidRPr="00684BF3">
        <w:rPr>
          <w:rStyle w:val="StyleUnderline"/>
        </w:rPr>
        <w:t>risks</w:t>
      </w:r>
      <w:r w:rsidRPr="00684BF3">
        <w:rPr>
          <w:sz w:val="16"/>
        </w:rPr>
        <w:t>.</w:t>
      </w:r>
    </w:p>
    <w:p w14:paraId="781B543F" w14:textId="77777777" w:rsidR="00586EDF" w:rsidRPr="00684BF3" w:rsidRDefault="00586EDF" w:rsidP="00586EDF">
      <w:pPr>
        <w:rPr>
          <w:sz w:val="16"/>
        </w:rPr>
      </w:pPr>
      <w:r w:rsidRPr="00456038">
        <w:rPr>
          <w:rStyle w:val="Emphasis"/>
          <w:highlight w:val="cyan"/>
        </w:rPr>
        <w:t>Whatever path the</w:t>
      </w:r>
      <w:r w:rsidRPr="00684BF3">
        <w:rPr>
          <w:rStyle w:val="StyleUnderline"/>
        </w:rPr>
        <w:t xml:space="preserve"> global </w:t>
      </w:r>
      <w:r w:rsidRPr="00456038">
        <w:rPr>
          <w:rStyle w:val="Emphasis"/>
          <w:highlight w:val="cyan"/>
        </w:rPr>
        <w:t>econ</w:t>
      </w:r>
      <w:r w:rsidRPr="00684BF3">
        <w:rPr>
          <w:rStyle w:val="Emphasis"/>
        </w:rPr>
        <w:t xml:space="preserve">omy </w:t>
      </w:r>
      <w:r w:rsidRPr="00456038">
        <w:rPr>
          <w:rStyle w:val="Emphasis"/>
          <w:highlight w:val="cyan"/>
        </w:rPr>
        <w:t>takes</w:t>
      </w:r>
      <w:r w:rsidRPr="00684BF3">
        <w:rPr>
          <w:sz w:val="16"/>
        </w:rPr>
        <w:t xml:space="preserve"> in the next year, </w:t>
      </w:r>
      <w:r w:rsidRPr="00456038">
        <w:rPr>
          <w:rStyle w:val="Emphasis"/>
          <w:highlight w:val="cyan"/>
        </w:rPr>
        <w:t>it will bequeath a</w:t>
      </w:r>
      <w:r w:rsidRPr="00684BF3">
        <w:rPr>
          <w:rStyle w:val="StyleUnderline"/>
        </w:rPr>
        <w:t xml:space="preserve">n even more </w:t>
      </w:r>
      <w:r w:rsidRPr="00456038">
        <w:rPr>
          <w:rStyle w:val="Emphasis"/>
          <w:highlight w:val="cyan"/>
        </w:rPr>
        <w:t>fragile</w:t>
      </w:r>
      <w:r w:rsidRPr="00684BF3">
        <w:rPr>
          <w:rStyle w:val="Emphasis"/>
        </w:rPr>
        <w:t xml:space="preserve"> economic and financial </w:t>
      </w:r>
      <w:r w:rsidRPr="00456038">
        <w:rPr>
          <w:rStyle w:val="Emphasis"/>
          <w:highlight w:val="cyan"/>
        </w:rPr>
        <w:t>system</w:t>
      </w:r>
      <w:r w:rsidRPr="00684BF3">
        <w:rPr>
          <w:rStyle w:val="StyleUnderline"/>
        </w:rPr>
        <w:t xml:space="preserve"> that is already </w:t>
      </w:r>
      <w:r w:rsidRPr="00684BF3">
        <w:rPr>
          <w:rStyle w:val="Emphasis"/>
        </w:rPr>
        <w:t>facing mounting risks</w:t>
      </w:r>
      <w:r w:rsidRPr="00684BF3">
        <w:rPr>
          <w:sz w:val="16"/>
        </w:rPr>
        <w:t xml:space="preserve"> from climate change related impacts</w:t>
      </w:r>
      <w:hyperlink r:id="rId120" w:anchor="_edn9" w:history="1">
        <w:r w:rsidRPr="00684BF3">
          <w:rPr>
            <w:rStyle w:val="Hyperlink"/>
            <w:sz w:val="16"/>
          </w:rPr>
          <w:t>[ix]</w:t>
        </w:r>
      </w:hyperlink>
      <w:r w:rsidRPr="00684BF3">
        <w:rPr>
          <w:sz w:val="16"/>
        </w:rPr>
        <w:t>. There are increasing risks to global food production with many drivers in addition to climate change</w:t>
      </w:r>
      <w:hyperlink r:id="rId121" w:anchor="_edn10" w:history="1">
        <w:r w:rsidRPr="00684BF3">
          <w:rPr>
            <w:rStyle w:val="Hyperlink"/>
            <w:sz w:val="16"/>
          </w:rPr>
          <w:t>[x]</w:t>
        </w:r>
      </w:hyperlink>
      <w:r w:rsidRPr="00684BF3">
        <w:rPr>
          <w:sz w:val="16"/>
        </w:rPr>
        <w:t xml:space="preserve">. </w:t>
      </w:r>
      <w:r w:rsidRPr="00684BF3">
        <w:rPr>
          <w:rStyle w:val="StyleUnderline"/>
        </w:rPr>
        <w:t>The multi-dimensional impacts</w:t>
      </w:r>
      <w:r w:rsidRPr="00684BF3">
        <w:rPr>
          <w:sz w:val="16"/>
        </w:rPr>
        <w:t xml:space="preserve"> of declining biodiversity </w:t>
      </w:r>
      <w:r w:rsidRPr="00684BF3">
        <w:rPr>
          <w:rStyle w:val="StyleUnderline"/>
        </w:rPr>
        <w:t>to socio-economic stability are accelerating</w:t>
      </w:r>
      <w:hyperlink r:id="rId122" w:anchor="_edn11" w:history="1">
        <w:r w:rsidRPr="00684BF3">
          <w:rPr>
            <w:rStyle w:val="Hyperlink"/>
            <w:sz w:val="16"/>
          </w:rPr>
          <w:t>[xi]</w:t>
        </w:r>
      </w:hyperlink>
      <w:r w:rsidRPr="00684BF3">
        <w:rPr>
          <w:sz w:val="16"/>
        </w:rPr>
        <w:t>. The security impacts of climate change are growing</w:t>
      </w:r>
      <w:hyperlink r:id="rId123" w:anchor="_edn12" w:history="1">
        <w:r w:rsidRPr="00684BF3">
          <w:rPr>
            <w:rStyle w:val="Hyperlink"/>
            <w:sz w:val="16"/>
          </w:rPr>
          <w:t>[xii]</w:t>
        </w:r>
      </w:hyperlink>
      <w:r w:rsidRPr="00684BF3">
        <w:rPr>
          <w:sz w:val="16"/>
        </w:rPr>
        <w:t>, while societal polarization and loss of trust continues</w:t>
      </w:r>
      <w:hyperlink r:id="rId124" w:anchor="_edn13" w:history="1">
        <w:r w:rsidRPr="00684BF3">
          <w:rPr>
            <w:rStyle w:val="Hyperlink"/>
            <w:sz w:val="16"/>
          </w:rPr>
          <w:t>[xiii]</w:t>
        </w:r>
      </w:hyperlink>
      <w:r w:rsidRPr="00684BF3">
        <w:rPr>
          <w:sz w:val="16"/>
        </w:rPr>
        <w:t xml:space="preserve">. Though receiving little attention and much misunderstood, </w:t>
      </w:r>
      <w:r w:rsidRPr="00684BF3">
        <w:rPr>
          <w:rStyle w:val="StyleUnderline"/>
        </w:rPr>
        <w:t>there are major reasons to be concerned about the ability to sustain</w:t>
      </w:r>
      <w:r w:rsidRPr="00684BF3">
        <w:rPr>
          <w:sz w:val="16"/>
        </w:rPr>
        <w:t xml:space="preserve"> affordable </w:t>
      </w:r>
      <w:r w:rsidRPr="00684BF3">
        <w:rPr>
          <w:rStyle w:val="StyleUnderline"/>
        </w:rPr>
        <w:t>oil production</w:t>
      </w:r>
      <w:hyperlink r:id="rId125" w:anchor="_edn14" w:history="1">
        <w:r w:rsidRPr="00684BF3">
          <w:rPr>
            <w:rStyle w:val="Hyperlink"/>
            <w:sz w:val="16"/>
          </w:rPr>
          <w:t>[xiv]</w:t>
        </w:r>
      </w:hyperlink>
      <w:r w:rsidRPr="00684BF3">
        <w:rPr>
          <w:sz w:val="16"/>
        </w:rPr>
        <w:t>.</w:t>
      </w:r>
    </w:p>
    <w:p w14:paraId="4B7BFEAE" w14:textId="77777777" w:rsidR="00586EDF" w:rsidRPr="00684BF3" w:rsidRDefault="00586EDF" w:rsidP="00586EDF">
      <w:pPr>
        <w:rPr>
          <w:sz w:val="16"/>
        </w:rPr>
      </w:pPr>
      <w:r w:rsidRPr="00684BF3">
        <w:rPr>
          <w:sz w:val="16"/>
        </w:rPr>
        <w:t xml:space="preserve">Food, oil, water, </w:t>
      </w:r>
      <w:r w:rsidRPr="00456038">
        <w:rPr>
          <w:rStyle w:val="StyleUnderline"/>
          <w:highlight w:val="cyan"/>
        </w:rPr>
        <w:t xml:space="preserve">a </w:t>
      </w:r>
      <w:r w:rsidRPr="00456038">
        <w:rPr>
          <w:rStyle w:val="Emphasis"/>
          <w:highlight w:val="cyan"/>
        </w:rPr>
        <w:t>functioning financial system</w:t>
      </w:r>
      <w:r w:rsidRPr="00684BF3">
        <w:rPr>
          <w:sz w:val="16"/>
        </w:rPr>
        <w:t xml:space="preserve">, a stable environment for societal infrastructures (relative to the conditions in which they evolved), </w:t>
      </w:r>
      <w:r w:rsidRPr="00684BF3">
        <w:rPr>
          <w:rStyle w:val="StyleUnderline"/>
        </w:rPr>
        <w:t>and large-scale societal cooperation are</w:t>
      </w:r>
      <w:r w:rsidRPr="00684BF3">
        <w:rPr>
          <w:sz w:val="16"/>
        </w:rPr>
        <w:t xml:space="preserve"> individually </w:t>
      </w:r>
      <w:r w:rsidRPr="00456038">
        <w:rPr>
          <w:rStyle w:val="Emphasis"/>
          <w:highlight w:val="cyan"/>
        </w:rPr>
        <w:t>critical for</w:t>
      </w:r>
      <w:r w:rsidRPr="00684BF3">
        <w:rPr>
          <w:rStyle w:val="StyleUnderline"/>
        </w:rPr>
        <w:t xml:space="preserve"> the </w:t>
      </w:r>
      <w:r w:rsidRPr="00456038">
        <w:rPr>
          <w:rStyle w:val="Emphasis"/>
          <w:highlight w:val="cyan"/>
        </w:rPr>
        <w:t>stability</w:t>
      </w:r>
      <w:r w:rsidRPr="00684BF3">
        <w:rPr>
          <w:rStyle w:val="Emphasis"/>
        </w:rPr>
        <w:t xml:space="preserve"> of global</w:t>
      </w:r>
      <w:r w:rsidRPr="00684BF3">
        <w:rPr>
          <w:rStyle w:val="StyleUnderline"/>
        </w:rPr>
        <w:t xml:space="preserve"> systems </w:t>
      </w:r>
      <w:r w:rsidRPr="00684BF3">
        <w:rPr>
          <w:rStyle w:val="Emphasis"/>
        </w:rPr>
        <w:t>integration</w:t>
      </w:r>
      <w:r w:rsidRPr="00684BF3">
        <w:rPr>
          <w:sz w:val="16"/>
        </w:rPr>
        <w:t xml:space="preserve">. We are seeing intensifying stresses on all fronts. </w:t>
      </w:r>
      <w:r w:rsidRPr="00684BF3">
        <w:rPr>
          <w:rStyle w:val="StyleUnderline"/>
        </w:rPr>
        <w:t>Further</w:t>
      </w:r>
      <w:r w:rsidRPr="00684BF3">
        <w:rPr>
          <w:sz w:val="16"/>
        </w:rPr>
        <w:t xml:space="preserve">, </w:t>
      </w:r>
      <w:r w:rsidRPr="00684BF3">
        <w:rPr>
          <w:rStyle w:val="Emphasis"/>
        </w:rPr>
        <w:t>stresses</w:t>
      </w:r>
      <w:r w:rsidRPr="00684BF3">
        <w:rPr>
          <w:sz w:val="16"/>
        </w:rPr>
        <w:t xml:space="preserve"> in each will tend to further </w:t>
      </w:r>
      <w:r w:rsidRPr="00684BF3">
        <w:rPr>
          <w:rStyle w:val="Emphasis"/>
        </w:rPr>
        <w:t>increase pressures</w:t>
      </w:r>
      <w:r w:rsidRPr="00684BF3">
        <w:rPr>
          <w:rStyle w:val="StyleUnderline"/>
        </w:rPr>
        <w:t xml:space="preserve"> on the others</w:t>
      </w:r>
      <w:r w:rsidRPr="00684BF3">
        <w:rPr>
          <w:sz w:val="16"/>
        </w:rPr>
        <w:t>.</w:t>
      </w:r>
    </w:p>
    <w:p w14:paraId="6EE6348C" w14:textId="77777777" w:rsidR="00586EDF" w:rsidRPr="00684BF3" w:rsidRDefault="00586EDF" w:rsidP="00586EDF">
      <w:pPr>
        <w:rPr>
          <w:sz w:val="16"/>
        </w:rPr>
      </w:pPr>
      <w:r w:rsidRPr="00684BF3">
        <w:rPr>
          <w:sz w:val="16"/>
        </w:rPr>
        <w:t xml:space="preserve">These </w:t>
      </w:r>
      <w:r w:rsidRPr="00684BF3">
        <w:rPr>
          <w:rStyle w:val="Emphasis"/>
        </w:rPr>
        <w:t>stressors</w:t>
      </w:r>
      <w:r w:rsidRPr="00684BF3">
        <w:rPr>
          <w:rStyle w:val="StyleUnderline"/>
        </w:rPr>
        <w:t xml:space="preserve"> are </w:t>
      </w:r>
      <w:r w:rsidRPr="00684BF3">
        <w:rPr>
          <w:rStyle w:val="Emphasis"/>
        </w:rPr>
        <w:t>intensifying</w:t>
      </w:r>
      <w:r w:rsidRPr="00684BF3">
        <w:rPr>
          <w:sz w:val="16"/>
        </w:rPr>
        <w:t xml:space="preserve"> their interactions </w:t>
      </w:r>
      <w:r w:rsidRPr="00684BF3">
        <w:rPr>
          <w:rStyle w:val="StyleUnderline"/>
        </w:rPr>
        <w:t>through</w:t>
      </w:r>
      <w:r w:rsidRPr="00684BF3">
        <w:rPr>
          <w:sz w:val="16"/>
        </w:rPr>
        <w:t xml:space="preserve"> increasingly </w:t>
      </w:r>
      <w:r w:rsidRPr="00684BF3">
        <w:rPr>
          <w:rStyle w:val="Emphasis"/>
        </w:rPr>
        <w:t>vulnerable</w:t>
      </w:r>
      <w:r w:rsidRPr="00684BF3">
        <w:rPr>
          <w:rStyle w:val="StyleUnderline"/>
        </w:rPr>
        <w:t xml:space="preserve"> civilizational </w:t>
      </w:r>
      <w:r w:rsidRPr="00684BF3">
        <w:rPr>
          <w:rStyle w:val="Emphasis"/>
        </w:rPr>
        <w:t>networks</w:t>
      </w:r>
      <w:r w:rsidRPr="00684BF3">
        <w:rPr>
          <w:sz w:val="16"/>
        </w:rPr>
        <w:t xml:space="preserve">. </w:t>
      </w:r>
      <w:r w:rsidRPr="00684BF3">
        <w:rPr>
          <w:rStyle w:val="Emphasis"/>
        </w:rPr>
        <w:t>Society</w:t>
      </w:r>
      <w:r w:rsidRPr="00684BF3">
        <w:rPr>
          <w:rStyle w:val="StyleUnderline"/>
        </w:rPr>
        <w:t>, locked into</w:t>
      </w:r>
      <w:r w:rsidRPr="00684BF3">
        <w:rPr>
          <w:sz w:val="16"/>
        </w:rPr>
        <w:t xml:space="preserve"> systems of </w:t>
      </w:r>
      <w:r w:rsidRPr="00684BF3">
        <w:rPr>
          <w:rStyle w:val="StyleUnderline"/>
        </w:rPr>
        <w:t>dependency</w:t>
      </w:r>
      <w:r w:rsidRPr="00684BF3">
        <w:rPr>
          <w:sz w:val="16"/>
        </w:rPr>
        <w:t xml:space="preserve"> adaptive to system stability </w:t>
      </w:r>
      <w:r w:rsidRPr="00684BF3">
        <w:rPr>
          <w:rStyle w:val="Emphasis"/>
        </w:rPr>
        <w:t>with</w:t>
      </w:r>
      <w:r w:rsidRPr="00684BF3">
        <w:rPr>
          <w:sz w:val="16"/>
        </w:rPr>
        <w:t xml:space="preserve"> correspondingly </w:t>
      </w:r>
      <w:r w:rsidRPr="00456038">
        <w:rPr>
          <w:rStyle w:val="Emphasis"/>
          <w:highlight w:val="cyan"/>
        </w:rPr>
        <w:t>low resilience</w:t>
      </w:r>
      <w:r w:rsidRPr="00456038">
        <w:rPr>
          <w:rStyle w:val="StyleUnderline"/>
          <w:highlight w:val="cyan"/>
        </w:rPr>
        <w:t xml:space="preserve">, is </w:t>
      </w:r>
      <w:r w:rsidRPr="00456038">
        <w:rPr>
          <w:rStyle w:val="Emphasis"/>
          <w:highlight w:val="cyan"/>
        </w:rPr>
        <w:t>vulnerable</w:t>
      </w:r>
      <w:r w:rsidRPr="00456038">
        <w:rPr>
          <w:rStyle w:val="StyleUnderline"/>
          <w:highlight w:val="cyan"/>
        </w:rPr>
        <w:t xml:space="preserve"> to </w:t>
      </w:r>
      <w:r w:rsidRPr="00456038">
        <w:rPr>
          <w:rStyle w:val="Emphasis"/>
          <w:highlight w:val="cyan"/>
        </w:rPr>
        <w:t>Liebig’s Law</w:t>
      </w:r>
      <w:r w:rsidRPr="00684BF3">
        <w:rPr>
          <w:sz w:val="16"/>
        </w:rPr>
        <w:t xml:space="preserve">. In such an environment, </w:t>
      </w:r>
      <w:r w:rsidRPr="00456038">
        <w:rPr>
          <w:rStyle w:val="Emphasis"/>
          <w:highlight w:val="cyan"/>
        </w:rPr>
        <w:t>economic growth</w:t>
      </w:r>
      <w:r w:rsidRPr="00456038">
        <w:rPr>
          <w:rStyle w:val="StyleUnderline"/>
          <w:highlight w:val="cyan"/>
        </w:rPr>
        <w:t xml:space="preserve"> is</w:t>
      </w:r>
      <w:r w:rsidRPr="00684BF3">
        <w:rPr>
          <w:rStyle w:val="StyleUnderline"/>
        </w:rPr>
        <w:t xml:space="preserve"> persistently </w:t>
      </w:r>
      <w:r w:rsidRPr="00456038">
        <w:rPr>
          <w:rStyle w:val="Emphasis"/>
          <w:highlight w:val="cyan"/>
        </w:rPr>
        <w:t>undermined</w:t>
      </w:r>
      <w:r w:rsidRPr="00684BF3">
        <w:rPr>
          <w:rStyle w:val="StyleUnderline"/>
        </w:rPr>
        <w:t xml:space="preserve">, there is </w:t>
      </w:r>
      <w:r w:rsidRPr="00684BF3">
        <w:rPr>
          <w:rStyle w:val="Emphasis"/>
        </w:rPr>
        <w:t>increased socio-economic stress</w:t>
      </w:r>
      <w:r w:rsidRPr="00684BF3">
        <w:rPr>
          <w:rStyle w:val="StyleUnderline"/>
        </w:rPr>
        <w:t xml:space="preserve">, </w:t>
      </w:r>
      <w:r w:rsidRPr="00456038">
        <w:rPr>
          <w:rStyle w:val="StyleUnderline"/>
          <w:highlight w:val="cyan"/>
        </w:rPr>
        <w:t>while</w:t>
      </w:r>
      <w:r w:rsidRPr="00684BF3">
        <w:rPr>
          <w:rStyle w:val="StyleUnderline"/>
        </w:rPr>
        <w:t xml:space="preserve"> the intensity and frequency of </w:t>
      </w:r>
      <w:r w:rsidRPr="00456038">
        <w:rPr>
          <w:rStyle w:val="Emphasis"/>
          <w:highlight w:val="cyan"/>
        </w:rPr>
        <w:t>shocks increase</w:t>
      </w:r>
      <w:r w:rsidRPr="00684BF3">
        <w:rPr>
          <w:rStyle w:val="Emphasis"/>
        </w:rPr>
        <w:t>s</w:t>
      </w:r>
      <w:r w:rsidRPr="00684BF3">
        <w:rPr>
          <w:sz w:val="16"/>
        </w:rPr>
        <w:t xml:space="preserve">. This </w:t>
      </w:r>
      <w:r w:rsidRPr="00456038">
        <w:rPr>
          <w:rStyle w:val="Emphasis"/>
          <w:highlight w:val="cyan"/>
        </w:rPr>
        <w:t>creates</w:t>
      </w:r>
      <w:r w:rsidRPr="00684BF3">
        <w:rPr>
          <w:rStyle w:val="StyleUnderline"/>
        </w:rPr>
        <w:t xml:space="preserve"> the </w:t>
      </w:r>
      <w:r w:rsidRPr="00456038">
        <w:rPr>
          <w:rStyle w:val="Emphasis"/>
          <w:highlight w:val="cyan"/>
        </w:rPr>
        <w:t xml:space="preserve">conditions for </w:t>
      </w:r>
      <w:r w:rsidRPr="00684BF3">
        <w:rPr>
          <w:rStyle w:val="Emphasis"/>
        </w:rPr>
        <w:t>rapid</w:t>
      </w:r>
      <w:r w:rsidRPr="00684BF3">
        <w:rPr>
          <w:sz w:val="16"/>
        </w:rPr>
        <w:t xml:space="preserve"> and diverse local and </w:t>
      </w:r>
      <w:r w:rsidRPr="00684BF3">
        <w:rPr>
          <w:rStyle w:val="StyleUnderline"/>
        </w:rPr>
        <w:t xml:space="preserve">globalised </w:t>
      </w:r>
      <w:r w:rsidRPr="00684BF3">
        <w:rPr>
          <w:rStyle w:val="Emphasis"/>
        </w:rPr>
        <w:t>contagion</w:t>
      </w:r>
      <w:r w:rsidRPr="00684BF3">
        <w:rPr>
          <w:rStyle w:val="StyleUnderline"/>
        </w:rPr>
        <w:t xml:space="preserve">, compounding, simultaneous crises, and </w:t>
      </w:r>
      <w:r w:rsidRPr="00684BF3">
        <w:rPr>
          <w:sz w:val="16"/>
        </w:rPr>
        <w:t xml:space="preserve">the </w:t>
      </w:r>
      <w:r w:rsidRPr="00684BF3">
        <w:rPr>
          <w:rStyle w:val="StyleUnderline"/>
        </w:rPr>
        <w:t xml:space="preserve">generation of </w:t>
      </w:r>
      <w:r w:rsidRPr="00684BF3">
        <w:rPr>
          <w:rStyle w:val="Emphasis"/>
        </w:rPr>
        <w:t>new stresses and shocks</w:t>
      </w:r>
      <w:r w:rsidRPr="00684BF3">
        <w:rPr>
          <w:rStyle w:val="StyleUnderline"/>
        </w:rPr>
        <w:t>.</w:t>
      </w:r>
      <w:r w:rsidRPr="00684BF3">
        <w:rPr>
          <w:sz w:val="16"/>
        </w:rPr>
        <w:t xml:space="preserve"> General </w:t>
      </w:r>
      <w:r w:rsidRPr="00684BF3">
        <w:rPr>
          <w:rStyle w:val="StyleUnderline"/>
        </w:rPr>
        <w:t xml:space="preserve">systemic </w:t>
      </w:r>
      <w:r w:rsidRPr="00456038">
        <w:rPr>
          <w:rStyle w:val="Emphasis"/>
          <w:highlight w:val="cyan"/>
        </w:rPr>
        <w:t>instability</w:t>
      </w:r>
      <w:r w:rsidRPr="00684BF3">
        <w:rPr>
          <w:rStyle w:val="StyleUnderline"/>
        </w:rPr>
        <w:t xml:space="preserve">, volatility </w:t>
      </w:r>
      <w:r w:rsidRPr="00456038">
        <w:rPr>
          <w:rStyle w:val="StyleUnderline"/>
          <w:highlight w:val="cyan"/>
        </w:rPr>
        <w:t xml:space="preserve">and </w:t>
      </w:r>
      <w:r w:rsidRPr="00456038">
        <w:rPr>
          <w:rStyle w:val="Emphasis"/>
          <w:highlight w:val="cyan"/>
        </w:rPr>
        <w:t>uncertainty</w:t>
      </w:r>
      <w:r w:rsidRPr="00684BF3">
        <w:rPr>
          <w:rStyle w:val="StyleUnderline"/>
        </w:rPr>
        <w:t xml:space="preserve"> accelerates</w:t>
      </w:r>
      <w:r w:rsidRPr="00684BF3">
        <w:rPr>
          <w:sz w:val="16"/>
        </w:rPr>
        <w:t xml:space="preserve">, and </w:t>
      </w:r>
      <w:r w:rsidRPr="00684BF3">
        <w:rPr>
          <w:rStyle w:val="StyleUnderline"/>
        </w:rPr>
        <w:t>future expectations become</w:t>
      </w:r>
      <w:r w:rsidRPr="00684BF3">
        <w:rPr>
          <w:sz w:val="16"/>
        </w:rPr>
        <w:t xml:space="preserve"> more </w:t>
      </w:r>
      <w:r w:rsidRPr="00684BF3">
        <w:rPr>
          <w:rStyle w:val="StyleUnderline"/>
        </w:rPr>
        <w:t>pessimistic</w:t>
      </w:r>
      <w:r w:rsidRPr="00684BF3">
        <w:rPr>
          <w:sz w:val="16"/>
        </w:rPr>
        <w:t>.</w:t>
      </w:r>
    </w:p>
    <w:p w14:paraId="107AC8D0" w14:textId="77777777" w:rsidR="00586EDF" w:rsidRPr="00684BF3" w:rsidRDefault="00586EDF" w:rsidP="00586EDF">
      <w:pPr>
        <w:rPr>
          <w:sz w:val="16"/>
        </w:rPr>
      </w:pPr>
      <w:r w:rsidRPr="00684BF3">
        <w:rPr>
          <w:sz w:val="16"/>
        </w:rPr>
        <w:t xml:space="preserve">The </w:t>
      </w:r>
      <w:r w:rsidRPr="00456038">
        <w:rPr>
          <w:rStyle w:val="Emphasis"/>
          <w:highlight w:val="cyan"/>
        </w:rPr>
        <w:t>impacts are</w:t>
      </w:r>
      <w:r w:rsidRPr="00456038">
        <w:rPr>
          <w:rStyle w:val="StyleUnderline"/>
          <w:highlight w:val="cyan"/>
        </w:rPr>
        <w:t xml:space="preserve"> likely to become</w:t>
      </w:r>
      <w:r w:rsidRPr="00684BF3">
        <w:rPr>
          <w:rStyle w:val="StyleUnderline"/>
        </w:rPr>
        <w:t xml:space="preserve"> more </w:t>
      </w:r>
      <w:r w:rsidRPr="00456038">
        <w:rPr>
          <w:rStyle w:val="Emphasis"/>
          <w:highlight w:val="cyan"/>
        </w:rPr>
        <w:t>non-linear</w:t>
      </w:r>
      <w:r w:rsidRPr="00684BF3">
        <w:rPr>
          <w:rStyle w:val="Emphasis"/>
        </w:rPr>
        <w:t xml:space="preserve">, </w:t>
      </w:r>
      <w:r w:rsidRPr="00456038">
        <w:rPr>
          <w:rStyle w:val="Emphasis"/>
          <w:highlight w:val="cyan"/>
        </w:rPr>
        <w:t>with</w:t>
      </w:r>
      <w:r w:rsidRPr="00684BF3">
        <w:rPr>
          <w:rStyle w:val="StyleUnderline"/>
        </w:rPr>
        <w:t xml:space="preserve"> associated </w:t>
      </w:r>
      <w:r w:rsidRPr="00456038">
        <w:rPr>
          <w:rStyle w:val="Emphasis"/>
          <w:highlight w:val="cyan"/>
        </w:rPr>
        <w:t>tipping points</w:t>
      </w:r>
      <w:r w:rsidRPr="00684BF3">
        <w:rPr>
          <w:sz w:val="16"/>
        </w:rPr>
        <w:t xml:space="preserve">. Losing a thousand euros means different things depending on whether it’s your first, or last. Even more so if your rent is late and eviction beckons, a family member is sick and needs medicine, and those who once might have supported you, be it friends or state, are themselves overwhelmed. Similar </w:t>
      </w:r>
      <w:r w:rsidRPr="00684BF3">
        <w:rPr>
          <w:rStyle w:val="StyleUnderline"/>
        </w:rPr>
        <w:t>scenarios could be drawn for any scale of societal systems</w:t>
      </w:r>
      <w:r w:rsidRPr="00684BF3">
        <w:rPr>
          <w:sz w:val="16"/>
        </w:rPr>
        <w:t>.</w:t>
      </w:r>
    </w:p>
    <w:p w14:paraId="5176810B" w14:textId="77777777" w:rsidR="00586EDF" w:rsidRPr="00684BF3" w:rsidRDefault="00586EDF" w:rsidP="00586EDF">
      <w:pPr>
        <w:rPr>
          <w:sz w:val="16"/>
        </w:rPr>
      </w:pPr>
      <w:r w:rsidRPr="00684BF3">
        <w:rPr>
          <w:sz w:val="16"/>
        </w:rPr>
        <w:t xml:space="preserve">As </w:t>
      </w:r>
      <w:r w:rsidRPr="00684BF3">
        <w:rPr>
          <w:rStyle w:val="StyleUnderline"/>
        </w:rPr>
        <w:t xml:space="preserve">the </w:t>
      </w:r>
      <w:r w:rsidRPr="00684BF3">
        <w:rPr>
          <w:rStyle w:val="Emphasis"/>
        </w:rPr>
        <w:t>need to build resilience</w:t>
      </w:r>
      <w:r w:rsidRPr="00684BF3">
        <w:rPr>
          <w:rStyle w:val="StyleUnderline"/>
        </w:rPr>
        <w:t xml:space="preserve"> into existing systems becomes</w:t>
      </w:r>
      <w:r w:rsidRPr="00684BF3">
        <w:rPr>
          <w:sz w:val="16"/>
        </w:rPr>
        <w:t xml:space="preserve"> more </w:t>
      </w:r>
      <w:r w:rsidRPr="00684BF3">
        <w:rPr>
          <w:rStyle w:val="StyleUnderline"/>
        </w:rPr>
        <w:t xml:space="preserve">apparent, </w:t>
      </w:r>
      <w:r w:rsidRPr="00456038">
        <w:rPr>
          <w:rStyle w:val="StyleUnderline"/>
          <w:highlight w:val="cyan"/>
        </w:rPr>
        <w:t xml:space="preserve">our </w:t>
      </w:r>
      <w:r w:rsidRPr="00456038">
        <w:rPr>
          <w:rStyle w:val="Emphasis"/>
          <w:highlight w:val="cyan"/>
        </w:rPr>
        <w:t>capacity to invest</w:t>
      </w:r>
      <w:r w:rsidRPr="00684BF3">
        <w:rPr>
          <w:sz w:val="16"/>
        </w:rPr>
        <w:t xml:space="preserve"> -in inventories, </w:t>
      </w:r>
      <w:r w:rsidRPr="00684BF3">
        <w:rPr>
          <w:rStyle w:val="StyleUnderline"/>
        </w:rPr>
        <w:t>flood defenses, and critical infrastructure</w:t>
      </w:r>
      <w:r w:rsidRPr="00684BF3">
        <w:rPr>
          <w:sz w:val="16"/>
        </w:rPr>
        <w:t xml:space="preserve"> redundancy </w:t>
      </w:r>
      <w:r w:rsidRPr="00456038">
        <w:rPr>
          <w:rStyle w:val="StyleUnderline"/>
          <w:highlight w:val="cyan"/>
        </w:rPr>
        <w:t>is</w:t>
      </w:r>
      <w:r w:rsidRPr="00684BF3">
        <w:rPr>
          <w:rStyle w:val="StyleUnderline"/>
        </w:rPr>
        <w:t xml:space="preserve"> more </w:t>
      </w:r>
      <w:r w:rsidRPr="00456038">
        <w:rPr>
          <w:rStyle w:val="StyleUnderline"/>
          <w:highlight w:val="cyan"/>
        </w:rPr>
        <w:t>difficult</w:t>
      </w:r>
      <w:r w:rsidRPr="00684BF3">
        <w:rPr>
          <w:sz w:val="16"/>
        </w:rPr>
        <w:t xml:space="preserve">, as incomes fall, affordable </w:t>
      </w:r>
      <w:r w:rsidRPr="00456038">
        <w:rPr>
          <w:rStyle w:val="Emphasis"/>
          <w:highlight w:val="cyan"/>
        </w:rPr>
        <w:t>financing</w:t>
      </w:r>
      <w:r w:rsidRPr="00456038">
        <w:rPr>
          <w:rStyle w:val="StyleUnderline"/>
          <w:highlight w:val="cyan"/>
        </w:rPr>
        <w:t xml:space="preserve"> becomes </w:t>
      </w:r>
      <w:r w:rsidRPr="00456038">
        <w:rPr>
          <w:rStyle w:val="Emphasis"/>
          <w:highlight w:val="cyan"/>
        </w:rPr>
        <w:t>scarce</w:t>
      </w:r>
      <w:r w:rsidRPr="00684BF3">
        <w:rPr>
          <w:sz w:val="16"/>
        </w:rPr>
        <w:t xml:space="preserve"> or non-existent, and </w:t>
      </w:r>
      <w:r w:rsidRPr="00684BF3">
        <w:rPr>
          <w:rStyle w:val="StyleUnderline"/>
        </w:rPr>
        <w:t xml:space="preserve">the ability to produce and access </w:t>
      </w:r>
      <w:r w:rsidRPr="00684BF3">
        <w:rPr>
          <w:sz w:val="16"/>
        </w:rPr>
        <w:t xml:space="preserve">constituent </w:t>
      </w:r>
      <w:r w:rsidRPr="00684BF3">
        <w:rPr>
          <w:rStyle w:val="StyleUnderline"/>
        </w:rPr>
        <w:t>inputs becomes uncertain</w:t>
      </w:r>
      <w:r w:rsidRPr="00684BF3">
        <w:rPr>
          <w:sz w:val="16"/>
        </w:rPr>
        <w:t xml:space="preserve">. Further, </w:t>
      </w:r>
      <w:r w:rsidRPr="00684BF3">
        <w:rPr>
          <w:rStyle w:val="Emphasis"/>
        </w:rPr>
        <w:t>in a</w:t>
      </w:r>
      <w:r w:rsidRPr="00684BF3">
        <w:rPr>
          <w:rStyle w:val="StyleUnderline"/>
        </w:rPr>
        <w:t xml:space="preserve">n increasingly </w:t>
      </w:r>
      <w:r w:rsidRPr="00684BF3">
        <w:rPr>
          <w:rStyle w:val="Emphasis"/>
        </w:rPr>
        <w:t>stressed</w:t>
      </w:r>
      <w:r w:rsidRPr="00684BF3">
        <w:rPr>
          <w:rStyle w:val="StyleUnderline"/>
        </w:rPr>
        <w:t xml:space="preserve"> and volatile </w:t>
      </w:r>
      <w:r w:rsidRPr="00684BF3">
        <w:rPr>
          <w:rStyle w:val="Emphasis"/>
        </w:rPr>
        <w:t>environment</w:t>
      </w:r>
      <w:r w:rsidRPr="00684BF3">
        <w:rPr>
          <w:rStyle w:val="StyleUnderline"/>
        </w:rPr>
        <w:t>, the necessity of</w:t>
      </w:r>
      <w:r w:rsidRPr="00684BF3">
        <w:rPr>
          <w:sz w:val="16"/>
        </w:rPr>
        <w:t xml:space="preserve"> maintaining </w:t>
      </w:r>
      <w:r w:rsidRPr="00684BF3">
        <w:rPr>
          <w:rStyle w:val="StyleUnderline"/>
        </w:rPr>
        <w:t>existing systems</w:t>
      </w:r>
      <w:r w:rsidRPr="00684BF3">
        <w:rPr>
          <w:sz w:val="16"/>
        </w:rPr>
        <w:t xml:space="preserve"> and expectations </w:t>
      </w:r>
      <w:r w:rsidRPr="00684BF3">
        <w:rPr>
          <w:rStyle w:val="StyleUnderline"/>
        </w:rPr>
        <w:t>is</w:t>
      </w:r>
      <w:r w:rsidRPr="00684BF3">
        <w:rPr>
          <w:sz w:val="16"/>
        </w:rPr>
        <w:t xml:space="preserve"> more </w:t>
      </w:r>
      <w:r w:rsidRPr="00684BF3">
        <w:rPr>
          <w:rStyle w:val="StyleUnderline"/>
        </w:rPr>
        <w:t>likely to take precedence over investments in</w:t>
      </w:r>
      <w:r w:rsidRPr="00684BF3">
        <w:rPr>
          <w:sz w:val="16"/>
        </w:rPr>
        <w:t xml:space="preserve"> future </w:t>
      </w:r>
      <w:r w:rsidRPr="00684BF3">
        <w:rPr>
          <w:rStyle w:val="StyleUnderline"/>
        </w:rPr>
        <w:t>resilience</w:t>
      </w:r>
      <w:r w:rsidRPr="00684BF3">
        <w:rPr>
          <w:sz w:val="16"/>
        </w:rPr>
        <w:t>.</w:t>
      </w:r>
    </w:p>
    <w:p w14:paraId="4A4166A7" w14:textId="77777777" w:rsidR="00586EDF" w:rsidRPr="00684BF3" w:rsidRDefault="00586EDF" w:rsidP="00586EDF">
      <w:pPr>
        <w:rPr>
          <w:sz w:val="16"/>
        </w:rPr>
      </w:pPr>
      <w:r w:rsidRPr="00684BF3">
        <w:rPr>
          <w:sz w:val="16"/>
        </w:rPr>
        <w:t xml:space="preserve">For example, our food systems are very vulnerable, but making them more resilient at scale would raise food prices. Yet if food prices are already high due to production/ distribution constraints, and/or if </w:t>
      </w:r>
      <w:r w:rsidRPr="00684BF3">
        <w:rPr>
          <w:rStyle w:val="StyleUnderline"/>
        </w:rPr>
        <w:t>incomes are falling and governments’ intervention capacity is already strained</w:t>
      </w:r>
      <w:r w:rsidRPr="00684BF3">
        <w:rPr>
          <w:sz w:val="16"/>
        </w:rPr>
        <w:t xml:space="preserve">, adding further to food prices risks potentially intensifying present crisis (food prices having highly non-linear societal impacts), to marginally ameliorate a future crisis. In such contexts, </w:t>
      </w:r>
      <w:r w:rsidRPr="00684BF3">
        <w:rPr>
          <w:rStyle w:val="Emphasis"/>
        </w:rPr>
        <w:t>people</w:t>
      </w:r>
      <w:r w:rsidRPr="00684BF3">
        <w:rPr>
          <w:rStyle w:val="StyleUnderline"/>
        </w:rPr>
        <w:t xml:space="preserve"> tend to </w:t>
      </w:r>
      <w:r w:rsidRPr="00684BF3">
        <w:rPr>
          <w:rStyle w:val="Emphasis"/>
        </w:rPr>
        <w:t>become</w:t>
      </w:r>
      <w:r w:rsidRPr="00684BF3">
        <w:rPr>
          <w:sz w:val="16"/>
        </w:rPr>
        <w:t xml:space="preserve"> even more </w:t>
      </w:r>
      <w:r w:rsidRPr="00684BF3">
        <w:rPr>
          <w:rStyle w:val="Emphasis"/>
        </w:rPr>
        <w:t>present focused</w:t>
      </w:r>
      <w:r w:rsidRPr="00684BF3">
        <w:rPr>
          <w:sz w:val="16"/>
        </w:rPr>
        <w:t>. This is a feature of</w:t>
      </w:r>
      <w:r>
        <w:rPr>
          <w:sz w:val="16"/>
        </w:rPr>
        <w:t xml:space="preserve"> </w:t>
      </w:r>
      <w:r w:rsidRPr="00684BF3">
        <w:rPr>
          <w:sz w:val="16"/>
        </w:rPr>
        <w:t xml:space="preserve">civilizational lock-in, </w:t>
      </w:r>
      <w:r w:rsidRPr="00684BF3">
        <w:rPr>
          <w:rStyle w:val="StyleUnderline"/>
        </w:rPr>
        <w:t xml:space="preserve">we become </w:t>
      </w:r>
      <w:r w:rsidRPr="00684BF3">
        <w:rPr>
          <w:rStyle w:val="Emphasis"/>
        </w:rPr>
        <w:t>trapped within</w:t>
      </w:r>
      <w:r w:rsidRPr="00684BF3">
        <w:rPr>
          <w:sz w:val="16"/>
        </w:rPr>
        <w:t xml:space="preserve"> increasingly </w:t>
      </w:r>
      <w:r w:rsidRPr="00684BF3">
        <w:rPr>
          <w:rStyle w:val="Emphasis"/>
        </w:rPr>
        <w:t>dangerous systems of</w:t>
      </w:r>
      <w:r w:rsidRPr="00684BF3">
        <w:rPr>
          <w:rStyle w:val="StyleUnderline"/>
        </w:rPr>
        <w:t xml:space="preserve"> complex </w:t>
      </w:r>
      <w:r w:rsidRPr="00684BF3">
        <w:rPr>
          <w:rStyle w:val="Emphasis"/>
        </w:rPr>
        <w:t>dependency</w:t>
      </w:r>
      <w:r w:rsidRPr="00684BF3">
        <w:rPr>
          <w:rStyle w:val="StyleUnderline"/>
        </w:rPr>
        <w:t xml:space="preserve"> as our adaptive capacity becomes</w:t>
      </w:r>
      <w:r w:rsidRPr="00684BF3">
        <w:rPr>
          <w:sz w:val="16"/>
        </w:rPr>
        <w:t xml:space="preserve"> further </w:t>
      </w:r>
      <w:r w:rsidRPr="00684BF3">
        <w:rPr>
          <w:rStyle w:val="StyleUnderline"/>
        </w:rPr>
        <w:t>undermined</w:t>
      </w:r>
      <w:r w:rsidRPr="00684BF3">
        <w:rPr>
          <w:sz w:val="16"/>
        </w:rPr>
        <w:t>.</w:t>
      </w:r>
    </w:p>
    <w:p w14:paraId="4A0BDE79" w14:textId="77777777" w:rsidR="00586EDF" w:rsidRPr="00684BF3" w:rsidRDefault="00586EDF" w:rsidP="00586EDF">
      <w:pPr>
        <w:rPr>
          <w:sz w:val="16"/>
        </w:rPr>
      </w:pPr>
      <w:r w:rsidRPr="00684BF3">
        <w:rPr>
          <w:rStyle w:val="StyleUnderline"/>
        </w:rPr>
        <w:t>Prolonged</w:t>
      </w:r>
      <w:r w:rsidRPr="00684BF3">
        <w:rPr>
          <w:sz w:val="16"/>
        </w:rPr>
        <w:t xml:space="preserve"> low and </w:t>
      </w:r>
      <w:r w:rsidRPr="00456038">
        <w:rPr>
          <w:rStyle w:val="Emphasis"/>
          <w:highlight w:val="cyan"/>
        </w:rPr>
        <w:t>declining growth</w:t>
      </w:r>
      <w:r w:rsidRPr="00684BF3">
        <w:rPr>
          <w:sz w:val="16"/>
        </w:rPr>
        <w:t xml:space="preserve">, </w:t>
      </w:r>
      <w:r w:rsidRPr="00684BF3">
        <w:rPr>
          <w:rStyle w:val="StyleUnderline"/>
        </w:rPr>
        <w:t xml:space="preserve">rising </w:t>
      </w:r>
      <w:r w:rsidRPr="00684BF3">
        <w:rPr>
          <w:rStyle w:val="Emphasis"/>
        </w:rPr>
        <w:t>socio-economic stress</w:t>
      </w:r>
      <w:r w:rsidRPr="00684BF3">
        <w:rPr>
          <w:sz w:val="16"/>
        </w:rPr>
        <w:t xml:space="preserve"> and volatility, </w:t>
      </w:r>
      <w:r w:rsidRPr="00684BF3">
        <w:rPr>
          <w:rStyle w:val="StyleUnderline"/>
        </w:rPr>
        <w:t xml:space="preserve">growing asymmetric </w:t>
      </w:r>
      <w:r w:rsidRPr="00684BF3">
        <w:rPr>
          <w:rStyle w:val="Emphasis"/>
        </w:rPr>
        <w:t>downside uncertainty</w:t>
      </w:r>
      <w:r w:rsidRPr="00684BF3">
        <w:rPr>
          <w:sz w:val="16"/>
        </w:rPr>
        <w:t xml:space="preserve">, </w:t>
      </w:r>
      <w:r w:rsidRPr="00684BF3">
        <w:rPr>
          <w:rStyle w:val="Emphasis"/>
        </w:rPr>
        <w:t>declining resilience</w:t>
      </w:r>
      <w:r w:rsidRPr="00684BF3">
        <w:rPr>
          <w:sz w:val="16"/>
        </w:rPr>
        <w:t xml:space="preserve"> and adaptive capacity </w:t>
      </w:r>
      <w:r w:rsidRPr="00684BF3">
        <w:rPr>
          <w:rStyle w:val="StyleUnderline"/>
        </w:rPr>
        <w:t xml:space="preserve">and intensifying </w:t>
      </w:r>
      <w:r w:rsidRPr="00684BF3">
        <w:rPr>
          <w:rStyle w:val="Emphasis"/>
        </w:rPr>
        <w:t xml:space="preserve">stressors </w:t>
      </w:r>
      <w:r w:rsidRPr="00456038">
        <w:rPr>
          <w:rStyle w:val="Emphasis"/>
          <w:highlight w:val="cyan"/>
        </w:rPr>
        <w:t>create</w:t>
      </w:r>
      <w:r w:rsidRPr="00684BF3">
        <w:rPr>
          <w:rStyle w:val="StyleUnderline"/>
        </w:rPr>
        <w:t xml:space="preserve"> the </w:t>
      </w:r>
      <w:r w:rsidRPr="00456038">
        <w:rPr>
          <w:rStyle w:val="Emphasis"/>
          <w:highlight w:val="cyan"/>
        </w:rPr>
        <w:t>conditions for</w:t>
      </w:r>
      <w:r w:rsidRPr="00684BF3">
        <w:rPr>
          <w:rStyle w:val="StyleUnderline"/>
        </w:rPr>
        <w:t xml:space="preserve"> catastrophic </w:t>
      </w:r>
      <w:r w:rsidRPr="00456038">
        <w:rPr>
          <w:rStyle w:val="Emphasis"/>
          <w:highlight w:val="cyan"/>
        </w:rPr>
        <w:t xml:space="preserve">financial </w:t>
      </w:r>
      <w:r w:rsidRPr="00684BF3">
        <w:rPr>
          <w:rStyle w:val="Emphasis"/>
        </w:rPr>
        <w:t xml:space="preserve">system </w:t>
      </w:r>
      <w:r w:rsidRPr="00456038">
        <w:rPr>
          <w:rStyle w:val="Emphasis"/>
          <w:highlight w:val="cyan"/>
        </w:rPr>
        <w:t>failure</w:t>
      </w:r>
      <w:r w:rsidRPr="00684BF3">
        <w:rPr>
          <w:sz w:val="16"/>
        </w:rPr>
        <w:t>.</w:t>
      </w:r>
    </w:p>
    <w:p w14:paraId="44629E93" w14:textId="77777777" w:rsidR="00586EDF" w:rsidRPr="00684BF3" w:rsidRDefault="00586EDF" w:rsidP="00586EDF">
      <w:pPr>
        <w:rPr>
          <w:sz w:val="16"/>
        </w:rPr>
      </w:pPr>
      <w:r w:rsidRPr="00684BF3">
        <w:rPr>
          <w:sz w:val="16"/>
        </w:rPr>
        <w:t xml:space="preserve">This means </w:t>
      </w:r>
      <w:r w:rsidRPr="00456038">
        <w:rPr>
          <w:rStyle w:val="Emphasis"/>
          <w:highlight w:val="cyan"/>
        </w:rPr>
        <w:t>we</w:t>
      </w:r>
      <w:r w:rsidRPr="00684BF3">
        <w:rPr>
          <w:sz w:val="16"/>
        </w:rPr>
        <w:t xml:space="preserve"> may </w:t>
      </w:r>
      <w:r w:rsidRPr="00456038">
        <w:rPr>
          <w:rStyle w:val="Emphasis"/>
          <w:highlight w:val="cyan"/>
        </w:rPr>
        <w:t>have a declining window</w:t>
      </w:r>
      <w:r w:rsidRPr="00684BF3">
        <w:rPr>
          <w:rStyle w:val="Emphasis"/>
        </w:rPr>
        <w:t xml:space="preserve"> of opportunity</w:t>
      </w:r>
      <w:r w:rsidRPr="00684BF3">
        <w:rPr>
          <w:sz w:val="16"/>
        </w:rPr>
        <w:t xml:space="preserve">, both </w:t>
      </w:r>
      <w:r w:rsidRPr="00684BF3">
        <w:rPr>
          <w:rStyle w:val="StyleUnderline"/>
        </w:rPr>
        <w:t xml:space="preserve">in terms of </w:t>
      </w:r>
      <w:r w:rsidRPr="00684BF3">
        <w:rPr>
          <w:rStyle w:val="Emphasis"/>
        </w:rPr>
        <w:t>time</w:t>
      </w:r>
      <w:r w:rsidRPr="00684BF3">
        <w:rPr>
          <w:sz w:val="16"/>
        </w:rPr>
        <w:t xml:space="preserve">, </w:t>
      </w:r>
      <w:r w:rsidRPr="00684BF3">
        <w:rPr>
          <w:rStyle w:val="StyleUnderline"/>
        </w:rPr>
        <w:t xml:space="preserve">and capacity </w:t>
      </w:r>
      <w:r w:rsidRPr="00684BF3">
        <w:rPr>
          <w:rStyle w:val="Emphasis"/>
        </w:rPr>
        <w:t>to deploy resources</w:t>
      </w:r>
      <w:r w:rsidRPr="00684BF3">
        <w:rPr>
          <w:sz w:val="16"/>
        </w:rPr>
        <w:t xml:space="preserve">, to </w:t>
      </w:r>
      <w:r w:rsidRPr="00684BF3">
        <w:rPr>
          <w:rStyle w:val="StyleUnderline"/>
        </w:rPr>
        <w:t>prepare</w:t>
      </w:r>
      <w:r w:rsidRPr="00684BF3">
        <w:rPr>
          <w:sz w:val="16"/>
        </w:rPr>
        <w:t xml:space="preserve"> ourselves </w:t>
      </w:r>
      <w:r w:rsidRPr="00684BF3">
        <w:rPr>
          <w:rStyle w:val="StyleUnderline"/>
        </w:rPr>
        <w:t>to avoid the</w:t>
      </w:r>
      <w:r w:rsidRPr="00684BF3">
        <w:rPr>
          <w:sz w:val="16"/>
        </w:rPr>
        <w:t xml:space="preserve"> very worst of </w:t>
      </w:r>
      <w:r w:rsidRPr="00684BF3">
        <w:rPr>
          <w:rStyle w:val="StyleUnderline"/>
        </w:rPr>
        <w:t>consequences</w:t>
      </w:r>
      <w:r w:rsidRPr="00684BF3">
        <w:rPr>
          <w:sz w:val="16"/>
        </w:rPr>
        <w:t>.</w:t>
      </w:r>
    </w:p>
    <w:p w14:paraId="166A4658" w14:textId="77777777" w:rsidR="00586EDF" w:rsidRPr="00684BF3" w:rsidRDefault="00586EDF" w:rsidP="00586EDF">
      <w:pPr>
        <w:rPr>
          <w:sz w:val="16"/>
          <w:szCs w:val="16"/>
        </w:rPr>
      </w:pPr>
      <w:r w:rsidRPr="00684BF3">
        <w:rPr>
          <w:sz w:val="16"/>
          <w:szCs w:val="16"/>
        </w:rPr>
        <w:t>Preparing for What?</w:t>
      </w:r>
    </w:p>
    <w:p w14:paraId="061968C0" w14:textId="77777777" w:rsidR="00586EDF" w:rsidRPr="00684BF3" w:rsidRDefault="00586EDF" w:rsidP="00586EDF">
      <w:pPr>
        <w:rPr>
          <w:sz w:val="16"/>
        </w:rPr>
      </w:pPr>
      <w:r w:rsidRPr="00684BF3">
        <w:rPr>
          <w:rStyle w:val="StyleUnderline"/>
        </w:rPr>
        <w:t xml:space="preserve">Societies’ </w:t>
      </w:r>
      <w:r w:rsidRPr="00684BF3">
        <w:rPr>
          <w:rStyle w:val="Emphasis"/>
        </w:rPr>
        <w:t>capacities to deal with stress</w:t>
      </w:r>
      <w:r w:rsidRPr="00684BF3">
        <w:rPr>
          <w:rStyle w:val="StyleUnderline"/>
        </w:rPr>
        <w:t>, shocks, and catastrophes are</w:t>
      </w:r>
      <w:r w:rsidRPr="00684BF3">
        <w:rPr>
          <w:sz w:val="16"/>
        </w:rPr>
        <w:t xml:space="preserve"> primarily </w:t>
      </w:r>
      <w:r w:rsidRPr="00684BF3">
        <w:rPr>
          <w:rStyle w:val="Emphasis"/>
        </w:rPr>
        <w:t>shaped by</w:t>
      </w:r>
      <w:r w:rsidRPr="00684BF3">
        <w:rPr>
          <w:rStyle w:val="StyleUnderline"/>
        </w:rPr>
        <w:t xml:space="preserve"> their </w:t>
      </w:r>
      <w:r w:rsidRPr="00684BF3">
        <w:rPr>
          <w:rStyle w:val="Emphasis"/>
        </w:rPr>
        <w:t>historical experiences</w:t>
      </w:r>
      <w:r w:rsidRPr="00684BF3">
        <w:rPr>
          <w:sz w:val="16"/>
        </w:rPr>
        <w:t>. This includes the type, likelihood, and impacts that might be anticipated; the resilience of society and infrastructures; the scale and role of contingency and preparedness within the wider government and society; and the range of scenarios that have been planned for and exercised.</w:t>
      </w:r>
    </w:p>
    <w:p w14:paraId="17D44BDE" w14:textId="77777777" w:rsidR="00586EDF" w:rsidRPr="00684BF3" w:rsidRDefault="00586EDF" w:rsidP="00586EDF">
      <w:pPr>
        <w:rPr>
          <w:sz w:val="16"/>
        </w:rPr>
      </w:pPr>
      <w:r w:rsidRPr="00456038">
        <w:rPr>
          <w:rStyle w:val="Emphasis"/>
          <w:highlight w:val="cyan"/>
        </w:rPr>
        <w:t>Governments</w:t>
      </w:r>
      <w:r w:rsidRPr="00684BF3">
        <w:rPr>
          <w:sz w:val="16"/>
        </w:rPr>
        <w:t xml:space="preserve">, societies, </w:t>
      </w:r>
      <w:r w:rsidRPr="00684BF3">
        <w:rPr>
          <w:rStyle w:val="StyleUnderline"/>
        </w:rPr>
        <w:t xml:space="preserve">and expert communities </w:t>
      </w:r>
      <w:r w:rsidRPr="00456038">
        <w:rPr>
          <w:rStyle w:val="StyleUnderline"/>
          <w:highlight w:val="cyan"/>
        </w:rPr>
        <w:t>are</w:t>
      </w:r>
      <w:r w:rsidRPr="00684BF3">
        <w:rPr>
          <w:sz w:val="16"/>
        </w:rPr>
        <w:t xml:space="preserve"> often </w:t>
      </w:r>
      <w:r w:rsidRPr="00456038">
        <w:rPr>
          <w:rStyle w:val="Emphasis"/>
          <w:highlight w:val="cyan"/>
        </w:rPr>
        <w:t>slow to recognize</w:t>
      </w:r>
      <w:r w:rsidRPr="00684BF3">
        <w:rPr>
          <w:rStyle w:val="StyleUnderline"/>
        </w:rPr>
        <w:t xml:space="preserve"> a </w:t>
      </w:r>
      <w:r w:rsidRPr="00456038">
        <w:rPr>
          <w:rStyle w:val="Emphasis"/>
          <w:highlight w:val="cyan"/>
        </w:rPr>
        <w:t>chang</w:t>
      </w:r>
      <w:r w:rsidRPr="00684BF3">
        <w:rPr>
          <w:rStyle w:val="Emphasis"/>
        </w:rPr>
        <w:t>ing paradigm</w:t>
      </w:r>
      <w:r w:rsidRPr="00684BF3">
        <w:rPr>
          <w:sz w:val="16"/>
        </w:rPr>
        <w:t xml:space="preserve">, especially </w:t>
      </w:r>
      <w:r w:rsidRPr="00456038">
        <w:rPr>
          <w:rStyle w:val="StyleUnderline"/>
          <w:highlight w:val="cyan"/>
        </w:rPr>
        <w:t xml:space="preserve">when it </w:t>
      </w:r>
      <w:r w:rsidRPr="00456038">
        <w:rPr>
          <w:rStyle w:val="Emphasis"/>
          <w:highlight w:val="cyan"/>
        </w:rPr>
        <w:t xml:space="preserve">comes </w:t>
      </w:r>
      <w:r w:rsidRPr="00684BF3">
        <w:rPr>
          <w:rStyle w:val="Emphasis"/>
        </w:rPr>
        <w:t>in</w:t>
      </w:r>
      <w:r w:rsidRPr="00456038">
        <w:rPr>
          <w:rStyle w:val="Emphasis"/>
          <w:highlight w:val="cyan"/>
        </w:rPr>
        <w:t>to conflict</w:t>
      </w:r>
      <w:r w:rsidRPr="00456038">
        <w:rPr>
          <w:rStyle w:val="StyleUnderline"/>
          <w:highlight w:val="cyan"/>
        </w:rPr>
        <w:t xml:space="preserve"> with</w:t>
      </w:r>
      <w:r w:rsidRPr="00684BF3">
        <w:rPr>
          <w:rStyle w:val="StyleUnderline"/>
        </w:rPr>
        <w:t xml:space="preserve"> </w:t>
      </w:r>
      <w:r w:rsidRPr="00684BF3">
        <w:rPr>
          <w:rStyle w:val="Emphasis"/>
        </w:rPr>
        <w:t>established</w:t>
      </w:r>
      <w:r w:rsidRPr="00684BF3">
        <w:rPr>
          <w:rStyle w:val="StyleUnderline"/>
        </w:rPr>
        <w:t xml:space="preserve"> expectations, </w:t>
      </w:r>
      <w:r w:rsidRPr="00456038">
        <w:rPr>
          <w:rStyle w:val="Emphasis"/>
          <w:highlight w:val="cyan"/>
        </w:rPr>
        <w:t>worldviews</w:t>
      </w:r>
      <w:r w:rsidRPr="00684BF3">
        <w:rPr>
          <w:rStyle w:val="StyleUnderline"/>
        </w:rPr>
        <w:t xml:space="preserve">, sunk costs, analytic traditions, </w:t>
      </w:r>
      <w:r w:rsidRPr="00456038">
        <w:rPr>
          <w:rStyle w:val="StyleUnderline"/>
          <w:highlight w:val="cyan"/>
        </w:rPr>
        <w:t xml:space="preserve">and </w:t>
      </w:r>
      <w:r w:rsidRPr="00456038">
        <w:rPr>
          <w:rStyle w:val="Emphasis"/>
          <w:highlight w:val="cyan"/>
        </w:rPr>
        <w:t>institutional lock-in</w:t>
      </w:r>
      <w:r w:rsidRPr="00684BF3">
        <w:rPr>
          <w:rStyle w:val="StyleUnderline"/>
        </w:rPr>
        <w:t>.</w:t>
      </w:r>
    </w:p>
    <w:p w14:paraId="466F4D61" w14:textId="77777777" w:rsidR="00586EDF" w:rsidRPr="00684BF3" w:rsidRDefault="00586EDF" w:rsidP="00586EDF">
      <w:pPr>
        <w:rPr>
          <w:sz w:val="16"/>
        </w:rPr>
      </w:pPr>
      <w:r w:rsidRPr="00684BF3">
        <w:rPr>
          <w:sz w:val="16"/>
        </w:rPr>
        <w:t xml:space="preserve">Our experience of and habituation to broad societal stability, the relative invisibility of the structural and dynamical foundations of societal operations, </w:t>
      </w:r>
      <w:r w:rsidRPr="00456038">
        <w:rPr>
          <w:rStyle w:val="Emphasis"/>
          <w:highlight w:val="cyan"/>
        </w:rPr>
        <w:t xml:space="preserve">dysfunctional economic </w:t>
      </w:r>
      <w:r w:rsidRPr="00684BF3">
        <w:rPr>
          <w:rStyle w:val="Emphasis"/>
        </w:rPr>
        <w:t xml:space="preserve">risk </w:t>
      </w:r>
      <w:r w:rsidRPr="00456038">
        <w:rPr>
          <w:rStyle w:val="Emphasis"/>
          <w:highlight w:val="cyan"/>
        </w:rPr>
        <w:t>models</w:t>
      </w:r>
      <w:r w:rsidRPr="00684BF3">
        <w:rPr>
          <w:rStyle w:val="StyleUnderline"/>
        </w:rPr>
        <w:t>, and our siloed approach to</w:t>
      </w:r>
      <w:r w:rsidRPr="00684BF3">
        <w:rPr>
          <w:sz w:val="16"/>
        </w:rPr>
        <w:t xml:space="preserve"> individual </w:t>
      </w:r>
      <w:r w:rsidRPr="00684BF3">
        <w:rPr>
          <w:rStyle w:val="StyleUnderline"/>
        </w:rPr>
        <w:t xml:space="preserve">stressors </w:t>
      </w:r>
      <w:r w:rsidRPr="00456038">
        <w:rPr>
          <w:rStyle w:val="StyleUnderline"/>
          <w:highlight w:val="cyan"/>
        </w:rPr>
        <w:t xml:space="preserve">means </w:t>
      </w:r>
      <w:r w:rsidRPr="00684BF3">
        <w:rPr>
          <w:rStyle w:val="Emphasis"/>
        </w:rPr>
        <w:t xml:space="preserve">society may be </w:t>
      </w:r>
      <w:r w:rsidRPr="00456038">
        <w:rPr>
          <w:rStyle w:val="Emphasis"/>
          <w:highlight w:val="cyan"/>
        </w:rPr>
        <w:t>seriously underestimating</w:t>
      </w:r>
      <w:r w:rsidRPr="00684BF3">
        <w:rPr>
          <w:rStyle w:val="StyleUnderline"/>
        </w:rPr>
        <w:t xml:space="preserve"> </w:t>
      </w:r>
      <w:r w:rsidRPr="00456038">
        <w:rPr>
          <w:rStyle w:val="Emphasis"/>
          <w:highlight w:val="cyan"/>
        </w:rPr>
        <w:t>g</w:t>
      </w:r>
      <w:r w:rsidRPr="00684BF3">
        <w:rPr>
          <w:rStyle w:val="StyleUnderline"/>
        </w:rPr>
        <w:t>lobal</w:t>
      </w:r>
      <w:r w:rsidRPr="00684BF3">
        <w:rPr>
          <w:sz w:val="16"/>
        </w:rPr>
        <w:t xml:space="preserve"> and </w:t>
      </w:r>
      <w:r w:rsidRPr="00456038">
        <w:rPr>
          <w:rStyle w:val="Emphasis"/>
          <w:highlight w:val="cyan"/>
        </w:rPr>
        <w:t>c</w:t>
      </w:r>
      <w:r w:rsidRPr="00684BF3">
        <w:rPr>
          <w:rStyle w:val="StyleUnderline"/>
        </w:rPr>
        <w:t xml:space="preserve">atastrophic </w:t>
      </w:r>
      <w:r w:rsidRPr="00456038">
        <w:rPr>
          <w:rStyle w:val="Emphasis"/>
          <w:highlight w:val="cyan"/>
        </w:rPr>
        <w:t>r</w:t>
      </w:r>
      <w:r w:rsidRPr="00684BF3">
        <w:rPr>
          <w:rStyle w:val="StyleUnderline"/>
        </w:rPr>
        <w:t>isk</w:t>
      </w:r>
      <w:r w:rsidRPr="00684BF3">
        <w:rPr>
          <w:sz w:val="16"/>
        </w:rPr>
        <w:t xml:space="preserve">. </w:t>
      </w:r>
      <w:r w:rsidRPr="00684BF3">
        <w:rPr>
          <w:rStyle w:val="StyleUnderline"/>
        </w:rPr>
        <w:t>We need to</w:t>
      </w:r>
      <w:r w:rsidRPr="00684BF3">
        <w:rPr>
          <w:sz w:val="16"/>
        </w:rPr>
        <w:t xml:space="preserve"> consider our </w:t>
      </w:r>
      <w:r w:rsidRPr="00684BF3">
        <w:rPr>
          <w:rStyle w:val="StyleUnderline"/>
        </w:rPr>
        <w:t>transform</w:t>
      </w:r>
      <w:r w:rsidRPr="00684BF3">
        <w:rPr>
          <w:sz w:val="16"/>
        </w:rPr>
        <w:t xml:space="preserve">ing </w:t>
      </w:r>
      <w:r w:rsidRPr="00684BF3">
        <w:rPr>
          <w:rStyle w:val="StyleUnderline"/>
        </w:rPr>
        <w:t>risk environment</w:t>
      </w:r>
      <w:r w:rsidRPr="00684BF3">
        <w:rPr>
          <w:sz w:val="16"/>
        </w:rPr>
        <w:t xml:space="preserve"> from an integrated perspective: the interactions of a growing range and intensity of stressors, environmental and socio-economic, through increasingly brittle societal systems</w:t>
      </w:r>
      <w:hyperlink r:id="rId126" w:anchor="_edn15" w:history="1">
        <w:r w:rsidRPr="00684BF3">
          <w:rPr>
            <w:rStyle w:val="Hyperlink"/>
            <w:sz w:val="16"/>
          </w:rPr>
          <w:t>[xv]</w:t>
        </w:r>
      </w:hyperlink>
      <w:r w:rsidRPr="00684BF3">
        <w:rPr>
          <w:sz w:val="16"/>
        </w:rPr>
        <w:t>.</w:t>
      </w:r>
    </w:p>
    <w:p w14:paraId="36F851E3" w14:textId="77777777" w:rsidR="00586EDF" w:rsidRPr="00684BF3" w:rsidRDefault="00586EDF" w:rsidP="00586EDF">
      <w:pPr>
        <w:rPr>
          <w:sz w:val="16"/>
          <w:szCs w:val="16"/>
        </w:rPr>
      </w:pPr>
      <w:r w:rsidRPr="00684BF3">
        <w:rPr>
          <w:sz w:val="16"/>
          <w:szCs w:val="16"/>
        </w:rPr>
        <w:t>There are two broad, and concurrent societal risks that have been outlined. The first is systemic failure, which could range from localised and recoverable, to global and irreversible. Because keystone systems are interdependent and can fail collectively, different hazards or combination of them have the same outcome – a shutdown in the flow of goods and services. It is therefore suggested there should be a</w:t>
      </w:r>
      <w:r>
        <w:rPr>
          <w:sz w:val="16"/>
          <w:szCs w:val="16"/>
        </w:rPr>
        <w:t xml:space="preserve"> </w:t>
      </w:r>
      <w:r w:rsidRPr="00684BF3">
        <w:rPr>
          <w:sz w:val="16"/>
          <w:szCs w:val="16"/>
        </w:rPr>
        <w:t>Hazard Independent Impact Preparedness</w:t>
      </w:r>
      <w:r>
        <w:rPr>
          <w:sz w:val="16"/>
          <w:szCs w:val="16"/>
        </w:rPr>
        <w:t xml:space="preserve"> </w:t>
      </w:r>
      <w:r w:rsidRPr="00684BF3">
        <w:rPr>
          <w:sz w:val="16"/>
          <w:szCs w:val="16"/>
        </w:rPr>
        <w:t>approach. There is an urgent need for catastrophe planning, exercise and simulation capacity, and deployment.</w:t>
      </w:r>
    </w:p>
    <w:p w14:paraId="6F6A4E86" w14:textId="77777777" w:rsidR="00586EDF" w:rsidRPr="00684BF3" w:rsidRDefault="00586EDF" w:rsidP="00586EDF">
      <w:pPr>
        <w:rPr>
          <w:sz w:val="16"/>
          <w:szCs w:val="16"/>
        </w:rPr>
      </w:pPr>
      <w:r w:rsidRPr="00684BF3">
        <w:rPr>
          <w:sz w:val="16"/>
          <w:szCs w:val="16"/>
        </w:rPr>
        <w:t>The second is that we have already entered a period of growing destabilization. There may be no good times just around the corner. This will profoundly challenge societal expectations, government and state capacities. Ideally, we can address some of the challenges of today, while building preparedness for further destabilization and potential future catastrophes. For example, A</w:t>
      </w:r>
      <w:r>
        <w:rPr>
          <w:sz w:val="16"/>
          <w:szCs w:val="16"/>
        </w:rPr>
        <w:t xml:space="preserve"> </w:t>
      </w:r>
      <w:r w:rsidRPr="00684BF3">
        <w:rPr>
          <w:sz w:val="16"/>
          <w:szCs w:val="16"/>
        </w:rPr>
        <w:t>Whole of Society Preparedness</w:t>
      </w:r>
      <w:r>
        <w:rPr>
          <w:sz w:val="16"/>
          <w:szCs w:val="16"/>
        </w:rPr>
        <w:t xml:space="preserve"> </w:t>
      </w:r>
      <w:r w:rsidRPr="00684BF3">
        <w:rPr>
          <w:sz w:val="16"/>
          <w:szCs w:val="16"/>
        </w:rPr>
        <w:t>approach brings citizens into the heart of preparedness. The example of Nordic and Baltic countries should give some confidence that this may be a path worth taking. Done wisely, it could even contribute to overcoming some of the polarization affecting societies.</w:t>
      </w:r>
    </w:p>
    <w:p w14:paraId="5C535B72" w14:textId="77777777" w:rsidR="00586EDF" w:rsidRPr="00684BF3" w:rsidRDefault="00586EDF" w:rsidP="00586EDF">
      <w:pPr>
        <w:rPr>
          <w:sz w:val="16"/>
          <w:szCs w:val="16"/>
        </w:rPr>
      </w:pPr>
      <w:r w:rsidRPr="00684BF3">
        <w:rPr>
          <w:sz w:val="16"/>
          <w:szCs w:val="16"/>
        </w:rPr>
        <w:t>Conclusion</w:t>
      </w:r>
    </w:p>
    <w:p w14:paraId="04E80C7E" w14:textId="77777777" w:rsidR="00586EDF" w:rsidRPr="00684BF3" w:rsidRDefault="00586EDF" w:rsidP="00586EDF">
      <w:pPr>
        <w:rPr>
          <w:sz w:val="16"/>
        </w:rPr>
      </w:pPr>
      <w:r w:rsidRPr="00684BF3">
        <w:rPr>
          <w:sz w:val="16"/>
        </w:rPr>
        <w:t xml:space="preserve">We do not know what the future will bring. </w:t>
      </w:r>
      <w:r w:rsidRPr="00456038">
        <w:rPr>
          <w:rStyle w:val="Emphasis"/>
          <w:highlight w:val="cyan"/>
        </w:rPr>
        <w:t>Risk is a measure of impact and likelihood</w:t>
      </w:r>
      <w:r w:rsidRPr="00684BF3">
        <w:rPr>
          <w:sz w:val="16"/>
        </w:rPr>
        <w:t xml:space="preserve">. </w:t>
      </w:r>
      <w:r w:rsidRPr="00684BF3">
        <w:rPr>
          <w:rStyle w:val="StyleUnderline"/>
        </w:rPr>
        <w:t>The impacts</w:t>
      </w:r>
      <w:r w:rsidRPr="00684BF3">
        <w:rPr>
          <w:sz w:val="16"/>
        </w:rPr>
        <w:t xml:space="preserve"> outlined above </w:t>
      </w:r>
      <w:r w:rsidRPr="00684BF3">
        <w:rPr>
          <w:rStyle w:val="StyleUnderline"/>
        </w:rPr>
        <w:t>could be devastating</w:t>
      </w:r>
      <w:r w:rsidRPr="00684BF3">
        <w:rPr>
          <w:sz w:val="16"/>
        </w:rPr>
        <w:t xml:space="preserve">. We’ve also suggested that </w:t>
      </w:r>
      <w:r w:rsidRPr="00684BF3">
        <w:rPr>
          <w:rStyle w:val="StyleUnderline"/>
        </w:rPr>
        <w:t>the likelihood of destabilization and catastrophic systemic failure is growing</w:t>
      </w:r>
      <w:r w:rsidRPr="00684BF3">
        <w:rPr>
          <w:sz w:val="16"/>
        </w:rPr>
        <w:t xml:space="preserve">. We are manifestly ill-prepared to deal with such consequences. </w:t>
      </w:r>
      <w:r>
        <w:rPr>
          <w:sz w:val="16"/>
        </w:rPr>
        <w:t xml:space="preserve"> </w:t>
      </w:r>
      <w:r w:rsidRPr="00456038">
        <w:rPr>
          <w:rStyle w:val="Emphasis"/>
          <w:highlight w:val="cyan"/>
        </w:rPr>
        <w:t>We can</w:t>
      </w:r>
      <w:r w:rsidRPr="00684BF3">
        <w:rPr>
          <w:sz w:val="16"/>
        </w:rPr>
        <w:t xml:space="preserve"> hope and </w:t>
      </w:r>
      <w:r w:rsidRPr="00456038">
        <w:rPr>
          <w:rStyle w:val="Emphasis"/>
          <w:highlight w:val="cyan"/>
        </w:rPr>
        <w:t>work towards kinder futures</w:t>
      </w:r>
      <w:r w:rsidRPr="00684BF3">
        <w:rPr>
          <w:sz w:val="16"/>
        </w:rPr>
        <w:t>, but we must also prepare for things going seriously wrong.</w:t>
      </w:r>
    </w:p>
    <w:p w14:paraId="5533FCB6" w14:textId="77777777" w:rsidR="00586EDF" w:rsidRDefault="00586EDF" w:rsidP="00586EDF">
      <w:pPr>
        <w:pStyle w:val="Heading3"/>
      </w:pPr>
      <w:r>
        <w:t>1AR – AT: Regulations Good</w:t>
      </w:r>
    </w:p>
    <w:p w14:paraId="4672C223" w14:textId="77777777" w:rsidR="00586EDF" w:rsidRDefault="00586EDF" w:rsidP="00586EDF">
      <w:pPr>
        <w:pStyle w:val="Heading4"/>
      </w:pPr>
      <w:r>
        <w:t>Dereg good.</w:t>
      </w:r>
    </w:p>
    <w:p w14:paraId="3B8E8165" w14:textId="77777777" w:rsidR="00586EDF" w:rsidRPr="00EF3DA8" w:rsidRDefault="00586EDF" w:rsidP="00586EDF">
      <w:r w:rsidRPr="00EF3DA8">
        <w:rPr>
          <w:rStyle w:val="Heading4Char"/>
        </w:rPr>
        <w:t>Mulligan 20</w:t>
      </w:r>
      <w:r w:rsidRPr="00EF3DA8">
        <w:t xml:space="preserve"> – (Casey B. Mulligan, Professor of Economics at the University of Chicago, served as Chief Economist of the White House Council of Economic Advisers; “Trumping Poverty</w:t>
      </w:r>
      <w:r>
        <w:t>”; City Journal; D.A. July 7</w:t>
      </w:r>
      <w:r w:rsidRPr="00EF3DA8">
        <w:rPr>
          <w:vertAlign w:val="superscript"/>
        </w:rPr>
        <w:t>th</w:t>
      </w:r>
      <w:r>
        <w:t xml:space="preserve"> 2020, [Published April 23</w:t>
      </w:r>
      <w:r w:rsidRPr="00EF3DA8">
        <w:rPr>
          <w:vertAlign w:val="superscript"/>
        </w:rPr>
        <w:t>rd</w:t>
      </w:r>
      <w:r>
        <w:t xml:space="preserve"> 2020]; </w:t>
      </w:r>
      <w:hyperlink r:id="rId127" w:history="1">
        <w:r>
          <w:rPr>
            <w:rStyle w:val="Hyperlink"/>
          </w:rPr>
          <w:t>https://www.city-journal.org/costs-of-revival-of-regulatory-state</w:t>
        </w:r>
      </w:hyperlink>
      <w:r>
        <w:t>) //LFS—JCM</w:t>
      </w:r>
    </w:p>
    <w:p w14:paraId="6506E0DF" w14:textId="77777777" w:rsidR="00586EDF" w:rsidRPr="00EF3DA8" w:rsidRDefault="00586EDF" w:rsidP="00586EDF">
      <w:pPr>
        <w:rPr>
          <w:sz w:val="16"/>
        </w:rPr>
      </w:pPr>
      <w:r w:rsidRPr="00EF3DA8">
        <w:rPr>
          <w:sz w:val="16"/>
        </w:rPr>
        <w:t>At the end of March, the Environmental Protection Agency (</w:t>
      </w:r>
      <w:r w:rsidRPr="00EF3DA8">
        <w:rPr>
          <w:rStyle w:val="StyleUnderline"/>
        </w:rPr>
        <w:t>EPA</w:t>
      </w:r>
      <w:r w:rsidRPr="00EF3DA8">
        <w:rPr>
          <w:sz w:val="16"/>
        </w:rPr>
        <w:t xml:space="preserve">) </w:t>
      </w:r>
      <w:r w:rsidRPr="00EF3DA8">
        <w:rPr>
          <w:rStyle w:val="StyleUnderline"/>
        </w:rPr>
        <w:t>rolled back Obama-era fuel economy standards</w:t>
      </w:r>
      <w:r w:rsidRPr="00EF3DA8">
        <w:rPr>
          <w:sz w:val="16"/>
        </w:rPr>
        <w:t xml:space="preserve"> projected to add nearly $3,000 to the cost of a new car. </w:t>
      </w:r>
      <w:r w:rsidRPr="00EF3DA8">
        <w:rPr>
          <w:rStyle w:val="StyleUnderline"/>
        </w:rPr>
        <w:t xml:space="preserve">It was the latest instance of President Trump’s </w:t>
      </w:r>
      <w:r w:rsidRPr="00EF3DA8">
        <w:rPr>
          <w:sz w:val="16"/>
        </w:rPr>
        <w:t xml:space="preserve">record of </w:t>
      </w:r>
      <w:r w:rsidRPr="00EF3DA8">
        <w:rPr>
          <w:rStyle w:val="StyleUnderline"/>
        </w:rPr>
        <w:t>cutting excessive regulations</w:t>
      </w:r>
      <w:r w:rsidRPr="00EF3DA8">
        <w:rPr>
          <w:sz w:val="16"/>
        </w:rPr>
        <w:t>, which he </w:t>
      </w:r>
      <w:hyperlink r:id="rId128" w:tgtFrame="_blank" w:history="1">
        <w:r w:rsidRPr="00EF3DA8">
          <w:rPr>
            <w:rStyle w:val="Hyperlink"/>
            <w:sz w:val="16"/>
          </w:rPr>
          <w:t>describes as</w:t>
        </w:r>
      </w:hyperlink>
      <w:r w:rsidRPr="00EF3DA8">
        <w:rPr>
          <w:sz w:val="16"/>
        </w:rPr>
        <w:t> “</w:t>
      </w:r>
      <w:r w:rsidRPr="00EF3DA8">
        <w:rPr>
          <w:rStyle w:val="Emphasis"/>
        </w:rPr>
        <w:t>stealth taxation</w:t>
      </w:r>
      <w:r w:rsidRPr="00EF3DA8">
        <w:rPr>
          <w:rStyle w:val="StyleUnderline"/>
        </w:rPr>
        <w:t>, especially on the poor</w:t>
      </w:r>
      <w:r w:rsidRPr="00EF3DA8">
        <w:rPr>
          <w:sz w:val="16"/>
        </w:rPr>
        <w:t xml:space="preserve">.” Trump’s </w:t>
      </w:r>
      <w:r w:rsidRPr="00EF3DA8">
        <w:rPr>
          <w:rStyle w:val="Emphasis"/>
        </w:rPr>
        <w:t>deregulatory actions</w:t>
      </w:r>
      <w:r w:rsidRPr="00EF3DA8">
        <w:rPr>
          <w:sz w:val="16"/>
        </w:rPr>
        <w:t xml:space="preserve"> over the past three years </w:t>
      </w:r>
      <w:r w:rsidRPr="00EF3DA8">
        <w:rPr>
          <w:rStyle w:val="StyleUnderline"/>
        </w:rPr>
        <w:t xml:space="preserve">will </w:t>
      </w:r>
      <w:r w:rsidRPr="00EF3DA8">
        <w:rPr>
          <w:rStyle w:val="Emphasis"/>
        </w:rPr>
        <w:t>increase the purchasing power of working-class</w:t>
      </w:r>
      <w:r w:rsidRPr="00EF3DA8">
        <w:rPr>
          <w:rStyle w:val="StyleUnderline"/>
        </w:rPr>
        <w:t xml:space="preserve"> income</w:t>
      </w:r>
      <w:r w:rsidRPr="00EF3DA8">
        <w:rPr>
          <w:sz w:val="16"/>
        </w:rPr>
        <w:t xml:space="preserve"> by up to 15 percent, at least </w:t>
      </w:r>
      <w:r w:rsidRPr="00EF3DA8">
        <w:rPr>
          <w:rStyle w:val="StyleUnderline"/>
        </w:rPr>
        <w:t>after the Covid-19 pandemic passes and the economy begins functioning</w:t>
      </w:r>
      <w:r w:rsidRPr="00EF3DA8">
        <w:rPr>
          <w:sz w:val="16"/>
        </w:rPr>
        <w:t xml:space="preserve"> again. The current economic depression from the pandemic underscores the importance of removing obstacles to economic advancement for those most in need of it.</w:t>
      </w:r>
    </w:p>
    <w:p w14:paraId="53EDBB67" w14:textId="77777777" w:rsidR="00586EDF" w:rsidRPr="00EF3DA8" w:rsidRDefault="00586EDF" w:rsidP="00586EDF">
      <w:pPr>
        <w:rPr>
          <w:sz w:val="16"/>
        </w:rPr>
      </w:pPr>
      <w:r w:rsidRPr="00EF3DA8">
        <w:rPr>
          <w:sz w:val="16"/>
        </w:rPr>
        <w:t>One of the </w:t>
      </w:r>
      <w:hyperlink r:id="rId129" w:tgtFrame="_blank" w:history="1">
        <w:r w:rsidRPr="00EF3DA8">
          <w:rPr>
            <w:rStyle w:val="Hyperlink"/>
            <w:sz w:val="16"/>
          </w:rPr>
          <w:t>best-kept</w:t>
        </w:r>
      </w:hyperlink>
      <w:r w:rsidRPr="00EF3DA8">
        <w:rPr>
          <w:sz w:val="16"/>
        </w:rPr>
        <w:t> secrets in the </w:t>
      </w:r>
      <w:hyperlink r:id="rId130" w:tgtFrame="_blank" w:history="1">
        <w:r w:rsidRPr="00EF3DA8">
          <w:rPr>
            <w:rStyle w:val="Hyperlink"/>
            <w:sz w:val="16"/>
          </w:rPr>
          <w:t>economics of regulation</w:t>
        </w:r>
      </w:hyperlink>
      <w:r w:rsidRPr="00EF3DA8">
        <w:rPr>
          <w:sz w:val="16"/>
        </w:rPr>
        <w:t> is how </w:t>
      </w:r>
      <w:r w:rsidRPr="00EF3DA8">
        <w:rPr>
          <w:rStyle w:val="Emphasis"/>
        </w:rPr>
        <w:t>regulation’s costs fall disproportionately on the poor</w:t>
      </w:r>
      <w:r w:rsidRPr="00EF3DA8">
        <w:rPr>
          <w:sz w:val="16"/>
        </w:rPr>
        <w:t>. “</w:t>
      </w:r>
      <w:r w:rsidRPr="00EF3DA8">
        <w:rPr>
          <w:rStyle w:val="StyleUnderline"/>
        </w:rPr>
        <w:t>Well-intentioned regulation often indulges the preferences of the wealthy</w:t>
      </w:r>
      <w:r w:rsidRPr="00EF3DA8">
        <w:rPr>
          <w:sz w:val="16"/>
        </w:rPr>
        <w:t>,” </w:t>
      </w:r>
      <w:hyperlink r:id="rId131" w:tgtFrame="_blank" w:history="1">
        <w:r w:rsidRPr="00EF3DA8">
          <w:rPr>
            <w:rStyle w:val="Hyperlink"/>
            <w:sz w:val="16"/>
          </w:rPr>
          <w:t>observes</w:t>
        </w:r>
      </w:hyperlink>
      <w:r w:rsidRPr="00EF3DA8">
        <w:rPr>
          <w:sz w:val="16"/>
        </w:rPr>
        <w:t> </w:t>
      </w:r>
      <w:r w:rsidRPr="00EF3DA8">
        <w:rPr>
          <w:rStyle w:val="StyleUnderline"/>
        </w:rPr>
        <w:t>Creighton University professor Diana Thomas</w:t>
      </w:r>
      <w:r w:rsidRPr="00EF3DA8">
        <w:rPr>
          <w:sz w:val="16"/>
        </w:rPr>
        <w:t>. By “</w:t>
      </w:r>
      <w:r w:rsidRPr="00EF3DA8">
        <w:rPr>
          <w:rStyle w:val="Emphasis"/>
        </w:rPr>
        <w:t>driving up the prices</w:t>
      </w:r>
      <w:r w:rsidRPr="00EF3DA8">
        <w:rPr>
          <w:rStyle w:val="StyleUnderline"/>
        </w:rPr>
        <w:t xml:space="preserve"> of regulated goods and </w:t>
      </w:r>
      <w:r w:rsidRPr="00EF3DA8">
        <w:rPr>
          <w:rStyle w:val="Emphasis"/>
        </w:rPr>
        <w:t>lowering the wages</w:t>
      </w:r>
      <w:r w:rsidRPr="00EF3DA8">
        <w:rPr>
          <w:rStyle w:val="StyleUnderline"/>
        </w:rPr>
        <w:t xml:space="preserve"> of lower income households</w:t>
      </w:r>
      <w:r w:rsidRPr="00EF3DA8">
        <w:rPr>
          <w:sz w:val="16"/>
        </w:rPr>
        <w:t xml:space="preserve"> and workers, such </w:t>
      </w:r>
      <w:r w:rsidRPr="00EF3DA8">
        <w:rPr>
          <w:rStyle w:val="StyleUnderline"/>
        </w:rPr>
        <w:t>regulation is likely to have disproportionately negative or regressive effects on the poor</w:t>
      </w:r>
      <w:r w:rsidRPr="00EF3DA8">
        <w:rPr>
          <w:sz w:val="16"/>
        </w:rPr>
        <w:t>.”</w:t>
      </w:r>
    </w:p>
    <w:p w14:paraId="623B49F0" w14:textId="77777777" w:rsidR="00586EDF" w:rsidRPr="00EF3DA8" w:rsidRDefault="00586EDF" w:rsidP="00586EDF">
      <w:pPr>
        <w:rPr>
          <w:sz w:val="16"/>
        </w:rPr>
      </w:pPr>
      <w:r w:rsidRPr="00EF3DA8">
        <w:rPr>
          <w:sz w:val="16"/>
        </w:rPr>
        <w:t xml:space="preserve">Trump’s 2020 reelection drive will likely position itself on the side of the poor and middle class, while portraying his likely Democratic opponent, former vice president Joe </w:t>
      </w:r>
      <w:r w:rsidRPr="00EF3DA8">
        <w:rPr>
          <w:rStyle w:val="StyleUnderline"/>
        </w:rPr>
        <w:t>Biden</w:t>
      </w:r>
      <w:r w:rsidRPr="00EF3DA8">
        <w:rPr>
          <w:sz w:val="16"/>
        </w:rPr>
        <w:t xml:space="preserve">, as a </w:t>
      </w:r>
      <w:r w:rsidRPr="00EF3DA8">
        <w:rPr>
          <w:rStyle w:val="StyleUnderline"/>
        </w:rPr>
        <w:t>representative of the entrenched bureaucratic class</w:t>
      </w:r>
      <w:r w:rsidRPr="00EF3DA8">
        <w:rPr>
          <w:sz w:val="16"/>
        </w:rPr>
        <w:t xml:space="preserve"> that oversaw accelerated rulemaking during the Obama years. </w:t>
      </w:r>
      <w:r w:rsidRPr="00EF3DA8">
        <w:rPr>
          <w:rStyle w:val="StyleUnderline"/>
        </w:rPr>
        <w:t>The historical trend has been toward ever-greater regulation</w:t>
      </w:r>
      <w:r w:rsidRPr="00EF3DA8">
        <w:rPr>
          <w:sz w:val="16"/>
        </w:rPr>
        <w:t>, with all of Trump’s political competitors promising to restore that tradition and even exceed it.</w:t>
      </w:r>
    </w:p>
    <w:p w14:paraId="17906F21" w14:textId="77777777" w:rsidR="00586EDF" w:rsidRDefault="00586EDF" w:rsidP="00586EDF">
      <w:r>
        <w:rPr>
          <w:noProof/>
        </w:rPr>
        <w:drawing>
          <wp:inline distT="0" distB="0" distL="0" distR="0" wp14:anchorId="464255FA" wp14:editId="79E93062">
            <wp:extent cx="4668715" cy="3306429"/>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679462" cy="3314040"/>
                    </a:xfrm>
                    <a:prstGeom prst="rect">
                      <a:avLst/>
                    </a:prstGeom>
                  </pic:spPr>
                </pic:pic>
              </a:graphicData>
            </a:graphic>
          </wp:inline>
        </w:drawing>
      </w:r>
    </w:p>
    <w:p w14:paraId="1B0410E5" w14:textId="77777777" w:rsidR="00586EDF" w:rsidRDefault="00586EDF" w:rsidP="00586EDF">
      <w:pPr>
        <w:rPr>
          <w:sz w:val="16"/>
        </w:rPr>
      </w:pPr>
      <w:r w:rsidRPr="00EF3DA8">
        <w:rPr>
          <w:rStyle w:val="StyleUnderline"/>
        </w:rPr>
        <w:t>Who would pay most for a revival of the regulatory state?</w:t>
      </w:r>
      <w:r w:rsidRPr="00EF3DA8">
        <w:rPr>
          <w:sz w:val="16"/>
        </w:rPr>
        <w:t xml:space="preserve"> Dividing American households into five income groups from lowest to highest, I have estimated each group’s regulatory costs and expressed them as a percentage of its average income. </w:t>
      </w:r>
      <w:r w:rsidRPr="00EF3DA8">
        <w:rPr>
          <w:rStyle w:val="StyleUnderline"/>
        </w:rPr>
        <w:t>The costs to the bottom quintile amount to 15.3 percent of their total income</w:t>
      </w:r>
      <w:r w:rsidRPr="00EF3DA8">
        <w:rPr>
          <w:sz w:val="16"/>
        </w:rPr>
        <w:t xml:space="preserve">—representing </w:t>
      </w:r>
      <w:r w:rsidRPr="00EF3DA8">
        <w:rPr>
          <w:rStyle w:val="StyleUnderline"/>
        </w:rPr>
        <w:t>as high a burden as all the taxes they currently pay.</w:t>
      </w:r>
      <w:r w:rsidRPr="00EF3DA8">
        <w:rPr>
          <w:sz w:val="16"/>
        </w:rPr>
        <w:t xml:space="preserve"> This group would experience part of the cost as lower wages, but </w:t>
      </w:r>
      <w:r w:rsidRPr="00EF3DA8">
        <w:rPr>
          <w:rStyle w:val="StyleUnderline"/>
        </w:rPr>
        <w:t>the biggest bite would come in the form of diminished purchasing power due to higher prices for energy, </w:t>
      </w:r>
      <w:hyperlink r:id="rId133" w:tgtFrame="_blank" w:history="1">
        <w:r w:rsidRPr="00EF3DA8">
          <w:rPr>
            <w:rStyle w:val="StyleUnderline"/>
          </w:rPr>
          <w:t>cars</w:t>
        </w:r>
      </w:hyperlink>
      <w:r w:rsidRPr="00EF3DA8">
        <w:rPr>
          <w:rStyle w:val="StyleUnderline"/>
        </w:rPr>
        <w:t>, and other consumer goods.</w:t>
      </w:r>
      <w:r w:rsidRPr="00EF3DA8">
        <w:rPr>
          <w:sz w:val="16"/>
        </w:rPr>
        <w:t xml:space="preserve"> </w:t>
      </w:r>
      <w:r w:rsidRPr="00EF3DA8">
        <w:rPr>
          <w:rStyle w:val="Emphasis"/>
        </w:rPr>
        <w:t>The top quintile</w:t>
      </w:r>
      <w:r w:rsidRPr="00EF3DA8">
        <w:rPr>
          <w:sz w:val="16"/>
        </w:rPr>
        <w:t xml:space="preserve">, by contrast, </w:t>
      </w:r>
      <w:r w:rsidRPr="00EF3DA8">
        <w:rPr>
          <w:rStyle w:val="Emphasis"/>
        </w:rPr>
        <w:t>would suffer the least</w:t>
      </w:r>
      <w:r w:rsidRPr="00EF3DA8">
        <w:rPr>
          <w:sz w:val="16"/>
        </w:rPr>
        <w:t xml:space="preserve"> </w:t>
      </w:r>
      <w:r w:rsidRPr="00EF3DA8">
        <w:rPr>
          <w:rStyle w:val="StyleUnderline"/>
        </w:rPr>
        <w:t>from regulatory restoration</w:t>
      </w:r>
      <w:r w:rsidRPr="00EF3DA8">
        <w:rPr>
          <w:sz w:val="16"/>
        </w:rPr>
        <w:t xml:space="preserve">, with labor, energy, and other consumer rules amounting to only a </w:t>
      </w:r>
      <w:r w:rsidRPr="00EF3DA8">
        <w:rPr>
          <w:rStyle w:val="StyleUnderline"/>
        </w:rPr>
        <w:t>2.2 percent implicit tax</w:t>
      </w:r>
      <w:r w:rsidRPr="00EF3DA8">
        <w:rPr>
          <w:sz w:val="16"/>
        </w:rPr>
        <w:t xml:space="preserve"> on the highest earners.</w:t>
      </w:r>
    </w:p>
    <w:p w14:paraId="0608D4BF" w14:textId="77777777" w:rsidR="00586EDF" w:rsidRDefault="00586EDF" w:rsidP="00586EDF">
      <w:pPr>
        <w:pStyle w:val="Heading3"/>
      </w:pPr>
      <w:r>
        <w:t>1AR – AT: Lenity Fails</w:t>
      </w:r>
    </w:p>
    <w:p w14:paraId="1BD655AB" w14:textId="77777777" w:rsidR="00586EDF" w:rsidRDefault="00586EDF" w:rsidP="00586EDF">
      <w:pPr>
        <w:pStyle w:val="Heading4"/>
      </w:pPr>
      <w:r>
        <w:t>Lenity restores accountability to insider trading laws.</w:t>
      </w:r>
    </w:p>
    <w:p w14:paraId="08A13008" w14:textId="77777777" w:rsidR="00586EDF" w:rsidRDefault="00586EDF" w:rsidP="00586EDF">
      <w:r>
        <w:rPr>
          <w:rStyle w:val="Style13ptBold"/>
        </w:rPr>
        <w:t>Currier 16</w:t>
      </w:r>
      <w:r>
        <w:t xml:space="preserve"> – Anna Currier, J.D. at American University Washington College of Law and Deputy Attorney General at Delaware Department of Justice ("The Rule Of Lenity And The Enforcement Of The Federal Securities Laws,” American University Business Law Review, vol. 5, no. 1, pg. 98-100, available online at </w:t>
      </w:r>
      <w:hyperlink r:id="rId134" w:history="1">
        <w:r w:rsidRPr="00555308">
          <w:rPr>
            <w:rStyle w:val="Hyperlink"/>
          </w:rPr>
          <w:t>http://digitalcommons.wcl.american.edu/aublr/vol5/iss1/4</w:t>
        </w:r>
      </w:hyperlink>
      <w:r>
        <w:t>, accessed 6-21-2020) LR</w:t>
      </w:r>
    </w:p>
    <w:p w14:paraId="2ABC4B25" w14:textId="77777777" w:rsidR="00586EDF" w:rsidRPr="007A693E" w:rsidRDefault="00586EDF" w:rsidP="00586EDF">
      <w:pPr>
        <w:rPr>
          <w:sz w:val="16"/>
        </w:rPr>
      </w:pPr>
      <w:r w:rsidRPr="007A693E">
        <w:rPr>
          <w:sz w:val="16"/>
        </w:rPr>
        <w:t xml:space="preserve">The cases presented in the previous section, unlike Newman, were civil cases, yet the Supreme Court applied the rule of lenity in both Crandon and Leocal because the statutes at issue were capable of both criminal and civil applications. </w:t>
      </w:r>
      <w:r w:rsidRPr="007A693E">
        <w:rPr>
          <w:rStyle w:val="StyleUnderline"/>
        </w:rPr>
        <w:t>Applying the rule of lenity to civil enforcement actions</w:t>
      </w:r>
      <w:r w:rsidRPr="007A693E">
        <w:rPr>
          <w:sz w:val="16"/>
        </w:rPr>
        <w:t xml:space="preserve"> potentially </w:t>
      </w:r>
      <w:r w:rsidRPr="007A693E">
        <w:rPr>
          <w:rStyle w:val="StyleUnderline"/>
        </w:rPr>
        <w:t>will impede the SEC's</w:t>
      </w:r>
      <w:r w:rsidRPr="007A693E">
        <w:rPr>
          <w:sz w:val="16"/>
        </w:rPr>
        <w:t xml:space="preserve"> robust </w:t>
      </w:r>
      <w:r w:rsidRPr="007A693E">
        <w:rPr>
          <w:rStyle w:val="StyleUnderline"/>
        </w:rPr>
        <w:t>enforcement initiatives under the Commission's Chairwoman, Mary Jo White.</w:t>
      </w:r>
      <w:r w:rsidRPr="007A693E">
        <w:rPr>
          <w:sz w:val="16"/>
        </w:rPr>
        <w:t xml:space="preserve"> 135 Chairwoman </w:t>
      </w:r>
      <w:r w:rsidRPr="007A693E">
        <w:rPr>
          <w:rStyle w:val="StyleUnderline"/>
        </w:rPr>
        <w:t>White has been vocal in advocating a "</w:t>
      </w:r>
      <w:r w:rsidRPr="00FF4CB9">
        <w:rPr>
          <w:rStyle w:val="Emphasis"/>
        </w:rPr>
        <w:t>broken windows</w:t>
      </w:r>
      <w:r w:rsidRPr="007A693E">
        <w:rPr>
          <w:rStyle w:val="StyleUnderline"/>
        </w:rPr>
        <w:t>" approach</w:t>
      </w:r>
      <w:r w:rsidRPr="007A693E">
        <w:rPr>
          <w:sz w:val="16"/>
        </w:rPr>
        <w:t xml:space="preserve"> to enforcement, </w:t>
      </w:r>
      <w:r w:rsidRPr="007A693E">
        <w:rPr>
          <w:rStyle w:val="StyleUnderline"/>
        </w:rPr>
        <w:t>holding that no violation is too small to pursue.</w:t>
      </w:r>
      <w:r w:rsidRPr="007A693E">
        <w:rPr>
          <w:sz w:val="16"/>
        </w:rPr>
        <w:t xml:space="preserve"> 136</w:t>
      </w:r>
    </w:p>
    <w:p w14:paraId="149B92AD" w14:textId="77777777" w:rsidR="00586EDF" w:rsidRPr="007A693E" w:rsidRDefault="00586EDF" w:rsidP="00586EDF">
      <w:pPr>
        <w:rPr>
          <w:sz w:val="16"/>
        </w:rPr>
      </w:pPr>
      <w:r w:rsidRPr="007A693E">
        <w:rPr>
          <w:sz w:val="16"/>
        </w:rPr>
        <w:t xml:space="preserve">However, </w:t>
      </w:r>
      <w:r w:rsidRPr="007A693E">
        <w:rPr>
          <w:rStyle w:val="StyleUnderline"/>
        </w:rPr>
        <w:t>SEC</w:t>
      </w:r>
      <w:r w:rsidRPr="007A693E">
        <w:rPr>
          <w:sz w:val="16"/>
        </w:rPr>
        <w:t xml:space="preserve"> Commissioner Michael Piwowar has expressed skepticism about the broken windows enforcement policy, suggesting that its </w:t>
      </w:r>
      <w:r w:rsidRPr="007A693E">
        <w:rPr>
          <w:rStyle w:val="StyleUnderline"/>
        </w:rPr>
        <w:t xml:space="preserve">zero-tolerance policy ultimately </w:t>
      </w:r>
      <w:r w:rsidRPr="00FF4CB9">
        <w:rPr>
          <w:rStyle w:val="Emphasis"/>
        </w:rPr>
        <w:t>harms</w:t>
      </w:r>
      <w:r w:rsidRPr="007A693E">
        <w:rPr>
          <w:rStyle w:val="StyleUnderline"/>
        </w:rPr>
        <w:t xml:space="preserve"> the</w:t>
      </w:r>
      <w:r w:rsidRPr="007A693E">
        <w:rPr>
          <w:sz w:val="16"/>
        </w:rPr>
        <w:t xml:space="preserve"> Commission's </w:t>
      </w:r>
      <w:r w:rsidRPr="007A693E">
        <w:rPr>
          <w:rStyle w:val="StyleUnderline"/>
        </w:rPr>
        <w:t xml:space="preserve">regulatory role. </w:t>
      </w:r>
      <w:r w:rsidRPr="007A693E">
        <w:rPr>
          <w:sz w:val="16"/>
        </w:rPr>
        <w:t xml:space="preserve">137 Commissioner Piwowar noted that by adopting a broken windows approach to enforcement actions, </w:t>
      </w:r>
      <w:r w:rsidRPr="007A693E">
        <w:rPr>
          <w:rStyle w:val="StyleUnderline"/>
        </w:rPr>
        <w:t xml:space="preserve">the Commission's mission becomes </w:t>
      </w:r>
      <w:r w:rsidRPr="00FF4CB9">
        <w:rPr>
          <w:rStyle w:val="Emphasis"/>
        </w:rPr>
        <w:t>diluted</w:t>
      </w:r>
      <w:r w:rsidRPr="007A693E">
        <w:rPr>
          <w:sz w:val="16"/>
        </w:rPr>
        <w:t xml:space="preserve">; "If you create an environment in which regulatory compliance is the most important objective for market participants, then </w:t>
      </w:r>
      <w:r w:rsidRPr="007A693E">
        <w:rPr>
          <w:rStyle w:val="StyleUnderline"/>
        </w:rPr>
        <w:t>we</w:t>
      </w:r>
      <w:r w:rsidRPr="007A693E">
        <w:rPr>
          <w:sz w:val="16"/>
        </w:rPr>
        <w:t xml:space="preserve"> will </w:t>
      </w:r>
      <w:r w:rsidRPr="007A693E">
        <w:rPr>
          <w:rStyle w:val="StyleUnderline"/>
        </w:rPr>
        <w:t>have lost sight of the underlying purpose for having regulation in the first place.</w:t>
      </w:r>
      <w:r w:rsidRPr="007A693E">
        <w:rPr>
          <w:sz w:val="16"/>
        </w:rPr>
        <w:t xml:space="preserve"> 138 </w:t>
      </w:r>
      <w:r w:rsidRPr="007A693E">
        <w:rPr>
          <w:rStyle w:val="StyleUnderline"/>
        </w:rPr>
        <w:t>The Commission's administrative power further increased with</w:t>
      </w:r>
      <w:r w:rsidRPr="007A693E">
        <w:rPr>
          <w:sz w:val="16"/>
        </w:rPr>
        <w:t xml:space="preserve"> the 2010 implementation </w:t>
      </w:r>
      <w:r w:rsidRPr="007A693E">
        <w:rPr>
          <w:rStyle w:val="StyleUnderline"/>
        </w:rPr>
        <w:t xml:space="preserve">of Dodd-Frank, granting the Commission power to </w:t>
      </w:r>
      <w:r w:rsidRPr="00FF4CB9">
        <w:rPr>
          <w:rStyle w:val="Emphasis"/>
        </w:rPr>
        <w:t>impose civil penalties</w:t>
      </w:r>
      <w:r w:rsidRPr="007A693E">
        <w:rPr>
          <w:rStyle w:val="StyleUnderline"/>
        </w:rPr>
        <w:t>. These were penalties</w:t>
      </w:r>
      <w:r w:rsidRPr="007A693E">
        <w:rPr>
          <w:sz w:val="16"/>
        </w:rPr>
        <w:t xml:space="preserve"> the Commission </w:t>
      </w:r>
      <w:r w:rsidRPr="007A693E">
        <w:rPr>
          <w:rStyle w:val="StyleUnderline"/>
        </w:rPr>
        <w:t>could previously seek only in federal court</w:t>
      </w:r>
      <w:r w:rsidRPr="007A693E">
        <w:rPr>
          <w:sz w:val="16"/>
        </w:rPr>
        <w:t xml:space="preserve">: in administrative cease-and-desist proceedings brought under violations of the Securities Act and the Securities Exchange Act. 139 </w:t>
      </w:r>
      <w:r w:rsidRPr="007A693E">
        <w:rPr>
          <w:rStyle w:val="StyleUnderline"/>
        </w:rPr>
        <w:t>Dodd-Frank also expanded the reach of the Commission by allowing it to bring administrative actions against any unregistered individual.</w:t>
      </w:r>
      <w:r w:rsidRPr="007A693E">
        <w:rPr>
          <w:sz w:val="16"/>
        </w:rPr>
        <w:t xml:space="preserve"> 140 </w:t>
      </w:r>
      <w:r w:rsidRPr="007A693E">
        <w:rPr>
          <w:rStyle w:val="StyleUnderline"/>
        </w:rPr>
        <w:t xml:space="preserve">With these increased powers, </w:t>
      </w:r>
      <w:r w:rsidRPr="00FF4CB9">
        <w:rPr>
          <w:rStyle w:val="Emphasis"/>
        </w:rPr>
        <w:t>administrative proceedings</w:t>
      </w:r>
      <w:r w:rsidRPr="007A693E">
        <w:rPr>
          <w:rStyle w:val="StyleUnderline"/>
        </w:rPr>
        <w:t xml:space="preserve"> have become the Commission's forum of choice for </w:t>
      </w:r>
      <w:r w:rsidRPr="00FF4CB9">
        <w:rPr>
          <w:rStyle w:val="Emphasis"/>
        </w:rPr>
        <w:t>insider trading</w:t>
      </w:r>
      <w:r w:rsidRPr="007A693E">
        <w:rPr>
          <w:rStyle w:val="StyleUnderline"/>
        </w:rPr>
        <w:t xml:space="preserve"> actions.</w:t>
      </w:r>
      <w:r w:rsidRPr="007A693E">
        <w:rPr>
          <w:sz w:val="16"/>
        </w:rPr>
        <w:t xml:space="preserve"> 141</w:t>
      </w:r>
    </w:p>
    <w:p w14:paraId="2F56AE39" w14:textId="77777777" w:rsidR="00586EDF" w:rsidRPr="00FD7B9E" w:rsidRDefault="00586EDF" w:rsidP="00586EDF">
      <w:pPr>
        <w:rPr>
          <w:sz w:val="16"/>
        </w:rPr>
      </w:pPr>
      <w:r w:rsidRPr="00FD7B9E">
        <w:rPr>
          <w:sz w:val="16"/>
        </w:rPr>
        <w:t xml:space="preserve">The Commission has distinct advantages in its administrative forum. 42 Along with being tried by a Commission-appointed administrative law judge, 143 </w:t>
      </w:r>
      <w:r w:rsidRPr="00FD7B9E">
        <w:rPr>
          <w:rStyle w:val="StyleUnderline"/>
        </w:rPr>
        <w:t>administrative proceedings differ in important ways from</w:t>
      </w:r>
      <w:r w:rsidRPr="00FD7B9E">
        <w:rPr>
          <w:sz w:val="16"/>
        </w:rPr>
        <w:t xml:space="preserve"> those of a </w:t>
      </w:r>
      <w:r w:rsidRPr="00FD7B9E">
        <w:rPr>
          <w:rStyle w:val="StyleUnderline"/>
        </w:rPr>
        <w:t>federal court</w:t>
      </w:r>
      <w:r w:rsidRPr="00FD7B9E">
        <w:rPr>
          <w:sz w:val="16"/>
        </w:rPr>
        <w:t xml:space="preserve">: 1) </w:t>
      </w:r>
      <w:r w:rsidRPr="00FD7B9E">
        <w:rPr>
          <w:rStyle w:val="StyleUnderline"/>
        </w:rPr>
        <w:t xml:space="preserve">the </w:t>
      </w:r>
      <w:r w:rsidRPr="00D933F4">
        <w:rPr>
          <w:rStyle w:val="Emphasis"/>
        </w:rPr>
        <w:t>proceedings are limited</w:t>
      </w:r>
      <w:r w:rsidRPr="00FD7B9E">
        <w:rPr>
          <w:rStyle w:val="StyleUnderline"/>
        </w:rPr>
        <w:t xml:space="preserve"> in</w:t>
      </w:r>
      <w:r w:rsidRPr="00FD7B9E">
        <w:rPr>
          <w:sz w:val="16"/>
        </w:rPr>
        <w:t xml:space="preserve"> their </w:t>
      </w:r>
      <w:r w:rsidRPr="00FD7B9E">
        <w:rPr>
          <w:rStyle w:val="StyleUnderline"/>
        </w:rPr>
        <w:t>discovery process</w:t>
      </w:r>
      <w:r w:rsidRPr="00FD7B9E">
        <w:rPr>
          <w:sz w:val="16"/>
        </w:rPr>
        <w:t xml:space="preserve">, most notably in that </w:t>
      </w:r>
      <w:r w:rsidRPr="00FD7B9E">
        <w:rPr>
          <w:rStyle w:val="StyleUnderline"/>
        </w:rPr>
        <w:t>a defendant cannot conduct discovery depositions</w:t>
      </w:r>
      <w:r w:rsidRPr="00FD7B9E">
        <w:rPr>
          <w:sz w:val="16"/>
        </w:rPr>
        <w:t xml:space="preserve">; 2) the </w:t>
      </w:r>
      <w:r w:rsidRPr="00FD7B9E">
        <w:rPr>
          <w:rStyle w:val="StyleUnderline"/>
        </w:rPr>
        <w:t>out of court investigation testimo</w:t>
      </w:r>
      <w:r w:rsidRPr="00E04A76">
        <w:rPr>
          <w:rStyle w:val="StyleUnderline"/>
        </w:rPr>
        <w:t>ny</w:t>
      </w:r>
      <w:r w:rsidRPr="00FD7B9E">
        <w:rPr>
          <w:sz w:val="16"/>
        </w:rPr>
        <w:t xml:space="preserve"> of the Commission </w:t>
      </w:r>
      <w:r w:rsidRPr="00FD7B9E">
        <w:rPr>
          <w:rStyle w:val="StyleUnderline"/>
        </w:rPr>
        <w:t>is freely admitted; and</w:t>
      </w:r>
      <w:r w:rsidRPr="00FD7B9E">
        <w:rPr>
          <w:sz w:val="16"/>
        </w:rPr>
        <w:t xml:space="preserve"> 3) </w:t>
      </w:r>
      <w:r w:rsidRPr="00FD7B9E">
        <w:rPr>
          <w:rStyle w:val="StyleUnderline"/>
        </w:rPr>
        <w:t xml:space="preserve">there is </w:t>
      </w:r>
      <w:r w:rsidRPr="00D933F4">
        <w:rPr>
          <w:rStyle w:val="Emphasis"/>
        </w:rPr>
        <w:t>no right</w:t>
      </w:r>
      <w:r w:rsidRPr="00FD7B9E">
        <w:rPr>
          <w:rStyle w:val="StyleUnderline"/>
        </w:rPr>
        <w:t xml:space="preserve"> to a </w:t>
      </w:r>
      <w:r w:rsidRPr="00D933F4">
        <w:rPr>
          <w:rStyle w:val="Emphasis"/>
        </w:rPr>
        <w:t>trial by jury</w:t>
      </w:r>
      <w:r w:rsidRPr="00FD7B9E">
        <w:rPr>
          <w:sz w:val="16"/>
        </w:rPr>
        <w:t xml:space="preserve"> in an administrative proceeding. </w:t>
      </w:r>
    </w:p>
    <w:p w14:paraId="2B667D1A" w14:textId="77777777" w:rsidR="00586EDF" w:rsidRDefault="00586EDF" w:rsidP="00586EDF">
      <w:pPr>
        <w:rPr>
          <w:sz w:val="16"/>
        </w:rPr>
      </w:pPr>
      <w:r w:rsidRPr="00FD7B9E">
        <w:rPr>
          <w:sz w:val="16"/>
        </w:rPr>
        <w:t xml:space="preserve">Dodd-Frank expands the Commission's administrative enforcement power through Section 929P(a), which enables the Commission to obtain virtually everything it could obtain through federal court proceedings through internal administrative proceedings. 45  </w:t>
      </w:r>
      <w:r w:rsidRPr="00FD7B9E">
        <w:rPr>
          <w:rStyle w:val="StyleUnderline"/>
        </w:rPr>
        <w:t>These increased enforcement powers</w:t>
      </w:r>
      <w:r w:rsidRPr="00FD7B9E">
        <w:rPr>
          <w:sz w:val="16"/>
        </w:rPr>
        <w:t xml:space="preserve">, along with the implicit adoption of lenity in Newman, may </w:t>
      </w:r>
      <w:r w:rsidRPr="00FF4CB9">
        <w:rPr>
          <w:rStyle w:val="StyleUnderline"/>
        </w:rPr>
        <w:t>promp</w:t>
      </w:r>
      <w:r w:rsidRPr="00FD7B9E">
        <w:rPr>
          <w:rStyle w:val="StyleUnderline"/>
        </w:rPr>
        <w:t xml:space="preserve">t the Commission to </w:t>
      </w:r>
      <w:r w:rsidRPr="00FF4CB9">
        <w:rPr>
          <w:rStyle w:val="Emphasis"/>
        </w:rPr>
        <w:t>move</w:t>
      </w:r>
      <w:r w:rsidRPr="00FD7B9E">
        <w:rPr>
          <w:sz w:val="16"/>
        </w:rPr>
        <w:t xml:space="preserve"> its </w:t>
      </w:r>
      <w:r w:rsidRPr="00FF4CB9">
        <w:rPr>
          <w:rStyle w:val="Emphasis"/>
        </w:rPr>
        <w:t>insider trading cases</w:t>
      </w:r>
      <w:r w:rsidRPr="00FD7B9E">
        <w:rPr>
          <w:rStyle w:val="StyleUnderline"/>
        </w:rPr>
        <w:t xml:space="preserve"> to the administrative forum.1</w:t>
      </w:r>
      <w:r w:rsidRPr="00FD7B9E">
        <w:rPr>
          <w:sz w:val="16"/>
        </w:rPr>
        <w:t xml:space="preserve">46 </w:t>
      </w:r>
      <w:r w:rsidRPr="00FD7B9E">
        <w:rPr>
          <w:rStyle w:val="StyleUnderline"/>
        </w:rPr>
        <w:t>In</w:t>
      </w:r>
      <w:r w:rsidRPr="00FD7B9E">
        <w:rPr>
          <w:sz w:val="16"/>
        </w:rPr>
        <w:t xml:space="preserve"> an </w:t>
      </w:r>
      <w:r w:rsidRPr="00FD7B9E">
        <w:rPr>
          <w:rStyle w:val="StyleUnderline"/>
        </w:rPr>
        <w:t>administrative proceeding, federal courts give an administrative law judge's decision deference</w:t>
      </w:r>
      <w:r w:rsidRPr="00FD7B9E">
        <w:rPr>
          <w:sz w:val="16"/>
        </w:rPr>
        <w:t xml:space="preserve">, so an administrative judge </w:t>
      </w:r>
      <w:r w:rsidRPr="00FD7B9E">
        <w:rPr>
          <w:rStyle w:val="StyleUnderline"/>
        </w:rPr>
        <w:t>effectively makes the law.</w:t>
      </w:r>
      <w:r w:rsidRPr="00FD7B9E">
        <w:rPr>
          <w:sz w:val="16"/>
        </w:rPr>
        <w:t xml:space="preserve"> 147 </w:t>
      </w:r>
      <w:r w:rsidRPr="00FD7B9E">
        <w:rPr>
          <w:rStyle w:val="StyleUnderline"/>
        </w:rPr>
        <w:t xml:space="preserve">If the </w:t>
      </w:r>
      <w:r w:rsidRPr="00FF4CB9">
        <w:rPr>
          <w:rStyle w:val="Emphasis"/>
        </w:rPr>
        <w:t>rule of lenity</w:t>
      </w:r>
      <w:r w:rsidRPr="00FD7B9E">
        <w:rPr>
          <w:rStyle w:val="StyleUnderline"/>
        </w:rPr>
        <w:t xml:space="preserve"> applied to </w:t>
      </w:r>
      <w:r w:rsidRPr="00FF4CB9">
        <w:rPr>
          <w:rStyle w:val="Emphasis"/>
        </w:rPr>
        <w:t>both criminal</w:t>
      </w:r>
      <w:r w:rsidRPr="00FD7B9E">
        <w:rPr>
          <w:rStyle w:val="StyleUnderline"/>
        </w:rPr>
        <w:t xml:space="preserve"> prosecutions </w:t>
      </w:r>
      <w:r w:rsidRPr="00FF4CB9">
        <w:rPr>
          <w:rStyle w:val="Emphasis"/>
        </w:rPr>
        <w:t>and civil</w:t>
      </w:r>
      <w:r w:rsidRPr="00FD7B9E">
        <w:rPr>
          <w:rStyle w:val="StyleUnderline"/>
        </w:rPr>
        <w:t xml:space="preserve"> administrative proceedings, the Commission would lose</w:t>
      </w:r>
      <w:r w:rsidRPr="00FD7B9E">
        <w:rPr>
          <w:sz w:val="16"/>
        </w:rPr>
        <w:t xml:space="preserve"> a key advantage of </w:t>
      </w:r>
      <w:r w:rsidRPr="00FD7B9E">
        <w:rPr>
          <w:rStyle w:val="StyleUnderline"/>
        </w:rPr>
        <w:t>bringing enforcement actions in its administrative forum because courts would no longer give</w:t>
      </w:r>
      <w:r w:rsidRPr="00FD7B9E">
        <w:rPr>
          <w:sz w:val="16"/>
        </w:rPr>
        <w:t xml:space="preserve"> these </w:t>
      </w:r>
      <w:r w:rsidRPr="00FD7B9E">
        <w:rPr>
          <w:rStyle w:val="StyleUnderline"/>
        </w:rPr>
        <w:t>administrative actions Chevron deference.</w:t>
      </w:r>
      <w:r w:rsidRPr="00FD7B9E">
        <w:rPr>
          <w:sz w:val="16"/>
        </w:rPr>
        <w:t xml:space="preserve"> 148</w:t>
      </w:r>
    </w:p>
    <w:p w14:paraId="15DA115C" w14:textId="77777777" w:rsidR="00586EDF" w:rsidRDefault="00586EDF" w:rsidP="00586EDF">
      <w:pPr>
        <w:pStyle w:val="Heading4"/>
      </w:pPr>
      <w:r>
        <w:t>It independently boosts business confidence.</w:t>
      </w:r>
    </w:p>
    <w:p w14:paraId="69D8B1C3" w14:textId="77777777" w:rsidR="00586EDF" w:rsidRPr="0040014F" w:rsidRDefault="00586EDF" w:rsidP="00586EDF">
      <w:r>
        <w:rPr>
          <w:rStyle w:val="Style13ptBold"/>
        </w:rPr>
        <w:t>Currier 16</w:t>
      </w:r>
      <w:r>
        <w:t xml:space="preserve"> – Anna Currier, J.D. at American University Washington College of Law and Deputy Attorney General at Delaware Department of Justice ("The Rule Of Lenity And The Enforcement Of The Federal Securities Laws,” American University Business Law Review, vol. 5, no. 1, pg. 98-100, available online at </w:t>
      </w:r>
      <w:hyperlink r:id="rId135" w:history="1">
        <w:r w:rsidRPr="00555308">
          <w:rPr>
            <w:rStyle w:val="Hyperlink"/>
          </w:rPr>
          <w:t>http://digitalcommons.wcl.american.edu/aublr/vol5/iss1/4</w:t>
        </w:r>
      </w:hyperlink>
      <w:r>
        <w:t>, accessed 6-21-2020) LR</w:t>
      </w:r>
    </w:p>
    <w:p w14:paraId="392880A6" w14:textId="77777777" w:rsidR="00586EDF" w:rsidRPr="00621D20" w:rsidRDefault="00586EDF" w:rsidP="00586EDF">
      <w:pPr>
        <w:rPr>
          <w:u w:val="single"/>
        </w:rPr>
      </w:pPr>
      <w:r w:rsidRPr="000602D4">
        <w:rPr>
          <w:sz w:val="16"/>
        </w:rPr>
        <w:t xml:space="preserve">Due process requires that defendants be given fair notice as to what conduct could result in criminal liability. 173 While varying court opinions interpreting Rule 100b-5, Rule 10b5-I, and Rule 10b5-2 are appropriate in the civil arena,174 criminal liability needs to be defined with more specificity to avoid "[r]andomly sacrificing individuals on the altar of investor confidence."' 175 </w:t>
      </w:r>
      <w:r w:rsidRPr="000602D4">
        <w:rPr>
          <w:rStyle w:val="StyleUnderline"/>
        </w:rPr>
        <w:t>In Newman, the Second Circuit ultimately used language that resolved the ambiguity</w:t>
      </w:r>
      <w:r w:rsidRPr="000602D4">
        <w:rPr>
          <w:sz w:val="16"/>
        </w:rPr>
        <w:t xml:space="preserve"> in Rule lob-5 </w:t>
      </w:r>
      <w:r w:rsidRPr="000602D4">
        <w:rPr>
          <w:rStyle w:val="StyleUnderline"/>
        </w:rPr>
        <w:t>in favor of the defendant.</w:t>
      </w:r>
      <w:r w:rsidRPr="000602D4">
        <w:rPr>
          <w:sz w:val="16"/>
        </w:rPr>
        <w:t xml:space="preserve"> 176 Although the Second Circuit did not explicitly invoke the rule of lenity, Chevron deference, or mention Whitman in its holding, the Second Circuit's reasoning reconciles each of these principles implicitly in its language and ruling in favor of Newman. 177  </w:t>
      </w:r>
      <w:r w:rsidRPr="000602D4">
        <w:rPr>
          <w:rStyle w:val="StyleUnderline"/>
        </w:rPr>
        <w:t xml:space="preserve">This implicit judicial adoption of the </w:t>
      </w:r>
      <w:r w:rsidRPr="000602D4">
        <w:rPr>
          <w:rStyle w:val="Emphasis"/>
        </w:rPr>
        <w:t>rule of lenity</w:t>
      </w:r>
      <w:r w:rsidRPr="000602D4">
        <w:rPr>
          <w:rStyle w:val="StyleUnderline"/>
        </w:rPr>
        <w:t xml:space="preserve"> in a criminal proceeding rejects the Commission's interpretation of </w:t>
      </w:r>
      <w:r w:rsidRPr="000602D4">
        <w:rPr>
          <w:rStyle w:val="Emphasis"/>
        </w:rPr>
        <w:t>insider trading</w:t>
      </w:r>
      <w:r w:rsidRPr="000602D4">
        <w:rPr>
          <w:rStyle w:val="StyleUnderline"/>
        </w:rPr>
        <w:t xml:space="preserve"> rules. Newman, by defining criminal liability with clear and specific language, performs its judicial function of interpreting Congress' language</w:t>
      </w:r>
      <w:r w:rsidRPr="000602D4">
        <w:rPr>
          <w:sz w:val="16"/>
        </w:rPr>
        <w:t xml:space="preserve"> in Section 10(b) </w:t>
      </w:r>
      <w:r w:rsidRPr="000602D4">
        <w:rPr>
          <w:rStyle w:val="StyleUnderline"/>
        </w:rPr>
        <w:t>of the Exchange Act.</w:t>
      </w:r>
      <w:r w:rsidRPr="000602D4">
        <w:rPr>
          <w:sz w:val="16"/>
        </w:rPr>
        <w:t xml:space="preserve"> 178 </w:t>
      </w:r>
      <w:r w:rsidRPr="000602D4">
        <w:rPr>
          <w:rStyle w:val="StyleUnderline"/>
        </w:rPr>
        <w:t>Ultimately, this</w:t>
      </w:r>
      <w:r w:rsidRPr="000602D4">
        <w:rPr>
          <w:sz w:val="16"/>
        </w:rPr>
        <w:t xml:space="preserve"> clear language </w:t>
      </w:r>
      <w:r w:rsidRPr="000602D4">
        <w:rPr>
          <w:rStyle w:val="Emphasis"/>
        </w:rPr>
        <w:t>protects investors</w:t>
      </w:r>
      <w:r w:rsidRPr="000602D4">
        <w:rPr>
          <w:rStyle w:val="StyleUnderline"/>
        </w:rPr>
        <w:t xml:space="preserve"> and </w:t>
      </w:r>
      <w:r w:rsidRPr="000602D4">
        <w:rPr>
          <w:rStyle w:val="Emphasis"/>
        </w:rPr>
        <w:t>bolsters their confidence</w:t>
      </w:r>
      <w:r w:rsidRPr="000602D4">
        <w:rPr>
          <w:rStyle w:val="StyleUnderline"/>
        </w:rPr>
        <w:t xml:space="preserve"> in participating in a federal securities market that does not impose arbitrary standards for criminal liability.</w:t>
      </w:r>
    </w:p>
    <w:p w14:paraId="61DC2EFA" w14:textId="77777777" w:rsidR="00586EDF" w:rsidRDefault="00586EDF" w:rsidP="00586EDF"/>
    <w:p w14:paraId="57032262" w14:textId="77777777" w:rsidR="00586EDF" w:rsidRPr="007C6F40" w:rsidRDefault="00586EDF" w:rsidP="00586EDF">
      <w:pPr>
        <w:pStyle w:val="Heading4"/>
      </w:pPr>
      <w:r>
        <w:t>Lenity solves.</w:t>
      </w:r>
    </w:p>
    <w:p w14:paraId="2E4AE338" w14:textId="77777777" w:rsidR="00586EDF" w:rsidRPr="007C6F40" w:rsidRDefault="00586EDF" w:rsidP="00586EDF">
      <w:r w:rsidRPr="007C6F40">
        <w:rPr>
          <w:rStyle w:val="Style13ptBold"/>
        </w:rPr>
        <w:t>Fleming 17</w:t>
      </w:r>
      <w:r w:rsidRPr="007C6F40">
        <w:t xml:space="preserve"> (Liza B., Law Clerk at United States Court of Appeals for the Third Circuit, 05-13-2017 CarbonDated, "Lenity Calling: A Plea to End Chevron Deference for Criminal Insider Trading Law" Temple Law Review, </w:t>
      </w:r>
      <w:hyperlink r:id="rId136" w:history="1">
        <w:r w:rsidRPr="007C6F40">
          <w:rPr>
            <w:rStyle w:val="Hyperlink"/>
          </w:rPr>
          <w:t>https://www.templelawreview.org/lawreview/assets/uploads/2017/05/Fleming-89-Temp.-L.-Rev.-579.pdf</w:t>
        </w:r>
      </w:hyperlink>
      <w:r w:rsidRPr="007C6F40">
        <w:t>, accessed: 6-20-2020)//yeed</w:t>
      </w:r>
    </w:p>
    <w:p w14:paraId="09FB981D" w14:textId="77777777" w:rsidR="00586EDF" w:rsidRPr="007C6F40" w:rsidRDefault="00586EDF" w:rsidP="00586EDF">
      <w:r w:rsidRPr="007C6F40">
        <w:t>3. Deference and Agency Creation of Common Law Is Unfair to Defendants</w:t>
      </w:r>
    </w:p>
    <w:p w14:paraId="14074FED" w14:textId="77777777" w:rsidR="00586EDF" w:rsidRPr="007C6F40" w:rsidRDefault="00586EDF" w:rsidP="00586EDF">
      <w:r w:rsidRPr="007C6F40">
        <w:t xml:space="preserve">Because reading the regulations’ language provides the defendant minimal, if any, guidance,253 </w:t>
      </w:r>
      <w:r w:rsidRPr="007C6F40">
        <w:rPr>
          <w:rStyle w:val="StyleUnderline"/>
        </w:rPr>
        <w:t>applying Chevron deference when she challenges the regulation may blindside an individual who is merely confused</w:t>
      </w:r>
      <w:r w:rsidRPr="007C6F40">
        <w:t xml:space="preserve">. The </w:t>
      </w:r>
      <w:r w:rsidRPr="007C6F40">
        <w:rPr>
          <w:rStyle w:val="StyleUnderline"/>
        </w:rPr>
        <w:t>rule of lenity</w:t>
      </w:r>
      <w:r w:rsidRPr="007C6F40">
        <w:t xml:space="preserve">, which resolves ambiguity in criminal statutes in favor of the defendant, </w:t>
      </w:r>
      <w:r w:rsidRPr="007C6F40">
        <w:rPr>
          <w:rStyle w:val="StyleUnderline"/>
        </w:rPr>
        <w:t>and Chevron deference are in direct conflict on both a statutory interpretation level and a policy level</w:t>
      </w:r>
      <w:r w:rsidRPr="007C6F40">
        <w:t xml:space="preserve">.254 Applying Chevron deference works against the rule of lenity in insider trading cases, resolving ambiguity in favor of the SEC and, as a result, in favor of the U.S. government. </w:t>
      </w:r>
      <w:r w:rsidRPr="007C6F40">
        <w:rPr>
          <w:rStyle w:val="StyleUnderline"/>
        </w:rPr>
        <w:t>Deference to agency interpretation should not be used to convict a defendant because</w:t>
      </w:r>
      <w:r w:rsidRPr="007C6F40">
        <w:t xml:space="preserve">, in the criminal context, </w:t>
      </w:r>
      <w:r w:rsidRPr="007C6F40">
        <w:rPr>
          <w:rStyle w:val="StyleUnderline"/>
        </w:rPr>
        <w:t>she can only be convicted</w:t>
      </w:r>
      <w:r w:rsidRPr="007C6F40">
        <w:rPr>
          <w:rStyle w:val="Emphasis"/>
        </w:rPr>
        <w:t xml:space="preserve"> if found guilty beyond a reasonable doubt</w:t>
      </w:r>
      <w:r w:rsidRPr="007C6F40">
        <w:t xml:space="preserve">.255 Therefore, </w:t>
      </w:r>
      <w:r w:rsidRPr="007C6F40">
        <w:rPr>
          <w:rStyle w:val="StyleUnderline"/>
        </w:rPr>
        <w:t>with an ambiguous law</w:t>
      </w:r>
      <w:r w:rsidRPr="007C6F40">
        <w:t xml:space="preserve">, </w:t>
      </w:r>
      <w:r w:rsidRPr="007C6F40">
        <w:rPr>
          <w:rStyle w:val="Emphasis"/>
        </w:rPr>
        <w:t>courts should not be able to defer to agency interpretation</w:t>
      </w:r>
      <w:r w:rsidRPr="007C6F40">
        <w:t xml:space="preserve"> in the criminal context </w:t>
      </w:r>
      <w:r w:rsidRPr="007C6F40">
        <w:rPr>
          <w:rStyle w:val="StyleUnderline"/>
        </w:rPr>
        <w:t>because doing so conflicts with the standard of proof</w:t>
      </w:r>
      <w:r w:rsidRPr="007C6F40">
        <w:t>.256</w:t>
      </w:r>
    </w:p>
    <w:p w14:paraId="77920432" w14:textId="77777777" w:rsidR="00586EDF" w:rsidRPr="007C6F40" w:rsidRDefault="00586EDF" w:rsidP="00586EDF">
      <w:r w:rsidRPr="007C6F40">
        <w:t>Footnote 254 begins:</w:t>
      </w:r>
    </w:p>
    <w:p w14:paraId="37B7EED8" w14:textId="77777777" w:rsidR="00586EDF" w:rsidRPr="007C6F40" w:rsidRDefault="00586EDF" w:rsidP="00586EDF">
      <w:r w:rsidRPr="007C6F40">
        <w:t xml:space="preserve">254. See Greenfield, supra note 1, at 61 (explaining that the rule of lenity and Chevron deference conflict on a policy level); Sunstein, supra note 1, at 2115–16 (arguing that </w:t>
      </w:r>
      <w:r w:rsidRPr="007C6F40">
        <w:rPr>
          <w:rStyle w:val="StyleUnderline"/>
        </w:rPr>
        <w:t>norms that require statutes to be interpreted in the criminal defendant’s favor</w:t>
      </w:r>
      <w:r w:rsidRPr="007C6F40">
        <w:t xml:space="preserve"> “</w:t>
      </w:r>
      <w:r w:rsidRPr="007C6F40">
        <w:rPr>
          <w:rStyle w:val="StyleUnderline"/>
        </w:rPr>
        <w:t>should not be overridden simply because the agency wants them to be”</w:t>
      </w:r>
      <w:r w:rsidRPr="007C6F40">
        <w:t xml:space="preserve">). </w:t>
      </w:r>
    </w:p>
    <w:p w14:paraId="2652B7E7" w14:textId="77777777" w:rsidR="00586EDF" w:rsidRPr="007C6F40" w:rsidRDefault="00586EDF" w:rsidP="00586EDF">
      <w:r w:rsidRPr="007C6F40">
        <w:t>Footnote 254 ends and footnote 255 begins:</w:t>
      </w:r>
    </w:p>
    <w:p w14:paraId="4E65CDD1" w14:textId="77777777" w:rsidR="00586EDF" w:rsidRPr="007C6F40" w:rsidRDefault="00586EDF" w:rsidP="00586EDF">
      <w:r w:rsidRPr="007C6F40">
        <w:t xml:space="preserve">255. See Greenfield, supra note 1, at 60 (arguing that just as courts must find a defendant guilty beyond a reasonable doubt, </w:t>
      </w:r>
      <w:r w:rsidRPr="007C6F40">
        <w:rPr>
          <w:rStyle w:val="StyleUnderline"/>
        </w:rPr>
        <w:t>courts should resolve ambiguity in a regulation in favor of the defendant</w:t>
      </w:r>
      <w:r w:rsidRPr="007C6F40">
        <w:t>).</w:t>
      </w:r>
    </w:p>
    <w:p w14:paraId="3295ADE8" w14:textId="77777777" w:rsidR="00586EDF" w:rsidRPr="007C6F40" w:rsidRDefault="00586EDF" w:rsidP="00586EDF">
      <w:r w:rsidRPr="007C6F40">
        <w:t>Footnote 255 ends and the article continues:</w:t>
      </w:r>
    </w:p>
    <w:p w14:paraId="333D7519" w14:textId="77777777" w:rsidR="00586EDF" w:rsidRPr="007C6F40" w:rsidRDefault="00586EDF" w:rsidP="00586EDF">
      <w:pPr>
        <w:rPr>
          <w:rStyle w:val="StyleUnderline"/>
        </w:rPr>
      </w:pPr>
      <w:r w:rsidRPr="007C6F40">
        <w:t xml:space="preserve">The unfortunate result of the broad confusion is that courts have interpreted SEC regulations and rules in decisions that have unhinged them from the rules’ language—because that language is vapid in an insider trading context.257 Interestingly, in its preliminary note, Rule 10b5-2 states that other than what the rule provides, insider trading law is defined by judicial opinions that interpret Rule 10b-5.258 It seems then that Rule 10b5-2 is deferring to the courts, and by applying Chevron, </w:t>
      </w:r>
      <w:r w:rsidRPr="007C6F40">
        <w:rPr>
          <w:rStyle w:val="StyleUnderline"/>
        </w:rPr>
        <w:t>the courts are deferring back to the SEC. This is dangerous when criminal liability is involved because defendants’ freedom is at stake.</w:t>
      </w:r>
    </w:p>
    <w:p w14:paraId="57C2156D" w14:textId="77777777" w:rsidR="00586EDF" w:rsidRPr="007C6F40" w:rsidRDefault="00586EDF" w:rsidP="00586EDF">
      <w:r w:rsidRPr="007C6F40">
        <w:t>Justice Scalia was correct when he asserted that by applying deference to an agency’s interpretation of a provision of a regulation that holds criminal liability, “federal administrators can in effect create (and uncreate) new crimes at will, so long as they do not roam beyond ambiguities that the laws contain.”259 This exact phenomenon has happened in insider trading. As lower courts have interpreted insider trading and applied it to more and more situations, the Supreme Court has created new crimes, as it did in O’Hagan. 260 Accordingly, with insider trading regulation, if a law or regulation has a criminal application, the rule of lenity should govern its interpretation. 261</w:t>
      </w:r>
    </w:p>
    <w:p w14:paraId="4BBCCC2A" w14:textId="77777777" w:rsidR="00586EDF" w:rsidRPr="007C6F40" w:rsidRDefault="00586EDF" w:rsidP="00586EDF">
      <w:r w:rsidRPr="007C6F40">
        <w:t>B. The Solution</w:t>
      </w:r>
    </w:p>
    <w:p w14:paraId="24F151BC" w14:textId="77777777" w:rsidR="00586EDF" w:rsidRPr="007C6F40" w:rsidRDefault="00586EDF" w:rsidP="00586EDF">
      <w:r w:rsidRPr="007C6F40">
        <w:t>Th</w:t>
      </w:r>
      <w:r w:rsidRPr="007C6F40">
        <w:rPr>
          <w:rStyle w:val="StyleUnderline"/>
        </w:rPr>
        <w:t>is Comment proposes an exception to the application of Chevron deference to criminal insider trading cases</w:t>
      </w:r>
      <w:r w:rsidRPr="007C6F40">
        <w:t>. Based on the language of insider trading laws, the need for traders to regulate their actions using the law, and the harsh penalties for engaging in insider trading, these laws deserve special treatment. There are those, like the late Justice Scalia, who have proposed that all administrative crimes be treated differently.262 But that argument lies outside the scope of this Comment; the impracticality of modifying the application of Chevron deference to all administrative crimes and the urgent need for change in insider trading law demand a more immediate exception for insider trading.</w:t>
      </w:r>
    </w:p>
    <w:p w14:paraId="58D9510B" w14:textId="77777777" w:rsidR="00586EDF" w:rsidRPr="007C6F40" w:rsidRDefault="00586EDF" w:rsidP="00586EDF">
      <w:r w:rsidRPr="007C6F40">
        <w:t>1. Create a Chevron Exception and Apply the Rule of Lenity</w:t>
      </w:r>
    </w:p>
    <w:p w14:paraId="2406F23B" w14:textId="77777777" w:rsidR="00586EDF" w:rsidRPr="007C6F40" w:rsidRDefault="00586EDF" w:rsidP="00586EDF">
      <w:r w:rsidRPr="007C6F40">
        <w:t>Courts should not apply Chevron deference to § 10(b), Rule 10b-5, and Rule 10b5-2 cases when a criminal insider trading defendant challenges the validity of the SEC regulation or asserts that the regulation does not apply to the case. Instead, courts should apply the rule of lenity when § 10(b) and its associated regulations are ambiguous. Of course, the ambiguity must be actual and substantial before lenity may be applied.263 When the facts of a case raise a question as to whether the regulation would apply to specific conduct, and there has been an effort to interpret the law, courts must resolve that ambiguity in favor of the defendant.264</w:t>
      </w:r>
    </w:p>
    <w:p w14:paraId="3987961A" w14:textId="77777777" w:rsidR="00586EDF" w:rsidRPr="00456038" w:rsidRDefault="00586EDF" w:rsidP="00586EDF">
      <w:r w:rsidRPr="007C6F40">
        <w:t>Many scholars advocate for a revival of the rule of lenity.265 Specifically, one scholar advocated for the application of “</w:t>
      </w:r>
      <w:r w:rsidRPr="007C6F40">
        <w:rPr>
          <w:rStyle w:val="StyleUnderline"/>
        </w:rPr>
        <w:t>the new rule of lenity,” which would protect the innocent and would apply to ambiguous laws.</w:t>
      </w:r>
      <w:r w:rsidRPr="007C6F40">
        <w:t xml:space="preserve">266 </w:t>
      </w:r>
      <w:r w:rsidRPr="007C6F40">
        <w:rPr>
          <w:rStyle w:val="StyleUnderline"/>
        </w:rPr>
        <w:t>The new rule of lenity would “require[] that an ambiguous criminal statute be construed narrowly only when a broad interpretation would penalize ‘innocent’ conduct.”</w:t>
      </w:r>
      <w:r w:rsidRPr="007C6F40">
        <w:t xml:space="preserve">267 A statute would criminalize innocent behavior if it defined a strict liability crime or if the conduct at issue was a malum prohibitum crime.268 For example, with malum prohibitum crimes, “[a] person who is unaware of the prohibition has no notice of potential liability.”269 </w:t>
      </w:r>
      <w:r w:rsidRPr="007C6F40">
        <w:rPr>
          <w:rStyle w:val="StyleUnderline"/>
        </w:rPr>
        <w:t>This scholar then argued that the innocence-protecting rule would resolve tension between the rule of lenity and other canons of construction, such as Chevron deference</w:t>
      </w:r>
      <w:r w:rsidRPr="007C6F40">
        <w:t>.270</w:t>
      </w:r>
    </w:p>
    <w:p w14:paraId="449583C9" w14:textId="1A4CC8BA" w:rsidR="008D78CC" w:rsidRDefault="008D78CC" w:rsidP="008D78CC">
      <w:pPr>
        <w:pStyle w:val="Heading2"/>
      </w:pPr>
      <w:r>
        <w:t>Topicality</w:t>
      </w:r>
    </w:p>
    <w:p w14:paraId="3320A67E" w14:textId="3F8DF8FB" w:rsidR="008D78CC" w:rsidRDefault="008D78CC" w:rsidP="008D78CC">
      <w:pPr>
        <w:pStyle w:val="Heading3"/>
      </w:pPr>
      <w:r>
        <w:t>2AC – AT: Topicality</w:t>
      </w:r>
    </w:p>
    <w:p w14:paraId="06A00E30" w14:textId="63763E69" w:rsidR="008D78CC" w:rsidRDefault="008D78CC" w:rsidP="008D78CC">
      <w:pPr>
        <w:pStyle w:val="Heading4"/>
      </w:pPr>
      <w:r>
        <w:rPr>
          <w:i/>
          <w:iCs w:val="0"/>
        </w:rPr>
        <w:t>Chevron</w:t>
      </w:r>
      <w:r>
        <w:t xml:space="preserve"> justifies </w:t>
      </w:r>
      <w:r>
        <w:rPr>
          <w:u w:val="single"/>
        </w:rPr>
        <w:t>criminal enforcement</w:t>
      </w:r>
      <w:r>
        <w:t xml:space="preserve"> AND the </w:t>
      </w:r>
      <w:r>
        <w:rPr>
          <w:u w:val="single"/>
        </w:rPr>
        <w:t>pronouncements of punishments</w:t>
      </w:r>
      <w:r>
        <w:t>.</w:t>
      </w:r>
    </w:p>
    <w:p w14:paraId="454D0434" w14:textId="77777777" w:rsidR="008D78CC" w:rsidRPr="008727CB" w:rsidRDefault="008D78CC" w:rsidP="008D78CC">
      <w:r w:rsidRPr="008727CB">
        <w:rPr>
          <w:rStyle w:val="Style13ptBold"/>
        </w:rPr>
        <w:t>Marshall 17</w:t>
      </w:r>
      <w:r>
        <w:t xml:space="preserve"> – Erica Marshall, Counsel at Cause of Action Institute. [The Rule of Lenity: A five-minute guide to navigating the intersection of administrative and criminal law, 5-1-17, https://fedsoc.org/commentary/fedsoc-blog/the-rule-of-lenity-a-five-minute-guide-to-navigating-the-intersection-of-administrative-and-criminal-law]//BPS</w:t>
      </w:r>
    </w:p>
    <w:p w14:paraId="36A724A5" w14:textId="77777777" w:rsidR="008D78CC" w:rsidRPr="008727CB" w:rsidRDefault="008D78CC" w:rsidP="008D78CC">
      <w:pPr>
        <w:rPr>
          <w:sz w:val="16"/>
        </w:rPr>
      </w:pPr>
      <w:r w:rsidRPr="00293660">
        <w:rPr>
          <w:rStyle w:val="StyleUnderline"/>
        </w:rPr>
        <w:t xml:space="preserve">It is </w:t>
      </w:r>
      <w:r w:rsidRPr="00293660">
        <w:rPr>
          <w:rStyle w:val="Emphasis"/>
        </w:rPr>
        <w:t>not often</w:t>
      </w:r>
      <w:r w:rsidRPr="008727CB">
        <w:rPr>
          <w:sz w:val="16"/>
        </w:rPr>
        <w:t xml:space="preserve"> that </w:t>
      </w:r>
      <w:r w:rsidRPr="00293660">
        <w:rPr>
          <w:rStyle w:val="StyleUnderline"/>
        </w:rPr>
        <w:t>you think of</w:t>
      </w:r>
      <w:r w:rsidRPr="008727CB">
        <w:rPr>
          <w:sz w:val="16"/>
        </w:rPr>
        <w:t xml:space="preserve"> the terms </w:t>
      </w:r>
      <w:r w:rsidRPr="00456038">
        <w:rPr>
          <w:rStyle w:val="StyleUnderline"/>
          <w:highlight w:val="cyan"/>
        </w:rPr>
        <w:t>“criminal defense” and</w:t>
      </w:r>
      <w:r w:rsidRPr="008727CB">
        <w:rPr>
          <w:rStyle w:val="StyleUnderline"/>
        </w:rPr>
        <w:t xml:space="preserve"> “Chevron </w:t>
      </w:r>
      <w:r w:rsidRPr="00456038">
        <w:rPr>
          <w:rStyle w:val="StyleUnderline"/>
          <w:highlight w:val="cyan"/>
        </w:rPr>
        <w:t>deference</w:t>
      </w:r>
      <w:r w:rsidRPr="008727CB">
        <w:rPr>
          <w:rStyle w:val="StyleUnderline"/>
        </w:rPr>
        <w:t xml:space="preserve">” </w:t>
      </w:r>
      <w:r w:rsidRPr="00456038">
        <w:rPr>
          <w:rStyle w:val="StyleUnderline"/>
          <w:highlight w:val="cyan"/>
        </w:rPr>
        <w:t>in the same sentence</w:t>
      </w:r>
      <w:r w:rsidRPr="008727CB">
        <w:rPr>
          <w:sz w:val="16"/>
        </w:rPr>
        <w:t xml:space="preserve">. But </w:t>
      </w:r>
      <w:r w:rsidRPr="008B37A8">
        <w:rPr>
          <w:rStyle w:val="StyleUnderline"/>
        </w:rPr>
        <w:t xml:space="preserve">this is </w:t>
      </w:r>
      <w:r w:rsidRPr="00456038">
        <w:rPr>
          <w:rStyle w:val="Emphasis"/>
          <w:highlight w:val="cyan"/>
        </w:rPr>
        <w:t>starting</w:t>
      </w:r>
      <w:r w:rsidRPr="008B37A8">
        <w:rPr>
          <w:rStyle w:val="Emphasis"/>
        </w:rPr>
        <w:t xml:space="preserve"> to change</w:t>
      </w:r>
      <w:r w:rsidRPr="008B37A8">
        <w:rPr>
          <w:rStyle w:val="StyleUnderline"/>
        </w:rPr>
        <w:t xml:space="preserve"> </w:t>
      </w:r>
      <w:r w:rsidRPr="00456038">
        <w:rPr>
          <w:rStyle w:val="StyleUnderline"/>
          <w:highlight w:val="cyan"/>
        </w:rPr>
        <w:t>given</w:t>
      </w:r>
      <w:r w:rsidRPr="008B37A8">
        <w:rPr>
          <w:rStyle w:val="StyleUnderline"/>
        </w:rPr>
        <w:t xml:space="preserve"> </w:t>
      </w:r>
      <w:r w:rsidRPr="008B37A8">
        <w:rPr>
          <w:rStyle w:val="Emphasis"/>
        </w:rPr>
        <w:t xml:space="preserve">the </w:t>
      </w:r>
      <w:r w:rsidRPr="00456038">
        <w:rPr>
          <w:rStyle w:val="Emphasis"/>
          <w:highlight w:val="cyan"/>
        </w:rPr>
        <w:t>ever-expanding</w:t>
      </w:r>
      <w:r w:rsidRPr="008B37A8">
        <w:rPr>
          <w:rStyle w:val="Emphasis"/>
        </w:rPr>
        <w:t xml:space="preserve"> number</w:t>
      </w:r>
      <w:r w:rsidRPr="008B37A8">
        <w:rPr>
          <w:rStyle w:val="StyleUnderline"/>
        </w:rPr>
        <w:t xml:space="preserve"> of </w:t>
      </w:r>
      <w:r w:rsidRPr="008B37A8">
        <w:rPr>
          <w:rStyle w:val="Emphasis"/>
        </w:rPr>
        <w:t>quasi-</w:t>
      </w:r>
      <w:r w:rsidRPr="00456038">
        <w:rPr>
          <w:rStyle w:val="Emphasis"/>
          <w:highlight w:val="cyan"/>
        </w:rPr>
        <w:t>civil</w:t>
      </w:r>
      <w:r w:rsidRPr="008B37A8">
        <w:rPr>
          <w:rStyle w:val="StyleUnderline"/>
        </w:rPr>
        <w:t xml:space="preserve"> and </w:t>
      </w:r>
      <w:r w:rsidRPr="00456038">
        <w:rPr>
          <w:rStyle w:val="Emphasis"/>
          <w:highlight w:val="cyan"/>
        </w:rPr>
        <w:t>criminal statutes</w:t>
      </w:r>
      <w:r w:rsidRPr="008B37A8">
        <w:rPr>
          <w:rStyle w:val="StyleUnderline"/>
        </w:rPr>
        <w:t xml:space="preserve"> passed </w:t>
      </w:r>
      <w:r w:rsidRPr="00293660">
        <w:rPr>
          <w:rStyle w:val="StyleUnderline"/>
        </w:rPr>
        <w:t>by Congress</w:t>
      </w:r>
      <w:r w:rsidRPr="008727CB">
        <w:rPr>
          <w:sz w:val="16"/>
        </w:rPr>
        <w:t>.</w:t>
      </w:r>
    </w:p>
    <w:p w14:paraId="45359B0B" w14:textId="77777777" w:rsidR="008D78CC" w:rsidRPr="008727CB" w:rsidRDefault="008D78CC" w:rsidP="008D78CC">
      <w:pPr>
        <w:rPr>
          <w:sz w:val="16"/>
        </w:rPr>
      </w:pPr>
      <w:r w:rsidRPr="008727CB">
        <w:rPr>
          <w:sz w:val="16"/>
        </w:rPr>
        <w:t xml:space="preserve">Indeed, much of the conduct that we would typically consider to be </w:t>
      </w:r>
      <w:r w:rsidRPr="008B37A8">
        <w:rPr>
          <w:rStyle w:val="StyleUnderline"/>
        </w:rPr>
        <w:t xml:space="preserve">a violation of </w:t>
      </w:r>
      <w:r w:rsidRPr="00456038">
        <w:rPr>
          <w:rStyle w:val="StyleUnderline"/>
          <w:highlight w:val="cyan"/>
        </w:rPr>
        <w:t>a regulation</w:t>
      </w:r>
      <w:r w:rsidRPr="008727CB">
        <w:rPr>
          <w:sz w:val="16"/>
        </w:rPr>
        <w:t xml:space="preserve">, subject to civil penalties in federal court or in an administrative tribunal, </w:t>
      </w:r>
      <w:r w:rsidRPr="00456038">
        <w:rPr>
          <w:rStyle w:val="StyleUnderline"/>
          <w:highlight w:val="cyan"/>
        </w:rPr>
        <w:t xml:space="preserve">is </w:t>
      </w:r>
      <w:r w:rsidRPr="00456038">
        <w:rPr>
          <w:rStyle w:val="Emphasis"/>
          <w:highlight w:val="cyan"/>
        </w:rPr>
        <w:t>criminalized</w:t>
      </w:r>
      <w:r w:rsidRPr="008B37A8">
        <w:rPr>
          <w:rStyle w:val="StyleUnderline"/>
        </w:rPr>
        <w:t xml:space="preserve"> in </w:t>
      </w:r>
      <w:r w:rsidRPr="008B37A8">
        <w:rPr>
          <w:rStyle w:val="Emphasis"/>
        </w:rPr>
        <w:t>the same statute</w:t>
      </w:r>
      <w:r w:rsidRPr="008727CB">
        <w:rPr>
          <w:sz w:val="16"/>
        </w:rPr>
        <w:t xml:space="preserve">. And </w:t>
      </w:r>
      <w:r w:rsidRPr="00456038">
        <w:rPr>
          <w:rStyle w:val="StyleUnderline"/>
          <w:highlight w:val="cyan"/>
        </w:rPr>
        <w:t>it is</w:t>
      </w:r>
      <w:r w:rsidRPr="008727CB">
        <w:rPr>
          <w:sz w:val="16"/>
        </w:rPr>
        <w:t xml:space="preserve"> usually </w:t>
      </w:r>
      <w:r w:rsidRPr="00456038">
        <w:rPr>
          <w:rStyle w:val="Emphasis"/>
          <w:highlight w:val="cyan"/>
        </w:rPr>
        <w:t>the government’s decision</w:t>
      </w:r>
      <w:r w:rsidRPr="008B37A8">
        <w:rPr>
          <w:rStyle w:val="StyleUnderline"/>
        </w:rPr>
        <w:t xml:space="preserve"> as to </w:t>
      </w:r>
      <w:r w:rsidRPr="00456038">
        <w:rPr>
          <w:rStyle w:val="StyleUnderline"/>
          <w:highlight w:val="cyan"/>
        </w:rPr>
        <w:t xml:space="preserve">whether the case proceeds </w:t>
      </w:r>
      <w:r w:rsidRPr="00456038">
        <w:rPr>
          <w:rStyle w:val="Emphasis"/>
          <w:highlight w:val="cyan"/>
        </w:rPr>
        <w:t>civilly</w:t>
      </w:r>
      <w:r w:rsidRPr="00456038">
        <w:rPr>
          <w:rStyle w:val="StyleUnderline"/>
          <w:highlight w:val="cyan"/>
        </w:rPr>
        <w:t xml:space="preserve"> or </w:t>
      </w:r>
      <w:r w:rsidRPr="00456038">
        <w:rPr>
          <w:rStyle w:val="Emphasis"/>
          <w:highlight w:val="cyan"/>
        </w:rPr>
        <w:t>with handcuffs</w:t>
      </w:r>
      <w:r w:rsidRPr="008727CB">
        <w:rPr>
          <w:sz w:val="16"/>
        </w:rPr>
        <w:t>.</w:t>
      </w:r>
    </w:p>
    <w:p w14:paraId="3489CB51" w14:textId="77777777" w:rsidR="008D78CC" w:rsidRPr="008727CB" w:rsidRDefault="008D78CC" w:rsidP="008D78CC">
      <w:pPr>
        <w:rPr>
          <w:sz w:val="16"/>
        </w:rPr>
      </w:pPr>
      <w:r w:rsidRPr="008727CB">
        <w:rPr>
          <w:sz w:val="16"/>
        </w:rPr>
        <w:t xml:space="preserve">Take the Marine Mammal Protection Act (“MMPA”), for example. In the Act, Congress delegated authority to the National Oceanic and Atmospheric Administration (“NOAA”) to promulgate regulations implementing the MMPA. Any violation of a regulation is subject to fines and civil penalties, 16 U.S.C. § 1375(a), but it is also punishable as a crime. 16 U.S. § 1375(b). </w:t>
      </w:r>
      <w:r w:rsidRPr="00293660">
        <w:rPr>
          <w:rStyle w:val="StyleUnderline"/>
        </w:rPr>
        <w:t xml:space="preserve">The MMPA </w:t>
      </w:r>
      <w:r w:rsidRPr="00456038">
        <w:rPr>
          <w:rStyle w:val="StyleUnderline"/>
          <w:highlight w:val="cyan"/>
        </w:rPr>
        <w:t>reg</w:t>
      </w:r>
      <w:r w:rsidRPr="00293660">
        <w:rPr>
          <w:rStyle w:val="StyleUnderline"/>
        </w:rPr>
        <w:t>ulation</w:t>
      </w:r>
      <w:r w:rsidRPr="00456038">
        <w:rPr>
          <w:rStyle w:val="StyleUnderline"/>
          <w:highlight w:val="cyan"/>
        </w:rPr>
        <w:t>s prohibit “feeding”</w:t>
      </w:r>
      <w:r w:rsidRPr="00293660">
        <w:rPr>
          <w:rStyle w:val="StyleUnderline"/>
        </w:rPr>
        <w:t xml:space="preserve"> marine </w:t>
      </w:r>
      <w:r w:rsidRPr="00456038">
        <w:rPr>
          <w:rStyle w:val="StyleUnderline"/>
          <w:highlight w:val="cyan"/>
        </w:rPr>
        <w:t>mammals</w:t>
      </w:r>
      <w:r w:rsidRPr="008727CB">
        <w:rPr>
          <w:sz w:val="16"/>
        </w:rPr>
        <w:t xml:space="preserve">, see 50 C.F.R. §§ 216.3, 216.11(b), but </w:t>
      </w:r>
      <w:r w:rsidRPr="00293660">
        <w:rPr>
          <w:rStyle w:val="Emphasis"/>
        </w:rPr>
        <w:t xml:space="preserve">only </w:t>
      </w:r>
      <w:r w:rsidRPr="00456038">
        <w:rPr>
          <w:rStyle w:val="Emphasis"/>
          <w:highlight w:val="cyan"/>
        </w:rPr>
        <w:t>because</w:t>
      </w:r>
      <w:r w:rsidRPr="00456038">
        <w:rPr>
          <w:rStyle w:val="StyleUnderline"/>
          <w:highlight w:val="cyan"/>
        </w:rPr>
        <w:t xml:space="preserve"> the Fifth Circuit</w:t>
      </w:r>
      <w:r w:rsidRPr="00293660">
        <w:rPr>
          <w:rStyle w:val="StyleUnderline"/>
        </w:rPr>
        <w:t xml:space="preserve">, relying on </w:t>
      </w:r>
      <w:r w:rsidRPr="00293660">
        <w:rPr>
          <w:rStyle w:val="Emphasis"/>
        </w:rPr>
        <w:t>Chevron</w:t>
      </w:r>
      <w:r w:rsidRPr="00293660">
        <w:rPr>
          <w:rStyle w:val="StyleUnderline"/>
        </w:rPr>
        <w:t xml:space="preserve">, </w:t>
      </w:r>
      <w:r w:rsidRPr="00456038">
        <w:rPr>
          <w:rStyle w:val="StyleUnderline"/>
          <w:highlight w:val="cyan"/>
        </w:rPr>
        <w:t>deferred to</w:t>
      </w:r>
      <w:r w:rsidRPr="00293660">
        <w:rPr>
          <w:rStyle w:val="StyleUnderline"/>
        </w:rPr>
        <w:t xml:space="preserve"> </w:t>
      </w:r>
      <w:r w:rsidRPr="00293660">
        <w:rPr>
          <w:rStyle w:val="Emphasis"/>
        </w:rPr>
        <w:t xml:space="preserve">the agency’s expansive </w:t>
      </w:r>
      <w:r w:rsidRPr="00456038">
        <w:rPr>
          <w:rStyle w:val="Emphasis"/>
          <w:highlight w:val="cyan"/>
        </w:rPr>
        <w:t>interp</w:t>
      </w:r>
      <w:r w:rsidRPr="00293660">
        <w:rPr>
          <w:rStyle w:val="Emphasis"/>
        </w:rPr>
        <w:t>retation</w:t>
      </w:r>
      <w:r w:rsidRPr="008727CB">
        <w:rPr>
          <w:sz w:val="16"/>
        </w:rPr>
        <w:t xml:space="preserve"> of the MMPA (which does not actually mention feeding) to uphold the regulation. Strong v. United States, 5 F.3d 905, 906-07 (5th Cir. 1993) (vacating the lower court’s permanent injunction). In 2012, federal prosecutors indicted a marine biologist for violating this feeding regulation. United States v. Black, No. CR 12-0002 (N.D. Cal.). </w:t>
      </w:r>
      <w:r w:rsidRPr="008727CB">
        <w:rPr>
          <w:rStyle w:val="StyleUnderline"/>
        </w:rPr>
        <w:t xml:space="preserve">While </w:t>
      </w:r>
      <w:r w:rsidRPr="00456038">
        <w:rPr>
          <w:rStyle w:val="StyleUnderline"/>
          <w:highlight w:val="cyan"/>
        </w:rPr>
        <w:t>the government</w:t>
      </w:r>
      <w:r w:rsidRPr="008727CB">
        <w:rPr>
          <w:rStyle w:val="StyleUnderline"/>
        </w:rPr>
        <w:t xml:space="preserve"> could have resolved this civilly, as it had in every other case in the past, it </w:t>
      </w:r>
      <w:r w:rsidRPr="00456038">
        <w:rPr>
          <w:rStyle w:val="StyleUnderline"/>
          <w:highlight w:val="cyan"/>
        </w:rPr>
        <w:t>opted for</w:t>
      </w:r>
      <w:r w:rsidRPr="00293660">
        <w:rPr>
          <w:rStyle w:val="StyleUnderline"/>
        </w:rPr>
        <w:t xml:space="preserve"> </w:t>
      </w:r>
      <w:r w:rsidRPr="00293660">
        <w:rPr>
          <w:rStyle w:val="Emphasis"/>
        </w:rPr>
        <w:t xml:space="preserve">a </w:t>
      </w:r>
      <w:r w:rsidRPr="00456038">
        <w:rPr>
          <w:rStyle w:val="Emphasis"/>
          <w:highlight w:val="cyan"/>
        </w:rPr>
        <w:t>criminal</w:t>
      </w:r>
      <w:r w:rsidRPr="00293660">
        <w:rPr>
          <w:rStyle w:val="Emphasis"/>
        </w:rPr>
        <w:t xml:space="preserve"> </w:t>
      </w:r>
      <w:r w:rsidRPr="00456038">
        <w:rPr>
          <w:rStyle w:val="Emphasis"/>
          <w:highlight w:val="cyan"/>
        </w:rPr>
        <w:t>prosecution</w:t>
      </w:r>
      <w:r w:rsidRPr="008727CB">
        <w:rPr>
          <w:sz w:val="16"/>
        </w:rPr>
        <w:t>.</w:t>
      </w:r>
    </w:p>
    <w:p w14:paraId="1478800A" w14:textId="7F87ABEF" w:rsidR="008D78CC" w:rsidRDefault="008D78CC" w:rsidP="008D78CC">
      <w:pPr>
        <w:rPr>
          <w:sz w:val="16"/>
        </w:rPr>
      </w:pPr>
      <w:r w:rsidRPr="008727CB">
        <w:rPr>
          <w:rStyle w:val="StyleUnderline"/>
        </w:rPr>
        <w:t xml:space="preserve">There are </w:t>
      </w:r>
      <w:r w:rsidRPr="008727CB">
        <w:rPr>
          <w:rStyle w:val="Emphasis"/>
        </w:rPr>
        <w:t>a myriad</w:t>
      </w:r>
      <w:r w:rsidRPr="008727CB">
        <w:rPr>
          <w:rStyle w:val="StyleUnderline"/>
        </w:rPr>
        <w:t xml:space="preserve"> of </w:t>
      </w:r>
      <w:r w:rsidRPr="008727CB">
        <w:rPr>
          <w:rStyle w:val="Emphasis"/>
        </w:rPr>
        <w:t>other hybrid civil/criminal statutes</w:t>
      </w:r>
      <w:r w:rsidRPr="008727CB">
        <w:rPr>
          <w:rStyle w:val="StyleUnderline"/>
        </w:rPr>
        <w:t>. The</w:t>
      </w:r>
      <w:r w:rsidRPr="00293660">
        <w:rPr>
          <w:rStyle w:val="StyleUnderline"/>
        </w:rPr>
        <w:t xml:space="preserve"> S</w:t>
      </w:r>
      <w:r w:rsidRPr="008727CB">
        <w:rPr>
          <w:sz w:val="16"/>
        </w:rPr>
        <w:t xml:space="preserve">ecurity </w:t>
      </w:r>
      <w:r w:rsidRPr="00293660">
        <w:rPr>
          <w:rStyle w:val="StyleUnderline"/>
        </w:rPr>
        <w:t>E</w:t>
      </w:r>
      <w:r w:rsidRPr="008727CB">
        <w:rPr>
          <w:sz w:val="16"/>
        </w:rPr>
        <w:t xml:space="preserve">xchange </w:t>
      </w:r>
      <w:r w:rsidRPr="00293660">
        <w:rPr>
          <w:rStyle w:val="StyleUnderline"/>
        </w:rPr>
        <w:t>A</w:t>
      </w:r>
      <w:r w:rsidRPr="008727CB">
        <w:rPr>
          <w:sz w:val="16"/>
        </w:rPr>
        <w:t xml:space="preserve">ct, </w:t>
      </w:r>
      <w:r w:rsidRPr="00293660">
        <w:rPr>
          <w:rStyle w:val="StyleUnderline"/>
        </w:rPr>
        <w:t>F</w:t>
      </w:r>
      <w:r w:rsidRPr="008727CB">
        <w:rPr>
          <w:sz w:val="16"/>
        </w:rPr>
        <w:t xml:space="preserve">air </w:t>
      </w:r>
      <w:r w:rsidRPr="00293660">
        <w:rPr>
          <w:rStyle w:val="StyleUnderline"/>
        </w:rPr>
        <w:t>L</w:t>
      </w:r>
      <w:r w:rsidRPr="008727CB">
        <w:rPr>
          <w:sz w:val="16"/>
        </w:rPr>
        <w:t xml:space="preserve">abor </w:t>
      </w:r>
      <w:r w:rsidRPr="00293660">
        <w:rPr>
          <w:rStyle w:val="StyleUnderline"/>
        </w:rPr>
        <w:t>S</w:t>
      </w:r>
      <w:r w:rsidRPr="008727CB">
        <w:rPr>
          <w:sz w:val="16"/>
        </w:rPr>
        <w:t xml:space="preserve">tandards </w:t>
      </w:r>
      <w:r w:rsidRPr="00293660">
        <w:rPr>
          <w:rStyle w:val="StyleUnderline"/>
        </w:rPr>
        <w:t>A</w:t>
      </w:r>
      <w:r w:rsidRPr="008727CB">
        <w:rPr>
          <w:sz w:val="16"/>
        </w:rPr>
        <w:t xml:space="preserve">ct, </w:t>
      </w:r>
      <w:r w:rsidRPr="00293660">
        <w:rPr>
          <w:rStyle w:val="StyleUnderline"/>
        </w:rPr>
        <w:t>Lacy Act, and Sherman Antitrust Act</w:t>
      </w:r>
      <w:r w:rsidRPr="008727CB">
        <w:rPr>
          <w:sz w:val="16"/>
        </w:rPr>
        <w:t xml:space="preserve">, just to name a few, </w:t>
      </w:r>
      <w:r w:rsidRPr="008727CB">
        <w:rPr>
          <w:rStyle w:val="StyleUnderline"/>
        </w:rPr>
        <w:t>each allow for both civil and criminal penalties</w:t>
      </w:r>
      <w:r w:rsidRPr="008727CB">
        <w:rPr>
          <w:sz w:val="16"/>
        </w:rPr>
        <w:t>.</w:t>
      </w:r>
    </w:p>
    <w:p w14:paraId="12DBFDD1" w14:textId="00C1A824" w:rsidR="00C032E4" w:rsidRDefault="00C032E4" w:rsidP="00C032E4">
      <w:pPr>
        <w:pStyle w:val="Heading3"/>
      </w:pPr>
      <w:r>
        <w:t>1AR – AT: Topicality</w:t>
      </w:r>
    </w:p>
    <w:p w14:paraId="0A456EA8" w14:textId="77777777" w:rsidR="00C032E4" w:rsidRPr="00036BE9" w:rsidRDefault="00C032E4" w:rsidP="00C032E4">
      <w:pPr>
        <w:pStyle w:val="Heading4"/>
      </w:pPr>
      <w:r>
        <w:t xml:space="preserve">The Aff meets </w:t>
      </w:r>
      <w:r w:rsidRPr="00036BE9">
        <w:rPr>
          <w:u w:val="single"/>
        </w:rPr>
        <w:t>sentencing</w:t>
      </w:r>
      <w:r>
        <w:t xml:space="preserve"> AND </w:t>
      </w:r>
      <w:r w:rsidRPr="00036BE9">
        <w:rPr>
          <w:u w:val="single"/>
        </w:rPr>
        <w:t>policing</w:t>
      </w:r>
      <w:r>
        <w:t>.</w:t>
      </w:r>
    </w:p>
    <w:p w14:paraId="24B2E8E7" w14:textId="77777777" w:rsidR="00C032E4" w:rsidRPr="00291F60" w:rsidRDefault="00C032E4" w:rsidP="00C032E4">
      <w:pPr>
        <w:rPr>
          <w:rFonts w:asciiTheme="minorHAnsi" w:hAnsiTheme="minorHAnsi" w:cstheme="minorHAnsi"/>
        </w:rPr>
      </w:pPr>
      <w:r w:rsidRPr="00C57F55">
        <w:rPr>
          <w:rStyle w:val="Style13ptBold"/>
          <w:rFonts w:asciiTheme="minorHAnsi" w:hAnsiTheme="minorHAnsi" w:cstheme="minorHAnsi"/>
        </w:rPr>
        <w:t>Rabb 18.</w:t>
      </w:r>
      <w:r w:rsidRPr="00C57F55">
        <w:rPr>
          <w:rFonts w:asciiTheme="minorHAnsi" w:hAnsiTheme="minorHAnsi" w:cstheme="minorHAnsi"/>
          <w:sz w:val="16"/>
          <w:szCs w:val="16"/>
        </w:rPr>
        <w:t xml:space="preserve"> Intisar A. Rabb, Professor of Law &amp; History at Harvard Law School. (6-8-2018, “The Appellate Rule of Lenity,” Harvard Law Review, vol. 131, no. 8, pp. 179-216, https://harvardlawreview.org/2018/06/the-appellate-rule-of-lenity/)//pacc</w:t>
      </w:r>
    </w:p>
    <w:p w14:paraId="7E9DBB25" w14:textId="77777777" w:rsidR="00C032E4" w:rsidRPr="00D94254" w:rsidRDefault="00C032E4" w:rsidP="00C032E4">
      <w:pPr>
        <w:rPr>
          <w:sz w:val="14"/>
        </w:rPr>
      </w:pPr>
      <w:r w:rsidRPr="00036BE9">
        <w:rPr>
          <w:u w:val="single"/>
        </w:rPr>
        <w:t xml:space="preserve">Given the rule’s </w:t>
      </w:r>
      <w:r w:rsidRPr="00036BE9">
        <w:rPr>
          <w:rStyle w:val="Emphasis"/>
        </w:rPr>
        <w:t>special status</w:t>
      </w:r>
      <w:r w:rsidRPr="00036BE9">
        <w:rPr>
          <w:u w:val="single"/>
        </w:rPr>
        <w:t xml:space="preserve">, </w:t>
      </w:r>
      <w:r w:rsidRPr="00036BE9">
        <w:rPr>
          <w:rStyle w:val="Emphasis"/>
        </w:rPr>
        <w:t>broad authority</w:t>
      </w:r>
      <w:r w:rsidRPr="00036BE9">
        <w:rPr>
          <w:u w:val="single"/>
        </w:rPr>
        <w:t xml:space="preserve">, and </w:t>
      </w:r>
      <w:r w:rsidRPr="00036BE9">
        <w:rPr>
          <w:rStyle w:val="Emphasis"/>
        </w:rPr>
        <w:t>widespread validity</w:t>
      </w:r>
      <w:r w:rsidRPr="00036BE9">
        <w:rPr>
          <w:u w:val="single"/>
        </w:rPr>
        <w:t>,</w:t>
      </w:r>
      <w:r w:rsidRPr="00D94254">
        <w:rPr>
          <w:sz w:val="14"/>
        </w:rPr>
        <w:t xml:space="preserve"> it stands to reason that </w:t>
      </w:r>
      <w:r w:rsidRPr="00456038">
        <w:rPr>
          <w:highlight w:val="cyan"/>
          <w:u w:val="single"/>
        </w:rPr>
        <w:t>lenity</w:t>
      </w:r>
      <w:r w:rsidRPr="00D94254">
        <w:rPr>
          <w:sz w:val="14"/>
        </w:rPr>
        <w:t xml:space="preserve"> would </w:t>
      </w:r>
      <w:r w:rsidRPr="00456038">
        <w:rPr>
          <w:rStyle w:val="Emphasis"/>
          <w:highlight w:val="cyan"/>
        </w:rPr>
        <w:t>feature prominently</w:t>
      </w:r>
      <w:r w:rsidRPr="00456038">
        <w:rPr>
          <w:highlight w:val="cyan"/>
          <w:u w:val="single"/>
        </w:rPr>
        <w:t xml:space="preserve"> in</w:t>
      </w:r>
      <w:r w:rsidRPr="00036BE9">
        <w:rPr>
          <w:u w:val="single"/>
        </w:rPr>
        <w:t xml:space="preserve"> the </w:t>
      </w:r>
      <w:r w:rsidRPr="00456038">
        <w:rPr>
          <w:rStyle w:val="Emphasis"/>
          <w:highlight w:val="cyan"/>
        </w:rPr>
        <w:t>criminal law</w:t>
      </w:r>
      <w:r w:rsidRPr="00036BE9">
        <w:rPr>
          <w:rStyle w:val="Emphasis"/>
        </w:rPr>
        <w:t xml:space="preserve"> interpretation</w:t>
      </w:r>
      <w:r w:rsidRPr="00D94254">
        <w:rPr>
          <w:sz w:val="14"/>
        </w:rPr>
        <w:t xml:space="preserve"> of appellate judges. These features of lenity combine with important features of criminal law that mark this field as different, and the rule of lenity as worthy of particular regard as interpretive precedent. Not only does </w:t>
      </w:r>
      <w:r w:rsidRPr="00D94254">
        <w:rPr>
          <w:u w:val="single"/>
        </w:rPr>
        <w:t xml:space="preserve">criminal law entail levying the </w:t>
      </w:r>
      <w:r w:rsidRPr="00D94254">
        <w:rPr>
          <w:rStyle w:val="Emphasis"/>
        </w:rPr>
        <w:t>harshest of punishments</w:t>
      </w:r>
      <w:r w:rsidRPr="00D94254">
        <w:rPr>
          <w:sz w:val="14"/>
        </w:rPr>
        <w:t xml:space="preserve"> on our own citizens, </w:t>
      </w:r>
      <w:r w:rsidRPr="00D94254">
        <w:rPr>
          <w:u w:val="single"/>
        </w:rPr>
        <w:t>thus urging extreme caution, but</w:t>
      </w:r>
      <w:r w:rsidRPr="00D94254">
        <w:rPr>
          <w:sz w:val="14"/>
        </w:rPr>
        <w:t xml:space="preserve"> experiences over the last half century lead to the inescapable conclusion that the criminal justice system is broken and in need of reform.16 </w:t>
      </w:r>
      <w:r w:rsidRPr="00D94254">
        <w:rPr>
          <w:u w:val="single"/>
        </w:rPr>
        <w:t xml:space="preserve">The collapse of the criminal justice system makes it </w:t>
      </w:r>
      <w:r w:rsidRPr="00D94254">
        <w:rPr>
          <w:rStyle w:val="Emphasis"/>
        </w:rPr>
        <w:t>imperative</w:t>
      </w:r>
      <w:r w:rsidRPr="00D94254">
        <w:rPr>
          <w:u w:val="single"/>
        </w:rPr>
        <w:t xml:space="preserve"> to devise an approach </w:t>
      </w:r>
      <w:r w:rsidRPr="00456038">
        <w:rPr>
          <w:highlight w:val="cyan"/>
          <w:u w:val="single"/>
        </w:rPr>
        <w:t>to</w:t>
      </w:r>
      <w:r w:rsidRPr="00D94254">
        <w:rPr>
          <w:u w:val="single"/>
        </w:rPr>
        <w:t xml:space="preserve"> criminal law that can </w:t>
      </w:r>
      <w:r w:rsidRPr="00456038">
        <w:rPr>
          <w:highlight w:val="cyan"/>
          <w:u w:val="single"/>
        </w:rPr>
        <w:t>correct</w:t>
      </w:r>
      <w:r w:rsidRPr="00D94254">
        <w:rPr>
          <w:u w:val="single"/>
        </w:rPr>
        <w:t xml:space="preserve"> the </w:t>
      </w:r>
      <w:r w:rsidRPr="00456038">
        <w:rPr>
          <w:rStyle w:val="Emphasis"/>
          <w:highlight w:val="cyan"/>
        </w:rPr>
        <w:t>overcriminalization</w:t>
      </w:r>
      <w:r w:rsidRPr="00456038">
        <w:rPr>
          <w:highlight w:val="cyan"/>
          <w:u w:val="single"/>
        </w:rPr>
        <w:t xml:space="preserve">, </w:t>
      </w:r>
      <w:r w:rsidRPr="00456038">
        <w:rPr>
          <w:rStyle w:val="Emphasis"/>
          <w:highlight w:val="cyan"/>
        </w:rPr>
        <w:t>overprosecution</w:t>
      </w:r>
      <w:r w:rsidRPr="00456038">
        <w:rPr>
          <w:highlight w:val="cyan"/>
          <w:u w:val="single"/>
        </w:rPr>
        <w:t xml:space="preserve">, and </w:t>
      </w:r>
      <w:r w:rsidRPr="00456038">
        <w:rPr>
          <w:rStyle w:val="Emphasis"/>
          <w:highlight w:val="cyan"/>
        </w:rPr>
        <w:t>oversentencing</w:t>
      </w:r>
      <w:r w:rsidRPr="00D94254">
        <w:rPr>
          <w:u w:val="single"/>
        </w:rPr>
        <w:t xml:space="preserve"> now rampant in the U</w:t>
      </w:r>
      <w:r w:rsidRPr="00D94254">
        <w:rPr>
          <w:sz w:val="14"/>
        </w:rPr>
        <w:t xml:space="preserve">nited </w:t>
      </w:r>
      <w:r w:rsidRPr="00D94254">
        <w:rPr>
          <w:u w:val="single"/>
        </w:rPr>
        <w:t>S</w:t>
      </w:r>
      <w:r w:rsidRPr="00D94254">
        <w:rPr>
          <w:sz w:val="14"/>
        </w:rPr>
        <w:t xml:space="preserve">tates.17 </w:t>
      </w:r>
      <w:r w:rsidRPr="00D94254">
        <w:rPr>
          <w:u w:val="single"/>
        </w:rPr>
        <w:t>Fair punishment requires corrective measures</w:t>
      </w:r>
      <w:r w:rsidRPr="00D94254">
        <w:rPr>
          <w:sz w:val="14"/>
        </w:rPr>
        <w:t xml:space="preserve"> to better ensure that — </w:t>
      </w:r>
      <w:r w:rsidRPr="00D94254">
        <w:rPr>
          <w:u w:val="single"/>
        </w:rPr>
        <w:t xml:space="preserve">alongside </w:t>
      </w:r>
      <w:r w:rsidRPr="00D94254">
        <w:rPr>
          <w:rStyle w:val="Emphasis"/>
        </w:rPr>
        <w:t>legislative supremacy</w:t>
      </w:r>
      <w:r w:rsidRPr="00D94254">
        <w:rPr>
          <w:u w:val="single"/>
        </w:rPr>
        <w:t xml:space="preserve"> justifications</w:t>
      </w:r>
      <w:r w:rsidRPr="00D94254">
        <w:rPr>
          <w:sz w:val="14"/>
        </w:rPr>
        <w:t xml:space="preserve"> for criminal law definitions and enforcement — </w:t>
      </w:r>
      <w:r w:rsidRPr="00D94254">
        <w:rPr>
          <w:u w:val="single"/>
        </w:rPr>
        <w:t xml:space="preserve">constitutional values of </w:t>
      </w:r>
      <w:r w:rsidRPr="00D94254">
        <w:rPr>
          <w:rStyle w:val="Emphasis"/>
        </w:rPr>
        <w:t>equality</w:t>
      </w:r>
      <w:r w:rsidRPr="00D94254">
        <w:rPr>
          <w:u w:val="single"/>
        </w:rPr>
        <w:t xml:space="preserve">, </w:t>
      </w:r>
      <w:r w:rsidRPr="00D94254">
        <w:rPr>
          <w:rStyle w:val="Emphasis"/>
        </w:rPr>
        <w:t>liberty</w:t>
      </w:r>
      <w:r w:rsidRPr="00D94254">
        <w:rPr>
          <w:u w:val="single"/>
        </w:rPr>
        <w:t xml:space="preserve">, and </w:t>
      </w:r>
      <w:r w:rsidRPr="00D94254">
        <w:rPr>
          <w:rStyle w:val="Emphasis"/>
        </w:rPr>
        <w:t>due process</w:t>
      </w:r>
      <w:r w:rsidRPr="00D94254">
        <w:rPr>
          <w:u w:val="single"/>
        </w:rPr>
        <w:t xml:space="preserve"> are also met in interpretive questions of criminal law</w:t>
      </w:r>
      <w:r w:rsidRPr="00D94254">
        <w:rPr>
          <w:sz w:val="14"/>
        </w:rPr>
        <w:t xml:space="preserve">.18 </w:t>
      </w:r>
      <w:r w:rsidRPr="00456038">
        <w:rPr>
          <w:highlight w:val="cyan"/>
          <w:u w:val="single"/>
        </w:rPr>
        <w:t xml:space="preserve">Lenity </w:t>
      </w:r>
      <w:r w:rsidRPr="00456038">
        <w:rPr>
          <w:rStyle w:val="Emphasis"/>
          <w:highlight w:val="cyan"/>
        </w:rPr>
        <w:t>lies at the heart</w:t>
      </w:r>
      <w:r w:rsidRPr="00456038">
        <w:rPr>
          <w:highlight w:val="cyan"/>
          <w:u w:val="single"/>
        </w:rPr>
        <w:t xml:space="preserve"> of</w:t>
      </w:r>
      <w:r w:rsidRPr="00D94254">
        <w:rPr>
          <w:u w:val="single"/>
        </w:rPr>
        <w:t xml:space="preserve"> interpretive questions in</w:t>
      </w:r>
      <w:r w:rsidRPr="00D94254">
        <w:rPr>
          <w:sz w:val="14"/>
        </w:rPr>
        <w:t xml:space="preserve"> the </w:t>
      </w:r>
      <w:r w:rsidRPr="00456038">
        <w:rPr>
          <w:highlight w:val="cyan"/>
          <w:u w:val="single"/>
        </w:rPr>
        <w:t>criminal justice</w:t>
      </w:r>
      <w:r w:rsidRPr="00D94254">
        <w:rPr>
          <w:sz w:val="14"/>
        </w:rPr>
        <w:t xml:space="preserve"> arena, the state of which adds urgency and cause for greater consideration of the framework and application of the rule.19</w:t>
      </w:r>
    </w:p>
    <w:p w14:paraId="205C26B3" w14:textId="2F5E63F2" w:rsidR="00C032E4" w:rsidRDefault="00C032E4" w:rsidP="00C032E4">
      <w:pPr>
        <w:rPr>
          <w:sz w:val="14"/>
        </w:rPr>
      </w:pPr>
      <w:r w:rsidRPr="00D94254">
        <w:rPr>
          <w:sz w:val="14"/>
        </w:rPr>
        <w:t xml:space="preserve">To be sure, Professor Gluck and Judge Posner stress that — except in rare cases, such as Chevron deference,20 which every judge in their study deemed as binding21 — there is “no ‘methodological stare decisis’ in the federal courts.”22 Yet if there were any exception to that norm, lenity would be a strong candidate. Indeed, </w:t>
      </w:r>
      <w:r w:rsidRPr="00036BE9">
        <w:rPr>
          <w:u w:val="single"/>
        </w:rPr>
        <w:t>some</w:t>
      </w:r>
      <w:r w:rsidRPr="00D94254">
        <w:rPr>
          <w:sz w:val="14"/>
        </w:rPr>
        <w:t xml:space="preserve"> of the appellate </w:t>
      </w:r>
      <w:r w:rsidRPr="00456038">
        <w:rPr>
          <w:highlight w:val="cyan"/>
          <w:u w:val="single"/>
        </w:rPr>
        <w:t xml:space="preserve">judges who </w:t>
      </w:r>
      <w:r w:rsidRPr="00456038">
        <w:rPr>
          <w:rStyle w:val="Emphasis"/>
          <w:highlight w:val="cyan"/>
        </w:rPr>
        <w:t>rejected</w:t>
      </w:r>
      <w:r w:rsidRPr="00D94254">
        <w:rPr>
          <w:sz w:val="14"/>
        </w:rPr>
        <w:t xml:space="preserve"> a general notion of </w:t>
      </w:r>
      <w:r w:rsidRPr="00036BE9">
        <w:rPr>
          <w:u w:val="single"/>
        </w:rPr>
        <w:t xml:space="preserve">methodological </w:t>
      </w:r>
      <w:r w:rsidRPr="00456038">
        <w:rPr>
          <w:rStyle w:val="Emphasis"/>
          <w:highlight w:val="cyan"/>
        </w:rPr>
        <w:t>stare decisis</w:t>
      </w:r>
      <w:r w:rsidRPr="00456038">
        <w:rPr>
          <w:highlight w:val="cyan"/>
          <w:u w:val="single"/>
        </w:rPr>
        <w:t xml:space="preserve"> made </w:t>
      </w:r>
      <w:r w:rsidRPr="00456038">
        <w:rPr>
          <w:rStyle w:val="Emphasis"/>
          <w:highlight w:val="cyan"/>
        </w:rPr>
        <w:t>exceptions for lenity</w:t>
      </w:r>
      <w:r w:rsidRPr="00D94254">
        <w:rPr>
          <w:sz w:val="14"/>
        </w:rPr>
        <w:t xml:space="preserve"> among a limited set of canons </w:t>
      </w:r>
      <w:r w:rsidRPr="00036BE9">
        <w:rPr>
          <w:u w:val="single"/>
        </w:rPr>
        <w:t xml:space="preserve">that they saw as </w:t>
      </w:r>
      <w:r w:rsidRPr="00036BE9">
        <w:rPr>
          <w:rStyle w:val="Emphasis"/>
        </w:rPr>
        <w:t>binding</w:t>
      </w:r>
      <w:r w:rsidRPr="00036BE9">
        <w:rPr>
          <w:u w:val="single"/>
        </w:rPr>
        <w:t>, based on certain “</w:t>
      </w:r>
      <w:r w:rsidRPr="00036BE9">
        <w:rPr>
          <w:rStyle w:val="Emphasis"/>
        </w:rPr>
        <w:t>constitutional principles</w:t>
      </w:r>
      <w:r w:rsidRPr="00036BE9">
        <w:rPr>
          <w:u w:val="single"/>
        </w:rPr>
        <w:t>” or “</w:t>
      </w:r>
      <w:r w:rsidRPr="00036BE9">
        <w:rPr>
          <w:rStyle w:val="Emphasis"/>
        </w:rPr>
        <w:t>rules</w:t>
      </w:r>
      <w:r w:rsidRPr="00036BE9">
        <w:rPr>
          <w:u w:val="single"/>
        </w:rPr>
        <w:t xml:space="preserve">” to which judges </w:t>
      </w:r>
      <w:r w:rsidRPr="00036BE9">
        <w:rPr>
          <w:rStyle w:val="Emphasis"/>
        </w:rPr>
        <w:t>must defer</w:t>
      </w:r>
      <w:r w:rsidRPr="00D94254">
        <w:rPr>
          <w:sz w:val="14"/>
        </w:rPr>
        <w:t>.23</w:t>
      </w:r>
    </w:p>
    <w:p w14:paraId="532CFF06" w14:textId="473EF5DF" w:rsidR="00AE326E" w:rsidRDefault="00AE326E" w:rsidP="00AE326E">
      <w:pPr>
        <w:pStyle w:val="Heading3"/>
      </w:pPr>
      <w:r>
        <w:t>2AC – AT: T-CJR</w:t>
      </w:r>
    </w:p>
    <w:p w14:paraId="0DE81EF1" w14:textId="505945FE" w:rsidR="00AE326E" w:rsidRDefault="00AE326E" w:rsidP="00AE326E">
      <w:pPr>
        <w:pStyle w:val="Heading4"/>
      </w:pPr>
      <w:r>
        <w:t>Criminal and immigration lenity are different – the aff uses the former.</w:t>
      </w:r>
    </w:p>
    <w:p w14:paraId="1CF7BD79" w14:textId="77777777" w:rsidR="00AE326E" w:rsidRDefault="00AE326E" w:rsidP="00AE326E">
      <w:r>
        <w:rPr>
          <w:rStyle w:val="Style13ptBold"/>
        </w:rPr>
        <w:t>Slocum 2003</w:t>
      </w:r>
      <w:r>
        <w:rPr>
          <w:rStyle w:val="Style13ptBold"/>
          <w:b w:val="0"/>
          <w:bCs w:val="0"/>
        </w:rPr>
        <w:t xml:space="preserve"> — </w:t>
      </w:r>
      <w:r w:rsidRPr="007E29CA">
        <w:t>Brian</w:t>
      </w:r>
      <w:r>
        <w:t xml:space="preserve"> G. Slocum has  J.D. from Harvard Law. He’s currently an attorney in the Criminal Division of the Department of Justice. Formerly, the author was an attorney in the Civil Division, Office of Immigration Litigation. (“THE IMMIGRATION RULE OF LENITY AND CHEVRON DEFERENCE” Georgetown Immigration Law Journal 17, no. 4, p. 515-582. HeinOnline, </w:t>
      </w:r>
      <w:hyperlink r:id="rId137" w:history="1">
        <w:r w:rsidRPr="001E00F4">
          <w:rPr>
            <w:rStyle w:val="Hyperlink"/>
          </w:rPr>
          <w:t>https://heinonline-org.proxy.lib.umich.edu/HOL/P?h=hein.journals/geoimlj17&amp;i=525.)//JLPark</w:t>
        </w:r>
      </w:hyperlink>
    </w:p>
    <w:p w14:paraId="672C8E17" w14:textId="77777777" w:rsidR="00AE326E" w:rsidRPr="00040F56" w:rsidRDefault="00AE326E" w:rsidP="00AE326E">
      <w:pPr>
        <w:rPr>
          <w:sz w:val="14"/>
          <w:szCs w:val="14"/>
        </w:rPr>
      </w:pPr>
      <w:r w:rsidRPr="00040F56">
        <w:rPr>
          <w:sz w:val="14"/>
          <w:szCs w:val="14"/>
        </w:rPr>
        <w:t>C. Constitutional Status of the Immigration Rule of Lenity</w:t>
      </w:r>
    </w:p>
    <w:p w14:paraId="3353FEF8" w14:textId="77777777" w:rsidR="00AE326E" w:rsidRPr="00040F56" w:rsidRDefault="00AE326E" w:rsidP="00AE326E">
      <w:pPr>
        <w:rPr>
          <w:sz w:val="14"/>
        </w:rPr>
      </w:pPr>
      <w:r w:rsidRPr="00040F56">
        <w:rPr>
          <w:rStyle w:val="StyleUnderline"/>
        </w:rPr>
        <w:t>Very little has been written about the constitutional status of the immigration rule</w:t>
      </w:r>
      <w:r w:rsidRPr="00040F56">
        <w:rPr>
          <w:sz w:val="14"/>
        </w:rPr>
        <w:t xml:space="preserve"> of lenity. </w:t>
      </w:r>
      <w:r w:rsidRPr="00040F56">
        <w:rPr>
          <w:rStyle w:val="StyleUnderline"/>
        </w:rPr>
        <w:t>On the other hand, the constitutional status of the criminal rule of lenity</w:t>
      </w:r>
      <w:r w:rsidRPr="00040F56">
        <w:rPr>
          <w:sz w:val="14"/>
        </w:rPr>
        <w:t xml:space="preserve">, while perhaps not precisely identified, </w:t>
      </w:r>
      <w:r w:rsidRPr="00040F56">
        <w:rPr>
          <w:rStyle w:val="StyleUnderline"/>
        </w:rPr>
        <w:t>has been discussed</w:t>
      </w:r>
      <w:r w:rsidRPr="00040F56">
        <w:rPr>
          <w:sz w:val="14"/>
        </w:rPr>
        <w:t xml:space="preserve">. The </w:t>
      </w:r>
      <w:r w:rsidRPr="00040F56">
        <w:rPr>
          <w:rStyle w:val="StyleUnderline"/>
        </w:rPr>
        <w:t>criminal rule of lenity is</w:t>
      </w:r>
      <w:r w:rsidRPr="00040F56">
        <w:rPr>
          <w:sz w:val="14"/>
        </w:rPr>
        <w:t xml:space="preserve"> often </w:t>
      </w:r>
      <w:r w:rsidRPr="00040F56">
        <w:rPr>
          <w:rStyle w:val="StyleUnderline"/>
        </w:rPr>
        <w:t>described</w:t>
      </w:r>
      <w:r w:rsidRPr="00040F56">
        <w:rPr>
          <w:sz w:val="14"/>
        </w:rPr>
        <w:t xml:space="preserve"> by commentators as deriving </w:t>
      </w:r>
      <w:r w:rsidRPr="00040F56">
        <w:rPr>
          <w:rStyle w:val="StyleUnderline"/>
        </w:rPr>
        <w:t>from the Due Process Clause of the Constitution. The Supreme Court has described the criminal rule of lenity as a "manifestation . . . of the fair warning requirement" of due process</w:t>
      </w:r>
      <w:r w:rsidRPr="00040F56">
        <w:rPr>
          <w:sz w:val="14"/>
        </w:rPr>
        <w:t>. The criminal rule of lenity has also been described as a "nondelegation doctrine," as well as a rule that promotes consistency in interpretation. One author, pointing in part to state legislatures that have passed statutes prohibiting judicial use of the criminal rule of lenity, posits that the criminal rule of lenity may be a constitutional  [*526]  starting-point rule that the Court has no power to alter, but that it may be altered by Congress. That view is not unanimous, however. Some commentators have argued that any due process concerns are addressed by a decision that adopts an evenhanded interpretation for prospective application but holds, under the void-for-vagueness doctrine, that statutory ambiguity means that the statute cannot be applied to past cases.</w:t>
      </w:r>
    </w:p>
    <w:p w14:paraId="3869382D" w14:textId="77777777" w:rsidR="00AE326E" w:rsidRPr="00040F56" w:rsidRDefault="00AE326E" w:rsidP="00AE326E">
      <w:pPr>
        <w:rPr>
          <w:sz w:val="14"/>
        </w:rPr>
      </w:pPr>
      <w:r w:rsidRPr="00040F56">
        <w:rPr>
          <w:sz w:val="14"/>
        </w:rPr>
        <w:t xml:space="preserve">While the criminal rule of lenity may be required, at least in some form, by the Due Process Clause, </w:t>
      </w:r>
      <w:r w:rsidRPr="00040F56">
        <w:rPr>
          <w:rStyle w:val="StyleUnderline"/>
        </w:rPr>
        <w:t>it is much less clear that the immigration rule of lenity is similarly required</w:t>
      </w:r>
      <w:r w:rsidRPr="00040F56">
        <w:rPr>
          <w:sz w:val="14"/>
        </w:rPr>
        <w:t>. On one hand, the Supreme Court has consistently recognized that deportation is one of the most serious penalties and "can be the equivalent of banishment or exile."</w:t>
      </w:r>
    </w:p>
    <w:p w14:paraId="379CE626" w14:textId="77777777" w:rsidR="00AE326E" w:rsidRPr="00040F56" w:rsidRDefault="00AE326E" w:rsidP="00AE326E">
      <w:pPr>
        <w:rPr>
          <w:sz w:val="14"/>
          <w:szCs w:val="14"/>
        </w:rPr>
      </w:pPr>
      <w:r w:rsidRPr="00040F56">
        <w:rPr>
          <w:sz w:val="14"/>
          <w:szCs w:val="14"/>
        </w:rPr>
        <w:t>On this basis, the Court stated that it would apply the rule of lenity to immigration statutes and has cited to a criminal case in describing the rule. Moreover, it has indicated that the void for vagueness doctrine, which in the criminal context the Court has grouped with the rule of lenity as being required by due process, applies to deportation provisions.</w:t>
      </w:r>
    </w:p>
    <w:p w14:paraId="19360471" w14:textId="77777777" w:rsidR="00AE326E" w:rsidRPr="00040F56" w:rsidRDefault="00AE326E" w:rsidP="00AE326E">
      <w:pPr>
        <w:rPr>
          <w:sz w:val="14"/>
        </w:rPr>
      </w:pPr>
      <w:r w:rsidRPr="00040F56">
        <w:rPr>
          <w:sz w:val="14"/>
        </w:rPr>
        <w:t>On the other hand, t</w:t>
      </w:r>
      <w:r w:rsidRPr="00040F56">
        <w:rPr>
          <w:rStyle w:val="StyleUnderline"/>
        </w:rPr>
        <w:t xml:space="preserve">here are </w:t>
      </w:r>
      <w:r w:rsidRPr="00040F56">
        <w:rPr>
          <w:sz w:val="14"/>
        </w:rPr>
        <w:t>persuasive</w:t>
      </w:r>
      <w:r w:rsidRPr="00040F56">
        <w:rPr>
          <w:rStyle w:val="StyleUnderline"/>
        </w:rPr>
        <w:t xml:space="preserve"> reasons to distinguish the immigration rule of lenity from the criminal rule of lenity to conclude that the immigration rule of lenity is not constitutionally required. Noncitizens do not enjoy the same protections in deportation proceedings that defendants do in criminal proceedings</w:t>
      </w:r>
      <w:r w:rsidRPr="00040F56">
        <w:rPr>
          <w:sz w:val="14"/>
        </w:rPr>
        <w:t xml:space="preserve">. Indeed, </w:t>
      </w:r>
      <w:r w:rsidRPr="00040F56">
        <w:rPr>
          <w:rStyle w:val="StyleUnderline"/>
        </w:rPr>
        <w:t>noncitizens do not have the same due</w:t>
      </w:r>
      <w:r w:rsidRPr="00040F56">
        <w:rPr>
          <w:sz w:val="14"/>
        </w:rPr>
        <w:t xml:space="preserve">  [*527]  </w:t>
      </w:r>
      <w:r w:rsidRPr="00040F56">
        <w:rPr>
          <w:rStyle w:val="StyleUnderline"/>
        </w:rPr>
        <w:t>process rights generally as do citizens</w:t>
      </w:r>
      <w:r w:rsidRPr="00040F56">
        <w:rPr>
          <w:sz w:val="14"/>
        </w:rPr>
        <w:t xml:space="preserve">. Moreover, </w:t>
      </w:r>
      <w:r w:rsidRPr="00040F56">
        <w:rPr>
          <w:rStyle w:val="StyleUnderline"/>
        </w:rPr>
        <w:t>immigrants who are considered under the "entry doctrine" not to have entered the U</w:t>
      </w:r>
      <w:r w:rsidRPr="00040F56">
        <w:rPr>
          <w:sz w:val="14"/>
        </w:rPr>
        <w:t xml:space="preserve">nited </w:t>
      </w:r>
      <w:r w:rsidRPr="00040F56">
        <w:rPr>
          <w:rStyle w:val="StyleUnderline"/>
        </w:rPr>
        <w:t>S</w:t>
      </w:r>
      <w:r w:rsidRPr="00040F56">
        <w:rPr>
          <w:sz w:val="14"/>
        </w:rPr>
        <w:t xml:space="preserve">tates </w:t>
      </w:r>
      <w:r w:rsidRPr="00040F56">
        <w:rPr>
          <w:rStyle w:val="StyleUnderline"/>
        </w:rPr>
        <w:t>do not have any due process rights</w:t>
      </w:r>
      <w:r w:rsidRPr="00040F56">
        <w:rPr>
          <w:sz w:val="14"/>
        </w:rPr>
        <w:t xml:space="preserve">. In addition, while the Court has recognized that the "intrinsic consequences of deportation are so close to punishment for crime . . .," for over a century it has been well-settled that </w:t>
      </w:r>
      <w:r w:rsidRPr="00040F56">
        <w:rPr>
          <w:rStyle w:val="StyleUnderline"/>
        </w:rPr>
        <w:t>the goal of enforcing the immigration statute is not to punish undesirable noncitizens, but rather to assure their removal from the U</w:t>
      </w:r>
      <w:r w:rsidRPr="00040F56">
        <w:rPr>
          <w:sz w:val="14"/>
        </w:rPr>
        <w:t xml:space="preserve">nited </w:t>
      </w:r>
      <w:r w:rsidRPr="00040F56">
        <w:rPr>
          <w:rStyle w:val="StyleUnderline"/>
        </w:rPr>
        <w:t>S</w:t>
      </w:r>
      <w:r w:rsidRPr="00040F56">
        <w:rPr>
          <w:sz w:val="14"/>
        </w:rPr>
        <w:t xml:space="preserve">tates. Most importantly, </w:t>
      </w:r>
      <w:r w:rsidRPr="00040F56">
        <w:rPr>
          <w:rStyle w:val="StyleUnderline"/>
        </w:rPr>
        <w:t>the Supreme Court has repeatedly held that noncitizens do not have a right to "fair warning" in the deportation context</w:t>
      </w:r>
      <w:r w:rsidRPr="00040F56">
        <w:rPr>
          <w:sz w:val="14"/>
        </w:rPr>
        <w:t>, holding that statutes retroactively setting criteria for deportation do not violate the Ex Post Facto Clause. While the Court's recent decision in INS v. St. Cyr, may have made it more unlikely that immigration statutes will be applied retroactively,  [*528]  the Court reaffirmed its longstanding position that Congress may legislate retroactively, and courts continue to find that immigration provisions operate retroactively.</w:t>
      </w:r>
    </w:p>
    <w:p w14:paraId="556B3BF6" w14:textId="0BDF0D66" w:rsidR="00AE326E" w:rsidRPr="00AE326E" w:rsidRDefault="00AE326E" w:rsidP="00AE326E">
      <w:pPr>
        <w:rPr>
          <w:sz w:val="14"/>
        </w:rPr>
      </w:pPr>
      <w:r w:rsidRPr="00040F56">
        <w:rPr>
          <w:rStyle w:val="StyleUnderline"/>
        </w:rPr>
        <w:t>The immigration rule of lenity is best viewed as a judicial creation that is based on important concerns and public values, but not on constitutional rights</w:t>
      </w:r>
      <w:r w:rsidRPr="00040F56">
        <w:rPr>
          <w:sz w:val="14"/>
        </w:rPr>
        <w:t>. It thus follows that Congress could, consistent with the Constitution, abrogate the immigration rule of lenity. Also, it is unlikely that the Court would hold that the immigration rule of lenity is a constitutional starting-point rule that would require that immigration laws be construed in favor of noncitizens absent congressional abrogation.</w:t>
      </w:r>
    </w:p>
    <w:p w14:paraId="50CC736F" w14:textId="4ABE266C" w:rsidR="00294130" w:rsidRPr="00294130" w:rsidRDefault="00D4120B" w:rsidP="00C032E4">
      <w:pPr>
        <w:pStyle w:val="Heading2"/>
      </w:pPr>
      <w:r>
        <w:t>Counterplans</w:t>
      </w:r>
    </w:p>
    <w:p w14:paraId="4C665682" w14:textId="77777777" w:rsidR="00294130" w:rsidRDefault="00294130" w:rsidP="00294130">
      <w:pPr>
        <w:pStyle w:val="Heading3"/>
      </w:pPr>
      <w:r>
        <w:t>2AC – AT: Executive CP</w:t>
      </w:r>
    </w:p>
    <w:p w14:paraId="41914994" w14:textId="77777777" w:rsidR="00294130" w:rsidRDefault="00294130" w:rsidP="00294130">
      <w:pPr>
        <w:pStyle w:val="Heading4"/>
      </w:pPr>
      <w:r>
        <w:t xml:space="preserve">Self-restraint </w:t>
      </w:r>
      <w:r>
        <w:rPr>
          <w:u w:val="single"/>
        </w:rPr>
        <w:t>fails</w:t>
      </w:r>
      <w:r>
        <w:t xml:space="preserve"> – it deprives </w:t>
      </w:r>
      <w:r>
        <w:rPr>
          <w:u w:val="single"/>
        </w:rPr>
        <w:t>over</w:t>
      </w:r>
      <w:r>
        <w:t xml:space="preserve"> 100k felonies of due process AND circuits apply </w:t>
      </w:r>
      <w:r>
        <w:rPr>
          <w:i/>
          <w:iCs w:val="0"/>
        </w:rPr>
        <w:t>Chevron</w:t>
      </w:r>
      <w:r>
        <w:t xml:space="preserve"> when </w:t>
      </w:r>
      <w:r w:rsidRPr="003C1B8A">
        <w:t xml:space="preserve">the government </w:t>
      </w:r>
      <w:r>
        <w:rPr>
          <w:u w:val="single"/>
        </w:rPr>
        <w:t>does not want it</w:t>
      </w:r>
      <w:r>
        <w:t>.</w:t>
      </w:r>
    </w:p>
    <w:p w14:paraId="7DC07825" w14:textId="77777777" w:rsidR="00294130" w:rsidRPr="003C1B8A" w:rsidRDefault="00294130" w:rsidP="00294130">
      <w:r w:rsidRPr="003C1B8A">
        <w:rPr>
          <w:rStyle w:val="Style13ptBold"/>
        </w:rPr>
        <w:t>Prince et al. 19</w:t>
      </w:r>
      <w:r>
        <w:t xml:space="preserve"> – Joshua Prince, JD at Widener Law School. Adam Kraut, JD at Widener Law School. Erik Jaffe, JD at Columbia Law School, clerk to a law clerk to Judge Douglas H. Ginsburg of the Court of Appeals DC Circuit. Gene Schaerr, JD at Yale Law School, law clerk for DC Circuit Judge Ken Starr, law clerk for US Supreme Court Justices Warren Burger and Antonin Scalia. Alan Alexander Beck, a lawyer. Stephen D. Stamboulieh, JD at Mississippi College. [Reply Brief on Petition for Writ of Certiorari for the case Damien Guedes et al. v. Bureau of Alcohol, Tobacco, Firearms and Explosives, on behalf of Damien Guedes, filed 12-19-19, https://www.supremecourt.gov/DocketPDF/19/19-296/126191/20191219152212670_Guedes Cert Pet Reply-Final-PDFA.pdf]//BPS</w:t>
      </w:r>
    </w:p>
    <w:p w14:paraId="5BCE2B49" w14:textId="77777777" w:rsidR="00294130" w:rsidRPr="00A1452A" w:rsidRDefault="00294130" w:rsidP="00294130">
      <w:pPr>
        <w:rPr>
          <w:sz w:val="16"/>
        </w:rPr>
      </w:pPr>
      <w:r w:rsidRPr="00A1452A">
        <w:rPr>
          <w:sz w:val="16"/>
        </w:rPr>
        <w:t xml:space="preserve">First, contrary to the government’s suggestions, BIO 13, </w:t>
      </w:r>
      <w:r w:rsidRPr="00FA6E1E">
        <w:rPr>
          <w:rStyle w:val="StyleUnderline"/>
        </w:rPr>
        <w:t xml:space="preserve">the questions presented are </w:t>
      </w:r>
      <w:r w:rsidRPr="00FA6E1E">
        <w:rPr>
          <w:rStyle w:val="Emphasis"/>
        </w:rPr>
        <w:t>not abstract</w:t>
      </w:r>
      <w:r w:rsidRPr="00A1452A">
        <w:rPr>
          <w:sz w:val="16"/>
        </w:rPr>
        <w:t>.  Both courts below expressly held that the statute was ambiguous and thus relied on Chevron to sustain the Final Rule.  Pet. 6, 8.  Indeed, notwithstanding the government’s claim that it would rather lose than rely on deference, Pet. 7; Pet. App. 36 (citing oral argument), the panel forced the issue, suggesting that it could not have reached its result in any other manner.  Given that express and laborious application of Chevron by the court of appeals, with no alternative grounds offered, the questions would seem the exact opposite of “abstract.”</w:t>
      </w:r>
    </w:p>
    <w:p w14:paraId="0F5F7580" w14:textId="77777777" w:rsidR="00294130" w:rsidRPr="00A1452A" w:rsidRDefault="00294130" w:rsidP="00294130">
      <w:pPr>
        <w:rPr>
          <w:sz w:val="16"/>
        </w:rPr>
      </w:pPr>
      <w:r w:rsidRPr="00A1452A">
        <w:rPr>
          <w:sz w:val="16"/>
        </w:rPr>
        <w:t xml:space="preserve">Second, that the government will not defend the decision below, but remains content to keep the outcome without further review, BIO 14, is no reason to deny certiorari.  </w:t>
      </w:r>
      <w:r w:rsidRPr="00456038">
        <w:rPr>
          <w:rStyle w:val="StyleUnderline"/>
          <w:highlight w:val="cyan"/>
        </w:rPr>
        <w:t>Declining review</w:t>
      </w:r>
      <w:r w:rsidRPr="00FA6E1E">
        <w:rPr>
          <w:rStyle w:val="StyleUnderline"/>
        </w:rPr>
        <w:t xml:space="preserve"> </w:t>
      </w:r>
      <w:r w:rsidRPr="00FA6E1E">
        <w:rPr>
          <w:rStyle w:val="Emphasis"/>
        </w:rPr>
        <w:t xml:space="preserve">precisely </w:t>
      </w:r>
      <w:r w:rsidRPr="00456038">
        <w:rPr>
          <w:rStyle w:val="Emphasis"/>
          <w:highlight w:val="cyan"/>
        </w:rPr>
        <w:t>because</w:t>
      </w:r>
      <w:r w:rsidRPr="00456038">
        <w:rPr>
          <w:rStyle w:val="StyleUnderline"/>
          <w:highlight w:val="cyan"/>
        </w:rPr>
        <w:t xml:space="preserve"> the government </w:t>
      </w:r>
      <w:r w:rsidRPr="00456038">
        <w:rPr>
          <w:rStyle w:val="Emphasis"/>
          <w:highlight w:val="cyan"/>
        </w:rPr>
        <w:t>agrees</w:t>
      </w:r>
      <w:r w:rsidRPr="00A1452A">
        <w:rPr>
          <w:sz w:val="16"/>
        </w:rPr>
        <w:t xml:space="preserve"> the panel decision is wrong </w:t>
      </w:r>
      <w:r w:rsidRPr="00456038">
        <w:rPr>
          <w:rStyle w:val="StyleUnderline"/>
          <w:highlight w:val="cyan"/>
        </w:rPr>
        <w:t xml:space="preserve">is </w:t>
      </w:r>
      <w:r w:rsidRPr="00456038">
        <w:rPr>
          <w:rStyle w:val="Emphasis"/>
          <w:highlight w:val="cyan"/>
        </w:rPr>
        <w:t>perverse</w:t>
      </w:r>
      <w:r w:rsidRPr="00FA6E1E">
        <w:rPr>
          <w:rStyle w:val="Emphasis"/>
        </w:rPr>
        <w:t xml:space="preserve"> at best</w:t>
      </w:r>
      <w:r w:rsidRPr="00FA6E1E">
        <w:rPr>
          <w:rStyle w:val="StyleUnderline"/>
        </w:rPr>
        <w:t xml:space="preserve"> </w:t>
      </w:r>
      <w:r w:rsidRPr="00456038">
        <w:rPr>
          <w:rStyle w:val="StyleUnderline"/>
          <w:highlight w:val="cyan"/>
        </w:rPr>
        <w:t xml:space="preserve">and creates </w:t>
      </w:r>
      <w:r w:rsidRPr="00456038">
        <w:rPr>
          <w:rStyle w:val="Emphasis"/>
          <w:highlight w:val="cyan"/>
        </w:rPr>
        <w:t>perverse incentives</w:t>
      </w:r>
      <w:r w:rsidRPr="00FA6E1E">
        <w:rPr>
          <w:rStyle w:val="StyleUnderline"/>
        </w:rPr>
        <w:t xml:space="preserve"> for the government </w:t>
      </w:r>
      <w:r w:rsidRPr="00456038">
        <w:rPr>
          <w:rStyle w:val="StyleUnderline"/>
          <w:highlight w:val="cyan"/>
        </w:rPr>
        <w:t>to</w:t>
      </w:r>
      <w:r w:rsidRPr="00FA6E1E">
        <w:rPr>
          <w:rStyle w:val="StyleUnderline"/>
        </w:rPr>
        <w:t xml:space="preserve"> </w:t>
      </w:r>
      <w:r w:rsidRPr="00A1452A">
        <w:rPr>
          <w:rStyle w:val="StyleUnderline"/>
        </w:rPr>
        <w:t xml:space="preserve">refuse to defend doubtful victories to </w:t>
      </w:r>
      <w:r w:rsidRPr="00456038">
        <w:rPr>
          <w:rStyle w:val="StyleUnderline"/>
          <w:highlight w:val="cyan"/>
        </w:rPr>
        <w:t>insulate</w:t>
      </w:r>
      <w:r w:rsidRPr="00A1452A">
        <w:rPr>
          <w:rStyle w:val="StyleUnderline"/>
        </w:rPr>
        <w:t xml:space="preserve"> them </w:t>
      </w:r>
      <w:r w:rsidRPr="00456038">
        <w:rPr>
          <w:rStyle w:val="StyleUnderline"/>
          <w:highlight w:val="cyan"/>
        </w:rPr>
        <w:t>from review</w:t>
      </w:r>
      <w:r w:rsidRPr="00A1452A">
        <w:rPr>
          <w:rStyle w:val="StyleUnderline"/>
        </w:rPr>
        <w:t>.  If the government will not defend the decision</w:t>
      </w:r>
      <w:r w:rsidRPr="00A1452A">
        <w:rPr>
          <w:sz w:val="16"/>
        </w:rPr>
        <w:t xml:space="preserve"> below, </w:t>
      </w:r>
      <w:r w:rsidRPr="00FA6E1E">
        <w:rPr>
          <w:rStyle w:val="StyleUnderline"/>
        </w:rPr>
        <w:t>it should</w:t>
      </w:r>
      <w:r w:rsidRPr="00A1452A">
        <w:rPr>
          <w:sz w:val="16"/>
        </w:rPr>
        <w:t xml:space="preserve"> either acquiesce to a GVR or summary reversal or </w:t>
      </w:r>
      <w:r w:rsidRPr="00FA6E1E">
        <w:rPr>
          <w:rStyle w:val="Emphasis"/>
        </w:rPr>
        <w:t>step aside</w:t>
      </w:r>
      <w:r w:rsidRPr="00A1452A">
        <w:rPr>
          <w:sz w:val="16"/>
        </w:rPr>
        <w:t xml:space="preserve"> and let an appointed amicus do what it can to defend the decision below.  But </w:t>
      </w:r>
      <w:r w:rsidRPr="00456038">
        <w:rPr>
          <w:rStyle w:val="StyleUnderline"/>
          <w:highlight w:val="cyan"/>
        </w:rPr>
        <w:t>for the government to abandon</w:t>
      </w:r>
      <w:r w:rsidRPr="00A1452A">
        <w:rPr>
          <w:rStyle w:val="StyleUnderline"/>
        </w:rPr>
        <w:t xml:space="preserve"> </w:t>
      </w:r>
      <w:r w:rsidRPr="00A1452A">
        <w:rPr>
          <w:rStyle w:val="Emphasis"/>
        </w:rPr>
        <w:t>decades of public</w:t>
      </w:r>
      <w:r w:rsidRPr="00FA6E1E">
        <w:rPr>
          <w:rStyle w:val="Emphasis"/>
        </w:rPr>
        <w:t xml:space="preserve"> and agency understanding</w:t>
      </w:r>
      <w:r w:rsidRPr="00FA6E1E">
        <w:rPr>
          <w:rStyle w:val="StyleUnderline"/>
        </w:rPr>
        <w:t xml:space="preserve"> of a criminal statute, take or </w:t>
      </w:r>
      <w:r w:rsidRPr="00456038">
        <w:rPr>
          <w:rStyle w:val="StyleUnderline"/>
          <w:highlight w:val="cyan"/>
        </w:rPr>
        <w:t xml:space="preserve">destroy </w:t>
      </w:r>
      <w:r w:rsidRPr="00456038">
        <w:rPr>
          <w:rStyle w:val="Emphasis"/>
          <w:highlight w:val="cyan"/>
        </w:rPr>
        <w:t>millions</w:t>
      </w:r>
      <w:r w:rsidRPr="00FA6E1E">
        <w:rPr>
          <w:rStyle w:val="Emphasis"/>
        </w:rPr>
        <w:t xml:space="preserve"> of dollars </w:t>
      </w:r>
      <w:r w:rsidRPr="00456038">
        <w:rPr>
          <w:rStyle w:val="Emphasis"/>
          <w:highlight w:val="cyan"/>
        </w:rPr>
        <w:t>in property</w:t>
      </w:r>
      <w:r w:rsidRPr="00456038">
        <w:rPr>
          <w:rStyle w:val="StyleUnderline"/>
          <w:highlight w:val="cyan"/>
        </w:rPr>
        <w:t>, threaten</w:t>
      </w:r>
      <w:r w:rsidRPr="00A1452A">
        <w:rPr>
          <w:sz w:val="16"/>
        </w:rPr>
        <w:t xml:space="preserve"> potential </w:t>
      </w:r>
      <w:r w:rsidRPr="00456038">
        <w:rPr>
          <w:rStyle w:val="Emphasis"/>
          <w:highlight w:val="cyan"/>
        </w:rPr>
        <w:t>felony</w:t>
      </w:r>
      <w:r w:rsidRPr="00FA6E1E">
        <w:rPr>
          <w:rStyle w:val="Emphasis"/>
        </w:rPr>
        <w:t xml:space="preserve"> sanctions</w:t>
      </w:r>
      <w:r w:rsidRPr="00FA6E1E">
        <w:rPr>
          <w:rStyle w:val="StyleUnderline"/>
        </w:rPr>
        <w:t xml:space="preserve"> </w:t>
      </w:r>
      <w:r w:rsidRPr="00456038">
        <w:rPr>
          <w:rStyle w:val="StyleUnderline"/>
          <w:highlight w:val="cyan"/>
        </w:rPr>
        <w:t xml:space="preserve">against </w:t>
      </w:r>
      <w:r w:rsidRPr="00456038">
        <w:rPr>
          <w:rStyle w:val="Emphasis"/>
          <w:highlight w:val="cyan"/>
        </w:rPr>
        <w:t>hundreds of thousands</w:t>
      </w:r>
      <w:r w:rsidRPr="00FA6E1E">
        <w:rPr>
          <w:rStyle w:val="Emphasis"/>
        </w:rPr>
        <w:t xml:space="preserve"> of people</w:t>
      </w:r>
      <w:r w:rsidRPr="00FA6E1E">
        <w:rPr>
          <w:rStyle w:val="StyleUnderline"/>
        </w:rPr>
        <w:t xml:space="preserve">, </w:t>
      </w:r>
      <w:r w:rsidRPr="00456038">
        <w:rPr>
          <w:rStyle w:val="StyleUnderline"/>
          <w:highlight w:val="cyan"/>
        </w:rPr>
        <w:t>and</w:t>
      </w:r>
      <w:r w:rsidRPr="00FA6E1E">
        <w:rPr>
          <w:rStyle w:val="StyleUnderline"/>
        </w:rPr>
        <w:t xml:space="preserve"> then seek to </w:t>
      </w:r>
      <w:r w:rsidRPr="00456038">
        <w:rPr>
          <w:rStyle w:val="StyleUnderline"/>
          <w:highlight w:val="cyan"/>
        </w:rPr>
        <w:t>keep</w:t>
      </w:r>
      <w:r w:rsidRPr="00FA6E1E">
        <w:rPr>
          <w:rStyle w:val="StyleUnderline"/>
        </w:rPr>
        <w:t xml:space="preserve"> the </w:t>
      </w:r>
      <w:r w:rsidRPr="00456038">
        <w:rPr>
          <w:rStyle w:val="StyleUnderline"/>
          <w:highlight w:val="cyan"/>
        </w:rPr>
        <w:t>result</w:t>
      </w:r>
      <w:r w:rsidRPr="00FA6E1E">
        <w:rPr>
          <w:rStyle w:val="StyleUnderline"/>
        </w:rPr>
        <w:t xml:space="preserve"> from a decision it refuses to defend </w:t>
      </w:r>
      <w:r w:rsidRPr="00456038">
        <w:rPr>
          <w:rStyle w:val="StyleUnderline"/>
          <w:highlight w:val="cyan"/>
        </w:rPr>
        <w:t>offends</w:t>
      </w:r>
      <w:r w:rsidRPr="00FA6E1E">
        <w:rPr>
          <w:rStyle w:val="StyleUnderline"/>
        </w:rPr>
        <w:t xml:space="preserve"> </w:t>
      </w:r>
      <w:r w:rsidRPr="00FA6E1E">
        <w:rPr>
          <w:rStyle w:val="Emphasis"/>
        </w:rPr>
        <w:t xml:space="preserve">the most </w:t>
      </w:r>
      <w:r w:rsidRPr="00456038">
        <w:rPr>
          <w:rStyle w:val="Emphasis"/>
          <w:highlight w:val="cyan"/>
        </w:rPr>
        <w:t>fundamental notions</w:t>
      </w:r>
      <w:r w:rsidRPr="00456038">
        <w:rPr>
          <w:rStyle w:val="StyleUnderline"/>
          <w:highlight w:val="cyan"/>
        </w:rPr>
        <w:t xml:space="preserve"> of</w:t>
      </w:r>
      <w:r w:rsidRPr="00A1452A">
        <w:rPr>
          <w:sz w:val="16"/>
        </w:rPr>
        <w:t xml:space="preserve"> fairness and </w:t>
      </w:r>
      <w:r w:rsidRPr="00456038">
        <w:rPr>
          <w:rStyle w:val="StyleUnderline"/>
          <w:highlight w:val="cyan"/>
        </w:rPr>
        <w:t>due process</w:t>
      </w:r>
      <w:r w:rsidRPr="00A1452A">
        <w:rPr>
          <w:sz w:val="16"/>
        </w:rPr>
        <w:t xml:space="preserve">. </w:t>
      </w:r>
    </w:p>
    <w:p w14:paraId="5C2B6B24" w14:textId="77777777" w:rsidR="00294130" w:rsidRPr="00A1452A" w:rsidRDefault="00294130" w:rsidP="00294130">
      <w:pPr>
        <w:rPr>
          <w:sz w:val="16"/>
        </w:rPr>
      </w:pPr>
      <w:r w:rsidRPr="00A1452A">
        <w:rPr>
          <w:sz w:val="16"/>
        </w:rPr>
        <w:t>Third, the procedural posture of this case – appeal from denial of a preliminary injunction – also is no barrier to review.  Both decisions below were based entirely on questions of law, not on any uncertain probabilities or discretionary issues bearing upon whether to grant a preliminary injunction.  Waiting for a final judgment where the district and circuit courts have already given their views on the legal merits just introduces delay with no benefit.  While the appeal is technically interlocutory, BIO 14, 20, it raises none of the concerns of interlocutory review.  Indeed, the government does not suggest otherwise and is simply throwing phrases against the wall to see if anything will stick in order to avoid review.</w:t>
      </w:r>
    </w:p>
    <w:p w14:paraId="08BA3466" w14:textId="77777777" w:rsidR="00294130" w:rsidRPr="00A1452A" w:rsidRDefault="00294130" w:rsidP="00294130">
      <w:pPr>
        <w:rPr>
          <w:sz w:val="16"/>
        </w:rPr>
      </w:pPr>
      <w:r w:rsidRPr="00A1452A">
        <w:rPr>
          <w:sz w:val="16"/>
        </w:rPr>
        <w:t xml:space="preserve">Given the existing precedent and law of the case, it is difficult to imagine the courts below adding anything meaningful before entering final judgment.  The government’s alternative grounds not already rejected will never be litigated because they are currently unnecessary, and </w:t>
      </w:r>
      <w:r w:rsidRPr="00FA6E1E">
        <w:rPr>
          <w:rStyle w:val="StyleUnderline"/>
        </w:rPr>
        <w:t xml:space="preserve">Petitioners will have </w:t>
      </w:r>
      <w:r w:rsidRPr="00FA6E1E">
        <w:rPr>
          <w:rStyle w:val="Emphasis"/>
        </w:rPr>
        <w:t>no opportunity</w:t>
      </w:r>
      <w:r w:rsidRPr="00FA6E1E">
        <w:rPr>
          <w:rStyle w:val="StyleUnderline"/>
        </w:rPr>
        <w:t xml:space="preserve"> to </w:t>
      </w:r>
      <w:r w:rsidRPr="00FA6E1E">
        <w:rPr>
          <w:rStyle w:val="Emphasis"/>
        </w:rPr>
        <w:t>properly savage</w:t>
      </w:r>
      <w:r w:rsidRPr="00FA6E1E">
        <w:rPr>
          <w:rStyle w:val="StyleUnderline"/>
        </w:rPr>
        <w:t xml:space="preserve"> the government’s </w:t>
      </w:r>
      <w:r w:rsidRPr="00FA6E1E">
        <w:rPr>
          <w:rStyle w:val="Emphasis"/>
        </w:rPr>
        <w:t>misleading statutory interpretation and application</w:t>
      </w:r>
      <w:r w:rsidRPr="00FA6E1E">
        <w:rPr>
          <w:rStyle w:val="StyleUnderline"/>
        </w:rPr>
        <w:t xml:space="preserve">.  Without removing Chevron from the equation, the courts below will avoid taking </w:t>
      </w:r>
      <w:r w:rsidRPr="00FA6E1E">
        <w:rPr>
          <w:rStyle w:val="Emphasis"/>
        </w:rPr>
        <w:t>a hard look</w:t>
      </w:r>
      <w:r w:rsidRPr="00FA6E1E">
        <w:rPr>
          <w:rStyle w:val="StyleUnderline"/>
        </w:rPr>
        <w:t xml:space="preserve"> at the text, history, and application</w:t>
      </w:r>
      <w:r w:rsidRPr="00A1452A">
        <w:rPr>
          <w:sz w:val="16"/>
        </w:rPr>
        <w:t xml:space="preserve"> of the statutory language, </w:t>
      </w:r>
      <w:r w:rsidRPr="00FA6E1E">
        <w:rPr>
          <w:rStyle w:val="StyleUnderline"/>
        </w:rPr>
        <w:t xml:space="preserve">and will do nothing to correct </w:t>
      </w:r>
      <w:r w:rsidRPr="00FA6E1E">
        <w:rPr>
          <w:rStyle w:val="Emphasis"/>
        </w:rPr>
        <w:t>their flawed decisions</w:t>
      </w:r>
      <w:r w:rsidRPr="00A1452A">
        <w:rPr>
          <w:sz w:val="16"/>
        </w:rPr>
        <w:t>.</w:t>
      </w:r>
    </w:p>
    <w:p w14:paraId="6A78EB3E" w14:textId="77777777" w:rsidR="00294130" w:rsidRPr="00A1452A" w:rsidRDefault="00294130" w:rsidP="00294130">
      <w:pPr>
        <w:rPr>
          <w:sz w:val="16"/>
        </w:rPr>
      </w:pPr>
      <w:r w:rsidRPr="00A1452A">
        <w:rPr>
          <w:sz w:val="16"/>
        </w:rPr>
        <w:t xml:space="preserve">Fourth, </w:t>
      </w:r>
      <w:r w:rsidRPr="00FA6E1E">
        <w:rPr>
          <w:rStyle w:val="StyleUnderline"/>
        </w:rPr>
        <w:t xml:space="preserve">the </w:t>
      </w:r>
      <w:r w:rsidRPr="00456038">
        <w:rPr>
          <w:rStyle w:val="StyleUnderline"/>
          <w:highlight w:val="cyan"/>
        </w:rPr>
        <w:t>government’s claim</w:t>
      </w:r>
      <w:r w:rsidRPr="00A1452A">
        <w:rPr>
          <w:sz w:val="16"/>
        </w:rPr>
        <w:t xml:space="preserve">, at 14-19, that there is no conflict on the ultimate interpretation of the law </w:t>
      </w:r>
      <w:r w:rsidRPr="00456038">
        <w:rPr>
          <w:rStyle w:val="StyleUnderline"/>
          <w:highlight w:val="cyan"/>
        </w:rPr>
        <w:t>is</w:t>
      </w:r>
      <w:r w:rsidRPr="00FA6E1E">
        <w:rPr>
          <w:rStyle w:val="StyleUnderline"/>
        </w:rPr>
        <w:t xml:space="preserve"> </w:t>
      </w:r>
      <w:r w:rsidRPr="00FA6E1E">
        <w:rPr>
          <w:rStyle w:val="Emphasis"/>
        </w:rPr>
        <w:t xml:space="preserve">cynical </w:t>
      </w:r>
      <w:r w:rsidRPr="00456038">
        <w:rPr>
          <w:rStyle w:val="Emphasis"/>
          <w:highlight w:val="cyan"/>
        </w:rPr>
        <w:t>misdirection</w:t>
      </w:r>
      <w:r w:rsidRPr="00A1452A">
        <w:rPr>
          <w:sz w:val="16"/>
        </w:rPr>
        <w:t>.  The courts below did not hold that the government was correct in its interpretation, merely that it was a permissible interpretation of an ambiguous statute.  That methodological approach was necessary to the decisions below.  It is optimistic, at best, to speculate that the decisions would have been the same without Chevron.  The current conflict presented by this case involves methodology, not outcome.  The issue is important regardless whether other courts eventually reach the same result under a different approach.</w:t>
      </w:r>
    </w:p>
    <w:p w14:paraId="3BE5A096" w14:textId="77777777" w:rsidR="00294130" w:rsidRPr="00A1452A" w:rsidRDefault="00294130" w:rsidP="00294130">
      <w:pPr>
        <w:rPr>
          <w:sz w:val="16"/>
        </w:rPr>
      </w:pPr>
      <w:r w:rsidRPr="00A1452A">
        <w:rPr>
          <w:sz w:val="16"/>
        </w:rPr>
        <w:t xml:space="preserve">Furthermore, as noted in the Petition, at 24-25, the issues are important regardless whether the courts of appeals are uniform in their error.  </w:t>
      </w:r>
      <w:r w:rsidRPr="00FA6E1E">
        <w:rPr>
          <w:rStyle w:val="Emphasis"/>
        </w:rPr>
        <w:t>The more meaningful conflict</w:t>
      </w:r>
      <w:r w:rsidRPr="00FA6E1E">
        <w:rPr>
          <w:rStyle w:val="StyleUnderline"/>
        </w:rPr>
        <w:t xml:space="preserve"> is with</w:t>
      </w:r>
      <w:r w:rsidRPr="00A1452A">
        <w:rPr>
          <w:sz w:val="16"/>
        </w:rPr>
        <w:t xml:space="preserve"> decisions of this Court on </w:t>
      </w:r>
      <w:r w:rsidRPr="00FA6E1E">
        <w:rPr>
          <w:rStyle w:val="StyleUnderline"/>
        </w:rPr>
        <w:t>Chevron, lenity, and delegation</w:t>
      </w:r>
      <w:r w:rsidRPr="00A1452A">
        <w:rPr>
          <w:sz w:val="16"/>
        </w:rPr>
        <w:t xml:space="preserve">.  How this case ultimately will be decided under proper legal principles is a question for remand, not for speculation at the petition stage. </w:t>
      </w:r>
    </w:p>
    <w:p w14:paraId="734E6604" w14:textId="77777777" w:rsidR="00294130" w:rsidRPr="00A1452A" w:rsidRDefault="00294130" w:rsidP="00294130">
      <w:pPr>
        <w:rPr>
          <w:sz w:val="16"/>
        </w:rPr>
      </w:pPr>
      <w:r w:rsidRPr="00A1452A">
        <w:rPr>
          <w:sz w:val="16"/>
        </w:rPr>
        <w:t xml:space="preserve">Fifth, </w:t>
      </w:r>
      <w:r w:rsidRPr="00FA6E1E">
        <w:rPr>
          <w:rStyle w:val="Emphasis"/>
        </w:rPr>
        <w:t>the go</w:t>
      </w:r>
      <w:r w:rsidRPr="00A1452A">
        <w:rPr>
          <w:rStyle w:val="Emphasis"/>
        </w:rPr>
        <w:t>vernment’s suggestion</w:t>
      </w:r>
      <w:r w:rsidRPr="00A1452A">
        <w:rPr>
          <w:sz w:val="16"/>
        </w:rPr>
        <w:t xml:space="preserve">, at 20, </w:t>
      </w:r>
      <w:r w:rsidRPr="00A1452A">
        <w:rPr>
          <w:rStyle w:val="StyleUnderline"/>
        </w:rPr>
        <w:t xml:space="preserve">that this Court </w:t>
      </w:r>
      <w:r w:rsidRPr="00A1452A">
        <w:rPr>
          <w:rStyle w:val="Emphasis"/>
        </w:rPr>
        <w:t>wait</w:t>
      </w:r>
      <w:r w:rsidRPr="00A1452A">
        <w:rPr>
          <w:rStyle w:val="StyleUnderline"/>
        </w:rPr>
        <w:t xml:space="preserve"> for other cases </w:t>
      </w:r>
      <w:r w:rsidRPr="00A1452A">
        <w:rPr>
          <w:rStyle w:val="Emphasis"/>
        </w:rPr>
        <w:t>hopefully to endorse</w:t>
      </w:r>
      <w:r w:rsidRPr="00A1452A">
        <w:rPr>
          <w:rStyle w:val="StyleUnderline"/>
        </w:rPr>
        <w:t xml:space="preserve"> its interpretation without relying on Chevron is again </w:t>
      </w:r>
      <w:r w:rsidRPr="00A1452A">
        <w:rPr>
          <w:rStyle w:val="Emphasis"/>
        </w:rPr>
        <w:t>a cynical tactic</w:t>
      </w:r>
      <w:r w:rsidRPr="00A1452A">
        <w:rPr>
          <w:rStyle w:val="StyleUnderline"/>
        </w:rPr>
        <w:t xml:space="preserve"> to preserve </w:t>
      </w:r>
      <w:r w:rsidRPr="00A1452A">
        <w:rPr>
          <w:rStyle w:val="Emphasis"/>
        </w:rPr>
        <w:t>a fatally flawed decision</w:t>
      </w:r>
      <w:r w:rsidRPr="00A1452A">
        <w:rPr>
          <w:rStyle w:val="StyleUnderline"/>
        </w:rPr>
        <w:t xml:space="preserve"> reaching the govern</w:t>
      </w:r>
      <w:r w:rsidRPr="00FA6E1E">
        <w:rPr>
          <w:rStyle w:val="StyleUnderline"/>
        </w:rPr>
        <w:t xml:space="preserve">ment’s </w:t>
      </w:r>
      <w:r w:rsidRPr="00FA6E1E">
        <w:rPr>
          <w:rStyle w:val="Emphasis"/>
        </w:rPr>
        <w:t>preferred result</w:t>
      </w:r>
      <w:r w:rsidRPr="00A1452A">
        <w:rPr>
          <w:sz w:val="16"/>
        </w:rPr>
        <w:t xml:space="preserve">.  Regardless how such other cases came out, it would do nothing to alter the decision below, the grounds given by the court of appeals, or the importance of the questions presented. 1   </w:t>
      </w:r>
    </w:p>
    <w:p w14:paraId="21ACAB41" w14:textId="77777777" w:rsidR="00294130" w:rsidRPr="00A1452A" w:rsidRDefault="00294130" w:rsidP="00294130">
      <w:pPr>
        <w:rPr>
          <w:sz w:val="16"/>
        </w:rPr>
      </w:pPr>
      <w:r w:rsidRPr="00FA6E1E">
        <w:rPr>
          <w:rStyle w:val="StyleUnderline"/>
        </w:rPr>
        <w:t xml:space="preserve">While </w:t>
      </w:r>
      <w:r w:rsidRPr="00456038">
        <w:rPr>
          <w:rStyle w:val="StyleUnderline"/>
          <w:highlight w:val="cyan"/>
        </w:rPr>
        <w:t xml:space="preserve">the government did </w:t>
      </w:r>
      <w:r w:rsidRPr="00456038">
        <w:rPr>
          <w:rStyle w:val="Emphasis"/>
          <w:highlight w:val="cyan"/>
        </w:rPr>
        <w:t>not want</w:t>
      </w:r>
      <w:r w:rsidRPr="00456038">
        <w:rPr>
          <w:rStyle w:val="StyleUnderline"/>
          <w:highlight w:val="cyan"/>
        </w:rPr>
        <w:t xml:space="preserve"> Chevron</w:t>
      </w:r>
      <w:r w:rsidRPr="00FA6E1E">
        <w:rPr>
          <w:rStyle w:val="StyleUnderline"/>
        </w:rPr>
        <w:t xml:space="preserve"> deference, the court of </w:t>
      </w:r>
      <w:r w:rsidRPr="00456038">
        <w:rPr>
          <w:rStyle w:val="StyleUnderline"/>
          <w:highlight w:val="cyan"/>
        </w:rPr>
        <w:t xml:space="preserve">appeals applied it </w:t>
      </w:r>
      <w:r w:rsidRPr="00456038">
        <w:rPr>
          <w:rStyle w:val="Emphasis"/>
          <w:highlight w:val="cyan"/>
        </w:rPr>
        <w:t>anyway</w:t>
      </w:r>
      <w:r w:rsidRPr="00A1452A">
        <w:rPr>
          <w:sz w:val="16"/>
        </w:rPr>
        <w:t xml:space="preserve">, presumably </w:t>
      </w:r>
      <w:r w:rsidRPr="00FA6E1E">
        <w:rPr>
          <w:rStyle w:val="StyleUnderline"/>
        </w:rPr>
        <w:t xml:space="preserve">because it thought it could not reach its result otherwise.  </w:t>
      </w:r>
      <w:r w:rsidRPr="00456038">
        <w:rPr>
          <w:rStyle w:val="StyleUnderline"/>
          <w:highlight w:val="cyan"/>
        </w:rPr>
        <w:t xml:space="preserve">That the government </w:t>
      </w:r>
      <w:r w:rsidRPr="00456038">
        <w:rPr>
          <w:rStyle w:val="Emphasis"/>
          <w:highlight w:val="cyan"/>
        </w:rPr>
        <w:t>disagrees</w:t>
      </w:r>
      <w:r w:rsidRPr="00FA6E1E">
        <w:rPr>
          <w:rStyle w:val="StyleUnderline"/>
        </w:rPr>
        <w:t xml:space="preserve"> with the application of Chevron for </w:t>
      </w:r>
      <w:r w:rsidRPr="00FA6E1E">
        <w:rPr>
          <w:rStyle w:val="Emphasis"/>
        </w:rPr>
        <w:t>its own reasons</w:t>
      </w:r>
      <w:r w:rsidRPr="00FA6E1E">
        <w:rPr>
          <w:rStyle w:val="StyleUnderline"/>
        </w:rPr>
        <w:t xml:space="preserve"> and imagines that it could </w:t>
      </w:r>
      <w:r w:rsidRPr="00FA6E1E">
        <w:rPr>
          <w:rStyle w:val="Emphasis"/>
        </w:rPr>
        <w:t>win on different grounds</w:t>
      </w:r>
      <w:r w:rsidRPr="00FA6E1E">
        <w:rPr>
          <w:rStyle w:val="StyleUnderline"/>
        </w:rPr>
        <w:t xml:space="preserve"> </w:t>
      </w:r>
      <w:r w:rsidRPr="00456038">
        <w:rPr>
          <w:rStyle w:val="StyleUnderline"/>
          <w:highlight w:val="cyan"/>
        </w:rPr>
        <w:t>does not bear</w:t>
      </w:r>
      <w:r w:rsidRPr="00A1452A">
        <w:rPr>
          <w:sz w:val="16"/>
        </w:rPr>
        <w:t xml:space="preserve"> upon the certiorari decision.  </w:t>
      </w:r>
      <w:r w:rsidRPr="00FA6E1E">
        <w:rPr>
          <w:rStyle w:val="StyleUnderline"/>
        </w:rPr>
        <w:t xml:space="preserve">This Court reviews </w:t>
      </w:r>
      <w:r w:rsidRPr="00FA6E1E">
        <w:rPr>
          <w:rStyle w:val="Emphasis"/>
        </w:rPr>
        <w:t>numerous cases</w:t>
      </w:r>
      <w:r w:rsidRPr="00FA6E1E">
        <w:rPr>
          <w:rStyle w:val="StyleUnderline"/>
        </w:rPr>
        <w:t xml:space="preserve"> where the prevailing party thinks it could win under </w:t>
      </w:r>
      <w:r w:rsidRPr="00FA6E1E">
        <w:rPr>
          <w:rStyle w:val="Emphasis"/>
        </w:rPr>
        <w:t>a different rule</w:t>
      </w:r>
      <w:r w:rsidRPr="00A1452A">
        <w:rPr>
          <w:sz w:val="16"/>
        </w:rPr>
        <w:t xml:space="preserve"> – challenges to jury instructions, pleading standards, burdens of proof, and more.  Such parties might even be proven right and prevail again on remand.  But </w:t>
      </w:r>
      <w:r w:rsidRPr="00FA6E1E">
        <w:rPr>
          <w:rStyle w:val="StyleUnderline"/>
        </w:rPr>
        <w:t xml:space="preserve">that possibility does not alter the importance of </w:t>
      </w:r>
      <w:r w:rsidRPr="00FA6E1E">
        <w:rPr>
          <w:rStyle w:val="Emphasis"/>
        </w:rPr>
        <w:t>procedural questions</w:t>
      </w:r>
      <w:r w:rsidRPr="00A1452A">
        <w:rPr>
          <w:sz w:val="16"/>
        </w:rPr>
        <w:t xml:space="preserve"> or whether they are genuinely presented merely because the ultimate result will be decided on remand.  And it does not require the Court to “assume” anything beyond what the courts below expressly held.  </w:t>
      </w:r>
      <w:r w:rsidRPr="00FA6E1E">
        <w:rPr>
          <w:rStyle w:val="StyleUnderline"/>
        </w:rPr>
        <w:t xml:space="preserve">This case is </w:t>
      </w:r>
      <w:r w:rsidRPr="00FA6E1E">
        <w:rPr>
          <w:rStyle w:val="Emphasis"/>
        </w:rPr>
        <w:t>a far cry</w:t>
      </w:r>
      <w:r w:rsidRPr="00FA6E1E">
        <w:rPr>
          <w:rStyle w:val="StyleUnderline"/>
        </w:rPr>
        <w:t xml:space="preserve"> from</w:t>
      </w:r>
      <w:r w:rsidRPr="00A1452A">
        <w:rPr>
          <w:sz w:val="16"/>
        </w:rPr>
        <w:t xml:space="preserve"> involving </w:t>
      </w:r>
      <w:r w:rsidRPr="00FA6E1E">
        <w:rPr>
          <w:rStyle w:val="Emphasis"/>
        </w:rPr>
        <w:t>harmless error</w:t>
      </w:r>
      <w:r w:rsidRPr="00A1452A">
        <w:rPr>
          <w:sz w:val="16"/>
        </w:rPr>
        <w:t xml:space="preserve">, and the government sensibly avoids making that express claim.  But that surely is the false implication of its argument.  If the government is correct that the issues are not properly presented because Chevron does not apply for other reasons rejected by the court, and that it would win anyway under a Chevron-free analysis, then the proper approach would be for it to acquiesce in a GVR or summary reversal, not seek denial of certiorari. 2     </w:t>
      </w:r>
    </w:p>
    <w:p w14:paraId="7832A391" w14:textId="77777777" w:rsidR="00294130" w:rsidRPr="00A1452A" w:rsidRDefault="00294130" w:rsidP="00294130">
      <w:pPr>
        <w:rPr>
          <w:sz w:val="16"/>
        </w:rPr>
      </w:pPr>
      <w:r w:rsidRPr="00A1452A">
        <w:rPr>
          <w:sz w:val="16"/>
        </w:rPr>
        <w:t xml:space="preserve">Sixth, </w:t>
      </w:r>
      <w:r w:rsidRPr="00A1452A">
        <w:rPr>
          <w:rStyle w:val="StyleUnderline"/>
        </w:rPr>
        <w:t xml:space="preserve">the government’s </w:t>
      </w:r>
      <w:r w:rsidRPr="00456038">
        <w:rPr>
          <w:rStyle w:val="StyleUnderline"/>
          <w:highlight w:val="cyan"/>
        </w:rPr>
        <w:t>suggestion</w:t>
      </w:r>
      <w:r w:rsidRPr="00A1452A">
        <w:rPr>
          <w:sz w:val="16"/>
        </w:rPr>
        <w:t xml:space="preserve">, at 28-29, that </w:t>
      </w:r>
      <w:r w:rsidRPr="00A1452A">
        <w:rPr>
          <w:rStyle w:val="StyleUnderline"/>
        </w:rPr>
        <w:t xml:space="preserve">the conflict with the rule of </w:t>
      </w:r>
      <w:r w:rsidRPr="00456038">
        <w:rPr>
          <w:rStyle w:val="StyleUnderline"/>
          <w:highlight w:val="cyan"/>
        </w:rPr>
        <w:t xml:space="preserve">lenity is </w:t>
      </w:r>
      <w:r w:rsidRPr="00456038">
        <w:rPr>
          <w:rStyle w:val="Emphasis"/>
          <w:highlight w:val="cyan"/>
        </w:rPr>
        <w:t>contrived</w:t>
      </w:r>
      <w:r w:rsidRPr="00A1452A">
        <w:rPr>
          <w:rStyle w:val="StyleUnderline"/>
        </w:rPr>
        <w:t xml:space="preserve"> and</w:t>
      </w:r>
      <w:r w:rsidRPr="00A1452A">
        <w:rPr>
          <w:sz w:val="16"/>
        </w:rPr>
        <w:t xml:space="preserve"> that </w:t>
      </w:r>
      <w:r w:rsidRPr="00A1452A">
        <w:rPr>
          <w:rStyle w:val="StyleUnderline"/>
        </w:rPr>
        <w:t xml:space="preserve">lenity would not apply anyway, is </w:t>
      </w:r>
      <w:r w:rsidRPr="00456038">
        <w:rPr>
          <w:rStyle w:val="Emphasis"/>
          <w:highlight w:val="cyan"/>
        </w:rPr>
        <w:t>meritless</w:t>
      </w:r>
      <w:r w:rsidRPr="00A1452A">
        <w:rPr>
          <w:rStyle w:val="StyleUnderline"/>
        </w:rPr>
        <w:t xml:space="preserve">.  Petitioners </w:t>
      </w:r>
      <w:r w:rsidRPr="00A1452A">
        <w:rPr>
          <w:rStyle w:val="Emphasis"/>
        </w:rPr>
        <w:t>squarely raised</w:t>
      </w:r>
      <w:r w:rsidRPr="00A1452A">
        <w:rPr>
          <w:sz w:val="16"/>
        </w:rPr>
        <w:t xml:space="preserve"> the rule of </w:t>
      </w:r>
      <w:r w:rsidRPr="00A1452A">
        <w:rPr>
          <w:rStyle w:val="StyleUnderline"/>
        </w:rPr>
        <w:t>lenity and the courts</w:t>
      </w:r>
      <w:r w:rsidRPr="00A1452A">
        <w:rPr>
          <w:sz w:val="16"/>
        </w:rPr>
        <w:t xml:space="preserve"> below </w:t>
      </w:r>
      <w:r w:rsidRPr="00A1452A">
        <w:rPr>
          <w:rStyle w:val="StyleUnderline"/>
        </w:rPr>
        <w:t>rejected it by</w:t>
      </w:r>
      <w:r w:rsidRPr="00A1452A">
        <w:rPr>
          <w:sz w:val="16"/>
        </w:rPr>
        <w:t xml:space="preserve"> prioritizing </w:t>
      </w:r>
      <w:r w:rsidRPr="00A1452A">
        <w:rPr>
          <w:rStyle w:val="StyleUnderline"/>
        </w:rPr>
        <w:t>Chevron</w:t>
      </w:r>
      <w:r w:rsidRPr="00A1452A">
        <w:rPr>
          <w:sz w:val="16"/>
        </w:rPr>
        <w:t xml:space="preserve"> deference.  No judge said that lenity would not apply regardless, and </w:t>
      </w:r>
      <w:r w:rsidRPr="00A1452A">
        <w:rPr>
          <w:rStyle w:val="StyleUnderline"/>
        </w:rPr>
        <w:t>the government’s argument</w:t>
      </w:r>
      <w:r w:rsidRPr="00A1452A">
        <w:rPr>
          <w:sz w:val="16"/>
        </w:rPr>
        <w:t xml:space="preserve"> that </w:t>
      </w:r>
      <w:r w:rsidRPr="00A1452A">
        <w:rPr>
          <w:rStyle w:val="StyleUnderline"/>
        </w:rPr>
        <w:t xml:space="preserve">there is insufficient ambiguity is </w:t>
      </w:r>
      <w:r w:rsidRPr="00A1452A">
        <w:rPr>
          <w:rStyle w:val="Emphasis"/>
        </w:rPr>
        <w:t>frivolous</w:t>
      </w:r>
      <w:r w:rsidRPr="00A1452A">
        <w:rPr>
          <w:sz w:val="16"/>
        </w:rPr>
        <w:t>. Certainly, a statute supposedly misinterpreted by the ATF for over 80 years qualifies as sufficiently ambiguous to trigger the rule of lenity.  Whether the test is gross ambiguity as the government asserts, or the more straight-forward test of whether “there are two rational readings of a criminal statute, one harsher than the other,” the statute here would trigger the rule.  See McNally v. United States, 483 U.S. 350, 359-60 (1987) (“when there are two rational readings of a criminal statute, one harsher than the other, [the Court is] to choose the harsher only when Congress has spoken in clear and definite language”).</w:t>
      </w:r>
    </w:p>
    <w:p w14:paraId="49B9F267" w14:textId="77777777" w:rsidR="00294130" w:rsidRPr="00A1452A" w:rsidRDefault="00294130" w:rsidP="00294130">
      <w:pPr>
        <w:rPr>
          <w:sz w:val="16"/>
        </w:rPr>
      </w:pPr>
      <w:r w:rsidRPr="00A1452A">
        <w:rPr>
          <w:sz w:val="16"/>
        </w:rPr>
        <w:t xml:space="preserve">In any event, such objections to applying the rule of lenity remain available to the government on remand and will hopefully get the reception they deserve.  But the refusal of the courts below even to consider the application of the rule of lenity because they opted for Chevron instead is more than sufficient to present the issue and is far from “contrived.” </w:t>
      </w:r>
    </w:p>
    <w:p w14:paraId="7D9535A7" w14:textId="77777777" w:rsidR="00294130" w:rsidRPr="00A1452A" w:rsidRDefault="00294130" w:rsidP="00294130">
      <w:pPr>
        <w:rPr>
          <w:sz w:val="16"/>
        </w:rPr>
      </w:pPr>
      <w:r w:rsidRPr="00A1452A">
        <w:rPr>
          <w:sz w:val="16"/>
        </w:rPr>
        <w:t xml:space="preserve">Seventh, </w:t>
      </w:r>
      <w:r w:rsidRPr="00A1452A">
        <w:rPr>
          <w:rStyle w:val="StyleUnderline"/>
        </w:rPr>
        <w:t>the suggestion</w:t>
      </w:r>
      <w:r w:rsidRPr="00A1452A">
        <w:rPr>
          <w:sz w:val="16"/>
        </w:rPr>
        <w:t xml:space="preserve">, </w:t>
      </w:r>
      <w:r w:rsidRPr="003C1B8A">
        <w:rPr>
          <w:sz w:val="16"/>
        </w:rPr>
        <w:t xml:space="preserve">at 29-30, that </w:t>
      </w:r>
      <w:r w:rsidRPr="003C1B8A">
        <w:rPr>
          <w:rStyle w:val="StyleUnderline"/>
        </w:rPr>
        <w:t xml:space="preserve">there is </w:t>
      </w:r>
      <w:r w:rsidRPr="003C1B8A">
        <w:rPr>
          <w:rStyle w:val="Emphasis"/>
        </w:rPr>
        <w:t>no conflict</w:t>
      </w:r>
      <w:r w:rsidRPr="003C1B8A">
        <w:rPr>
          <w:rStyle w:val="StyleUnderline"/>
        </w:rPr>
        <w:t xml:space="preserve"> with this Court’s lenity or non-deference cases is </w:t>
      </w:r>
      <w:r w:rsidRPr="003C1B8A">
        <w:rPr>
          <w:rStyle w:val="Emphasis"/>
        </w:rPr>
        <w:t>incorrect</w:t>
      </w:r>
      <w:r w:rsidRPr="003C1B8A">
        <w:rPr>
          <w:sz w:val="16"/>
        </w:rPr>
        <w:t xml:space="preserve">.  Judge Henderson expressly recognized that United States v. Apel, 571 U.S. 359, 369 (2014), Abramski v. United States, 573 U.S. 169, 191 (2014), and other cases supported rejecting Chevron here.  App. A79-A82.  Indeed, the government itself cited Apel in the district court and in other cases in order to explain its rejection of deference.  The government’s attempt to distinguish these and other of this Court’s cases as not involving </w:t>
      </w:r>
      <w:r w:rsidRPr="003C1B8A">
        <w:rPr>
          <w:rStyle w:val="StyleUnderline"/>
        </w:rPr>
        <w:t xml:space="preserve">agency rulemaking seems to miss the point that </w:t>
      </w:r>
      <w:r w:rsidRPr="003C1B8A">
        <w:rPr>
          <w:rStyle w:val="Emphasis"/>
        </w:rPr>
        <w:t>non-deference</w:t>
      </w:r>
      <w:r w:rsidRPr="003C1B8A">
        <w:rPr>
          <w:rStyle w:val="StyleUnderline"/>
        </w:rPr>
        <w:t xml:space="preserve"> and </w:t>
      </w:r>
      <w:r w:rsidRPr="003C1B8A">
        <w:rPr>
          <w:rStyle w:val="Emphasis"/>
        </w:rPr>
        <w:t>lenity</w:t>
      </w:r>
      <w:r w:rsidRPr="003C1B8A">
        <w:rPr>
          <w:rStyle w:val="StyleUnderline"/>
        </w:rPr>
        <w:t xml:space="preserve"> apply to</w:t>
      </w:r>
      <w:r w:rsidRPr="003C1B8A">
        <w:rPr>
          <w:sz w:val="16"/>
        </w:rPr>
        <w:t xml:space="preserve"> criminal or </w:t>
      </w:r>
      <w:r w:rsidRPr="003C1B8A">
        <w:rPr>
          <w:rStyle w:val="StyleUnderline"/>
        </w:rPr>
        <w:t xml:space="preserve">dual-use statutes, </w:t>
      </w:r>
      <w:r w:rsidRPr="003C1B8A">
        <w:rPr>
          <w:rStyle w:val="Emphasis"/>
        </w:rPr>
        <w:t>regardless of how</w:t>
      </w:r>
      <w:r w:rsidRPr="003C1B8A">
        <w:rPr>
          <w:rStyle w:val="StyleUnderline"/>
        </w:rPr>
        <w:t xml:space="preserve"> the government seeks </w:t>
      </w:r>
      <w:r w:rsidRPr="003C1B8A">
        <w:rPr>
          <w:rStyle w:val="Emphasis"/>
        </w:rPr>
        <w:t>a broader interpretation of ambiguous language</w:t>
      </w:r>
      <w:r w:rsidRPr="003C1B8A">
        <w:rPr>
          <w:sz w:val="16"/>
        </w:rPr>
        <w:t>.  Judge Henderson recognized as much and Justices Scalia and Thomas in Whitman, 135 S. Ct. at 353-54, likewise identified the exact same cases as conflicting with court of appeals decisions applying Babbitt v. Sweet Home Chapter</w:t>
      </w:r>
      <w:r w:rsidRPr="00A1452A">
        <w:rPr>
          <w:sz w:val="16"/>
        </w:rPr>
        <w:t xml:space="preserve">, 515 U.S. 687, 704 n. 18 (1995). </w:t>
      </w:r>
    </w:p>
    <w:p w14:paraId="60383882" w14:textId="67DCC258" w:rsidR="00294130" w:rsidRDefault="00294130" w:rsidP="00294130">
      <w:pPr>
        <w:rPr>
          <w:sz w:val="16"/>
        </w:rPr>
      </w:pPr>
      <w:r w:rsidRPr="00A1452A">
        <w:rPr>
          <w:sz w:val="16"/>
        </w:rPr>
        <w:t xml:space="preserve">Furthermore, a conflict does not require a decision of this Court exactly on all fours on these issues.  </w:t>
      </w:r>
      <w:r w:rsidRPr="00456038">
        <w:rPr>
          <w:rStyle w:val="StyleUnderline"/>
          <w:highlight w:val="cyan"/>
        </w:rPr>
        <w:t>That</w:t>
      </w:r>
      <w:r w:rsidRPr="00A1452A">
        <w:rPr>
          <w:rStyle w:val="StyleUnderline"/>
        </w:rPr>
        <w:t xml:space="preserve"> the courts of </w:t>
      </w:r>
      <w:r w:rsidRPr="00456038">
        <w:rPr>
          <w:rStyle w:val="StyleUnderline"/>
          <w:highlight w:val="cyan"/>
        </w:rPr>
        <w:t>appeals</w:t>
      </w:r>
      <w:r w:rsidRPr="00A1452A">
        <w:rPr>
          <w:rStyle w:val="StyleUnderline"/>
        </w:rPr>
        <w:t xml:space="preserve"> </w:t>
      </w:r>
      <w:r w:rsidRPr="00A1452A">
        <w:rPr>
          <w:rStyle w:val="Emphasis"/>
        </w:rPr>
        <w:t xml:space="preserve">continue to </w:t>
      </w:r>
      <w:r w:rsidRPr="00456038">
        <w:rPr>
          <w:rStyle w:val="Emphasis"/>
          <w:highlight w:val="cyan"/>
        </w:rPr>
        <w:t>apply</w:t>
      </w:r>
      <w:r w:rsidRPr="00456038">
        <w:rPr>
          <w:rStyle w:val="StyleUnderline"/>
          <w:highlight w:val="cyan"/>
        </w:rPr>
        <w:t xml:space="preserve"> Babbitt rather than</w:t>
      </w:r>
      <w:r w:rsidRPr="00A1452A">
        <w:rPr>
          <w:rStyle w:val="StyleUnderline"/>
        </w:rPr>
        <w:t xml:space="preserve"> this Court’s non-deference and </w:t>
      </w:r>
      <w:r w:rsidRPr="00456038">
        <w:rPr>
          <w:rStyle w:val="StyleUnderline"/>
          <w:highlight w:val="cyan"/>
        </w:rPr>
        <w:t>lenity cases is</w:t>
      </w:r>
      <w:r w:rsidRPr="00A1452A">
        <w:rPr>
          <w:rStyle w:val="StyleUnderline"/>
        </w:rPr>
        <w:t xml:space="preserve"> </w:t>
      </w:r>
      <w:r w:rsidRPr="00A1452A">
        <w:rPr>
          <w:rStyle w:val="Emphasis"/>
        </w:rPr>
        <w:t xml:space="preserve">precisely </w:t>
      </w:r>
      <w:r w:rsidRPr="00456038">
        <w:rPr>
          <w:rStyle w:val="Emphasis"/>
          <w:highlight w:val="cyan"/>
        </w:rPr>
        <w:t>why</w:t>
      </w:r>
      <w:r w:rsidRPr="00456038">
        <w:rPr>
          <w:rStyle w:val="StyleUnderline"/>
          <w:highlight w:val="cyan"/>
        </w:rPr>
        <w:t xml:space="preserve"> review</w:t>
      </w:r>
      <w:r w:rsidRPr="003C1B8A">
        <w:rPr>
          <w:rStyle w:val="StyleUnderline"/>
        </w:rPr>
        <w:t xml:space="preserve"> is needed t</w:t>
      </w:r>
      <w:r w:rsidRPr="00A1452A">
        <w:rPr>
          <w:rStyle w:val="StyleUnderline"/>
        </w:rPr>
        <w:t xml:space="preserve">o </w:t>
      </w:r>
      <w:r w:rsidRPr="00456038">
        <w:rPr>
          <w:rStyle w:val="StyleUnderline"/>
          <w:highlight w:val="cyan"/>
        </w:rPr>
        <w:t>address</w:t>
      </w:r>
      <w:r w:rsidRPr="00A1452A">
        <w:rPr>
          <w:rStyle w:val="StyleUnderline"/>
        </w:rPr>
        <w:t xml:space="preserve"> </w:t>
      </w:r>
      <w:r w:rsidRPr="00A1452A">
        <w:rPr>
          <w:rStyle w:val="Emphasis"/>
        </w:rPr>
        <w:t xml:space="preserve">those </w:t>
      </w:r>
      <w:r w:rsidRPr="00456038">
        <w:rPr>
          <w:rStyle w:val="Emphasis"/>
          <w:highlight w:val="cyan"/>
        </w:rPr>
        <w:t>conflicting</w:t>
      </w:r>
      <w:r w:rsidRPr="00A1452A">
        <w:rPr>
          <w:rStyle w:val="Emphasis"/>
        </w:rPr>
        <w:t xml:space="preserve"> lines of </w:t>
      </w:r>
      <w:r w:rsidRPr="00456038">
        <w:rPr>
          <w:rStyle w:val="Emphasis"/>
          <w:highlight w:val="cyan"/>
        </w:rPr>
        <w:t>precedent</w:t>
      </w:r>
      <w:r w:rsidRPr="00456038">
        <w:rPr>
          <w:rStyle w:val="StyleUnderline"/>
          <w:highlight w:val="cyan"/>
        </w:rPr>
        <w:t xml:space="preserve">.  Demanding </w:t>
      </w:r>
      <w:r w:rsidRPr="00456038">
        <w:rPr>
          <w:rStyle w:val="Emphasis"/>
          <w:highlight w:val="cyan"/>
        </w:rPr>
        <w:t>a more flagrant conflict</w:t>
      </w:r>
      <w:r w:rsidRPr="00456038">
        <w:rPr>
          <w:rStyle w:val="StyleUnderline"/>
          <w:highlight w:val="cyan"/>
        </w:rPr>
        <w:t xml:space="preserve"> would</w:t>
      </w:r>
      <w:r w:rsidRPr="00A1452A">
        <w:rPr>
          <w:rStyle w:val="StyleUnderline"/>
        </w:rPr>
        <w:t xml:space="preserve"> be </w:t>
      </w:r>
      <w:r w:rsidRPr="00A1452A">
        <w:rPr>
          <w:rStyle w:val="Emphasis"/>
        </w:rPr>
        <w:t>overly restrictive</w:t>
      </w:r>
      <w:r w:rsidRPr="00A1452A">
        <w:rPr>
          <w:rStyle w:val="StyleUnderline"/>
        </w:rPr>
        <w:t xml:space="preserve"> and </w:t>
      </w:r>
      <w:r w:rsidRPr="00456038">
        <w:rPr>
          <w:rStyle w:val="StyleUnderline"/>
          <w:highlight w:val="cyan"/>
        </w:rPr>
        <w:t xml:space="preserve">allow </w:t>
      </w:r>
      <w:r w:rsidRPr="00456038">
        <w:rPr>
          <w:rStyle w:val="Emphasis"/>
          <w:highlight w:val="cyan"/>
        </w:rPr>
        <w:t>only</w:t>
      </w:r>
      <w:r w:rsidRPr="00A1452A">
        <w:rPr>
          <w:sz w:val="16"/>
        </w:rPr>
        <w:t xml:space="preserve"> those </w:t>
      </w:r>
      <w:r w:rsidRPr="00456038">
        <w:rPr>
          <w:rStyle w:val="StyleUnderline"/>
          <w:highlight w:val="cyan"/>
        </w:rPr>
        <w:t>cases</w:t>
      </w:r>
      <w:r w:rsidRPr="00A1452A">
        <w:rPr>
          <w:rStyle w:val="StyleUnderline"/>
        </w:rPr>
        <w:t xml:space="preserve"> where courts of </w:t>
      </w:r>
      <w:r w:rsidRPr="00456038">
        <w:rPr>
          <w:rStyle w:val="StyleUnderline"/>
          <w:highlight w:val="cyan"/>
        </w:rPr>
        <w:t>appeals</w:t>
      </w:r>
      <w:r w:rsidRPr="00A1452A">
        <w:rPr>
          <w:rStyle w:val="StyleUnderline"/>
        </w:rPr>
        <w:t xml:space="preserve"> openly </w:t>
      </w:r>
      <w:r w:rsidRPr="00456038">
        <w:rPr>
          <w:rStyle w:val="StyleUnderline"/>
          <w:highlight w:val="cyan"/>
        </w:rPr>
        <w:t>displayed</w:t>
      </w:r>
      <w:r w:rsidRPr="00A1452A">
        <w:rPr>
          <w:rStyle w:val="StyleUnderline"/>
        </w:rPr>
        <w:t xml:space="preserve"> </w:t>
      </w:r>
      <w:r w:rsidRPr="00A1452A">
        <w:rPr>
          <w:rStyle w:val="Emphasis"/>
        </w:rPr>
        <w:t xml:space="preserve">their </w:t>
      </w:r>
      <w:r w:rsidRPr="00456038">
        <w:rPr>
          <w:rStyle w:val="Emphasis"/>
          <w:highlight w:val="cyan"/>
        </w:rPr>
        <w:t>rebellion</w:t>
      </w:r>
      <w:r w:rsidRPr="00A1452A">
        <w:rPr>
          <w:rStyle w:val="Emphasis"/>
        </w:rPr>
        <w:t xml:space="preserve"> against precedent</w:t>
      </w:r>
      <w:r w:rsidRPr="00A1452A">
        <w:rPr>
          <w:sz w:val="16"/>
        </w:rPr>
        <w:t xml:space="preserve">.  Cf. Caetano v. Massachusetts, 136 S. Ct. 1027, 1028 (2007) (per curiam summary vacatur for expressly contradicting Supreme Court precedent).  For the majority of other cases, important issues arise in the spaces between two conflicting lines of precedent that have yet to be reconciled.  This is one of those cases and the need for review of these issues has been recognized in this Court and others. </w:t>
      </w:r>
    </w:p>
    <w:p w14:paraId="0E4384FA" w14:textId="77777777" w:rsidR="00331867" w:rsidRPr="00331867" w:rsidRDefault="00331867" w:rsidP="00331867">
      <w:pPr>
        <w:pStyle w:val="Heading4"/>
      </w:pPr>
      <w:r>
        <w:t xml:space="preserve">The counterplan’s </w:t>
      </w:r>
      <w:r>
        <w:rPr>
          <w:u w:val="single"/>
        </w:rPr>
        <w:t>neither</w:t>
      </w:r>
      <w:r>
        <w:t xml:space="preserve"> textually </w:t>
      </w:r>
      <w:r>
        <w:rPr>
          <w:u w:val="single"/>
        </w:rPr>
        <w:t>nor</w:t>
      </w:r>
      <w:r>
        <w:t xml:space="preserve"> functionally competitive.</w:t>
      </w:r>
    </w:p>
    <w:p w14:paraId="4F5113CE" w14:textId="77777777" w:rsidR="00331867" w:rsidRPr="00C862CF" w:rsidRDefault="00331867" w:rsidP="00331867">
      <w:r w:rsidRPr="0076550C">
        <w:rPr>
          <w:rStyle w:val="Style13ptBold"/>
        </w:rPr>
        <w:t>Masaari &amp; Marshall 16</w:t>
      </w:r>
      <w:r>
        <w:t xml:space="preserve"> – Patrick Massari, JD at Georgetown University, Assistant Vice President at the Cause of Action Institute. Erica Marshall, JD at George Mason University, Counsel at the Cause of Action Institute. [Brief of the Cause of Action Institute for Appellant Richard Weed, United States v. Richard Weed, Case No. 16-2120, 12-9-16, http://causeofaction.org/wp-content/uploads/2016/12/2016-12-09-Weed-Amicus-Curiae-Brief.pdf]//BPS</w:t>
      </w:r>
    </w:p>
    <w:p w14:paraId="7471AD62" w14:textId="77777777" w:rsidR="00331867" w:rsidRPr="00C862CF" w:rsidRDefault="00331867" w:rsidP="00331867">
      <w:pPr>
        <w:rPr>
          <w:sz w:val="16"/>
        </w:rPr>
      </w:pPr>
      <w:r w:rsidRPr="00C862CF">
        <w:rPr>
          <w:sz w:val="16"/>
        </w:rPr>
        <w:t xml:space="preserve">To prevent this problem, </w:t>
      </w:r>
      <w:r w:rsidRPr="00C862CF">
        <w:rPr>
          <w:rStyle w:val="Emphasis"/>
        </w:rPr>
        <w:t xml:space="preserve">the courts and </w:t>
      </w:r>
      <w:r w:rsidRPr="00456038">
        <w:rPr>
          <w:rStyle w:val="Emphasis"/>
          <w:highlight w:val="cyan"/>
        </w:rPr>
        <w:t>agencies</w:t>
      </w:r>
      <w:r w:rsidRPr="00C862CF">
        <w:rPr>
          <w:rStyle w:val="Emphasis"/>
        </w:rPr>
        <w:t xml:space="preserve"> alike</w:t>
      </w:r>
      <w:r w:rsidRPr="00C862CF">
        <w:rPr>
          <w:rStyle w:val="StyleUnderline"/>
        </w:rPr>
        <w:t xml:space="preserve"> </w:t>
      </w:r>
      <w:r w:rsidRPr="00456038">
        <w:rPr>
          <w:rStyle w:val="StyleUnderline"/>
          <w:highlight w:val="cyan"/>
        </w:rPr>
        <w:t>must interpret a hybrid</w:t>
      </w:r>
      <w:r w:rsidRPr="00C862CF">
        <w:rPr>
          <w:rStyle w:val="StyleUnderline"/>
        </w:rPr>
        <w:t xml:space="preserve"> civil/criminal </w:t>
      </w:r>
      <w:r w:rsidRPr="00456038">
        <w:rPr>
          <w:rStyle w:val="StyleUnderline"/>
          <w:highlight w:val="cyan"/>
        </w:rPr>
        <w:t xml:space="preserve">statute to </w:t>
      </w:r>
      <w:r w:rsidRPr="00456038">
        <w:rPr>
          <w:rStyle w:val="Emphasis"/>
          <w:highlight w:val="cyan"/>
        </w:rPr>
        <w:t>the lowest</w:t>
      </w:r>
      <w:r w:rsidRPr="00C862CF">
        <w:rPr>
          <w:rStyle w:val="Emphasis"/>
        </w:rPr>
        <w:t xml:space="preserve"> common </w:t>
      </w:r>
      <w:r w:rsidRPr="00456038">
        <w:rPr>
          <w:rStyle w:val="Emphasis"/>
          <w:highlight w:val="cyan"/>
        </w:rPr>
        <w:t>denominator</w:t>
      </w:r>
      <w:r w:rsidRPr="00C862CF">
        <w:rPr>
          <w:sz w:val="16"/>
        </w:rPr>
        <w:t xml:space="preserve">—in other words, </w:t>
      </w:r>
      <w:r w:rsidRPr="00C862CF">
        <w:rPr>
          <w:rStyle w:val="StyleUnderline"/>
        </w:rPr>
        <w:t xml:space="preserve">the rule of </w:t>
      </w:r>
      <w:r w:rsidRPr="00456038">
        <w:rPr>
          <w:rStyle w:val="StyleUnderline"/>
          <w:highlight w:val="cyan"/>
        </w:rPr>
        <w:t xml:space="preserve">lenity should govern </w:t>
      </w:r>
      <w:r w:rsidRPr="00456038">
        <w:rPr>
          <w:rStyle w:val="Emphasis"/>
          <w:highlight w:val="cyan"/>
        </w:rPr>
        <w:t>all</w:t>
      </w:r>
      <w:r w:rsidRPr="00C862CF">
        <w:rPr>
          <w:rStyle w:val="Emphasis"/>
        </w:rPr>
        <w:t xml:space="preserve"> agency and judicial </w:t>
      </w:r>
      <w:r w:rsidRPr="00456038">
        <w:rPr>
          <w:rStyle w:val="Emphasis"/>
          <w:highlight w:val="cyan"/>
        </w:rPr>
        <w:t>interpretations</w:t>
      </w:r>
      <w:r w:rsidRPr="00C862CF">
        <w:rPr>
          <w:rStyle w:val="StyleUnderline"/>
        </w:rPr>
        <w:t xml:space="preserve"> of a hybrid statute, </w:t>
      </w:r>
      <w:r w:rsidRPr="00456038">
        <w:rPr>
          <w:rStyle w:val="StyleUnderline"/>
          <w:highlight w:val="cyan"/>
        </w:rPr>
        <w:t>whether</w:t>
      </w:r>
      <w:r w:rsidRPr="00C862CF">
        <w:rPr>
          <w:rStyle w:val="StyleUnderline"/>
        </w:rPr>
        <w:t xml:space="preserve"> in a </w:t>
      </w:r>
      <w:r w:rsidRPr="00456038">
        <w:rPr>
          <w:rStyle w:val="StyleUnderline"/>
          <w:highlight w:val="cyan"/>
        </w:rPr>
        <w:t>civil, administrative, or criminal</w:t>
      </w:r>
      <w:r w:rsidRPr="00C862CF">
        <w:rPr>
          <w:rStyle w:val="StyleUnderline"/>
        </w:rPr>
        <w:t xml:space="preserve"> proceeding</w:t>
      </w:r>
      <w:r w:rsidRPr="00C862CF">
        <w:rPr>
          <w:sz w:val="16"/>
        </w:rPr>
        <w:t xml:space="preserve">.14 See Clark, 543 U.S. at 381 (“The lowest common denominator . . . must govern.”); Esquivel-Quintana, 810 F.3d at 1028 (Sutton, J., concurring in part and dissenting in part) (“The courts must give dual-application statutes just one interpretation, and the criminal application controls. . . . Because a single law should have a single meaning, the ‘lowest common denominator’—including all rules applicable to the interpretation of criminal laws— governs all of its applications.” (quoting Clark, 543 U.S. at 380)); see also Antonin Scalia &amp; Bryan A. Garner, Reading Law: The Interpretation of Legal Texts (2012) (“Is the language defining the violation to be given one meaning (a narrow one) for the penal sanction and a different one (a more expansive one) for the private compensatory action? That seems inconceivable.”). This is particularly important given the “danger posed by the growing power of the administrative state.” City of Arlington v. Fed. Commc’ns Comm’n, 133 S. Ct. 1863, 1879 (2013) (Roberts, C.J., dissenting). </w:t>
      </w:r>
    </w:p>
    <w:p w14:paraId="481589DA" w14:textId="77777777" w:rsidR="00331867" w:rsidRPr="00C862CF" w:rsidRDefault="00331867" w:rsidP="00331867">
      <w:pPr>
        <w:rPr>
          <w:sz w:val="16"/>
        </w:rPr>
      </w:pPr>
      <w:r w:rsidRPr="00C862CF">
        <w:rPr>
          <w:sz w:val="16"/>
        </w:rPr>
        <w:t xml:space="preserve">This is “no small matter given the reality that Congress continues to ‘put[] forth an ever-increasing volume . . . of criminal laws.” Carter, 736 F. 3d at 736 (Sutton, J., concurring) (citing Sykes v. United States, 131 S. Ct. 2267 (2011) (Scalia, J., dissenting)). In sum, </w:t>
      </w:r>
      <w:r w:rsidRPr="00456038">
        <w:rPr>
          <w:rStyle w:val="Emphasis"/>
          <w:highlight w:val="cyan"/>
        </w:rPr>
        <w:t>agencies</w:t>
      </w:r>
      <w:r w:rsidRPr="00C862CF">
        <w:rPr>
          <w:rStyle w:val="Emphasis"/>
        </w:rPr>
        <w:t>, no less than courts</w:t>
      </w:r>
      <w:r w:rsidRPr="00C862CF">
        <w:rPr>
          <w:rStyle w:val="StyleUnderline"/>
        </w:rPr>
        <w:t xml:space="preserve">, </w:t>
      </w:r>
      <w:r w:rsidRPr="00456038">
        <w:rPr>
          <w:rStyle w:val="StyleUnderline"/>
          <w:highlight w:val="cyan"/>
        </w:rPr>
        <w:t>must honor</w:t>
      </w:r>
      <w:r w:rsidRPr="00C862CF">
        <w:rPr>
          <w:rStyle w:val="StyleUnderline"/>
        </w:rPr>
        <w:t xml:space="preserve"> the rule of </w:t>
      </w:r>
      <w:r w:rsidRPr="00456038">
        <w:rPr>
          <w:rStyle w:val="StyleUnderline"/>
          <w:highlight w:val="cyan"/>
        </w:rPr>
        <w:t>lenity</w:t>
      </w:r>
      <w:r w:rsidRPr="00C862CF">
        <w:rPr>
          <w:sz w:val="16"/>
        </w:rPr>
        <w:t>. See Carter, 736 F. 3d at 736 (Sutton, J., concurring). For this reason, the SEC’s interpretation of 15 U.S.C. § 77c(a)(9), even for the past eighty years, cannot stand. Mr. Weed’s prosecution, based on that faulty interpretation, must meet a similar fate.</w:t>
      </w:r>
    </w:p>
    <w:p w14:paraId="63461CAF" w14:textId="1E1E72BE" w:rsidR="00294130" w:rsidRPr="00294130" w:rsidRDefault="00156E94" w:rsidP="00331867">
      <w:pPr>
        <w:pStyle w:val="Heading3"/>
      </w:pPr>
      <w:r>
        <w:t>1AR – AT: Executive CP</w:t>
      </w:r>
    </w:p>
    <w:p w14:paraId="74BA9A6A" w14:textId="098586DD" w:rsidR="00C862CF" w:rsidRDefault="00331867" w:rsidP="00C862CF">
      <w:pPr>
        <w:pStyle w:val="Heading4"/>
      </w:pPr>
      <w:r>
        <w:t>It’s binding for all interpreters.</w:t>
      </w:r>
    </w:p>
    <w:p w14:paraId="35C2CD71" w14:textId="77777777" w:rsidR="00C862CF" w:rsidRPr="00675914" w:rsidRDefault="00C862CF" w:rsidP="00C862CF">
      <w:r w:rsidRPr="00675914">
        <w:rPr>
          <w:rStyle w:val="Style13ptBold"/>
        </w:rPr>
        <w:t>Sutton 13</w:t>
      </w:r>
      <w:r>
        <w:t xml:space="preserve"> – Jeff Sutton, a renowned Circuit Judge of the United States Court of Appeals for the Sixth Circuit. [Carter v. Welles-Bowen Realty, Inc., United States Court of Appeals for The Sixth Circuit, No. 10-3922, https://www.opn.ca6.uscourts.gov/opinions.pdf/13a0333p-06.pdf]//BPS</w:t>
      </w:r>
    </w:p>
    <w:p w14:paraId="0D50487D" w14:textId="77777777" w:rsidR="00C862CF" w:rsidRPr="00780009" w:rsidRDefault="00C862CF" w:rsidP="00C862CF">
      <w:pPr>
        <w:rPr>
          <w:sz w:val="16"/>
        </w:rPr>
      </w:pPr>
      <w:r w:rsidRPr="00780009">
        <w:rPr>
          <w:sz w:val="16"/>
        </w:rPr>
        <w:t xml:space="preserve">Second, looking at the question within the framework of Chevron leads to the same answer. An agency’s interpretation of a statute does not prevail whenever the face of the statute contains an ambiguity. Deference comes into play only if a statutory ambiguity lingers after deployment of all pertinent interpretive principles. If you believe that Chevron has two steps, you would say that the relevant interpretive rule—the rule of lenity—operates during step one. Once the rule resolves an uncertainty at this step, “there [remains], for Chevron purposes, no ambiguity . . . for an agency to resolve.” INS v. St. Cyr, 533 U.S. 289, 320 n.45 (2001). If you believe that Chevron has only one step, you would say that Chevron requires courts “to accept only those agency interpretations that are reasonable in light of the principles of construction courts normally employ.” EEOC v. Arabian American Oil Co., 499 U.S. 244, 260 (1991) (Scalia, J., concurring in part and concurring in the judgment). If an interpretive principle resolves a statutory doubt in one direction, an agency may not reasonably resolve it in the opposite direction. Id. But </w:t>
      </w:r>
      <w:r w:rsidRPr="00D5110B">
        <w:rPr>
          <w:rStyle w:val="Emphasis"/>
        </w:rPr>
        <w:t xml:space="preserve">the </w:t>
      </w:r>
      <w:r w:rsidRPr="00456038">
        <w:rPr>
          <w:rStyle w:val="Emphasis"/>
          <w:highlight w:val="cyan"/>
        </w:rPr>
        <w:t>broader point</w:t>
      </w:r>
      <w:r w:rsidRPr="00D5110B">
        <w:rPr>
          <w:rStyle w:val="Emphasis"/>
        </w:rPr>
        <w:t>, the critical one</w:t>
      </w:r>
      <w:r w:rsidRPr="00D5110B">
        <w:rPr>
          <w:rStyle w:val="StyleUnderline"/>
        </w:rPr>
        <w:t xml:space="preserve">, </w:t>
      </w:r>
      <w:r w:rsidRPr="00456038">
        <w:rPr>
          <w:rStyle w:val="Emphasis"/>
          <w:highlight w:val="cyan"/>
        </w:rPr>
        <w:t>transcends</w:t>
      </w:r>
      <w:r w:rsidRPr="00D5110B">
        <w:rPr>
          <w:rStyle w:val="StyleUnderline"/>
        </w:rPr>
        <w:t xml:space="preserve"> debates about </w:t>
      </w:r>
      <w:r w:rsidRPr="00456038">
        <w:rPr>
          <w:rStyle w:val="Emphasis"/>
          <w:highlight w:val="cyan"/>
        </w:rPr>
        <w:t>the mechanics of Chevron</w:t>
      </w:r>
      <w:r w:rsidRPr="00456038">
        <w:rPr>
          <w:rStyle w:val="StyleUnderline"/>
          <w:highlight w:val="cyan"/>
        </w:rPr>
        <w:t xml:space="preserve">: Rules of interpretation bind </w:t>
      </w:r>
      <w:r w:rsidRPr="00456038">
        <w:rPr>
          <w:rStyle w:val="Emphasis"/>
          <w:highlight w:val="cyan"/>
        </w:rPr>
        <w:t>all interpreters</w:t>
      </w:r>
      <w:r w:rsidRPr="00D5110B">
        <w:rPr>
          <w:rStyle w:val="Emphasis"/>
        </w:rPr>
        <w:t xml:space="preserve">, administrative </w:t>
      </w:r>
      <w:r w:rsidRPr="00456038">
        <w:rPr>
          <w:rStyle w:val="Emphasis"/>
          <w:highlight w:val="cyan"/>
        </w:rPr>
        <w:t>agencies included</w:t>
      </w:r>
      <w:r w:rsidRPr="00D5110B">
        <w:rPr>
          <w:rStyle w:val="StyleUnderline"/>
        </w:rPr>
        <w:t>. Tha</w:t>
      </w:r>
      <w:r w:rsidRPr="00FC0D83">
        <w:rPr>
          <w:rStyle w:val="StyleUnderline"/>
        </w:rPr>
        <w:t xml:space="preserve">t means </w:t>
      </w:r>
      <w:r w:rsidRPr="00456038">
        <w:rPr>
          <w:rStyle w:val="StyleUnderline"/>
          <w:highlight w:val="cyan"/>
        </w:rPr>
        <w:t xml:space="preserve">an agency, no less than a court, </w:t>
      </w:r>
      <w:r w:rsidRPr="00456038">
        <w:rPr>
          <w:rStyle w:val="Emphasis"/>
          <w:highlight w:val="cyan"/>
        </w:rPr>
        <w:t>must</w:t>
      </w:r>
      <w:r w:rsidRPr="00456038">
        <w:rPr>
          <w:rStyle w:val="StyleUnderline"/>
          <w:highlight w:val="cyan"/>
        </w:rPr>
        <w:t xml:space="preserve"> interpret a</w:t>
      </w:r>
      <w:r w:rsidRPr="00D5110B">
        <w:rPr>
          <w:rStyle w:val="StyleUnderline"/>
        </w:rPr>
        <w:t xml:space="preserve"> doubtful </w:t>
      </w:r>
      <w:r w:rsidRPr="00456038">
        <w:rPr>
          <w:rStyle w:val="StyleUnderline"/>
          <w:highlight w:val="cyan"/>
        </w:rPr>
        <w:t>criminal statute in favor of the defendant</w:t>
      </w:r>
      <w:r w:rsidRPr="00780009">
        <w:rPr>
          <w:sz w:val="16"/>
        </w:rPr>
        <w:t>.</w:t>
      </w:r>
    </w:p>
    <w:p w14:paraId="5BF98E1E" w14:textId="77777777" w:rsidR="00C862CF" w:rsidRPr="00780009" w:rsidRDefault="00C862CF" w:rsidP="00C862CF">
      <w:pPr>
        <w:rPr>
          <w:sz w:val="16"/>
          <w:szCs w:val="6"/>
        </w:rPr>
      </w:pPr>
      <w:r w:rsidRPr="00780009">
        <w:rPr>
          <w:sz w:val="16"/>
          <w:szCs w:val="6"/>
        </w:rPr>
        <w:t>Precedents in related areas confirm this conclusion. All manner of presumptions, substantive canons and clear-statement rules take precedence over conflicting agency views. See Wyeth v. Levine, 555 U.S. 555, 576 (2009) (presumption against preemption); St. Cyr, 533 U.S. at 320 (presumption against retroactivity); id. (interpretation of doubtful deportation statutes in favor of immigrants); Alexander v. Sandoval, 532 U.S. 275, 288–91 (2001) (presumption against implied causes of action); SWANCC v. U.S. Army Corps of Eng’rs, 531 U.S. 159, 173 (2001) (federalism canon); Edward J. DeBartolo Corp. v. Florida Gulf Coast Bldg. &amp; Constr. Trades Council, 485 U.S. 568, 575 (1988) (avoidance of constitutional doubt). Why treat the rule of lenity, the most venerable and venerated of interpretive principles, differently?</w:t>
      </w:r>
    </w:p>
    <w:p w14:paraId="0FCE0345" w14:textId="77777777" w:rsidR="00C862CF" w:rsidRPr="00780009" w:rsidRDefault="00C862CF" w:rsidP="00C862CF">
      <w:pPr>
        <w:rPr>
          <w:sz w:val="16"/>
          <w:szCs w:val="6"/>
        </w:rPr>
      </w:pPr>
      <w:r w:rsidRPr="00780009">
        <w:rPr>
          <w:sz w:val="16"/>
          <w:szCs w:val="6"/>
        </w:rPr>
        <w:t>Third, the policies that drive lenity and Chevron show how to harmonize the two principles. Start with lenity. Making something a crime is serious business. It visits the moral condemnation of the community upon the citizen who engages in the forbidden conduct, and it allows the government to take away his liberty and property. The rule of lenity carries into effect the principle that only the legislature, the most democratic and accountable branch of government, should decide what conduct triggers these consequences. Bass, 404 U.S. at 348. By giving unelected commissioners and directors and administrators carte blanche to decide when an ambiguous statute justifies sending people to prison, the government’s theory diminishes this ideal.</w:t>
      </w:r>
    </w:p>
    <w:p w14:paraId="6D6036E5" w14:textId="77777777" w:rsidR="00C862CF" w:rsidRPr="00780009" w:rsidRDefault="00C862CF" w:rsidP="00C862CF">
      <w:pPr>
        <w:rPr>
          <w:sz w:val="16"/>
          <w:szCs w:val="6"/>
        </w:rPr>
      </w:pPr>
      <w:r w:rsidRPr="00780009">
        <w:rPr>
          <w:sz w:val="16"/>
          <w:szCs w:val="6"/>
        </w:rPr>
        <w:t>The rule of lenity also compels the state to give the citizen fair warning, ideally on the face of the statute, of what the criminal law forbids. McBoyle v. United States, 283 U.S. 25, 27 (1931). There are no crimes by implication just as no one is killed by implication. Yet if agencies are free to ignore the rule of lenity, the state could make an act a crime in a remote statement issued by an administrative agency. The agency’s pronouncement need not even come in a notice-and-comment rule. All kinds of administrative documents, ranging from manuals to opinion letters, sometimes receive Chevron deference. See, e.g., Barnhart v. Walton, 535 U.S. 212, 221–22 (2002). Nor is this a figment. In this case, the government has tried to expand a federal criminal law through a policy statement, a theory that runs headlong into “the instinctive distastes against men languishing in prison unless the lawmaker has clearly said they should.” Henry Friendly, “Mr. Justice Frankfurter and the Reading of Statutes,” in Benchmarks 196, 209 (1967).</w:t>
      </w:r>
    </w:p>
    <w:p w14:paraId="1F26DE50" w14:textId="77777777" w:rsidR="00C862CF" w:rsidRPr="00780009" w:rsidRDefault="00C862CF" w:rsidP="00C862CF">
      <w:pPr>
        <w:rPr>
          <w:sz w:val="16"/>
          <w:szCs w:val="6"/>
        </w:rPr>
      </w:pPr>
      <w:r w:rsidRPr="00780009">
        <w:rPr>
          <w:sz w:val="16"/>
          <w:szCs w:val="6"/>
        </w:rPr>
        <w:t>So much for the purpose of lenity; what of the purpose of Chevron? There may be as many accounts of Chevron as there are professors of administrative law. But what matters most, Chevron’s account of itself, shows that Chevron accommodates rather than trumps the lenity principle. Filling a statutory gap, the Supreme Court explained, requires making a policy choice. 467 U.S. at 864–65. But courts should avoid making policy choices, as they enjoy neither expertise in the relevant area nor a democratically accountable pedigree. Id. at 865–66. Forced to a choice between the two, the Court concluded that administrators are better equipped than judges to fill the gaps. Id. at 866.</w:t>
      </w:r>
    </w:p>
    <w:p w14:paraId="312B64ED" w14:textId="77777777" w:rsidR="00C862CF" w:rsidRPr="00780009" w:rsidRDefault="00C862CF" w:rsidP="00C862CF">
      <w:pPr>
        <w:rPr>
          <w:sz w:val="16"/>
          <w:szCs w:val="6"/>
        </w:rPr>
      </w:pPr>
      <w:r w:rsidRPr="00780009">
        <w:rPr>
          <w:sz w:val="16"/>
          <w:szCs w:val="6"/>
        </w:rPr>
        <w:t>This account of Chevron says nothing about the present case. When a court applies the rule of lenity, it does not snatch a policy decision from the political branches. It instead insists that the choice to make the conduct criminal be made by the first political branch rather than the second. Put another way, Chevron describes how judges and administrators divide power. But power to define crimes is not theirs to divide. The accommodation then becomes straightforward: Allowing agencies to fill gaps in criminal statutes would impair the rule of lenity’s purposes, and interpreting these statutes leniently would respect Chevron’s aims.</w:t>
      </w:r>
    </w:p>
    <w:p w14:paraId="68CBA4F9" w14:textId="77777777" w:rsidR="00C862CF" w:rsidRPr="00780009" w:rsidRDefault="00C862CF" w:rsidP="00C862CF">
      <w:pPr>
        <w:rPr>
          <w:sz w:val="16"/>
          <w:szCs w:val="6"/>
        </w:rPr>
      </w:pPr>
      <w:r w:rsidRPr="00780009">
        <w:rPr>
          <w:sz w:val="16"/>
          <w:szCs w:val="6"/>
        </w:rPr>
        <w:t>Fourth, uninvited oddities arise if courts but not agencies must adhere to the rule of lenity. United States v. Mead Corp., 533 U.S. 218 (2001), and its follow-on cases hold that an agency interpretation’s eligibility for Chevron deference depends on the procedure that preceded the interpretation’s adoption as well as on factors like “the interstitial nature of the legal question, the related expertise of the Agency, the importance of the question to the administration of the statute, the complexity of that administration, and the careful consideration the Agency has given the question over a long period of time.” Walton, 535 U.S. at 222. Where the governing statute creates only civil liability, a multi-factor test may be the best one can hope for. See Mead, 533 U.S. at 236–37. But it is a bit strange to say that, if Welles-Bowen wants to know whether it commits a crime by falling afoul of a policy statement, it must first endure the “openended rough-and-tumble of factors.” Medellin v. Texas, 552 U.S. 491, 514 (2008).</w:t>
      </w:r>
    </w:p>
    <w:p w14:paraId="6784CC3B" w14:textId="77777777" w:rsidR="00C862CF" w:rsidRPr="00780009" w:rsidRDefault="00C862CF" w:rsidP="00C862CF">
      <w:pPr>
        <w:rPr>
          <w:sz w:val="16"/>
          <w:szCs w:val="6"/>
        </w:rPr>
      </w:pPr>
      <w:r w:rsidRPr="00780009">
        <w:rPr>
          <w:sz w:val="16"/>
          <w:szCs w:val="6"/>
        </w:rPr>
        <w:t>Auer v. Robbins, 519 U.S. 452 (1997), adds another complication. It says that, when a regulation interpreting an ambiguous statute itself contains an ambiguity, the agency’s interpretation of the regulation receives essentially complete deference. See id. at 461; Bowles v. Seminole Rock &amp; Sand Co., 325 U.S. 410, 414 (1945). Unless the rule of lenity applies to agencies, Auer would give each agency two ways of construing criminal laws against the defendant—by resolving ambiguities in the criminal statute and by resolving ambiguities in any regulation. What’s more, the range of documents eligible for deference under Auer is broader than under Chevron. Even an interpretation contained in a brief may receive deference. Auer, 519 U.S. at 462. One head-turning upshot of permitting Chevron to silence the rule of lenity is this: Any government lawyer with a laptop could create a new federal crime by adding a footnote to a friendof-the-court brief. That is not likely.</w:t>
      </w:r>
    </w:p>
    <w:p w14:paraId="6C9BE339" w14:textId="77777777" w:rsidR="00C862CF" w:rsidRPr="00780009" w:rsidRDefault="00C862CF" w:rsidP="00C862CF">
      <w:pPr>
        <w:rPr>
          <w:sz w:val="16"/>
          <w:szCs w:val="6"/>
        </w:rPr>
      </w:pPr>
      <w:r w:rsidRPr="00780009">
        <w:rPr>
          <w:sz w:val="16"/>
          <w:szCs w:val="6"/>
        </w:rPr>
        <w:t>The retroactivity of Chevron deference adds another paradox. An agency’s authoritative interpretation of a statute attracts deference even in cases about transactions that occurred before the issuance of the interpretation. Smiley v. Citibank (South Dakota), N.A., 517 U.S. 735, 744 n.3 (1996). But how would this rule work in a criminal setting given the Ex Post Facto Clause? See U.S. Const. art. I, § 9, cl. 3. So long as the one-statute, one-interpretation rule stands, a court cannot dignify the one principle without slighting the other.</w:t>
      </w:r>
    </w:p>
    <w:p w14:paraId="33690236" w14:textId="77777777" w:rsidR="00C862CF" w:rsidRPr="00780009" w:rsidRDefault="00C862CF" w:rsidP="00C862CF">
      <w:pPr>
        <w:rPr>
          <w:sz w:val="16"/>
          <w:szCs w:val="6"/>
        </w:rPr>
      </w:pPr>
      <w:r w:rsidRPr="00780009">
        <w:rPr>
          <w:sz w:val="16"/>
          <w:szCs w:val="6"/>
        </w:rPr>
        <w:t>The government, both in this case and in similar cases before other courts, offers several lines of argument in response to this approach. None is convincing. The government points out that several cases show that Congress’s authority to define crimes is not exclusive. Although the Constitution as a general matter vests power to define crimes in Congress alone, the modern nondelegation doctrine, it is true, occasionally allows Congress to transfer some responsibility for defining crimes to the executive branch. Hence United States v. Grimaud, 220 U.S. 506 (1911), held that Congress could make it a crime to violate regulations issued by the Secretary of Agriculture. Touby v. United States, 500 U.S. 160 (1991), held that Congress could direct the Attorney General on an emergency basis to figure out which drugs to classify as controlled substances. And United States v. O’Hagan, 521 U.S. 642 (1997), saw nothing objectionable in a law authorizing the Securities and Exchange Commission to make rules combating securities fraud and to make violations of these rules crimes. If the Court allowed Congress to assign responsibility for defining crimes to the executive in those cases, what makes today’s case different?</w:t>
      </w:r>
    </w:p>
    <w:p w14:paraId="5E8698DF" w14:textId="77777777" w:rsidR="00C862CF" w:rsidRPr="00780009" w:rsidRDefault="00C862CF" w:rsidP="00C862CF">
      <w:pPr>
        <w:rPr>
          <w:sz w:val="16"/>
          <w:szCs w:val="6"/>
        </w:rPr>
      </w:pPr>
      <w:r w:rsidRPr="00780009">
        <w:rPr>
          <w:sz w:val="16"/>
          <w:szCs w:val="6"/>
        </w:rPr>
        <w:t>The argument overlooks the reality that, if Congress wants to assign the executive branch discretion to define criminal conduct, it must speak “distinctly.” Grimaud, 220 U.S. at 519; United States v. Eaton, 144 U.S. 677, 688 (1892). This clear-statement rule reinforces horizontal separation of powers in the same way that Gregory v. Ashcroft, 501 U.S. 452 (1991), reinforces vertical separation of powers. It compels Congress to legislate deliberately and explicitly before departing from the Constitution’s traditional distribution of authority. Cases like Grimaud, Touby and O’Hagan respected this express-statement requirement, but the government’s theory flouts it. Under the government’s approach, courts could presume a congressional delegation of authority to create crimes whenever a criminal statute contains a gap. A presumption does not a clear statement make.</w:t>
      </w:r>
    </w:p>
    <w:p w14:paraId="6CA3993F" w14:textId="77777777" w:rsidR="00C862CF" w:rsidRPr="00780009" w:rsidRDefault="00C862CF" w:rsidP="00C862CF">
      <w:pPr>
        <w:rPr>
          <w:sz w:val="16"/>
          <w:szCs w:val="6"/>
        </w:rPr>
      </w:pPr>
      <w:r w:rsidRPr="00780009">
        <w:rPr>
          <w:sz w:val="16"/>
          <w:szCs w:val="6"/>
        </w:rPr>
        <w:t>A related analogy to the Court’s federalism precedents fortifies the point. The Constitution sometimes allows Congress to upset federalism norms provided it legislates clearly. See Gregory, 501 U.S. at 460. But it does not follow that Chevron allows agencies to upset federalism norms when Congress legislates ambiguously. See SWANCC, 531 U.S. at 172–73. In the same way, Congress may sometimes depart from separation-of-powers principles so long as it legislates clearly. But it does not follow that agencies may depart from separation-of-powers principles when Congress legislates ambiguously.</w:t>
      </w:r>
    </w:p>
    <w:p w14:paraId="5B3AF7DA" w14:textId="77777777" w:rsidR="00C862CF" w:rsidRPr="00780009" w:rsidRDefault="00C862CF" w:rsidP="00C862CF">
      <w:pPr>
        <w:rPr>
          <w:sz w:val="16"/>
          <w:szCs w:val="6"/>
        </w:rPr>
      </w:pPr>
      <w:r w:rsidRPr="00780009">
        <w:rPr>
          <w:sz w:val="16"/>
          <w:szCs w:val="6"/>
        </w:rPr>
        <w:t>Quite apart from the clear-statement rule, the Constitution may well also require Congress to state more than an “intelligible principle” when leaving the definition of crime to the executive. The Supreme Court has suggested that “greater congressional specificity [may be] required in the criminal context.” Touby, 500 U.S. at 166; see Yakus v. United States, 321 U.S. 414, 423–27 (1944). The laws at issue in Grimaud, Touby and O’Hagan honored this principle. But under the government’s approach, an agency could fill a gap in a criminal statute even where Congress provides no specific guidance about how to fill it.</w:t>
      </w:r>
    </w:p>
    <w:p w14:paraId="00434AAE" w14:textId="77777777" w:rsidR="00C862CF" w:rsidRPr="00780009" w:rsidRDefault="00C862CF" w:rsidP="00C862CF">
      <w:pPr>
        <w:rPr>
          <w:sz w:val="16"/>
          <w:szCs w:val="6"/>
        </w:rPr>
      </w:pPr>
      <w:r w:rsidRPr="00780009">
        <w:rPr>
          <w:sz w:val="16"/>
          <w:szCs w:val="6"/>
        </w:rPr>
        <w:t>The government separately relies heavily on a footnote in Babbitt v. Sweet Home Chapter of Communities for a Great Oregon. 515 U.S. 687, 704 n.18 (1995). Sweet Home arose under the Endangered Species Act, which made it an offense (subject to civil and criminal penalties) to “take” any endangered species. 16 U.S.C. § 1538(a)(1). The Interior Department issued a regulation interpreting this provision to prohibit “significant habitat modification or degradation” that kills or injures protected wildlife. 50 C.F.R. § 17.3 (1994). Before the agency could enforce this regulation, landowners challenged it on its face, claiming that it outstripped the agency’s statutory authority.</w:t>
      </w:r>
    </w:p>
    <w:p w14:paraId="30949894" w14:textId="77777777" w:rsidR="00C862CF" w:rsidRPr="00780009" w:rsidRDefault="00C862CF" w:rsidP="00C862CF">
      <w:pPr>
        <w:rPr>
          <w:sz w:val="16"/>
          <w:szCs w:val="6"/>
        </w:rPr>
      </w:pPr>
      <w:r w:rsidRPr="00780009">
        <w:rPr>
          <w:sz w:val="16"/>
          <w:szCs w:val="6"/>
        </w:rPr>
        <w:t>Citing Chevron, the Court gave the interpretation contained in the regulation “some degree of deference.” Sweet Home, 515 U.S. at 703. The Court then dropped this footnote:</w:t>
      </w:r>
    </w:p>
    <w:p w14:paraId="4FAE356A" w14:textId="77777777" w:rsidR="00C862CF" w:rsidRPr="00780009" w:rsidRDefault="00C862CF" w:rsidP="00C862CF">
      <w:pPr>
        <w:rPr>
          <w:sz w:val="16"/>
          <w:szCs w:val="6"/>
        </w:rPr>
      </w:pPr>
      <w:r w:rsidRPr="00780009">
        <w:rPr>
          <w:sz w:val="16"/>
          <w:szCs w:val="6"/>
        </w:rPr>
        <w:t>Respondents also argue that the rule of lenity should foreclose any deference to the Secretary’s interpretation . . . because the statute includes criminal penalties. . . . We have applied the rule of lenity in a case raising a narrow question concerning the application of a statute that contains criminal sanctions to a specific factual dispute . . . where no regulation was present. See United States v. Thompson/Center Arms Co., 504 U.S. 505, 517–18 &amp; n. 9 (1992). We have never suggested that the rule of lenity should provide the standard for reviewing facial challenges to administrative regulations whenever the governing statute authorizes criminal enforcement. Even if there exist regulations whose interpretations of statutory criminal penalties provide such inadequate notice of potential liability as to offend the rule of lenity, the [present] regulation, which has existed for two decades and gives a fair warning of its consequences, cannot be one of them.</w:t>
      </w:r>
    </w:p>
    <w:p w14:paraId="69440EF4" w14:textId="77777777" w:rsidR="00C862CF" w:rsidRPr="00780009" w:rsidRDefault="00C862CF" w:rsidP="00C862CF">
      <w:pPr>
        <w:rPr>
          <w:sz w:val="16"/>
          <w:szCs w:val="6"/>
        </w:rPr>
      </w:pPr>
      <w:r w:rsidRPr="00780009">
        <w:rPr>
          <w:sz w:val="16"/>
          <w:szCs w:val="6"/>
        </w:rPr>
        <w:t>Id. at 704 n.18. As the government reads it, this passage definitively holds that Chevron deference defeats the rule of lenity.</w:t>
      </w:r>
    </w:p>
    <w:p w14:paraId="72FE929C" w14:textId="77777777" w:rsidR="00C862CF" w:rsidRPr="00780009" w:rsidRDefault="00C862CF" w:rsidP="00C862CF">
      <w:pPr>
        <w:rPr>
          <w:sz w:val="16"/>
          <w:szCs w:val="6"/>
        </w:rPr>
      </w:pPr>
      <w:r w:rsidRPr="00780009">
        <w:rPr>
          <w:sz w:val="16"/>
          <w:szCs w:val="6"/>
        </w:rPr>
        <w:t>That is a lot to ask of a footnote, more it seems to me than these four sentences can reasonably demand. Note first of all that the government’s reading eclipses the justmentioned Grimaud/Eaton line of cases, which hold that, if Congress wants to assign responsibility for crime definition to the executive, it must speak clearly. No one thinks that Chevron-triggering ambiguity satisfies a clear-statement requirement. Did the Court mean to overrule these precedents in a footnote that does not even mention them? Not likely. And a case decided after Sweet Home expressly declines—in a footnote, no less—to decide how the rule of lenity and Chevron interact. See SWANCC, 531 U.S. at 174 n.8. Why did the Court express reluctance to decide a question if, as the government claims, it had already decided it?</w:t>
      </w:r>
    </w:p>
    <w:p w14:paraId="2B4B610F" w14:textId="77777777" w:rsidR="00C862CF" w:rsidRPr="00780009" w:rsidRDefault="00C862CF" w:rsidP="00C862CF">
      <w:pPr>
        <w:rPr>
          <w:sz w:val="16"/>
          <w:szCs w:val="6"/>
        </w:rPr>
      </w:pPr>
      <w:r w:rsidRPr="00780009">
        <w:rPr>
          <w:sz w:val="16"/>
          <w:szCs w:val="6"/>
        </w:rPr>
        <w:t>The answer is that Sweet Home’s footnote 18 lends itself to a narrower reading, one that preserves the clear-statement rule applicable in this setting and one that preserves the obligation of courts and agencies to respect the rule of lenity. The footnote merely acknowledges the possibility of a pre-enforcement facial challenge to an agency’s regulation—because the agency had no interpretive authority in the first place, because the agency failed to follow the procedures for promulgating the regulation or because the statute plainly forecloses the agency’s interpretation. Yet not one of these challenges depends on, or demands consideration of, the rule of lenity. Why else would the Court distinguish cases involving “specific factual dispute[s]” from cases “reviewing facial challenges”? What purpose could this distinction serve unless the Court meant to create a rule for facial challenges? Although the footnote mentions that the Interior Department’s two-decade-old regulation comports with one of the rule of lenity’s objectives (promoting fair notice), it says nothing about other regulations or the rule of lenity’s separation-of-powers objective (reinforcing that Congress, not courts or agencies, define crimes). Before accepting the government’s broad reading of the footnote, one would have expected the Court to say more before allowing agencies to trump a doctrine Chief Justice Marshall described as “perhaps not much less old than construction itself.” 5 Wheat. at 95.</w:t>
      </w:r>
    </w:p>
    <w:p w14:paraId="05D755FE" w14:textId="77777777" w:rsidR="00C862CF" w:rsidRPr="00780009" w:rsidRDefault="00C862CF" w:rsidP="00C862CF">
      <w:pPr>
        <w:rPr>
          <w:sz w:val="16"/>
          <w:szCs w:val="6"/>
        </w:rPr>
      </w:pPr>
      <w:r w:rsidRPr="00780009">
        <w:rPr>
          <w:sz w:val="16"/>
          <w:szCs w:val="6"/>
        </w:rPr>
        <w:t>Not only does the age of the rule counsel against sweeping it aside sotto voce in a footnote, but so does its growing significance in interpretive disputes about the meaning of criminal laws. The Court has all but abandoned the practice of interpreting criminal laws against defendants on the basis of legislative history. Compare, e.g., United States v. Santos, 553 U.S. 507, 513 n.3 (2008) (plurality opinion), with, e.g., Dixson v. United States, 465 U.S. 482, 491 (1984); see United States v. R.L.C., 503 U.S. 291, 307–11 (Scalia, J., concurring in the judgment). And it has found lenity-triggering ambiguity in criminal laws more readily of late than it did in the past. Compare, e.g., Santos, 553 U.S. at 513–14, with, e.g., Moskal v. United States, 498 U.S. 103, 108 (1990). Meanwhile, deference has shrunk in reach. The Court has cabined the range of materials entitled to Chevron deference. See, e.g., Mead, 533 U.S. at 231. And it has confirmed that Chevron does not permit an agency to trump other rules of interpretation. See, e.g., St. Cyr, 533 U.S. at 320 n.45. Lenity and Chevron thus look different now than they did when Sweet Home inscrutably footnoted their interaction.</w:t>
      </w:r>
    </w:p>
    <w:p w14:paraId="310AA713" w14:textId="77777777" w:rsidR="00C862CF" w:rsidRPr="00780009" w:rsidRDefault="00C862CF" w:rsidP="00C862CF">
      <w:pPr>
        <w:rPr>
          <w:sz w:val="16"/>
          <w:szCs w:val="6"/>
        </w:rPr>
      </w:pPr>
      <w:r w:rsidRPr="00780009">
        <w:rPr>
          <w:sz w:val="16"/>
          <w:szCs w:val="6"/>
        </w:rPr>
        <w:t>If accepted, moreover, the government’s theory would mean that, in many of the Court’s criminal cases, criminal defendants were one agency interpretation away from being incarcerated. It would mean that ambiguity in the Fair Labor Standards Act would have allowed the Secretary of Labor to decide that an employer commits a new crime not just when he sets an employee’s salary too low but each week he underpays the employee. But see United States v. Universal C.I.T. Credit Corp., 344 U.S. 218 (1952). It would mean that ambiguity in the National Firearms Act would have allowed the Secretary of the Treasury to decide that a gun manufacturer commits a crime when it packages a pistol with a carbine-conversion kit. But see United States v. Thompson/Center Arms Co., 504 U.S. 505 (1992). It would mean that ambiguity in the Immigration and Nationality Act would have allowed the Attorney General to decide that drunk driving is a crime of violence. But see Leocal v. Ashcroft, 543 U.S. 1 (2004). And it would mean that ambiguity in the Immigration and Nationality Act would have allowed the Attorney General to decide that first-time drug possession and social sharing of marijuana are drug-trafficking crimes. But see Carachuri-Rosendo v. Holder, 560 U.S. 563 (2010); Moncrieffe v. Holder, 133 S. Ct. 1678 (2013).</w:t>
      </w:r>
    </w:p>
    <w:p w14:paraId="00B8476B" w14:textId="1124A9FC" w:rsidR="00C862CF" w:rsidRDefault="00C862CF" w:rsidP="00C862CF">
      <w:pPr>
        <w:rPr>
          <w:sz w:val="16"/>
        </w:rPr>
      </w:pPr>
      <w:r w:rsidRPr="00591015">
        <w:rPr>
          <w:rStyle w:val="StyleUnderline"/>
        </w:rPr>
        <w:t xml:space="preserve">In the final analysis, the government’s theory gives </w:t>
      </w:r>
      <w:r w:rsidRPr="00591015">
        <w:rPr>
          <w:rStyle w:val="Emphasis"/>
        </w:rPr>
        <w:t>the executive branch</w:t>
      </w:r>
      <w:r w:rsidRPr="00591015">
        <w:rPr>
          <w:rStyle w:val="StyleUnderline"/>
        </w:rPr>
        <w:t xml:space="preserve"> an implied share of the legislature’s power to define crimes. That is no small matter given “</w:t>
      </w:r>
      <w:r w:rsidRPr="00591015">
        <w:rPr>
          <w:rStyle w:val="Emphasis"/>
        </w:rPr>
        <w:t>the growing power</w:t>
      </w:r>
      <w:r w:rsidRPr="00591015">
        <w:rPr>
          <w:rStyle w:val="StyleUnderline"/>
        </w:rPr>
        <w:t xml:space="preserve"> of the administrative state,” </w:t>
      </w:r>
      <w:r w:rsidRPr="00780009">
        <w:rPr>
          <w:sz w:val="16"/>
        </w:rPr>
        <w:t xml:space="preserve">City of Arlington v. FCC, 133 S. Ct. 1863, 1879 (2013) (Roberts, C.J., dissenting), and it is no small matter given the reality that Congress continues to “put[] forth an ever-increasing volume . . . of criminal laws,” Sykes v. United States, 131 S. Ct. 2267, 2288 (2011) (Scalia, J., dissenting). None of the Supreme Court’s decisions requires us to accept this theory; many stand in its way. </w:t>
      </w:r>
      <w:r w:rsidRPr="00456038">
        <w:rPr>
          <w:rStyle w:val="Emphasis"/>
          <w:highlight w:val="cyan"/>
        </w:rPr>
        <w:t>Agencies</w:t>
      </w:r>
      <w:r w:rsidRPr="00FC0D83">
        <w:rPr>
          <w:rStyle w:val="Emphasis"/>
        </w:rPr>
        <w:t>, no less than courts</w:t>
      </w:r>
      <w:r w:rsidRPr="00FC0D83">
        <w:rPr>
          <w:rStyle w:val="StyleUnderline"/>
        </w:rPr>
        <w:t xml:space="preserve">, </w:t>
      </w:r>
      <w:r w:rsidRPr="00456038">
        <w:rPr>
          <w:rStyle w:val="StyleUnderline"/>
          <w:highlight w:val="cyan"/>
        </w:rPr>
        <w:t>must honor</w:t>
      </w:r>
      <w:r w:rsidRPr="00FC0D83">
        <w:rPr>
          <w:rStyle w:val="StyleUnderline"/>
        </w:rPr>
        <w:t xml:space="preserve"> the rule of </w:t>
      </w:r>
      <w:r w:rsidRPr="00456038">
        <w:rPr>
          <w:rStyle w:val="StyleUnderline"/>
          <w:highlight w:val="cyan"/>
        </w:rPr>
        <w:t>lenity</w:t>
      </w:r>
      <w:r w:rsidRPr="00780009">
        <w:rPr>
          <w:sz w:val="16"/>
        </w:rPr>
        <w:t>.</w:t>
      </w:r>
    </w:p>
    <w:p w14:paraId="4699DC8C" w14:textId="0009A978" w:rsidR="00156E94" w:rsidRDefault="00156E94" w:rsidP="00156E94">
      <w:pPr>
        <w:pStyle w:val="Heading3"/>
      </w:pPr>
      <w:r>
        <w:t>2AC – AT: Congress CP</w:t>
      </w:r>
    </w:p>
    <w:p w14:paraId="4541946D" w14:textId="529C36AB" w:rsidR="00156E94" w:rsidRPr="00156E94" w:rsidRDefault="00156E94" w:rsidP="00156E94">
      <w:pPr>
        <w:pStyle w:val="Heading4"/>
      </w:pPr>
      <w:r>
        <w:t xml:space="preserve">Congressional action is ruled </w:t>
      </w:r>
      <w:r>
        <w:rPr>
          <w:u w:val="single"/>
        </w:rPr>
        <w:t>unconstitutional</w:t>
      </w:r>
      <w:r>
        <w:t>.</w:t>
      </w:r>
    </w:p>
    <w:p w14:paraId="7FE7EFEE" w14:textId="77777777" w:rsidR="00156E94" w:rsidRPr="009D0532" w:rsidRDefault="00156E94" w:rsidP="00156E94">
      <w:pPr>
        <w:rPr>
          <w:b/>
          <w:bCs/>
        </w:rPr>
      </w:pPr>
      <w:r w:rsidRPr="00496C48">
        <w:rPr>
          <w:rStyle w:val="Style13ptBold"/>
        </w:rPr>
        <w:t xml:space="preserve">Murphy </w:t>
      </w:r>
      <w:r w:rsidRPr="0098449E">
        <w:rPr>
          <w:rStyle w:val="Style13ptBold"/>
          <w:sz w:val="24"/>
          <w:szCs w:val="24"/>
        </w:rPr>
        <w:t>19.</w:t>
      </w:r>
      <w:r>
        <w:t xml:space="preserve"> </w:t>
      </w:r>
      <w:r w:rsidRPr="00791E15">
        <w:rPr>
          <w:sz w:val="20"/>
          <w:szCs w:val="20"/>
        </w:rPr>
        <w:t>Julian R. Murphy, Columbia Law School, Postgraduate Public Interest Fellow. B.A., University of Melbourne, 2013; L.L.B., University of Melbourne, 2013; L.L.M., Columbia Law School, 2018. (7-1-2019, “</w:t>
      </w:r>
      <w:r w:rsidRPr="009D0532">
        <w:rPr>
          <w:rStyle w:val="StyleUnderline"/>
        </w:rPr>
        <w:t xml:space="preserve">Lenity and the Constitution: </w:t>
      </w:r>
      <w:r w:rsidRPr="009D0532">
        <w:rPr>
          <w:rStyle w:val="Emphasis"/>
        </w:rPr>
        <w:t>Could Congress Abrogate the Rule of Lenity?</w:t>
      </w:r>
      <w:r w:rsidRPr="00791E15">
        <w:rPr>
          <w:sz w:val="20"/>
          <w:szCs w:val="20"/>
        </w:rPr>
        <w:t xml:space="preserve">” Harvard Journal on Legislation, vol. 56, no. 2, pp. 423-458, </w:t>
      </w:r>
      <w:hyperlink r:id="rId138" w:history="1">
        <w:r w:rsidRPr="00BE36FC">
          <w:rPr>
            <w:rStyle w:val="Hyperlink"/>
            <w:sz w:val="16"/>
            <w:szCs w:val="16"/>
          </w:rPr>
          <w:t>https://harvardjol.com/wp-content/uploads/sites/17/2019/08/HLL204_crop.pdf)//pacc</w:t>
        </w:r>
      </w:hyperlink>
      <w:r>
        <w:rPr>
          <w:sz w:val="16"/>
          <w:szCs w:val="16"/>
        </w:rPr>
        <w:t xml:space="preserve"> </w:t>
      </w:r>
    </w:p>
    <w:p w14:paraId="7FEC7F62" w14:textId="77777777" w:rsidR="00156E94" w:rsidRDefault="00156E94" w:rsidP="00156E94">
      <w:r>
        <w:t xml:space="preserve">B. </w:t>
      </w:r>
      <w:r w:rsidRPr="001905C4">
        <w:rPr>
          <w:rStyle w:val="StyleUnderline"/>
          <w:b/>
          <w:bCs/>
        </w:rPr>
        <w:t>Due Process</w:t>
      </w:r>
    </w:p>
    <w:p w14:paraId="2EDFD19B" w14:textId="77777777" w:rsidR="00156E94" w:rsidRPr="000E4B39" w:rsidRDefault="00156E94" w:rsidP="00156E94">
      <w:pPr>
        <w:rPr>
          <w:sz w:val="14"/>
        </w:rPr>
      </w:pPr>
      <w:r w:rsidRPr="000E4B39">
        <w:rPr>
          <w:u w:val="single"/>
        </w:rPr>
        <w:t>The</w:t>
      </w:r>
      <w:r w:rsidRPr="009D0532">
        <w:rPr>
          <w:u w:val="single"/>
        </w:rPr>
        <w:t xml:space="preserve"> other constitutional doctrine commonly referred to in the </w:t>
      </w:r>
      <w:r w:rsidRPr="001905C4">
        <w:rPr>
          <w:rStyle w:val="StyleUnderline"/>
          <w:b/>
          <w:bCs/>
        </w:rPr>
        <w:t>S</w:t>
      </w:r>
      <w:r w:rsidRPr="000E4B39">
        <w:rPr>
          <w:sz w:val="14"/>
        </w:rPr>
        <w:t xml:space="preserve">upreme </w:t>
      </w:r>
      <w:r w:rsidRPr="001905C4">
        <w:rPr>
          <w:rStyle w:val="StyleUnderline"/>
          <w:b/>
          <w:bCs/>
        </w:rPr>
        <w:t>C</w:t>
      </w:r>
      <w:r w:rsidRPr="000E4B39">
        <w:rPr>
          <w:sz w:val="14"/>
        </w:rPr>
        <w:t xml:space="preserve">ourt’s </w:t>
      </w:r>
      <w:r w:rsidRPr="001905C4">
        <w:rPr>
          <w:rStyle w:val="StyleUnderline"/>
        </w:rPr>
        <w:t xml:space="preserve">lenity jurisprudence is the notice—or fair warning—requirement of the </w:t>
      </w:r>
      <w:r w:rsidRPr="001905C4">
        <w:rPr>
          <w:rStyle w:val="StyleUnderline"/>
          <w:b/>
          <w:bCs/>
        </w:rPr>
        <w:t>Due Process Clause</w:t>
      </w:r>
      <w:r w:rsidRPr="000E4B39">
        <w:rPr>
          <w:sz w:val="14"/>
        </w:rPr>
        <w:t xml:space="preserve">.71 </w:t>
      </w:r>
      <w:r w:rsidRPr="000E4B39">
        <w:rPr>
          <w:u w:val="single"/>
        </w:rPr>
        <w:t>This constitutional foundation</w:t>
      </w:r>
      <w:r w:rsidRPr="000E4B39">
        <w:rPr>
          <w:sz w:val="14"/>
        </w:rPr>
        <w:t xml:space="preserve"> for the rule </w:t>
      </w:r>
      <w:r w:rsidRPr="000E4B39">
        <w:rPr>
          <w:u w:val="single"/>
        </w:rPr>
        <w:t>was invoked even prior to Wiltberger and is frequently expressed in terms suggesting that the rule is a constitutional mandatory substantive rule</w:t>
      </w:r>
      <w:r w:rsidRPr="000E4B39">
        <w:rPr>
          <w:sz w:val="14"/>
        </w:rPr>
        <w:t xml:space="preserve">.72 So, </w:t>
      </w:r>
      <w:r w:rsidRPr="000E4B39">
        <w:rPr>
          <w:u w:val="single"/>
        </w:rPr>
        <w:t xml:space="preserve">for example, in </w:t>
      </w:r>
      <w:r w:rsidRPr="000E4B39">
        <w:rPr>
          <w:rStyle w:val="Emphasis"/>
          <w:i/>
          <w:iCs w:val="0"/>
        </w:rPr>
        <w:t>Dunn v. U</w:t>
      </w:r>
      <w:r w:rsidRPr="000E4B39">
        <w:rPr>
          <w:i/>
          <w:iCs/>
          <w:sz w:val="14"/>
        </w:rPr>
        <w:t xml:space="preserve">nited </w:t>
      </w:r>
      <w:r w:rsidRPr="000E4B39">
        <w:rPr>
          <w:rStyle w:val="Emphasis"/>
          <w:i/>
          <w:iCs w:val="0"/>
        </w:rPr>
        <w:t>S</w:t>
      </w:r>
      <w:r w:rsidRPr="000E4B39">
        <w:rPr>
          <w:i/>
          <w:iCs/>
          <w:sz w:val="14"/>
        </w:rPr>
        <w:t>tates</w:t>
      </w:r>
      <w:r w:rsidRPr="000E4B39">
        <w:rPr>
          <w:sz w:val="14"/>
        </w:rPr>
        <w:t>, 73 the Court wrote:</w:t>
      </w:r>
    </w:p>
    <w:p w14:paraId="5B78FCA7" w14:textId="77777777" w:rsidR="00156E94" w:rsidRPr="000E4B39" w:rsidRDefault="00156E94" w:rsidP="00156E94">
      <w:pPr>
        <w:rPr>
          <w:sz w:val="14"/>
          <w:szCs w:val="14"/>
        </w:rPr>
      </w:pPr>
      <w:r w:rsidRPr="000E4B39">
        <w:rPr>
          <w:sz w:val="14"/>
          <w:szCs w:val="14"/>
        </w:rPr>
        <w:t>[The rule] reflects not merely a convenient maxim of statutory construction. Rather it is rooted in fundamental principles of due process which mandate that no individual be forced to speculate, at peril of indictment, whether his conduct is prohibited. Thus . . . courts must decline to impose punishment for actions that are not “plainly and unmistakably” proscribed.74</w:t>
      </w:r>
    </w:p>
    <w:p w14:paraId="4B81683C" w14:textId="77777777" w:rsidR="00156E94" w:rsidRPr="000E4B39" w:rsidRDefault="00156E94" w:rsidP="00156E94">
      <w:pPr>
        <w:rPr>
          <w:sz w:val="14"/>
        </w:rPr>
      </w:pPr>
      <w:r w:rsidRPr="005E05E6">
        <w:rPr>
          <w:rStyle w:val="Emphasis"/>
        </w:rPr>
        <w:t xml:space="preserve">Lower </w:t>
      </w:r>
      <w:r w:rsidRPr="00456038">
        <w:rPr>
          <w:rStyle w:val="Emphasis"/>
          <w:highlight w:val="cyan"/>
        </w:rPr>
        <w:t>courts</w:t>
      </w:r>
      <w:r w:rsidRPr="009D0532">
        <w:rPr>
          <w:u w:val="single"/>
        </w:rPr>
        <w:t xml:space="preserve"> have </w:t>
      </w:r>
      <w:r w:rsidRPr="00456038">
        <w:rPr>
          <w:rStyle w:val="Emphasis"/>
          <w:highlight w:val="cyan"/>
        </w:rPr>
        <w:t>grappled</w:t>
      </w:r>
      <w:r w:rsidRPr="00456038">
        <w:rPr>
          <w:highlight w:val="cyan"/>
          <w:u w:val="single"/>
        </w:rPr>
        <w:t xml:space="preserve"> with</w:t>
      </w:r>
      <w:r w:rsidRPr="009D0532">
        <w:rPr>
          <w:u w:val="single"/>
        </w:rPr>
        <w:t xml:space="preserve"> the question </w:t>
      </w:r>
      <w:r w:rsidRPr="000E4B39">
        <w:rPr>
          <w:u w:val="single"/>
        </w:rPr>
        <w:t>of</w:t>
      </w:r>
      <w:r w:rsidRPr="000E4B39">
        <w:rPr>
          <w:b/>
          <w:bCs/>
          <w:u w:val="single"/>
        </w:rPr>
        <w:t xml:space="preserve"> </w:t>
      </w:r>
      <w:r w:rsidRPr="00456038">
        <w:rPr>
          <w:rStyle w:val="Emphasis"/>
          <w:b w:val="0"/>
          <w:bCs/>
          <w:highlight w:val="cyan"/>
        </w:rPr>
        <w:t>whether Congress could abrogate the rule</w:t>
      </w:r>
      <w:r w:rsidRPr="00456038">
        <w:rPr>
          <w:highlight w:val="cyan"/>
          <w:u w:val="single"/>
        </w:rPr>
        <w:t>, and</w:t>
      </w:r>
      <w:r w:rsidRPr="000E4B39">
        <w:rPr>
          <w:sz w:val="14"/>
        </w:rPr>
        <w:t xml:space="preserve"> at least one </w:t>
      </w:r>
      <w:r w:rsidRPr="00456038">
        <w:rPr>
          <w:rStyle w:val="Emphasis"/>
          <w:highlight w:val="cyan"/>
        </w:rPr>
        <w:t>concluded</w:t>
      </w:r>
      <w:r w:rsidRPr="009D0532">
        <w:rPr>
          <w:u w:val="single"/>
        </w:rPr>
        <w:t xml:space="preserve"> that </w:t>
      </w:r>
      <w:r w:rsidRPr="005E05E6">
        <w:rPr>
          <w:rStyle w:val="Emphasis"/>
        </w:rPr>
        <w:t xml:space="preserve">Congress has </w:t>
      </w:r>
      <w:r w:rsidRPr="00456038">
        <w:rPr>
          <w:rStyle w:val="Emphasis"/>
          <w:i/>
          <w:iCs w:val="0"/>
          <w:highlight w:val="cyan"/>
        </w:rPr>
        <w:t xml:space="preserve">no </w:t>
      </w:r>
      <w:r w:rsidRPr="005E05E6">
        <w:rPr>
          <w:rStyle w:val="Emphasis"/>
          <w:i/>
          <w:iCs w:val="0"/>
        </w:rPr>
        <w:t>such power</w:t>
      </w:r>
      <w:r w:rsidRPr="005E05E6">
        <w:rPr>
          <w:u w:val="single"/>
        </w:rPr>
        <w:t xml:space="preserve">, the rule being a necessary component of the </w:t>
      </w:r>
      <w:r w:rsidRPr="005E05E6">
        <w:rPr>
          <w:rStyle w:val="Emphasis"/>
        </w:rPr>
        <w:t>due process guarantee</w:t>
      </w:r>
      <w:r w:rsidRPr="005E05E6">
        <w:rPr>
          <w:sz w:val="14"/>
        </w:rPr>
        <w:t>.</w:t>
      </w:r>
      <w:r w:rsidRPr="000E4B39">
        <w:rPr>
          <w:sz w:val="14"/>
        </w:rPr>
        <w:t xml:space="preserve"> </w:t>
      </w:r>
    </w:p>
    <w:p w14:paraId="3E88B045" w14:textId="77777777" w:rsidR="00156E94" w:rsidRPr="000E4B39" w:rsidRDefault="00156E94" w:rsidP="00156E94">
      <w:pPr>
        <w:rPr>
          <w:sz w:val="14"/>
        </w:rPr>
      </w:pPr>
      <w:r w:rsidRPr="000E4B39">
        <w:rPr>
          <w:sz w:val="14"/>
        </w:rPr>
        <w:t>[</w:t>
      </w:r>
      <w:r w:rsidRPr="000E4B39">
        <w:rPr>
          <w:b/>
          <w:bCs/>
          <w:sz w:val="20"/>
          <w:szCs w:val="32"/>
        </w:rPr>
        <w:t>FOOTNOTE 75</w:t>
      </w:r>
      <w:r w:rsidRPr="000E4B39">
        <w:rPr>
          <w:sz w:val="20"/>
          <w:szCs w:val="32"/>
        </w:rPr>
        <w:t>:</w:t>
      </w:r>
      <w:r w:rsidRPr="000E4B39">
        <w:rPr>
          <w:sz w:val="14"/>
        </w:rPr>
        <w:t xml:space="preserve"> See </w:t>
      </w:r>
      <w:r w:rsidRPr="009D0532">
        <w:rPr>
          <w:rStyle w:val="Emphasis"/>
          <w:i/>
          <w:iCs w:val="0"/>
        </w:rPr>
        <w:t>U</w:t>
      </w:r>
      <w:r w:rsidRPr="000E4B39">
        <w:rPr>
          <w:i/>
          <w:iCs/>
          <w:sz w:val="14"/>
        </w:rPr>
        <w:t xml:space="preserve">nited </w:t>
      </w:r>
      <w:r w:rsidRPr="009D0532">
        <w:rPr>
          <w:rStyle w:val="Emphasis"/>
          <w:i/>
          <w:iCs w:val="0"/>
        </w:rPr>
        <w:t>S</w:t>
      </w:r>
      <w:r w:rsidRPr="000E4B39">
        <w:rPr>
          <w:i/>
          <w:iCs/>
          <w:sz w:val="14"/>
        </w:rPr>
        <w:t xml:space="preserve">tates </w:t>
      </w:r>
      <w:r w:rsidRPr="009D0532">
        <w:rPr>
          <w:rStyle w:val="Emphasis"/>
          <w:i/>
          <w:iCs w:val="0"/>
        </w:rPr>
        <w:t>v. Mandel</w:t>
      </w:r>
      <w:r w:rsidRPr="000E4B39">
        <w:rPr>
          <w:sz w:val="14"/>
        </w:rPr>
        <w:t>, 415 F. Supp. 997, 1022 (D. Md. 1976) (“</w:t>
      </w:r>
      <w:r w:rsidRPr="00456038">
        <w:rPr>
          <w:highlight w:val="cyan"/>
          <w:u w:val="single"/>
        </w:rPr>
        <w:t xml:space="preserve">While </w:t>
      </w:r>
      <w:r w:rsidRPr="00456038">
        <w:rPr>
          <w:rStyle w:val="Emphasis"/>
          <w:highlight w:val="cyan"/>
        </w:rPr>
        <w:t>Congress may instruct courts</w:t>
      </w:r>
      <w:r w:rsidRPr="00456038">
        <w:rPr>
          <w:highlight w:val="cyan"/>
          <w:u w:val="single"/>
        </w:rPr>
        <w:t xml:space="preserve"> to give broad interpretations</w:t>
      </w:r>
      <w:r w:rsidRPr="009D0532">
        <w:rPr>
          <w:u w:val="single"/>
        </w:rPr>
        <w:t xml:space="preserve"> to civil provisions, </w:t>
      </w:r>
      <w:r w:rsidRPr="00456038">
        <w:rPr>
          <w:highlight w:val="cyan"/>
          <w:u w:val="single"/>
        </w:rPr>
        <w:t xml:space="preserve">it </w:t>
      </w:r>
      <w:r w:rsidRPr="00456038">
        <w:rPr>
          <w:rStyle w:val="Emphasis"/>
          <w:highlight w:val="cyan"/>
        </w:rPr>
        <w:t>cannot require courts</w:t>
      </w:r>
      <w:r w:rsidRPr="00456038">
        <w:rPr>
          <w:highlight w:val="cyan"/>
          <w:u w:val="single"/>
        </w:rPr>
        <w:t xml:space="preserve"> to abandon the</w:t>
      </w:r>
      <w:r w:rsidRPr="009D0532">
        <w:rPr>
          <w:u w:val="single"/>
        </w:rPr>
        <w:t xml:space="preserve"> traditional </w:t>
      </w:r>
      <w:r w:rsidRPr="00456038">
        <w:rPr>
          <w:highlight w:val="cyan"/>
          <w:u w:val="single"/>
        </w:rPr>
        <w:t>canon</w:t>
      </w:r>
      <w:r w:rsidRPr="009D0532">
        <w:rPr>
          <w:u w:val="single"/>
        </w:rPr>
        <w:t xml:space="preserve"> of interpretation that ambiguities in criminal statutes are to be construed in favor of leniency. To do so </w:t>
      </w:r>
      <w:r w:rsidRPr="00456038">
        <w:rPr>
          <w:highlight w:val="cyan"/>
          <w:u w:val="single"/>
        </w:rPr>
        <w:t>would</w:t>
      </w:r>
      <w:r w:rsidRPr="009D0532">
        <w:rPr>
          <w:u w:val="single"/>
        </w:rPr>
        <w:t xml:space="preserve"> be to </w:t>
      </w:r>
      <w:r w:rsidRPr="00456038">
        <w:rPr>
          <w:rStyle w:val="Emphasis"/>
          <w:highlight w:val="cyan"/>
        </w:rPr>
        <w:t>violate</w:t>
      </w:r>
      <w:r w:rsidRPr="001905C4">
        <w:rPr>
          <w:rStyle w:val="Emphasis"/>
        </w:rPr>
        <w:t xml:space="preserve"> the principles of </w:t>
      </w:r>
      <w:r w:rsidRPr="00456038">
        <w:rPr>
          <w:rStyle w:val="Emphasis"/>
          <w:highlight w:val="cyan"/>
        </w:rPr>
        <w:t>due process</w:t>
      </w:r>
      <w:r w:rsidRPr="009D0532">
        <w:rPr>
          <w:u w:val="single"/>
        </w:rPr>
        <w:t xml:space="preserve"> on which the canon of interpretation rests</w:t>
      </w:r>
      <w:r w:rsidRPr="000E4B39">
        <w:rPr>
          <w:sz w:val="14"/>
        </w:rPr>
        <w:t>.”)]</w:t>
      </w:r>
    </w:p>
    <w:p w14:paraId="1CDF252E" w14:textId="5FC3F37F" w:rsidR="00156E94" w:rsidRDefault="00156E94" w:rsidP="00156E94">
      <w:pPr>
        <w:rPr>
          <w:sz w:val="14"/>
          <w:szCs w:val="14"/>
        </w:rPr>
      </w:pPr>
      <w:r w:rsidRPr="009D0532">
        <w:rPr>
          <w:sz w:val="14"/>
          <w:szCs w:val="14"/>
        </w:rPr>
        <w:t>It remains true, however, that the Supreme Court has not yet had to confront squarely the question of whether Congress could oust the rule, either wholesale or with respect to a particular statute.</w:t>
      </w:r>
    </w:p>
    <w:p w14:paraId="5D44E443" w14:textId="55614853" w:rsidR="00805A42" w:rsidRPr="00805A42" w:rsidRDefault="00805A42" w:rsidP="00805A42">
      <w:pPr>
        <w:pStyle w:val="Heading4"/>
      </w:pPr>
      <w:r>
        <w:t xml:space="preserve">It links to the </w:t>
      </w:r>
      <w:r>
        <w:rPr>
          <w:u w:val="single"/>
        </w:rPr>
        <w:t>net-benefit</w:t>
      </w:r>
      <w:r>
        <w:t xml:space="preserve"> – SOPRA proves.</w:t>
      </w:r>
    </w:p>
    <w:p w14:paraId="36F5C1C5" w14:textId="77777777" w:rsidR="00805A42" w:rsidRPr="0002059F" w:rsidRDefault="00805A42" w:rsidP="00805A42">
      <w:r w:rsidRPr="0002059F">
        <w:rPr>
          <w:b/>
          <w:bCs/>
          <w:sz w:val="26"/>
          <w:szCs w:val="26"/>
        </w:rPr>
        <w:t>Vermeule 16</w:t>
      </w:r>
      <w:r>
        <w:t xml:space="preserve"> - </w:t>
      </w:r>
      <w:r w:rsidRPr="0002059F">
        <w:t>the Ralph S. Tyler, Jr. Professor of Constitutional Law at Harvard Law School</w:t>
      </w:r>
      <w:r>
        <w:t>, (Adrian, “</w:t>
      </w:r>
      <w:r w:rsidRPr="0002059F">
        <w:t>The Separation of Powers Restoration Act (in the Age of Trump), by Adrian Vermeule</w:t>
      </w:r>
      <w:r>
        <w:t xml:space="preserve">,” </w:t>
      </w:r>
      <w:r>
        <w:rPr>
          <w:i/>
          <w:iCs/>
        </w:rPr>
        <w:t>Yale Journal on Regulation</w:t>
      </w:r>
      <w:r>
        <w:t xml:space="preserve">, 11-10-16, </w:t>
      </w:r>
      <w:hyperlink r:id="rId139" w:history="1">
        <w:r w:rsidRPr="00F9106D">
          <w:rPr>
            <w:rStyle w:val="Hyperlink"/>
          </w:rPr>
          <w:t>https://www.yalejreg.com/nc/the-separation-of-powers-restoration-act-in-the-age-of-trump-by-adrian-vermeule/</w:t>
        </w:r>
      </w:hyperlink>
      <w:r>
        <w:t>, Accessed 6-23-20, LASA-AH)</w:t>
      </w:r>
    </w:p>
    <w:p w14:paraId="0D177DD5" w14:textId="77777777" w:rsidR="00805A42" w:rsidRDefault="00805A42" w:rsidP="00805A42">
      <w:r w:rsidRPr="00412B8C">
        <w:rPr>
          <w:u w:val="single"/>
        </w:rPr>
        <w:t>There are</w:t>
      </w:r>
      <w:r>
        <w:t xml:space="preserve"> apparently swirling </w:t>
      </w:r>
      <w:r w:rsidRPr="00412B8C">
        <w:rPr>
          <w:u w:val="single"/>
        </w:rPr>
        <w:t>rumors</w:t>
      </w:r>
      <w:r>
        <w:t xml:space="preserve"> that the </w:t>
      </w:r>
      <w:r w:rsidRPr="00412B8C">
        <w:rPr>
          <w:u w:val="single"/>
        </w:rPr>
        <w:t>Trump</w:t>
      </w:r>
      <w:r>
        <w:t xml:space="preserve"> people, and Republican senators</w:t>
      </w:r>
      <w:r w:rsidRPr="00412B8C">
        <w:rPr>
          <w:u w:val="single"/>
        </w:rPr>
        <w:t xml:space="preserve">, may agree to enact the Separation of Powers Restoration Act of 2016. </w:t>
      </w:r>
      <w:r>
        <w:t>The Act, having passed the House, is now before the Senate Judiciary Committee. It instructs courts, inter alia, to “decide de novo all relevant questions of law, including the interpretation of constitutional and statutory provisions….”</w:t>
      </w:r>
    </w:p>
    <w:p w14:paraId="594310FF" w14:textId="77777777" w:rsidR="00805A42" w:rsidRDefault="00805A42" w:rsidP="00805A42">
      <w:r>
        <w:t>Some thoughts and reactions:</w:t>
      </w:r>
    </w:p>
    <w:p w14:paraId="7CEFDE73" w14:textId="77777777" w:rsidR="00805A42" w:rsidRDefault="00805A42" w:rsidP="00805A42">
      <w:pPr>
        <w:rPr>
          <w:u w:val="single"/>
        </w:rPr>
      </w:pPr>
      <w:r>
        <w:t xml:space="preserve">I’m going to go have a nap; wake me when it’s actually signed into law. I believe that </w:t>
      </w:r>
      <w:r w:rsidRPr="00412B8C">
        <w:rPr>
          <w:u w:val="single"/>
        </w:rPr>
        <w:t>rational self-interest with a generous rate of time discounting will quickly take over, in which case, under the new political and institutional configuration</w:t>
      </w:r>
      <w:r>
        <w:t xml:space="preserve">: (a) the </w:t>
      </w:r>
      <w:r w:rsidRPr="00412B8C">
        <w:rPr>
          <w:u w:val="single"/>
        </w:rPr>
        <w:t>Trump</w:t>
      </w:r>
      <w:r>
        <w:t xml:space="preserve"> administration may </w:t>
      </w:r>
      <w:r w:rsidRPr="00412B8C">
        <w:rPr>
          <w:u w:val="single"/>
        </w:rPr>
        <w:t xml:space="preserve">think twice about </w:t>
      </w:r>
      <w:r w:rsidRPr="00412B8C">
        <w:rPr>
          <w:rStyle w:val="Emphasis"/>
        </w:rPr>
        <w:t>whether abolishing deference</w:t>
      </w:r>
      <w:r w:rsidRPr="00412B8C">
        <w:rPr>
          <w:u w:val="single"/>
        </w:rPr>
        <w:t xml:space="preserve"> to its own agencies is a great idea</w:t>
      </w:r>
      <w:r>
        <w:t xml:space="preserve">; (b) </w:t>
      </w:r>
      <w:r w:rsidRPr="00412B8C">
        <w:rPr>
          <w:u w:val="single"/>
        </w:rPr>
        <w:t xml:space="preserve">the Republican senators may realize that the short-run choice is between deference to the Trump administration, </w:t>
      </w:r>
      <w:r>
        <w:t>over which they will have real influence</w:t>
      </w:r>
      <w:r w:rsidRPr="00412B8C">
        <w:rPr>
          <w:u w:val="single"/>
        </w:rPr>
        <w:t>, and de novo interpretation by a largely Obama-appointed judiciary, over which they have no influence, and which is their ideological opposite.</w:t>
      </w:r>
    </w:p>
    <w:p w14:paraId="1935DD7D" w14:textId="77777777" w:rsidR="00805A42" w:rsidRDefault="00805A42" w:rsidP="00805A42">
      <w:r w:rsidRPr="00412B8C">
        <w:t xml:space="preserve">If the Act is enacted, there is a problem with its text. </w:t>
      </w:r>
      <w:r w:rsidRPr="00412B8C">
        <w:rPr>
          <w:u w:val="single"/>
        </w:rPr>
        <w:t>The Act instructs federal judges to decide legal questions de novo</w:t>
      </w:r>
      <w:r w:rsidRPr="00412B8C">
        <w:t xml:space="preserve">, </w:t>
      </w:r>
      <w:r w:rsidRPr="00412B8C">
        <w:rPr>
          <w:u w:val="single"/>
        </w:rPr>
        <w:t>including</w:t>
      </w:r>
      <w:r w:rsidRPr="00412B8C">
        <w:t xml:space="preserve"> the </w:t>
      </w:r>
      <w:r w:rsidRPr="00412B8C">
        <w:rPr>
          <w:u w:val="single"/>
        </w:rPr>
        <w:t>interpretation of statutory provisions,</w:t>
      </w:r>
      <w:r w:rsidRPr="00412B8C">
        <w:t xml:space="preserve"> but </w:t>
      </w:r>
      <w:r w:rsidRPr="00412B8C">
        <w:rPr>
          <w:u w:val="single"/>
        </w:rPr>
        <w:t xml:space="preserve">that is not </w:t>
      </w:r>
      <w:r w:rsidRPr="00412B8C">
        <w:t xml:space="preserve">necessarily </w:t>
      </w:r>
      <w:r w:rsidRPr="00412B8C">
        <w:rPr>
          <w:u w:val="single"/>
        </w:rPr>
        <w:t>inconsistent with</w:t>
      </w:r>
      <w:r w:rsidRPr="00412B8C">
        <w:t xml:space="preserve"> the Monahan/Mead justification for </w:t>
      </w:r>
      <w:r w:rsidRPr="00412B8C">
        <w:rPr>
          <w:u w:val="single"/>
        </w:rPr>
        <w:t>Chevron</w:t>
      </w:r>
      <w:r w:rsidRPr="00412B8C">
        <w:t xml:space="preserve">. </w:t>
      </w:r>
      <w:r w:rsidRPr="00412B8C">
        <w:rPr>
          <w:u w:val="single"/>
        </w:rPr>
        <w:t>The judges may determine the law</w:t>
      </w:r>
      <w:r w:rsidRPr="00412B8C">
        <w:t xml:space="preserve"> for </w:t>
      </w:r>
      <w:r w:rsidRPr="00412B8C">
        <w:rPr>
          <w:u w:val="single"/>
        </w:rPr>
        <w:t>themselves, de novo</w:t>
      </w:r>
      <w:r w:rsidRPr="00412B8C">
        <w:t xml:space="preserve">, interpreting the relevant statutes, only </w:t>
      </w:r>
      <w:r w:rsidRPr="00412B8C">
        <w:rPr>
          <w:u w:val="single"/>
        </w:rPr>
        <w:t xml:space="preserve">to decide that those statutes, rightly understood, </w:t>
      </w:r>
      <w:r w:rsidRPr="00412B8C">
        <w:rPr>
          <w:rStyle w:val="Emphasis"/>
        </w:rPr>
        <w:t>make deference itself the law.</w:t>
      </w:r>
      <w:r w:rsidRPr="00412B8C">
        <w:rPr>
          <w:u w:val="single"/>
        </w:rPr>
        <w:t xml:space="preserve"> </w:t>
      </w:r>
      <w:r w:rsidRPr="00412B8C">
        <w:t xml:space="preserve">If the law itself is best understood to say that </w:t>
      </w:r>
      <w:r w:rsidRPr="00620D21">
        <w:rPr>
          <w:u w:val="single"/>
        </w:rPr>
        <w:t>Congress</w:t>
      </w:r>
      <w:r w:rsidRPr="00412B8C">
        <w:t xml:space="preserve"> (in a particular organic statute, as interpreted by the judges) </w:t>
      </w:r>
      <w:r w:rsidRPr="00412B8C">
        <w:rPr>
          <w:u w:val="single"/>
        </w:rPr>
        <w:t>delegated to the agency the power to make rules with the force of law, then the judges,</w:t>
      </w:r>
      <w:r w:rsidRPr="00412B8C">
        <w:t xml:space="preserve"> deciding the legal question de novo, </w:t>
      </w:r>
      <w:r w:rsidRPr="00412B8C">
        <w:rPr>
          <w:u w:val="single"/>
        </w:rPr>
        <w:t xml:space="preserve">might decide that deference just is what the statutory law commands. </w:t>
      </w:r>
      <w:r w:rsidRPr="00412B8C">
        <w:t xml:space="preserve">Of course the </w:t>
      </w:r>
      <w:r w:rsidRPr="00412B8C">
        <w:rPr>
          <w:u w:val="single"/>
        </w:rPr>
        <w:t>background purpose and legislative history</w:t>
      </w:r>
      <w:r w:rsidRPr="00412B8C">
        <w:t xml:space="preserve"> do </w:t>
      </w:r>
      <w:r w:rsidRPr="00412B8C">
        <w:rPr>
          <w:u w:val="single"/>
        </w:rPr>
        <w:t>show</w:t>
      </w:r>
      <w:r w:rsidRPr="00412B8C">
        <w:t xml:space="preserve"> that </w:t>
      </w:r>
      <w:r w:rsidRPr="00412B8C">
        <w:rPr>
          <w:u w:val="single"/>
        </w:rPr>
        <w:t>the point was to abolish Chevron deference</w:t>
      </w:r>
      <w:r w:rsidRPr="00412B8C">
        <w:t xml:space="preserve"> — </w:t>
      </w:r>
      <w:r w:rsidRPr="00412B8C">
        <w:rPr>
          <w:u w:val="single"/>
        </w:rPr>
        <w:t>setting</w:t>
      </w:r>
      <w:r w:rsidRPr="00412B8C">
        <w:t xml:space="preserve"> us all </w:t>
      </w:r>
      <w:r w:rsidRPr="00412B8C">
        <w:rPr>
          <w:u w:val="single"/>
        </w:rPr>
        <w:t>up</w:t>
      </w:r>
      <w:r w:rsidRPr="00412B8C">
        <w:t xml:space="preserve"> for </w:t>
      </w:r>
      <w:r w:rsidRPr="00412B8C">
        <w:rPr>
          <w:u w:val="single"/>
        </w:rPr>
        <w:t>the</w:t>
      </w:r>
      <w:r w:rsidRPr="00412B8C">
        <w:t xml:space="preserve"> delicious </w:t>
      </w:r>
      <w:r w:rsidRPr="00412B8C">
        <w:rPr>
          <w:u w:val="single"/>
        </w:rPr>
        <w:t>spectacle of a rapid switch of hats between quondam textualist Justices who want to abolish Chevron, and who will rely on the background purpose and legislative history to do so</w:t>
      </w:r>
      <w:r w:rsidRPr="00412B8C">
        <w:t>, and quondam purposivist Justices who do not want to abolish Chevron, and who may well refuse to do so absent a clear textual statement to that effect.</w:t>
      </w:r>
    </w:p>
    <w:p w14:paraId="7B614299" w14:textId="77777777" w:rsidR="00805A42" w:rsidRDefault="00805A42" w:rsidP="00156E94">
      <w:pPr>
        <w:rPr>
          <w:sz w:val="14"/>
          <w:szCs w:val="14"/>
        </w:rPr>
      </w:pPr>
    </w:p>
    <w:p w14:paraId="0DB71F89" w14:textId="7551EBB0" w:rsidR="00156E94" w:rsidRDefault="00156E94" w:rsidP="00156E94">
      <w:pPr>
        <w:pStyle w:val="Heading3"/>
      </w:pPr>
      <w:r>
        <w:t>1AR – AT: Congress CP</w:t>
      </w:r>
    </w:p>
    <w:p w14:paraId="62CBB34D" w14:textId="56489FA4" w:rsidR="00156E94" w:rsidRDefault="00156E94" w:rsidP="00156E94">
      <w:pPr>
        <w:pStyle w:val="Heading4"/>
      </w:pPr>
      <w:r>
        <w:t>The Supreme Court strikes it down.</w:t>
      </w:r>
    </w:p>
    <w:p w14:paraId="06AC8810" w14:textId="77777777" w:rsidR="00156E94" w:rsidRPr="00C57F55" w:rsidRDefault="00156E94" w:rsidP="00156E94">
      <w:pPr>
        <w:rPr>
          <w:rFonts w:asciiTheme="minorHAnsi" w:hAnsiTheme="minorHAnsi" w:cstheme="minorHAnsi"/>
        </w:rPr>
      </w:pPr>
      <w:r w:rsidRPr="00C57F55">
        <w:rPr>
          <w:rStyle w:val="Style13ptBold"/>
          <w:rFonts w:asciiTheme="minorHAnsi" w:hAnsiTheme="minorHAnsi" w:cstheme="minorHAnsi"/>
        </w:rPr>
        <w:t xml:space="preserve">Owens </w:t>
      </w:r>
      <w:r w:rsidRPr="006C00EC">
        <w:rPr>
          <w:rStyle w:val="Style13ptBold"/>
          <w:rFonts w:asciiTheme="minorHAnsi" w:hAnsiTheme="minorHAnsi" w:cstheme="minorHAnsi"/>
          <w:sz w:val="24"/>
          <w:szCs w:val="20"/>
        </w:rPr>
        <w:t>13.</w:t>
      </w:r>
      <w:r w:rsidRPr="00C57F55">
        <w:rPr>
          <w:rFonts w:asciiTheme="minorHAnsi" w:hAnsiTheme="minorHAnsi" w:cstheme="minorHAnsi"/>
        </w:rPr>
        <w:t xml:space="preserve"> </w:t>
      </w:r>
      <w:r w:rsidRPr="00791E15">
        <w:rPr>
          <w:rFonts w:asciiTheme="minorHAnsi" w:hAnsiTheme="minorHAnsi" w:cstheme="minorHAnsi"/>
          <w:sz w:val="20"/>
          <w:szCs w:val="20"/>
        </w:rPr>
        <w:t>Assistant Professor in the Department of Political Science, University of Wisconsin, Madison, (March 2013, "How the Supreme Court Alters Opinion Language to Evade Congressional Review," Journal of Law and Courts, vol. 1, no. 1, pp. 35-59, http://www.uky.edu/~jpwede2/JLC.pdf)//pacc</w:t>
      </w:r>
    </w:p>
    <w:p w14:paraId="23EC81E4" w14:textId="77777777" w:rsidR="00156E94" w:rsidRPr="00C57F55" w:rsidRDefault="00156E94" w:rsidP="00156E94">
      <w:pPr>
        <w:rPr>
          <w:rFonts w:asciiTheme="minorHAnsi" w:hAnsiTheme="minorHAnsi" w:cstheme="minorHAnsi"/>
          <w:sz w:val="14"/>
        </w:rPr>
      </w:pPr>
      <w:r w:rsidRPr="00C57F55">
        <w:rPr>
          <w:rFonts w:asciiTheme="minorHAnsi" w:hAnsiTheme="minorHAnsi" w:cstheme="minorHAnsi"/>
          <w:sz w:val="14"/>
        </w:rPr>
        <w:t xml:space="preserve">We apply this theory to the United States Supreme Court, analyzing whether justices strategically write opinions in the attempt to circumvent separation of powers constraints. More specifically, we argue that </w:t>
      </w:r>
      <w:r w:rsidRPr="00C57F55">
        <w:rPr>
          <w:rFonts w:asciiTheme="minorHAnsi" w:hAnsiTheme="minorHAnsi" w:cstheme="minorHAnsi"/>
          <w:u w:val="single"/>
        </w:rPr>
        <w:t>when</w:t>
      </w:r>
      <w:r w:rsidRPr="00C57F55">
        <w:rPr>
          <w:rFonts w:asciiTheme="minorHAnsi" w:hAnsiTheme="minorHAnsi" w:cstheme="minorHAnsi"/>
          <w:sz w:val="14"/>
        </w:rPr>
        <w:t xml:space="preserve"> theoretically </w:t>
      </w:r>
      <w:r w:rsidRPr="00C57F55">
        <w:rPr>
          <w:rFonts w:asciiTheme="minorHAnsi" w:hAnsiTheme="minorHAnsi" w:cstheme="minorHAnsi"/>
          <w:u w:val="single"/>
        </w:rPr>
        <w:t xml:space="preserve">constrained by Congress, </w:t>
      </w:r>
      <w:r w:rsidRPr="00456038">
        <w:rPr>
          <w:rFonts w:asciiTheme="minorHAnsi" w:hAnsiTheme="minorHAnsi" w:cstheme="minorHAnsi"/>
          <w:highlight w:val="cyan"/>
          <w:u w:val="single"/>
        </w:rPr>
        <w:t xml:space="preserve">justices will </w:t>
      </w:r>
      <w:r w:rsidRPr="00456038">
        <w:rPr>
          <w:rStyle w:val="Emphasis"/>
          <w:highlight w:val="cyan"/>
        </w:rPr>
        <w:t>obfuscate</w:t>
      </w:r>
      <w:r w:rsidRPr="006C00EC">
        <w:rPr>
          <w:rStyle w:val="Emphasis"/>
        </w:rPr>
        <w:t xml:space="preserve"> the </w:t>
      </w:r>
      <w:r w:rsidRPr="00456038">
        <w:rPr>
          <w:rStyle w:val="Emphasis"/>
          <w:highlight w:val="cyan"/>
        </w:rPr>
        <w:t>language</w:t>
      </w:r>
      <w:r w:rsidRPr="00C57F55">
        <w:rPr>
          <w:rFonts w:asciiTheme="minorHAnsi" w:hAnsiTheme="minorHAnsi" w:cstheme="minorHAnsi"/>
          <w:u w:val="single"/>
        </w:rPr>
        <w:t xml:space="preserve"> of the majority opinion as a means </w:t>
      </w:r>
      <w:r w:rsidRPr="00456038">
        <w:rPr>
          <w:rFonts w:asciiTheme="minorHAnsi" w:hAnsiTheme="minorHAnsi" w:cstheme="minorHAnsi"/>
          <w:highlight w:val="cyan"/>
          <w:u w:val="single"/>
        </w:rPr>
        <w:t xml:space="preserve">to </w:t>
      </w:r>
      <w:r w:rsidRPr="00456038">
        <w:rPr>
          <w:rStyle w:val="Emphasis"/>
          <w:highlight w:val="cyan"/>
        </w:rPr>
        <w:t>minimize</w:t>
      </w:r>
      <w:r w:rsidRPr="00C57F55">
        <w:rPr>
          <w:rFonts w:asciiTheme="minorHAnsi" w:hAnsiTheme="minorHAnsi" w:cstheme="minorHAnsi"/>
          <w:u w:val="single"/>
        </w:rPr>
        <w:t xml:space="preserve"> the likelihood that Congress will pursue </w:t>
      </w:r>
      <w:r w:rsidRPr="006C00EC">
        <w:rPr>
          <w:rStyle w:val="Emphasis"/>
        </w:rPr>
        <w:t>retaliatory measures</w:t>
      </w:r>
      <w:r w:rsidRPr="00C57F55">
        <w:rPr>
          <w:rFonts w:asciiTheme="minorHAnsi" w:hAnsiTheme="minorHAnsi" w:cstheme="minorHAnsi"/>
          <w:sz w:val="14"/>
        </w:rPr>
        <w:t>. Increased transaction costs imposed by the Court—from more obfuscated opinions—</w:t>
      </w:r>
      <w:r w:rsidRPr="00C57F55">
        <w:rPr>
          <w:rFonts w:asciiTheme="minorHAnsi" w:hAnsiTheme="minorHAnsi" w:cstheme="minorHAnsi"/>
          <w:u w:val="single"/>
        </w:rPr>
        <w:t xml:space="preserve">can decrease </w:t>
      </w:r>
      <w:r w:rsidRPr="006C00EC">
        <w:rPr>
          <w:rFonts w:asciiTheme="minorHAnsi" w:hAnsiTheme="minorHAnsi" w:cstheme="minorHAnsi"/>
          <w:u w:val="single"/>
        </w:rPr>
        <w:t xml:space="preserve">the </w:t>
      </w:r>
      <w:r w:rsidRPr="00456038">
        <w:rPr>
          <w:rStyle w:val="Emphasis"/>
          <w:highlight w:val="cyan"/>
        </w:rPr>
        <w:t>probability</w:t>
      </w:r>
      <w:r w:rsidRPr="006C00EC">
        <w:rPr>
          <w:rStyle w:val="Emphasis"/>
        </w:rPr>
        <w:t xml:space="preserve"> that </w:t>
      </w:r>
      <w:r w:rsidRPr="00456038">
        <w:rPr>
          <w:rStyle w:val="Emphasis"/>
          <w:highlight w:val="cyan"/>
        </w:rPr>
        <w:t>Congress reviews</w:t>
      </w:r>
      <w:r w:rsidRPr="006C00EC">
        <w:rPr>
          <w:rFonts w:asciiTheme="minorHAnsi" w:hAnsiTheme="minorHAnsi" w:cstheme="minorHAnsi"/>
          <w:u w:val="single"/>
        </w:rPr>
        <w:t xml:space="preserve"> </w:t>
      </w:r>
      <w:r w:rsidRPr="00C57F55">
        <w:rPr>
          <w:rFonts w:asciiTheme="minorHAnsi" w:hAnsiTheme="minorHAnsi" w:cstheme="minorHAnsi"/>
          <w:u w:val="single"/>
        </w:rPr>
        <w:t>its decisions</w:t>
      </w:r>
      <w:r w:rsidRPr="00C57F55">
        <w:rPr>
          <w:rFonts w:asciiTheme="minorHAnsi" w:hAnsiTheme="minorHAnsi" w:cstheme="minorHAnsi"/>
          <w:sz w:val="14"/>
        </w:rPr>
        <w:t xml:space="preserve">. This is the case </w:t>
      </w:r>
      <w:r w:rsidRPr="00456038">
        <w:rPr>
          <w:rFonts w:asciiTheme="minorHAnsi" w:hAnsiTheme="minorHAnsi" w:cstheme="minorHAnsi"/>
          <w:highlight w:val="cyan"/>
          <w:u w:val="single"/>
        </w:rPr>
        <w:t>because</w:t>
      </w:r>
      <w:r w:rsidRPr="00C57F55">
        <w:rPr>
          <w:rFonts w:asciiTheme="minorHAnsi" w:hAnsiTheme="minorHAnsi" w:cstheme="minorHAnsi"/>
          <w:sz w:val="14"/>
        </w:rPr>
        <w:t xml:space="preserve"> members of </w:t>
      </w:r>
      <w:r w:rsidRPr="00456038">
        <w:rPr>
          <w:rFonts w:asciiTheme="minorHAnsi" w:hAnsiTheme="minorHAnsi" w:cstheme="minorHAnsi"/>
          <w:highlight w:val="cyan"/>
          <w:u w:val="single"/>
        </w:rPr>
        <w:t xml:space="preserve">Congress face </w:t>
      </w:r>
      <w:r w:rsidRPr="00456038">
        <w:rPr>
          <w:rStyle w:val="Emphasis"/>
          <w:highlight w:val="cyan"/>
        </w:rPr>
        <w:t>significant time and resource constraints</w:t>
      </w:r>
      <w:r w:rsidRPr="00C57F55">
        <w:rPr>
          <w:rFonts w:asciiTheme="minorHAnsi" w:hAnsiTheme="minorHAnsi" w:cstheme="minorHAnsi"/>
          <w:u w:val="single"/>
        </w:rPr>
        <w:t xml:space="preserve"> that force them to consider </w:t>
      </w:r>
      <w:r w:rsidRPr="00C57F55">
        <w:rPr>
          <w:rFonts w:asciiTheme="minorHAnsi" w:hAnsiTheme="minorHAnsi" w:cstheme="minorHAnsi"/>
          <w:b/>
          <w:bCs/>
          <w:u w:val="single"/>
        </w:rPr>
        <w:t>electoral and transactional opportunity costs</w:t>
      </w:r>
      <w:r w:rsidRPr="00C57F55">
        <w:rPr>
          <w:rFonts w:asciiTheme="minorHAnsi" w:hAnsiTheme="minorHAnsi" w:cstheme="minorHAnsi"/>
          <w:sz w:val="14"/>
        </w:rPr>
        <w:t>. On average</w:t>
      </w:r>
      <w:r w:rsidRPr="00C57F55">
        <w:rPr>
          <w:rFonts w:asciiTheme="minorHAnsi" w:hAnsiTheme="minorHAnsi" w:cstheme="minorHAnsi"/>
          <w:u w:val="single"/>
        </w:rPr>
        <w:t xml:space="preserve">, </w:t>
      </w:r>
      <w:r w:rsidRPr="00456038">
        <w:rPr>
          <w:rFonts w:asciiTheme="minorHAnsi" w:hAnsiTheme="minorHAnsi" w:cstheme="minorHAnsi"/>
          <w:highlight w:val="cyan"/>
          <w:u w:val="single"/>
        </w:rPr>
        <w:t>spending resources on imprecise</w:t>
      </w:r>
      <w:r w:rsidRPr="00C57F55">
        <w:rPr>
          <w:rFonts w:asciiTheme="minorHAnsi" w:hAnsiTheme="minorHAnsi" w:cstheme="minorHAnsi"/>
          <w:u w:val="single"/>
        </w:rPr>
        <w:t xml:space="preserve"> Supreme Court </w:t>
      </w:r>
      <w:r w:rsidRPr="00456038">
        <w:rPr>
          <w:rFonts w:asciiTheme="minorHAnsi" w:hAnsiTheme="minorHAnsi" w:cstheme="minorHAnsi"/>
          <w:highlight w:val="cyan"/>
          <w:u w:val="single"/>
        </w:rPr>
        <w:t xml:space="preserve">opinions is </w:t>
      </w:r>
      <w:r w:rsidRPr="00456038">
        <w:rPr>
          <w:rFonts w:asciiTheme="minorHAnsi" w:hAnsiTheme="minorHAnsi" w:cstheme="minorHAnsi"/>
          <w:b/>
          <w:bCs/>
          <w:highlight w:val="cyan"/>
          <w:u w:val="single"/>
        </w:rPr>
        <w:t>unlikely</w:t>
      </w:r>
      <w:r w:rsidRPr="00456038">
        <w:rPr>
          <w:rFonts w:asciiTheme="minorHAnsi" w:hAnsiTheme="minorHAnsi" w:cstheme="minorHAnsi"/>
          <w:highlight w:val="cyan"/>
          <w:u w:val="single"/>
        </w:rPr>
        <w:t xml:space="preserve"> to</w:t>
      </w:r>
      <w:r w:rsidRPr="00C57F55">
        <w:rPr>
          <w:rFonts w:asciiTheme="minorHAnsi" w:hAnsiTheme="minorHAnsi" w:cstheme="minorHAnsi"/>
          <w:u w:val="single"/>
        </w:rPr>
        <w:t xml:space="preserve"> offer the most efficient and productive means </w:t>
      </w:r>
      <w:r w:rsidRPr="006C00EC">
        <w:rPr>
          <w:rStyle w:val="Emphasis"/>
        </w:rPr>
        <w:t xml:space="preserve">to </w:t>
      </w:r>
      <w:r w:rsidRPr="00456038">
        <w:rPr>
          <w:rStyle w:val="Emphasis"/>
          <w:highlight w:val="cyan"/>
        </w:rPr>
        <w:t>improve</w:t>
      </w:r>
      <w:r w:rsidRPr="006C00EC">
        <w:rPr>
          <w:rStyle w:val="Emphasis"/>
        </w:rPr>
        <w:t xml:space="preserve"> their </w:t>
      </w:r>
      <w:r w:rsidRPr="00456038">
        <w:rPr>
          <w:rStyle w:val="Emphasis"/>
          <w:highlight w:val="cyan"/>
        </w:rPr>
        <w:t>reelection chances</w:t>
      </w:r>
      <w:r w:rsidRPr="00C57F55">
        <w:rPr>
          <w:rFonts w:asciiTheme="minorHAnsi" w:hAnsiTheme="minorHAnsi" w:cstheme="minorHAnsi"/>
          <w:sz w:val="14"/>
        </w:rPr>
        <w:t>. Thus, they will largely avoid those issues. Justices might, therefore, be able to manipulate the language of their opinions to evade a politically hostile Congress. Certainly, justices face a tradeoff in this context in terms of potential benefits. Opinion language that significantly obfuscates the Court’s decision may impose less constraint on interpreting and implementing actors. Still, though, moving policy even marginally toward their sincere preferences may be worth the necessary complexity.</w:t>
      </w:r>
    </w:p>
    <w:p w14:paraId="433FC485" w14:textId="77777777" w:rsidR="00156E94" w:rsidRPr="00C57F55" w:rsidRDefault="00156E94" w:rsidP="00156E94">
      <w:pPr>
        <w:rPr>
          <w:rFonts w:asciiTheme="minorHAnsi" w:hAnsiTheme="minorHAnsi" w:cstheme="minorHAnsi"/>
          <w:sz w:val="14"/>
        </w:rPr>
      </w:pPr>
      <w:r w:rsidRPr="00C57F55">
        <w:rPr>
          <w:rFonts w:asciiTheme="minorHAnsi" w:hAnsiTheme="minorHAnsi" w:cstheme="minorHAnsi"/>
          <w:sz w:val="14"/>
        </w:rPr>
        <w:t xml:space="preserve">To examine whether justices strategically obfuscate their opinions to avoid separation of powers constraints, </w:t>
      </w:r>
      <w:r w:rsidRPr="00456038">
        <w:rPr>
          <w:rFonts w:asciiTheme="minorHAnsi" w:hAnsiTheme="minorHAnsi" w:cstheme="minorHAnsi"/>
          <w:highlight w:val="cyan"/>
          <w:u w:val="single"/>
        </w:rPr>
        <w:t>we examine</w:t>
      </w:r>
      <w:r w:rsidRPr="00C57F55">
        <w:rPr>
          <w:rFonts w:asciiTheme="minorHAnsi" w:hAnsiTheme="minorHAnsi" w:cstheme="minorHAnsi"/>
          <w:u w:val="single"/>
        </w:rPr>
        <w:t xml:space="preserve"> the “</w:t>
      </w:r>
      <w:r w:rsidRPr="00456038">
        <w:rPr>
          <w:rStyle w:val="Emphasis"/>
          <w:highlight w:val="cyan"/>
        </w:rPr>
        <w:t>readability</w:t>
      </w:r>
      <w:r w:rsidRPr="00C57F55">
        <w:rPr>
          <w:rFonts w:asciiTheme="minorHAnsi" w:hAnsiTheme="minorHAnsi" w:cstheme="minorHAnsi"/>
          <w:u w:val="single"/>
        </w:rPr>
        <w:t>”</w:t>
      </w:r>
      <w:r w:rsidRPr="00C57F55">
        <w:rPr>
          <w:rFonts w:asciiTheme="minorHAnsi" w:hAnsiTheme="minorHAnsi" w:cstheme="minorHAnsi"/>
          <w:sz w:val="14"/>
        </w:rPr>
        <w:t xml:space="preserve"> (Coleman 2001, 489) </w:t>
      </w:r>
      <w:r w:rsidRPr="00456038">
        <w:rPr>
          <w:rFonts w:asciiTheme="minorHAnsi" w:hAnsiTheme="minorHAnsi" w:cstheme="minorHAnsi"/>
          <w:highlight w:val="cyan"/>
          <w:u w:val="single"/>
        </w:rPr>
        <w:t>of</w:t>
      </w:r>
      <w:r w:rsidRPr="00C57F55">
        <w:rPr>
          <w:rFonts w:asciiTheme="minorHAnsi" w:hAnsiTheme="minorHAnsi" w:cstheme="minorHAnsi"/>
          <w:u w:val="single"/>
        </w:rPr>
        <w:t xml:space="preserve"> over </w:t>
      </w:r>
      <w:r w:rsidRPr="00456038">
        <w:rPr>
          <w:rFonts w:asciiTheme="minorHAnsi" w:hAnsiTheme="minorHAnsi" w:cstheme="minorHAnsi"/>
          <w:highlight w:val="cyan"/>
          <w:u w:val="single"/>
        </w:rPr>
        <w:t>500</w:t>
      </w:r>
      <w:r w:rsidRPr="00C57F55">
        <w:rPr>
          <w:rFonts w:asciiTheme="minorHAnsi" w:hAnsiTheme="minorHAnsi" w:cstheme="minorHAnsi"/>
          <w:sz w:val="14"/>
        </w:rPr>
        <w:t xml:space="preserve"> randomly selected </w:t>
      </w:r>
      <w:r w:rsidRPr="00C57F55">
        <w:rPr>
          <w:rFonts w:asciiTheme="minorHAnsi" w:hAnsiTheme="minorHAnsi" w:cstheme="minorHAnsi"/>
          <w:u w:val="single"/>
        </w:rPr>
        <w:t xml:space="preserve">Supreme Court majority </w:t>
      </w:r>
      <w:r w:rsidRPr="00456038">
        <w:rPr>
          <w:rFonts w:asciiTheme="minorHAnsi" w:hAnsiTheme="minorHAnsi" w:cstheme="minorHAnsi"/>
          <w:highlight w:val="cyan"/>
          <w:u w:val="single"/>
        </w:rPr>
        <w:t>opinions</w:t>
      </w:r>
      <w:r w:rsidRPr="00C57F55">
        <w:rPr>
          <w:rFonts w:asciiTheme="minorHAnsi" w:hAnsiTheme="minorHAnsi" w:cstheme="minorHAnsi"/>
          <w:sz w:val="14"/>
        </w:rPr>
        <w:t xml:space="preserve"> published between the 1953 and 2009 Court terms. </w:t>
      </w:r>
      <w:r w:rsidRPr="00C57F55">
        <w:rPr>
          <w:rFonts w:asciiTheme="minorHAnsi" w:hAnsiTheme="minorHAnsi" w:cstheme="minorHAnsi"/>
          <w:u w:val="single"/>
        </w:rPr>
        <w:t>Readability indexes</w:t>
      </w:r>
      <w:r w:rsidRPr="00C57F55">
        <w:rPr>
          <w:rFonts w:asciiTheme="minorHAnsi" w:hAnsiTheme="minorHAnsi" w:cstheme="minorHAnsi"/>
          <w:sz w:val="14"/>
        </w:rPr>
        <w:t xml:space="preserve"> measure the ease with which one may read a document. And, while they do not directly address the complexity of legal doctrine or the nuances involved with legal writing per se, they do </w:t>
      </w:r>
      <w:r w:rsidRPr="00456038">
        <w:rPr>
          <w:rFonts w:asciiTheme="minorHAnsi" w:hAnsiTheme="minorHAnsi" w:cstheme="minorHAnsi"/>
          <w:highlight w:val="cyan"/>
          <w:u w:val="single"/>
        </w:rPr>
        <w:t>provide</w:t>
      </w:r>
      <w:r w:rsidRPr="00C57F55">
        <w:rPr>
          <w:rFonts w:asciiTheme="minorHAnsi" w:hAnsiTheme="minorHAnsi" w:cstheme="minorHAnsi"/>
          <w:u w:val="single"/>
        </w:rPr>
        <w:t xml:space="preserve"> a rough </w:t>
      </w:r>
      <w:r w:rsidRPr="00456038">
        <w:rPr>
          <w:rFonts w:asciiTheme="minorHAnsi" w:hAnsiTheme="minorHAnsi" w:cstheme="minorHAnsi"/>
          <w:highlight w:val="cyan"/>
          <w:u w:val="single"/>
        </w:rPr>
        <w:t>estimate of</w:t>
      </w:r>
      <w:r w:rsidRPr="00C57F55">
        <w:rPr>
          <w:rFonts w:asciiTheme="minorHAnsi" w:hAnsiTheme="minorHAnsi" w:cstheme="minorHAnsi"/>
          <w:u w:val="single"/>
        </w:rPr>
        <w:t xml:space="preserve"> the </w:t>
      </w:r>
      <w:r w:rsidRPr="00456038">
        <w:rPr>
          <w:rFonts w:asciiTheme="minorHAnsi" w:hAnsiTheme="minorHAnsi" w:cstheme="minorHAnsi"/>
          <w:highlight w:val="cyan"/>
          <w:u w:val="single"/>
        </w:rPr>
        <w:t>ease</w:t>
      </w:r>
      <w:r w:rsidRPr="00C57F55">
        <w:rPr>
          <w:rFonts w:asciiTheme="minorHAnsi" w:hAnsiTheme="minorHAnsi" w:cstheme="minorHAnsi"/>
          <w:u w:val="single"/>
        </w:rPr>
        <w:t xml:space="preserve"> with </w:t>
      </w:r>
      <w:r w:rsidRPr="00456038">
        <w:rPr>
          <w:rFonts w:asciiTheme="minorHAnsi" w:hAnsiTheme="minorHAnsi" w:cstheme="minorHAnsi"/>
          <w:highlight w:val="cyan"/>
          <w:u w:val="single"/>
        </w:rPr>
        <w:t>which</w:t>
      </w:r>
      <w:r w:rsidRPr="00C57F55">
        <w:rPr>
          <w:rFonts w:asciiTheme="minorHAnsi" w:hAnsiTheme="minorHAnsi" w:cstheme="minorHAnsi"/>
          <w:sz w:val="14"/>
        </w:rPr>
        <w:t xml:space="preserve"> members of </w:t>
      </w:r>
      <w:r w:rsidRPr="00456038">
        <w:rPr>
          <w:rFonts w:asciiTheme="minorHAnsi" w:hAnsiTheme="minorHAnsi" w:cstheme="minorHAnsi"/>
          <w:highlight w:val="cyan"/>
          <w:u w:val="single"/>
        </w:rPr>
        <w:t>Congress</w:t>
      </w:r>
      <w:r w:rsidRPr="00C57F55">
        <w:rPr>
          <w:rFonts w:asciiTheme="minorHAnsi" w:hAnsiTheme="minorHAnsi" w:cstheme="minorHAnsi"/>
          <w:u w:val="single"/>
        </w:rPr>
        <w:t xml:space="preserve"> (and others) </w:t>
      </w:r>
      <w:r w:rsidRPr="00456038">
        <w:rPr>
          <w:rFonts w:asciiTheme="minorHAnsi" w:hAnsiTheme="minorHAnsi" w:cstheme="minorHAnsi"/>
          <w:highlight w:val="cyan"/>
          <w:u w:val="single"/>
        </w:rPr>
        <w:t>can read Court opinions</w:t>
      </w:r>
      <w:r w:rsidRPr="00C57F55">
        <w:rPr>
          <w:rFonts w:asciiTheme="minorHAnsi" w:hAnsiTheme="minorHAnsi" w:cstheme="minorHAnsi"/>
          <w:sz w:val="14"/>
        </w:rPr>
        <w:t>. In other words, we examine judicial obfuscation by focusing on opinion readability—one measure among many that scholars might employ.</w:t>
      </w:r>
    </w:p>
    <w:p w14:paraId="2C7FFB08" w14:textId="712E13AA" w:rsidR="00156E94" w:rsidRPr="00156E94" w:rsidRDefault="00156E94" w:rsidP="00156E94">
      <w:pPr>
        <w:rPr>
          <w:rFonts w:asciiTheme="minorHAnsi" w:hAnsiTheme="minorHAnsi" w:cstheme="minorHAnsi"/>
          <w:sz w:val="14"/>
        </w:rPr>
      </w:pPr>
      <w:r w:rsidRPr="00C57F55">
        <w:rPr>
          <w:rFonts w:asciiTheme="minorHAnsi" w:hAnsiTheme="minorHAnsi" w:cstheme="minorHAnsi"/>
          <w:u w:val="single"/>
        </w:rPr>
        <w:t xml:space="preserve">Our </w:t>
      </w:r>
      <w:r w:rsidRPr="00456038">
        <w:rPr>
          <w:rFonts w:asciiTheme="minorHAnsi" w:hAnsiTheme="minorHAnsi" w:cstheme="minorHAnsi"/>
          <w:highlight w:val="cyan"/>
          <w:u w:val="single"/>
        </w:rPr>
        <w:t>results suggest</w:t>
      </w:r>
      <w:r w:rsidRPr="00C57F55">
        <w:rPr>
          <w:rFonts w:asciiTheme="minorHAnsi" w:hAnsiTheme="minorHAnsi" w:cstheme="minorHAnsi"/>
          <w:u w:val="single"/>
        </w:rPr>
        <w:t xml:space="preserve"> that</w:t>
      </w:r>
      <w:r w:rsidRPr="00C57F55">
        <w:rPr>
          <w:rFonts w:asciiTheme="minorHAnsi" w:hAnsiTheme="minorHAnsi" w:cstheme="minorHAnsi"/>
          <w:sz w:val="14"/>
        </w:rPr>
        <w:t xml:space="preserve"> as the Court’s majority coalition in a case becomes increasingly distant ideologically from the relevant pivots in Congress, </w:t>
      </w:r>
      <w:r w:rsidRPr="00456038">
        <w:rPr>
          <w:rFonts w:asciiTheme="minorHAnsi" w:hAnsiTheme="minorHAnsi" w:cstheme="minorHAnsi"/>
          <w:highlight w:val="cyan"/>
          <w:u w:val="single"/>
        </w:rPr>
        <w:t>justices craft</w:t>
      </w:r>
      <w:r w:rsidRPr="00C57F55">
        <w:rPr>
          <w:rFonts w:asciiTheme="minorHAnsi" w:hAnsiTheme="minorHAnsi" w:cstheme="minorHAnsi"/>
          <w:sz w:val="14"/>
        </w:rPr>
        <w:t xml:space="preserve"> more obfuscated (i.e., </w:t>
      </w:r>
      <w:r w:rsidRPr="00456038">
        <w:rPr>
          <w:rStyle w:val="Emphasis"/>
          <w:highlight w:val="cyan"/>
        </w:rPr>
        <w:t>less readable</w:t>
      </w:r>
      <w:r w:rsidRPr="006C00EC">
        <w:rPr>
          <w:rStyle w:val="Emphasis"/>
        </w:rPr>
        <w:t xml:space="preserve">) </w:t>
      </w:r>
      <w:r w:rsidRPr="00456038">
        <w:rPr>
          <w:rStyle w:val="Emphasis"/>
          <w:highlight w:val="cyan"/>
        </w:rPr>
        <w:t>opinions</w:t>
      </w:r>
      <w:r w:rsidRPr="00C57F55">
        <w:rPr>
          <w:rFonts w:asciiTheme="minorHAnsi" w:hAnsiTheme="minorHAnsi" w:cstheme="minorHAnsi"/>
          <w:sz w:val="14"/>
        </w:rPr>
        <w:t>—those that require a higher level of sophistication to comprehend. Furthermore, these results are robust to alternative specifications of pivotal legislative actors. To be sure, our readability measure does not fully capture the intricacies involved with legal writing. We believe, therefore, that the results may actually understate the power of the Court to use judicial language strategically. If the general readability measure we employ here uncovers significant results, we have reason to believe that more precise measures might, in the future, discover a larger effect. Overall, then, our findings suggest that justices engage in nuanced strategic behavior when confronted by separation of powers constraints—findings that we believe may also have implications for other institutional settings and underscore how actors might use language strategically</w:t>
      </w:r>
    </w:p>
    <w:p w14:paraId="6CAEE403" w14:textId="45B50830" w:rsidR="00156E94" w:rsidRPr="00156E94" w:rsidRDefault="00156E94" w:rsidP="00156E94">
      <w:pPr>
        <w:pStyle w:val="Heading4"/>
      </w:pPr>
      <w:r>
        <w:t xml:space="preserve">It </w:t>
      </w:r>
      <w:r>
        <w:rPr>
          <w:u w:val="single"/>
        </w:rPr>
        <w:t>statistically</w:t>
      </w:r>
      <w:r>
        <w:t xml:space="preserve"> fails.</w:t>
      </w:r>
    </w:p>
    <w:p w14:paraId="0C6E4473" w14:textId="77777777" w:rsidR="00156E94" w:rsidRPr="00791E15" w:rsidRDefault="00156E94" w:rsidP="00156E94">
      <w:pPr>
        <w:rPr>
          <w:sz w:val="20"/>
          <w:szCs w:val="20"/>
        </w:rPr>
      </w:pPr>
      <w:r w:rsidRPr="002A4AE8">
        <w:rPr>
          <w:rStyle w:val="Style13ptBold"/>
        </w:rPr>
        <w:t xml:space="preserve">Smith </w:t>
      </w:r>
      <w:r w:rsidRPr="001905C4">
        <w:rPr>
          <w:rStyle w:val="Style13ptBold"/>
          <w:sz w:val="24"/>
          <w:szCs w:val="20"/>
        </w:rPr>
        <w:t>12.</w:t>
      </w:r>
      <w:r>
        <w:t xml:space="preserve"> </w:t>
      </w:r>
      <w:r w:rsidRPr="00791E15">
        <w:rPr>
          <w:sz w:val="20"/>
          <w:szCs w:val="20"/>
        </w:rPr>
        <w:t>Stephen F. Smith, Professor of Law, University of Notre Dame. (Summer 2012, "Overcoming Overcriminalization." Journal of Criminal Law and Criminology, vol. 102, no. 3, pp. 537-592, HeinOnline)//pacc</w:t>
      </w:r>
    </w:p>
    <w:p w14:paraId="7D449EE7" w14:textId="77777777" w:rsidR="00156E94" w:rsidRPr="002A4AE8" w:rsidRDefault="00156E94" w:rsidP="00156E94">
      <w:pPr>
        <w:rPr>
          <w:sz w:val="14"/>
        </w:rPr>
      </w:pPr>
      <w:r w:rsidRPr="002A4AE8">
        <w:rPr>
          <w:u w:val="single"/>
        </w:rPr>
        <w:t>One might wonder what the point of enforcing the rule of lenity would be if legislatures can be counted upon to repeal decisions narrowing the reach of criminal statutes</w:t>
      </w:r>
      <w:r w:rsidRPr="002A4AE8">
        <w:rPr>
          <w:sz w:val="14"/>
        </w:rPr>
        <w:t xml:space="preserve">. The fact, </w:t>
      </w:r>
      <w:r w:rsidRPr="002A4AE8">
        <w:rPr>
          <w:u w:val="single"/>
        </w:rPr>
        <w:t>however</w:t>
      </w:r>
      <w:r w:rsidRPr="002A4AE8">
        <w:rPr>
          <w:sz w:val="14"/>
        </w:rPr>
        <w:t xml:space="preserve">, is that </w:t>
      </w:r>
      <w:r w:rsidRPr="00456038">
        <w:rPr>
          <w:highlight w:val="cyan"/>
          <w:u w:val="single"/>
        </w:rPr>
        <w:t xml:space="preserve">legislatures do </w:t>
      </w:r>
      <w:r w:rsidRPr="00456038">
        <w:rPr>
          <w:rStyle w:val="Emphasis"/>
          <w:highlight w:val="cyan"/>
        </w:rPr>
        <w:t>not</w:t>
      </w:r>
      <w:r>
        <w:rPr>
          <w:u w:val="single"/>
        </w:rPr>
        <w:t xml:space="preserve"> </w:t>
      </w:r>
      <w:r w:rsidRPr="002A4AE8">
        <w:rPr>
          <w:u w:val="single"/>
        </w:rPr>
        <w:t xml:space="preserve">reflexively </w:t>
      </w:r>
      <w:r w:rsidRPr="002A4AE8">
        <w:rPr>
          <w:rStyle w:val="Emphasis"/>
        </w:rPr>
        <w:t xml:space="preserve">ride to the </w:t>
      </w:r>
      <w:r w:rsidRPr="00456038">
        <w:rPr>
          <w:rStyle w:val="Emphasis"/>
          <w:highlight w:val="cyan"/>
        </w:rPr>
        <w:t>rescue</w:t>
      </w:r>
      <w:r w:rsidRPr="002A4AE8">
        <w:rPr>
          <w:rStyle w:val="Emphasis"/>
        </w:rPr>
        <w:t xml:space="preserve"> of </w:t>
      </w:r>
      <w:r w:rsidRPr="00456038">
        <w:rPr>
          <w:rStyle w:val="Emphasis"/>
          <w:highlight w:val="cyan"/>
        </w:rPr>
        <w:t>prosecutors</w:t>
      </w:r>
      <w:r w:rsidRPr="002A4AE8">
        <w:rPr>
          <w:u w:val="single"/>
        </w:rPr>
        <w:t xml:space="preserve"> handed interpretive defeats in</w:t>
      </w:r>
      <w:r>
        <w:rPr>
          <w:u w:val="single"/>
        </w:rPr>
        <w:t xml:space="preserve"> </w:t>
      </w:r>
      <w:r w:rsidRPr="002A4AE8">
        <w:rPr>
          <w:u w:val="single"/>
        </w:rPr>
        <w:t>court</w:t>
      </w:r>
      <w:r w:rsidRPr="002A4AE8">
        <w:rPr>
          <w:sz w:val="14"/>
        </w:rPr>
        <w:t xml:space="preserve">. </w:t>
      </w:r>
      <w:r w:rsidRPr="00456038">
        <w:rPr>
          <w:highlight w:val="cyan"/>
          <w:u w:val="single"/>
        </w:rPr>
        <w:t>According to</w:t>
      </w:r>
      <w:r w:rsidRPr="002A4AE8">
        <w:rPr>
          <w:u w:val="single"/>
        </w:rPr>
        <w:t xml:space="preserve"> a </w:t>
      </w:r>
      <w:r w:rsidRPr="00456038">
        <w:rPr>
          <w:rStyle w:val="Emphasis"/>
          <w:highlight w:val="cyan"/>
        </w:rPr>
        <w:t>leading study</w:t>
      </w:r>
      <w:r w:rsidRPr="0098449E">
        <w:rPr>
          <w:rStyle w:val="StyleUnderline"/>
        </w:rPr>
        <w:t xml:space="preserve"> of congressional overrides of Supreme Court decisions</w:t>
      </w:r>
      <w:r w:rsidRPr="002A4AE8">
        <w:rPr>
          <w:u w:val="single"/>
        </w:rPr>
        <w:t xml:space="preserve">, </w:t>
      </w:r>
      <w:r w:rsidRPr="00456038">
        <w:rPr>
          <w:highlight w:val="cyan"/>
          <w:u w:val="single"/>
        </w:rPr>
        <w:t>Congress</w:t>
      </w:r>
      <w:r w:rsidRPr="002A4AE8">
        <w:rPr>
          <w:sz w:val="14"/>
        </w:rPr>
        <w:t xml:space="preserve"> is more likely to overturn decisions narrowing criminal laws than those giving laws expansive interpretations, but nevertheless </w:t>
      </w:r>
      <w:r w:rsidRPr="00456038">
        <w:rPr>
          <w:highlight w:val="cyan"/>
          <w:u w:val="single"/>
        </w:rPr>
        <w:t>lets stand</w:t>
      </w:r>
      <w:r w:rsidRPr="002A4AE8">
        <w:rPr>
          <w:u w:val="single"/>
        </w:rPr>
        <w:t xml:space="preserve"> the vast majority (</w:t>
      </w:r>
      <w:r w:rsidRPr="00456038">
        <w:rPr>
          <w:rStyle w:val="Emphasis"/>
          <w:highlight w:val="cyan"/>
        </w:rPr>
        <w:t>80%</w:t>
      </w:r>
      <w:r w:rsidRPr="002A4AE8">
        <w:rPr>
          <w:u w:val="single"/>
        </w:rPr>
        <w:t xml:space="preserve">) </w:t>
      </w:r>
      <w:r w:rsidRPr="00456038">
        <w:rPr>
          <w:highlight w:val="cyan"/>
          <w:u w:val="single"/>
        </w:rPr>
        <w:t>of narrow interpretations</w:t>
      </w:r>
      <w:r w:rsidRPr="002A4AE8">
        <w:rPr>
          <w:sz w:val="14"/>
        </w:rPr>
        <w:t xml:space="preserve">.167 </w:t>
      </w:r>
      <w:r w:rsidRPr="002A4AE8">
        <w:rPr>
          <w:u w:val="single"/>
        </w:rPr>
        <w:t>This is cause for optimism about the potential for lenity to avoid</w:t>
      </w:r>
      <w:r>
        <w:rPr>
          <w:u w:val="single"/>
        </w:rPr>
        <w:t xml:space="preserve"> </w:t>
      </w:r>
      <w:r w:rsidRPr="002A4AE8">
        <w:rPr>
          <w:u w:val="single"/>
        </w:rPr>
        <w:t>disproportionate penalties and make serious inroads on overcriminalization</w:t>
      </w:r>
      <w:r w:rsidRPr="002A4AE8">
        <w:rPr>
          <w:sz w:val="14"/>
        </w:rPr>
        <w:t>.</w:t>
      </w:r>
    </w:p>
    <w:p w14:paraId="102EFAEA" w14:textId="5EE841BE" w:rsidR="00CB3F1F" w:rsidRPr="00CB3F1F" w:rsidRDefault="00CB3F1F" w:rsidP="00CB3F1F">
      <w:pPr>
        <w:pStyle w:val="Heading4"/>
      </w:pPr>
      <w:r>
        <w:t xml:space="preserve">Congressional action gets </w:t>
      </w:r>
      <w:r>
        <w:rPr>
          <w:u w:val="single"/>
        </w:rPr>
        <w:t>reinterpreted</w:t>
      </w:r>
      <w:r>
        <w:t xml:space="preserve"> by the courts.</w:t>
      </w:r>
    </w:p>
    <w:p w14:paraId="755CA4CB" w14:textId="77777777" w:rsidR="00CB3F1F" w:rsidRPr="00DC1DC6" w:rsidRDefault="00CB3F1F" w:rsidP="00CB3F1F">
      <w:r w:rsidRPr="00DC1DC6">
        <w:rPr>
          <w:b/>
          <w:bCs/>
          <w:sz w:val="26"/>
          <w:szCs w:val="26"/>
        </w:rPr>
        <w:t>Raso 17</w:t>
      </w:r>
      <w:r>
        <w:t xml:space="preserve"> - </w:t>
      </w:r>
      <w:r w:rsidRPr="00DC1DC6">
        <w:t>an attorney at the Securities and Exchange Commissio</w:t>
      </w:r>
      <w:r>
        <w:t>n, (Connor, “</w:t>
      </w:r>
      <w:r w:rsidRPr="00DC1DC6">
        <w:t>Congress may tell courts to ignore regulatory agencies’ reasoning, but will it matter?</w:t>
      </w:r>
      <w:r>
        <w:t xml:space="preserve">,” </w:t>
      </w:r>
      <w:r>
        <w:rPr>
          <w:i/>
          <w:iCs/>
        </w:rPr>
        <w:t>Brookings</w:t>
      </w:r>
      <w:r>
        <w:t xml:space="preserve">, 1-27-17, </w:t>
      </w:r>
      <w:hyperlink r:id="rId140" w:history="1">
        <w:r w:rsidRPr="00F9106D">
          <w:rPr>
            <w:rStyle w:val="Hyperlink"/>
          </w:rPr>
          <w:t>https://www.brookings.edu/research/congress-may-tell-courts-to-ignore-regulatory-agencies-reasoning-but-will-it-matter/</w:t>
        </w:r>
      </w:hyperlink>
      <w:r>
        <w:t>, Accessed 6-24-20, LASA-AH)</w:t>
      </w:r>
    </w:p>
    <w:p w14:paraId="7E2AEC04" w14:textId="77777777" w:rsidR="00CB3F1F" w:rsidRDefault="00CB3F1F" w:rsidP="00CB3F1F">
      <w:r>
        <w:t xml:space="preserve">First, </w:t>
      </w:r>
      <w:r w:rsidRPr="00012A58">
        <w:rPr>
          <w:u w:val="single"/>
        </w:rPr>
        <w:t xml:space="preserve">judges may actually </w:t>
      </w:r>
      <w:r w:rsidRPr="00012A58">
        <w:rPr>
          <w:rStyle w:val="Emphasis"/>
        </w:rPr>
        <w:t>need to defer to agency interpretations</w:t>
      </w:r>
      <w:r w:rsidRPr="00012A58">
        <w:rPr>
          <w:u w:val="single"/>
        </w:rPr>
        <w:t xml:space="preserve"> in some cases</w:t>
      </w:r>
      <w:r>
        <w:t xml:space="preserve">. Generalist judges appreciate that </w:t>
      </w:r>
      <w:r w:rsidRPr="00012A58">
        <w:rPr>
          <w:u w:val="single"/>
        </w:rPr>
        <w:t xml:space="preserve">better-staffed agencies have more expertise over complicated subjects such as energy pipeline pricing or environmental science. </w:t>
      </w:r>
      <w:r>
        <w:t xml:space="preserve">Looking at </w:t>
      </w:r>
      <w:r w:rsidRPr="00012A58">
        <w:rPr>
          <w:u w:val="single"/>
        </w:rPr>
        <w:t>such issues anew requires significant time and resources that judges often lack in an era of growing court dockets and judicial vacancies.</w:t>
      </w:r>
      <w:r>
        <w:t xml:space="preserve"> These dynamics are very likely to lead judges to defer to agencies in all but name in some cases, conducting the same analysis without citing the Chevron case.</w:t>
      </w:r>
    </w:p>
    <w:p w14:paraId="4FAD416D" w14:textId="77777777" w:rsidR="00CB3F1F" w:rsidRDefault="00CB3F1F" w:rsidP="00CB3F1F">
      <w:r>
        <w:t xml:space="preserve">Second and relatedly, </w:t>
      </w:r>
      <w:r w:rsidRPr="00012A58">
        <w:rPr>
          <w:u w:val="single"/>
        </w:rPr>
        <w:t xml:space="preserve">judges may interpret SOPRA itself narrowly to </w:t>
      </w:r>
      <w:r w:rsidRPr="00012A58">
        <w:rPr>
          <w:rStyle w:val="Emphasis"/>
        </w:rPr>
        <w:t>reduce its impact</w:t>
      </w:r>
      <w:r w:rsidRPr="00012A58">
        <w:rPr>
          <w:u w:val="single"/>
        </w:rPr>
        <w:t>. For instance, judges may decide that agency-specific law at issue (say the Clean Air Act) in a case compels deference, notwithstanding SOPRA</w:t>
      </w:r>
      <w:r>
        <w:t xml:space="preserve">, because Congress clearly sought to delegate interpretive latitude to the agency. Because specific law generally trumps a general law like SOPRA, the court would defer. </w:t>
      </w:r>
      <w:r w:rsidRPr="00012A58">
        <w:rPr>
          <w:u w:val="single"/>
        </w:rPr>
        <w:t>Alternatively, judges may decide to read SOPRA’s scope, which applies only to “questions of law,” narrowly, and deem many questions to involve both “law and fact.”</w:t>
      </w:r>
      <w:r>
        <w:t xml:space="preserve"> Challenges to agency interpretations of statutes often arise at the intersection of law and policy. SOPRA would not prevent the court from emphasizing agencies’ competence as fact-finders and deferring in such cases.</w:t>
      </w:r>
    </w:p>
    <w:p w14:paraId="2552A951" w14:textId="0F2EF51C" w:rsidR="00156E94" w:rsidRPr="00156E94" w:rsidRDefault="00CB3F1F" w:rsidP="00156E94">
      <w:r>
        <w:t xml:space="preserve">Third, some evidence suggests that </w:t>
      </w:r>
      <w:r w:rsidRPr="00012A58">
        <w:rPr>
          <w:u w:val="single"/>
        </w:rPr>
        <w:t>Chevron does not induce as much deference as commonly thought,</w:t>
      </w:r>
      <w:r w:rsidRPr="00012A58">
        <w:t xml:space="preserve"> at least at the Supreme Court level. A study I coauthored with Professor William Eskridge, Jr., of Yale Law School</w:t>
      </w:r>
      <w:r>
        <w:t xml:space="preserve">, which covered over 1,500 Supreme Court cases, </w:t>
      </w:r>
      <w:r w:rsidRPr="00012A58">
        <w:rPr>
          <w:u w:val="single"/>
        </w:rPr>
        <w:t>found that the justices fail to even apply Chevron in many cases where it should apply.[1] Our study also suggests that justices may be more likely to apply Chevron when they are already inclined to agree with the agency on ideological ground</w:t>
      </w:r>
      <w:r>
        <w:t>s. In such cases, Chevron may act as a justification for the outcome rather than a framework used to decide the outcome.</w:t>
      </w:r>
    </w:p>
    <w:p w14:paraId="79C78B77" w14:textId="5EECC2E2" w:rsidR="00EE6BEE" w:rsidRDefault="00EE6BEE" w:rsidP="00FE7015">
      <w:pPr>
        <w:pStyle w:val="Heading3"/>
      </w:pPr>
      <w:r>
        <w:t>2AC – AT: Deportations CP</w:t>
      </w:r>
    </w:p>
    <w:p w14:paraId="3BFD5336" w14:textId="3557980A" w:rsidR="00EE6BEE" w:rsidRPr="00353B3D" w:rsidRDefault="00353B3D" w:rsidP="00EE6BEE">
      <w:pPr>
        <w:pStyle w:val="Heading4"/>
      </w:pPr>
      <w:r>
        <w:t xml:space="preserve">The question isn’t deportations yes/no – it’s </w:t>
      </w:r>
      <w:r>
        <w:rPr>
          <w:u w:val="single"/>
        </w:rPr>
        <w:t>who policies the police</w:t>
      </w:r>
      <w:r>
        <w:t>.</w:t>
      </w:r>
    </w:p>
    <w:p w14:paraId="43BD1BE0" w14:textId="48E34B99" w:rsidR="00353B3D" w:rsidRPr="00353B3D" w:rsidRDefault="00353B3D" w:rsidP="00353B3D">
      <w:r w:rsidRPr="00353B3D">
        <w:rPr>
          <w:rStyle w:val="Style13ptBold"/>
        </w:rPr>
        <w:t>Sweeney 18</w:t>
      </w:r>
      <w:r>
        <w:t xml:space="preserve"> – Maureen Sweeney, Law Professor at the University of Maryland. [Enforcing/Protection: The Danger of Chevron in Refugee Act Cases, https://digitalcommons.law.umaryland.edu/fac_pubs/1599/]//BPS</w:t>
      </w:r>
    </w:p>
    <w:p w14:paraId="5F3EFAD4" w14:textId="2C9994D9" w:rsidR="00EE6BEE" w:rsidRPr="002A607A" w:rsidRDefault="00EE6BEE" w:rsidP="00EE6BEE">
      <w:pPr>
        <w:rPr>
          <w:sz w:val="16"/>
        </w:rPr>
      </w:pPr>
      <w:r w:rsidRPr="002A607A">
        <w:rPr>
          <w:sz w:val="16"/>
        </w:rPr>
        <w:t xml:space="preserve">a. The Department of Justice as </w:t>
      </w:r>
      <w:r w:rsidRPr="00353B3D">
        <w:rPr>
          <w:rStyle w:val="Emphasis"/>
        </w:rPr>
        <w:t>a Politically Sensitive</w:t>
      </w:r>
      <w:r w:rsidRPr="00353B3D">
        <w:rPr>
          <w:rStyle w:val="StyleUnderline"/>
        </w:rPr>
        <w:t>, Prosecutorial Immigration Enforcement Agency</w:t>
      </w:r>
    </w:p>
    <w:p w14:paraId="50AD6142" w14:textId="73237117" w:rsidR="00EE6BEE" w:rsidRPr="002A607A" w:rsidRDefault="00EE6BEE" w:rsidP="00EE6BEE">
      <w:pPr>
        <w:rPr>
          <w:sz w:val="16"/>
        </w:rPr>
      </w:pPr>
      <w:r w:rsidRPr="002A607A">
        <w:rPr>
          <w:sz w:val="16"/>
        </w:rPr>
        <w:t>The Department of Justice is one of the principal federal agencies that carries out enforcement of immigration laws as part of its “ordinary statutory duties.”155 The Attorney General, as head of the Department, is also the nation’s principal law enforcement officer.156 While the Department is also charged with granting relief from deportation, Attorney General Sessions revealed much about the weight of the law enforcement and deterrence role of the Department in the emphasis he gave them. For example, in a recent speech on immigration to the Criminal Justice Legal Foundation, he said, “We know whose side we’re on: we’re on the side of police and we’re on the side of the American people.”157 In another speech, at the Executive Office for Immigration Review, he described the Department’s commitment to enforcement:</w:t>
      </w:r>
    </w:p>
    <w:p w14:paraId="31B670CC" w14:textId="65E6CBDD" w:rsidR="00353B3D" w:rsidRPr="002A607A" w:rsidRDefault="00353B3D" w:rsidP="00EE6BEE">
      <w:pPr>
        <w:rPr>
          <w:sz w:val="16"/>
        </w:rPr>
      </w:pPr>
      <w:r w:rsidRPr="002A607A">
        <w:rPr>
          <w:sz w:val="16"/>
        </w:rPr>
        <w:t>Footnote 155 begins:</w:t>
      </w:r>
    </w:p>
    <w:p w14:paraId="6227CBCD" w14:textId="5D08E25B" w:rsidR="00353B3D" w:rsidRPr="002A607A" w:rsidRDefault="00353B3D" w:rsidP="00EE6BEE">
      <w:pPr>
        <w:rPr>
          <w:sz w:val="16"/>
        </w:rPr>
      </w:pPr>
      <w:r w:rsidRPr="002A607A">
        <w:rPr>
          <w:sz w:val="16"/>
        </w:rPr>
        <w:t>155 See City of Arlington, 569 U.S. at 309 (Breyer, J., con</w:t>
      </w:r>
      <w:r w:rsidRPr="00536F2B">
        <w:rPr>
          <w:sz w:val="16"/>
        </w:rPr>
        <w:t xml:space="preserve">curring). </w:t>
      </w:r>
      <w:r w:rsidRPr="00536F2B">
        <w:rPr>
          <w:rStyle w:val="Emphasis"/>
        </w:rPr>
        <w:t>Numerous federal agencie</w:t>
      </w:r>
      <w:r w:rsidRPr="00353B3D">
        <w:rPr>
          <w:rStyle w:val="Emphasis"/>
        </w:rPr>
        <w:t>s</w:t>
      </w:r>
      <w:r w:rsidRPr="00353B3D">
        <w:rPr>
          <w:rStyle w:val="StyleUnderline"/>
        </w:rPr>
        <w:t xml:space="preserve"> perform immigration functions, including</w:t>
      </w:r>
      <w:r w:rsidRPr="002A607A">
        <w:rPr>
          <w:sz w:val="16"/>
        </w:rPr>
        <w:t xml:space="preserve">, most obviously, </w:t>
      </w:r>
      <w:r w:rsidRPr="00353B3D">
        <w:rPr>
          <w:rStyle w:val="Emphasis"/>
        </w:rPr>
        <w:t>enforcement and ap</w:t>
      </w:r>
      <w:r w:rsidRPr="00536F2B">
        <w:rPr>
          <w:rStyle w:val="Emphasis"/>
        </w:rPr>
        <w:t>plication</w:t>
      </w:r>
      <w:r w:rsidRPr="00536F2B">
        <w:rPr>
          <w:sz w:val="16"/>
        </w:rPr>
        <w:t xml:space="preserve"> adjudication </w:t>
      </w:r>
      <w:r w:rsidRPr="00536F2B">
        <w:rPr>
          <w:rStyle w:val="StyleUnderline"/>
        </w:rPr>
        <w:t>in the D</w:t>
      </w:r>
      <w:r w:rsidRPr="00536F2B">
        <w:rPr>
          <w:sz w:val="16"/>
        </w:rPr>
        <w:t xml:space="preserve">epartment of </w:t>
      </w:r>
      <w:r w:rsidRPr="00536F2B">
        <w:rPr>
          <w:rStyle w:val="StyleUnderline"/>
        </w:rPr>
        <w:t>H</w:t>
      </w:r>
      <w:r w:rsidRPr="00536F2B">
        <w:rPr>
          <w:sz w:val="16"/>
        </w:rPr>
        <w:t xml:space="preserve">omeland </w:t>
      </w:r>
      <w:r w:rsidRPr="00536F2B">
        <w:rPr>
          <w:rStyle w:val="StyleUnderline"/>
        </w:rPr>
        <w:t>S</w:t>
      </w:r>
      <w:r w:rsidRPr="00536F2B">
        <w:rPr>
          <w:sz w:val="16"/>
        </w:rPr>
        <w:t xml:space="preserve">ecurity, but also, for example, visa processing operations in the Department of </w:t>
      </w:r>
      <w:r w:rsidRPr="00536F2B">
        <w:rPr>
          <w:rStyle w:val="StyleUnderline"/>
        </w:rPr>
        <w:t>State and</w:t>
      </w:r>
      <w:r w:rsidRPr="00536F2B">
        <w:rPr>
          <w:sz w:val="16"/>
        </w:rPr>
        <w:t xml:space="preserve"> refugee resettlement and detention of minors in the Department of </w:t>
      </w:r>
      <w:r w:rsidRPr="00536F2B">
        <w:rPr>
          <w:rStyle w:val="StyleUnderline"/>
        </w:rPr>
        <w:t>H</w:t>
      </w:r>
      <w:r w:rsidRPr="00536F2B">
        <w:rPr>
          <w:sz w:val="16"/>
        </w:rPr>
        <w:t xml:space="preserve">ealth &amp; </w:t>
      </w:r>
      <w:r w:rsidRPr="00536F2B">
        <w:rPr>
          <w:rStyle w:val="StyleUnderline"/>
        </w:rPr>
        <w:t>H</w:t>
      </w:r>
      <w:r w:rsidRPr="00536F2B">
        <w:rPr>
          <w:sz w:val="16"/>
        </w:rPr>
        <w:t xml:space="preserve">uman </w:t>
      </w:r>
      <w:r w:rsidRPr="00536F2B">
        <w:rPr>
          <w:rStyle w:val="StyleUnderline"/>
        </w:rPr>
        <w:t>S</w:t>
      </w:r>
      <w:r w:rsidRPr="00536F2B">
        <w:rPr>
          <w:sz w:val="16"/>
        </w:rPr>
        <w:t xml:space="preserve">ervices. </w:t>
      </w:r>
      <w:r w:rsidRPr="00536F2B">
        <w:rPr>
          <w:rStyle w:val="StyleUnderline"/>
        </w:rPr>
        <w:t xml:space="preserve">Given </w:t>
      </w:r>
      <w:r w:rsidRPr="00536F2B">
        <w:rPr>
          <w:rStyle w:val="Emphasis"/>
        </w:rPr>
        <w:t>the deep investment</w:t>
      </w:r>
      <w:r w:rsidRPr="00536F2B">
        <w:rPr>
          <w:rStyle w:val="StyleUnderline"/>
        </w:rPr>
        <w:t xml:space="preserve"> of the DHS in the </w:t>
      </w:r>
      <w:r w:rsidRPr="00536F2B">
        <w:rPr>
          <w:rStyle w:val="Emphasis"/>
        </w:rPr>
        <w:t>expulsion</w:t>
      </w:r>
      <w:r w:rsidRPr="00536F2B">
        <w:rPr>
          <w:rStyle w:val="StyleUnderline"/>
        </w:rPr>
        <w:t xml:space="preserve"> of </w:t>
      </w:r>
      <w:r w:rsidRPr="00536F2B">
        <w:rPr>
          <w:rStyle w:val="Emphasis"/>
        </w:rPr>
        <w:t>unauthorized noncitizens</w:t>
      </w:r>
      <w:r w:rsidRPr="00536F2B">
        <w:rPr>
          <w:rStyle w:val="StyleUnderline"/>
        </w:rPr>
        <w:t xml:space="preserve"> and in </w:t>
      </w:r>
      <w:r w:rsidRPr="00536F2B">
        <w:rPr>
          <w:rStyle w:val="Emphasis"/>
        </w:rPr>
        <w:t>the deterrence</w:t>
      </w:r>
      <w:r w:rsidRPr="00536F2B">
        <w:rPr>
          <w:rStyle w:val="StyleUnderline"/>
        </w:rPr>
        <w:t xml:space="preserve"> of </w:t>
      </w:r>
      <w:r w:rsidRPr="00536F2B">
        <w:rPr>
          <w:rStyle w:val="Emphasis"/>
        </w:rPr>
        <w:t>irregular migration</w:t>
      </w:r>
      <w:r w:rsidRPr="00536F2B">
        <w:rPr>
          <w:rStyle w:val="StyleUnderline"/>
        </w:rPr>
        <w:t>, the argument</w:t>
      </w:r>
      <w:r w:rsidRPr="00536F2B">
        <w:rPr>
          <w:sz w:val="16"/>
        </w:rPr>
        <w:t xml:space="preserve"> in this section—</w:t>
      </w:r>
      <w:r w:rsidRPr="00536F2B">
        <w:rPr>
          <w:rStyle w:val="StyleUnderline"/>
        </w:rPr>
        <w:t>against deference to an enforcement agency</w:t>
      </w:r>
      <w:r w:rsidRPr="00536F2B">
        <w:rPr>
          <w:sz w:val="16"/>
        </w:rPr>
        <w:t>—</w:t>
      </w:r>
      <w:r w:rsidRPr="00536F2B">
        <w:rPr>
          <w:rStyle w:val="StyleUnderline"/>
        </w:rPr>
        <w:t>could</w:t>
      </w:r>
      <w:r w:rsidRPr="00536F2B">
        <w:rPr>
          <w:sz w:val="16"/>
        </w:rPr>
        <w:t xml:space="preserve"> also </w:t>
      </w:r>
      <w:r w:rsidRPr="00536F2B">
        <w:rPr>
          <w:rStyle w:val="StyleUnderline"/>
        </w:rPr>
        <w:t>be made in</w:t>
      </w:r>
      <w:r w:rsidRPr="00536F2B">
        <w:rPr>
          <w:sz w:val="16"/>
        </w:rPr>
        <w:t xml:space="preserve"> the </w:t>
      </w:r>
      <w:r w:rsidRPr="00536F2B">
        <w:rPr>
          <w:rStyle w:val="StyleUnderline"/>
        </w:rPr>
        <w:t>context</w:t>
      </w:r>
      <w:r w:rsidRPr="00536F2B">
        <w:rPr>
          <w:sz w:val="16"/>
        </w:rPr>
        <w:t xml:space="preserve"> of challenges </w:t>
      </w:r>
      <w:r w:rsidRPr="00536F2B">
        <w:rPr>
          <w:rStyle w:val="StyleUnderline"/>
        </w:rPr>
        <w:t>to DHS decisions restricting</w:t>
      </w:r>
      <w:r w:rsidRPr="00536F2B">
        <w:rPr>
          <w:sz w:val="16"/>
        </w:rPr>
        <w:t xml:space="preserve"> a variety of forms of </w:t>
      </w:r>
      <w:r w:rsidRPr="00536F2B">
        <w:rPr>
          <w:rStyle w:val="StyleUnderline"/>
        </w:rPr>
        <w:t>relief</w:t>
      </w:r>
      <w:r w:rsidRPr="00353B3D">
        <w:rPr>
          <w:rStyle w:val="StyleUnderline"/>
        </w:rPr>
        <w:t xml:space="preserve"> from removal</w:t>
      </w:r>
      <w:r w:rsidRPr="002A607A">
        <w:rPr>
          <w:sz w:val="16"/>
        </w:rPr>
        <w:t xml:space="preserve">, including for example, the decision to terminate a country’s designation under Temporary Protected Status. For purposes of Chevron deference in asylum and withholding cases, the decisions of the executive agencies reach the courts through Justice Department decisions, so the DOJ will be our focus here. </w:t>
      </w:r>
    </w:p>
    <w:p w14:paraId="38E0A104" w14:textId="69477986" w:rsidR="00353B3D" w:rsidRPr="002A607A" w:rsidRDefault="00353B3D" w:rsidP="00EE6BEE">
      <w:pPr>
        <w:rPr>
          <w:sz w:val="16"/>
        </w:rPr>
      </w:pPr>
      <w:r w:rsidRPr="002A607A">
        <w:rPr>
          <w:sz w:val="16"/>
        </w:rPr>
        <w:t>Footnote 155 ends and the article continues:</w:t>
      </w:r>
    </w:p>
    <w:p w14:paraId="35FAD3A0" w14:textId="538DB4EE" w:rsidR="00EE6BEE" w:rsidRPr="002A607A" w:rsidRDefault="00EE6BEE" w:rsidP="00353B3D">
      <w:pPr>
        <w:ind w:left="720"/>
        <w:rPr>
          <w:sz w:val="16"/>
        </w:rPr>
      </w:pPr>
      <w:r w:rsidRPr="00353B3D">
        <w:rPr>
          <w:rStyle w:val="StyleUnderline"/>
        </w:rPr>
        <w:t xml:space="preserve">Let’s be clear: we have </w:t>
      </w:r>
      <w:r w:rsidRPr="00353B3D">
        <w:rPr>
          <w:rStyle w:val="Emphasis"/>
        </w:rPr>
        <w:t>a firm goal</w:t>
      </w:r>
      <w:r w:rsidRPr="002A607A">
        <w:rPr>
          <w:sz w:val="16"/>
        </w:rPr>
        <w:t xml:space="preserve">, and that is to end the lawlessness that now exists in our immigration system. This Department of Justice is committed to using every available resource to meet that goal. We will act strategically with our colleagues at DHS and across the government, and we will not hesitate to redeploy resources and alter policies to meet new challenges as they arise . . . .. I have put in place a “zero tolerance” policy for illegal entry on our Southwest border. </w:t>
      </w:r>
      <w:r w:rsidRPr="00353B3D">
        <w:rPr>
          <w:rStyle w:val="StyleUnderline"/>
        </w:rPr>
        <w:t xml:space="preserve">If you cross the Southwest border unlawfully, then </w:t>
      </w:r>
      <w:r w:rsidRPr="00353B3D">
        <w:rPr>
          <w:rStyle w:val="Emphasis"/>
        </w:rPr>
        <w:t>we will prosecute you</w:t>
      </w:r>
      <w:r w:rsidRPr="00353B3D">
        <w:rPr>
          <w:rStyle w:val="StyleUnderline"/>
        </w:rPr>
        <w:t xml:space="preserve">. It’s that </w:t>
      </w:r>
      <w:r w:rsidRPr="00353B3D">
        <w:rPr>
          <w:rStyle w:val="Emphasis"/>
        </w:rPr>
        <w:t>simple</w:t>
      </w:r>
      <w:r w:rsidRPr="002A607A">
        <w:rPr>
          <w:sz w:val="16"/>
        </w:rPr>
        <w:t>.158</w:t>
      </w:r>
    </w:p>
    <w:p w14:paraId="7E630299" w14:textId="549605B7" w:rsidR="00EE6BEE" w:rsidRPr="002A607A" w:rsidRDefault="00EE6BEE" w:rsidP="00EE6BEE">
      <w:pPr>
        <w:rPr>
          <w:sz w:val="16"/>
        </w:rPr>
      </w:pPr>
      <w:r w:rsidRPr="002A607A">
        <w:rPr>
          <w:sz w:val="16"/>
        </w:rPr>
        <w:t xml:space="preserve">The </w:t>
      </w:r>
      <w:r w:rsidRPr="00353B3D">
        <w:rPr>
          <w:rStyle w:val="StyleUnderline"/>
        </w:rPr>
        <w:t>immigration prosecution</w:t>
      </w:r>
      <w:r w:rsidRPr="002A607A">
        <w:rPr>
          <w:sz w:val="16"/>
        </w:rPr>
        <w:t xml:space="preserve"> context </w:t>
      </w:r>
      <w:r w:rsidRPr="00353B3D">
        <w:rPr>
          <w:rStyle w:val="StyleUnderline"/>
        </w:rPr>
        <w:t>has</w:t>
      </w:r>
      <w:r w:rsidRPr="002A607A">
        <w:rPr>
          <w:sz w:val="16"/>
        </w:rPr>
        <w:t xml:space="preserve"> traditionally </w:t>
      </w:r>
      <w:r w:rsidRPr="00353B3D">
        <w:rPr>
          <w:rStyle w:val="StyleUnderline"/>
        </w:rPr>
        <w:t>been considered “</w:t>
      </w:r>
      <w:r w:rsidRPr="00353B3D">
        <w:rPr>
          <w:rStyle w:val="Emphasis"/>
        </w:rPr>
        <w:t>civil</w:t>
      </w:r>
      <w:r w:rsidRPr="00353B3D">
        <w:rPr>
          <w:rStyle w:val="StyleUnderline"/>
        </w:rPr>
        <w:t>”</w:t>
      </w:r>
      <w:r w:rsidRPr="002A607A">
        <w:rPr>
          <w:sz w:val="16"/>
        </w:rPr>
        <w:t xml:space="preserve"> because removal proceedings are at least nominally not intended to punish,159 </w:t>
      </w:r>
      <w:r w:rsidRPr="00353B3D">
        <w:rPr>
          <w:rStyle w:val="StyleUnderline"/>
        </w:rPr>
        <w:t>but they</w:t>
      </w:r>
      <w:r w:rsidRPr="002A607A">
        <w:rPr>
          <w:sz w:val="16"/>
        </w:rPr>
        <w:t xml:space="preserve"> undeniably </w:t>
      </w:r>
      <w:r w:rsidRPr="00353B3D">
        <w:rPr>
          <w:rStyle w:val="StyleUnderline"/>
        </w:rPr>
        <w:t xml:space="preserve">subject individuals to </w:t>
      </w:r>
      <w:r w:rsidRPr="00353B3D">
        <w:rPr>
          <w:rStyle w:val="Emphasis"/>
        </w:rPr>
        <w:t>harsh sanctions</w:t>
      </w:r>
      <w:r w:rsidRPr="002A607A">
        <w:rPr>
          <w:sz w:val="16"/>
        </w:rPr>
        <w:t xml:space="preserve">, including indefinite imprisonment during the pendency of the proceedings,160 separation from family, and deportation, a sanction that has been rightly recognized as potentially causing one to lose “all that makes life worth living.”161 The harshness is particularly clear in the context of asylum and withholding applications, where the applicant claims a fear of likely harm or in many cases even death if deported. </w:t>
      </w:r>
    </w:p>
    <w:p w14:paraId="1A662436" w14:textId="5E5DEAAB" w:rsidR="00353B3D" w:rsidRPr="002A607A" w:rsidRDefault="00353B3D" w:rsidP="00EE6BEE">
      <w:pPr>
        <w:rPr>
          <w:sz w:val="16"/>
        </w:rPr>
      </w:pPr>
      <w:r w:rsidRPr="00353B3D">
        <w:rPr>
          <w:rStyle w:val="StyleUnderline"/>
        </w:rPr>
        <w:t xml:space="preserve">Even </w:t>
      </w:r>
      <w:r w:rsidRPr="00456038">
        <w:rPr>
          <w:rStyle w:val="StyleUnderline"/>
          <w:highlight w:val="cyan"/>
        </w:rPr>
        <w:t>beyond</w:t>
      </w:r>
      <w:r w:rsidRPr="00353B3D">
        <w:rPr>
          <w:rStyle w:val="StyleUnderline"/>
        </w:rPr>
        <w:t xml:space="preserve"> </w:t>
      </w:r>
      <w:r w:rsidRPr="00353B3D">
        <w:rPr>
          <w:rStyle w:val="Emphasis"/>
        </w:rPr>
        <w:t xml:space="preserve">the severe </w:t>
      </w:r>
      <w:r w:rsidRPr="00456038">
        <w:rPr>
          <w:rStyle w:val="Emphasis"/>
          <w:highlight w:val="cyan"/>
        </w:rPr>
        <w:t>consequences</w:t>
      </w:r>
      <w:r w:rsidRPr="00456038">
        <w:rPr>
          <w:rStyle w:val="StyleUnderline"/>
          <w:highlight w:val="cyan"/>
        </w:rPr>
        <w:t xml:space="preserve"> of deportation</w:t>
      </w:r>
      <w:r w:rsidRPr="002A607A">
        <w:rPr>
          <w:sz w:val="16"/>
        </w:rPr>
        <w:t xml:space="preserve">, however, the </w:t>
      </w:r>
      <w:r w:rsidRPr="00456038">
        <w:rPr>
          <w:rStyle w:val="StyleUnderline"/>
          <w:highlight w:val="cyan"/>
        </w:rPr>
        <w:t>Justice</w:t>
      </w:r>
      <w:r w:rsidRPr="002A607A">
        <w:rPr>
          <w:sz w:val="16"/>
        </w:rPr>
        <w:t xml:space="preserve"> Department </w:t>
      </w:r>
      <w:r w:rsidRPr="00456038">
        <w:rPr>
          <w:rStyle w:val="StyleUnderline"/>
          <w:highlight w:val="cyan"/>
        </w:rPr>
        <w:t>has</w:t>
      </w:r>
      <w:r w:rsidRPr="002A607A">
        <w:rPr>
          <w:sz w:val="16"/>
        </w:rPr>
        <w:t xml:space="preserve"> also </w:t>
      </w:r>
      <w:r w:rsidRPr="00456038">
        <w:rPr>
          <w:rStyle w:val="StyleUnderline"/>
          <w:highlight w:val="cyan"/>
        </w:rPr>
        <w:t>been</w:t>
      </w:r>
      <w:r w:rsidRPr="00353B3D">
        <w:rPr>
          <w:rStyle w:val="StyleUnderline"/>
        </w:rPr>
        <w:t xml:space="preserve"> </w:t>
      </w:r>
      <w:r w:rsidRPr="00353B3D">
        <w:rPr>
          <w:rStyle w:val="Emphasis"/>
        </w:rPr>
        <w:t xml:space="preserve">actively </w:t>
      </w:r>
      <w:r w:rsidRPr="00456038">
        <w:rPr>
          <w:rStyle w:val="Emphasis"/>
          <w:highlight w:val="cyan"/>
        </w:rPr>
        <w:t>engaged</w:t>
      </w:r>
      <w:r w:rsidRPr="00456038">
        <w:rPr>
          <w:rStyle w:val="StyleUnderline"/>
          <w:highlight w:val="cyan"/>
        </w:rPr>
        <w:t xml:space="preserve"> in</w:t>
      </w:r>
      <w:r w:rsidRPr="00353B3D">
        <w:rPr>
          <w:rStyle w:val="StyleUnderline"/>
        </w:rPr>
        <w:t xml:space="preserve"> criminally </w:t>
      </w:r>
      <w:r w:rsidRPr="00456038">
        <w:rPr>
          <w:rStyle w:val="StyleUnderline"/>
          <w:highlight w:val="cyan"/>
        </w:rPr>
        <w:t>prosecuting</w:t>
      </w:r>
      <w:r w:rsidRPr="00353B3D">
        <w:rPr>
          <w:rStyle w:val="StyleUnderline"/>
        </w:rPr>
        <w:t xml:space="preserve"> immigration </w:t>
      </w:r>
      <w:r w:rsidRPr="00456038">
        <w:rPr>
          <w:rStyle w:val="StyleUnderline"/>
          <w:highlight w:val="cyan"/>
        </w:rPr>
        <w:t>violators for</w:t>
      </w:r>
      <w:r w:rsidRPr="00353B3D">
        <w:rPr>
          <w:rStyle w:val="StyleUnderline"/>
        </w:rPr>
        <w:t xml:space="preserve"> more than </w:t>
      </w:r>
      <w:r w:rsidRPr="00456038">
        <w:rPr>
          <w:rStyle w:val="Emphasis"/>
          <w:highlight w:val="cyan"/>
        </w:rPr>
        <w:t>the</w:t>
      </w:r>
      <w:r w:rsidRPr="00353B3D">
        <w:rPr>
          <w:rStyle w:val="Emphasis"/>
        </w:rPr>
        <w:t xml:space="preserve"> last </w:t>
      </w:r>
      <w:r w:rsidRPr="00456038">
        <w:rPr>
          <w:rStyle w:val="Emphasis"/>
          <w:highlight w:val="cyan"/>
        </w:rPr>
        <w:t>decade</w:t>
      </w:r>
      <w:r w:rsidRPr="00456038">
        <w:rPr>
          <w:rStyle w:val="StyleUnderline"/>
          <w:highlight w:val="cyan"/>
        </w:rPr>
        <w:t xml:space="preserve"> and through </w:t>
      </w:r>
      <w:r w:rsidRPr="00456038">
        <w:rPr>
          <w:rStyle w:val="Emphasis"/>
          <w:highlight w:val="cyan"/>
        </w:rPr>
        <w:t>three</w:t>
      </w:r>
      <w:r w:rsidRPr="00353B3D">
        <w:rPr>
          <w:rStyle w:val="Emphasis"/>
        </w:rPr>
        <w:t xml:space="preserve"> presidential </w:t>
      </w:r>
      <w:r w:rsidRPr="00456038">
        <w:rPr>
          <w:rStyle w:val="Emphasis"/>
          <w:highlight w:val="cyan"/>
        </w:rPr>
        <w:t>administrations</w:t>
      </w:r>
      <w:r w:rsidRPr="002A607A">
        <w:rPr>
          <w:sz w:val="16"/>
        </w:rPr>
        <w:t xml:space="preserve">. While Attorney General Sessions was more vocal than other Attorneys General have been about the immigration enforcement role of the Department, that role was not new under his leadership. Long before the Trump administration, prosecutions for the offenses of illegal entry and illegal reentry162 represented the majority of criminal prosecutions brought nationwide by the Department. In Fiscal Year 2016, under President Obama, the Department prosecuted 64,297 cases of just these two offenses of irregular migration.163 </w:t>
      </w:r>
      <w:r w:rsidRPr="00353B3D">
        <w:rPr>
          <w:rStyle w:val="StyleUnderline"/>
        </w:rPr>
        <w:t xml:space="preserve">This </w:t>
      </w:r>
      <w:r w:rsidRPr="00456038">
        <w:rPr>
          <w:rStyle w:val="StyleUnderline"/>
          <w:highlight w:val="cyan"/>
        </w:rPr>
        <w:t>number outstripped</w:t>
      </w:r>
      <w:r w:rsidRPr="002A607A">
        <w:rPr>
          <w:rStyle w:val="StyleUnderline"/>
        </w:rPr>
        <w:t xml:space="preserve"> the </w:t>
      </w:r>
      <w:r w:rsidRPr="00456038">
        <w:rPr>
          <w:rStyle w:val="StyleUnderline"/>
          <w:highlight w:val="cyan"/>
        </w:rPr>
        <w:t>Department’s</w:t>
      </w:r>
      <w:r w:rsidRPr="00353B3D">
        <w:rPr>
          <w:rStyle w:val="StyleUnderline"/>
        </w:rPr>
        <w:t xml:space="preserve"> total for </w:t>
      </w:r>
      <w:r w:rsidRPr="00353B3D">
        <w:rPr>
          <w:rStyle w:val="Emphasis"/>
        </w:rPr>
        <w:t xml:space="preserve">all </w:t>
      </w:r>
      <w:r w:rsidRPr="00456038">
        <w:rPr>
          <w:rStyle w:val="Emphasis"/>
          <w:highlight w:val="cyan"/>
        </w:rPr>
        <w:t>non-immigration</w:t>
      </w:r>
      <w:r w:rsidRPr="00353B3D">
        <w:rPr>
          <w:rStyle w:val="Emphasis"/>
        </w:rPr>
        <w:t xml:space="preserve">-related criminal </w:t>
      </w:r>
      <w:r w:rsidRPr="00456038">
        <w:rPr>
          <w:rStyle w:val="Emphasis"/>
          <w:highlight w:val="cyan"/>
        </w:rPr>
        <w:t>prosecutions</w:t>
      </w:r>
      <w:r w:rsidRPr="002A607A">
        <w:rPr>
          <w:sz w:val="16"/>
        </w:rPr>
        <w:t>, including for drugs, weapons, fraud and terrorism cases, which totaled 63,405 for FY16.164 These high rates of prosecution have been consistent trends in the Department’s allocation of its resources for the last decade,165 demonstrating the Department’s sustained investment in criminal prosecution of immigration violations. Of course, with its “zero tolerance” policy of criminally prosecuting all those who cross the border illegally, the Trump Justice Department has made it an even “higher priority.”166 Attorney General Sessions encouraged U.S. Attorneys to use the full extent of the criminal law to, among other things, “deter[] first-time improper entrants” and directed every district in the country to designate a “Border Security Coordinator” to convene regular meetings with DHS to coordinate immigration enforcement initiatives, training and information sharing. Finally, using a longstanding but previously seldom invoked INA provision, Sessions gave the order for U.S. Attorneys to bypass separate removal proceedings entirely and to directly seek judicial orders of deportation in the U.S. District Courts in “each federal [criminal] case” where practicable.16</w:t>
      </w:r>
    </w:p>
    <w:p w14:paraId="0E934ED8" w14:textId="47A86C93" w:rsidR="00353B3D" w:rsidRPr="002A607A" w:rsidRDefault="00353B3D" w:rsidP="00EE6BEE">
      <w:pPr>
        <w:rPr>
          <w:sz w:val="16"/>
        </w:rPr>
      </w:pPr>
      <w:r w:rsidRPr="002A607A">
        <w:rPr>
          <w:sz w:val="16"/>
        </w:rPr>
        <w:t xml:space="preserve">Sessions is a particularly stark example of an Attorney General for whom shutting down irregular migration was among the highest of law enforcement priorities, even where those coming to the border irregularly are advancing claims to humanitarian protection. The stakes for asylum seekers are heightened by the enormous resources of the enforcement apparatus (which includes both Justice Department and all three immigration sub-agencies of DHS), the extreme volatility of immigration as a political issue, and the particular vulnerability of those applicants—who, by definition, are claiming a threat of persecution and who, as noncitizens, have no access to influence the political process. But as noted earlier, </w:t>
      </w:r>
      <w:r w:rsidRPr="00353B3D">
        <w:rPr>
          <w:rStyle w:val="StyleUnderline"/>
        </w:rPr>
        <w:t>Sessions</w:t>
      </w:r>
      <w:r w:rsidRPr="002A607A">
        <w:rPr>
          <w:sz w:val="16"/>
        </w:rPr>
        <w:t xml:space="preserve"> did not create the prosecutorial role of the Attorney General or of the Justice Department in immigration enforcement, nor the danger that it would be exploited to further an administration’s political agenda at the expense of humanitarian protection. He </w:t>
      </w:r>
      <w:r w:rsidRPr="00353B3D">
        <w:rPr>
          <w:rStyle w:val="StyleUnderline"/>
        </w:rPr>
        <w:t xml:space="preserve">merely took </w:t>
      </w:r>
      <w:r w:rsidRPr="00353B3D">
        <w:rPr>
          <w:rStyle w:val="Emphasis"/>
        </w:rPr>
        <w:t>full advantage</w:t>
      </w:r>
      <w:r w:rsidRPr="00353B3D">
        <w:rPr>
          <w:rStyle w:val="StyleUnderline"/>
        </w:rPr>
        <w:t xml:space="preserve"> of an infrastructure that </w:t>
      </w:r>
      <w:r w:rsidRPr="002A607A">
        <w:rPr>
          <w:sz w:val="16"/>
        </w:rPr>
        <w:t xml:space="preserve">already </w:t>
      </w:r>
      <w:r w:rsidRPr="00353B3D">
        <w:rPr>
          <w:rStyle w:val="StyleUnderline"/>
        </w:rPr>
        <w:t xml:space="preserve">gave his office </w:t>
      </w:r>
      <w:r w:rsidRPr="00353B3D">
        <w:rPr>
          <w:rStyle w:val="Emphasis"/>
        </w:rPr>
        <w:t>enormous power</w:t>
      </w:r>
      <w:r w:rsidRPr="00353B3D">
        <w:rPr>
          <w:rStyle w:val="StyleUnderline"/>
        </w:rPr>
        <w:t xml:space="preserve"> to</w:t>
      </w:r>
      <w:r w:rsidRPr="002A607A">
        <w:rPr>
          <w:sz w:val="16"/>
        </w:rPr>
        <w:t xml:space="preserve"> influence—and </w:t>
      </w:r>
      <w:r w:rsidRPr="00353B3D">
        <w:rPr>
          <w:rStyle w:val="StyleUnderline"/>
        </w:rPr>
        <w:t>limit</w:t>
      </w:r>
      <w:r w:rsidRPr="002A607A">
        <w:rPr>
          <w:sz w:val="16"/>
        </w:rPr>
        <w:t xml:space="preserve">—the </w:t>
      </w:r>
      <w:r w:rsidRPr="00353B3D">
        <w:rPr>
          <w:rStyle w:val="StyleUnderline"/>
        </w:rPr>
        <w:t>rights</w:t>
      </w:r>
      <w:r w:rsidRPr="002A607A">
        <w:rPr>
          <w:sz w:val="16"/>
        </w:rPr>
        <w:t xml:space="preserve"> of asylum seekers through the Department’s Executive Office for Immigration Review and the prosecutorial U.S. Attorneys Office, as well as through the Attorney General’s own power to certify and decide cases himself. </w:t>
      </w:r>
    </w:p>
    <w:p w14:paraId="67BF11E7" w14:textId="77777777" w:rsidR="00353B3D" w:rsidRPr="002A607A" w:rsidRDefault="00353B3D" w:rsidP="00EE6BEE">
      <w:pPr>
        <w:rPr>
          <w:sz w:val="16"/>
        </w:rPr>
      </w:pPr>
      <w:r w:rsidRPr="002A607A">
        <w:rPr>
          <w:sz w:val="16"/>
        </w:rPr>
        <w:t>b. Chevron and the Prosecutor</w:t>
      </w:r>
    </w:p>
    <w:p w14:paraId="235A0FFB" w14:textId="7E95889B" w:rsidR="00353B3D" w:rsidRPr="002A607A" w:rsidRDefault="00353B3D" w:rsidP="00EE6BEE">
      <w:pPr>
        <w:rPr>
          <w:sz w:val="16"/>
        </w:rPr>
      </w:pPr>
      <w:r w:rsidRPr="002A607A">
        <w:rPr>
          <w:sz w:val="16"/>
        </w:rPr>
        <w:t xml:space="preserve">Asylum seekers’ only administrative safeguards in the face of this enforcement juggernaut are in the hands of the very same agency enforcing the law against them. The Justice Department is responsible for enforcing both the prohibition on irregular migration and the nation’s obligation of non-refoulement. While many nations’ asylum systems and even the demonstrating the Department’s sustained investment in criminal prosecution of immigration violations. Of course, with its “zero tolerance” policy of criminally prosecuting all those who cross the border illegally, the Trump Justice Department has made it an even “higher priority.”166 Attorney General Sessions encouraged U.S. Attorneys to use the full extent of the criminal law to, among other things, “deter[] first-time improper entrants” and directed every district in the country to designate a “Border Security Coordinator” to convene regular meetings with DHS to coordinate immigration enforcement initiatives, training and information sharing. Finally, using a longstanding but previously seldom invoked INA provision, Sessions gave the order for U.S. Attorneys to bypass separate removal proceedings entirely and to directly seek judicial orders of deportation in the U.S. District Courts in “each federal [criminal] case” where practicable.167 </w:t>
      </w:r>
    </w:p>
    <w:p w14:paraId="49A6983F" w14:textId="3BC58878" w:rsidR="00353B3D" w:rsidRPr="002A607A" w:rsidRDefault="00353B3D" w:rsidP="00EE6BEE">
      <w:pPr>
        <w:rPr>
          <w:sz w:val="16"/>
        </w:rPr>
      </w:pPr>
      <w:r w:rsidRPr="00353B3D">
        <w:rPr>
          <w:rStyle w:val="StyleUnderline"/>
        </w:rPr>
        <w:t>The</w:t>
      </w:r>
      <w:r w:rsidRPr="002A607A">
        <w:rPr>
          <w:sz w:val="16"/>
        </w:rPr>
        <w:t xml:space="preserve"> federal </w:t>
      </w:r>
      <w:r w:rsidRPr="00536F2B">
        <w:rPr>
          <w:rStyle w:val="Emphasis"/>
        </w:rPr>
        <w:t>circuit</w:t>
      </w:r>
      <w:r w:rsidRPr="00353B3D">
        <w:rPr>
          <w:rStyle w:val="Emphasis"/>
        </w:rPr>
        <w:t xml:space="preserve"> </w:t>
      </w:r>
      <w:r w:rsidRPr="00456038">
        <w:rPr>
          <w:rStyle w:val="Emphasis"/>
          <w:highlight w:val="cyan"/>
        </w:rPr>
        <w:t>court</w:t>
      </w:r>
      <w:r w:rsidRPr="00353B3D">
        <w:rPr>
          <w:rStyle w:val="Emphasis"/>
        </w:rPr>
        <w:t xml:space="preserve"> of appeals</w:t>
      </w:r>
      <w:r w:rsidRPr="002A607A">
        <w:rPr>
          <w:sz w:val="16"/>
        </w:rPr>
        <w:t xml:space="preserve">, therefore, </w:t>
      </w:r>
      <w:r w:rsidRPr="00456038">
        <w:rPr>
          <w:rStyle w:val="StyleUnderline"/>
          <w:highlight w:val="cyan"/>
        </w:rPr>
        <w:t>represent</w:t>
      </w:r>
      <w:r w:rsidRPr="00353B3D">
        <w:rPr>
          <w:rStyle w:val="StyleUnderline"/>
        </w:rPr>
        <w:t xml:space="preserve"> </w:t>
      </w:r>
      <w:r w:rsidRPr="00353B3D">
        <w:rPr>
          <w:rStyle w:val="Emphasis"/>
        </w:rPr>
        <w:t xml:space="preserve">the first </w:t>
      </w:r>
      <w:r w:rsidRPr="00456038">
        <w:rPr>
          <w:rStyle w:val="Emphasis"/>
          <w:highlight w:val="cyan"/>
        </w:rPr>
        <w:t>access</w:t>
      </w:r>
      <w:r w:rsidRPr="002A607A">
        <w:rPr>
          <w:sz w:val="16"/>
        </w:rPr>
        <w:t xml:space="preserve"> asylum applicants have to a decision-maker who is not part of an immigration enforcement agency.169 As a result, </w:t>
      </w:r>
      <w:r w:rsidRPr="00353B3D">
        <w:rPr>
          <w:rStyle w:val="Emphasis"/>
        </w:rPr>
        <w:t xml:space="preserve">the </w:t>
      </w:r>
      <w:r w:rsidRPr="00456038">
        <w:rPr>
          <w:rStyle w:val="Emphasis"/>
          <w:highlight w:val="cyan"/>
        </w:rPr>
        <w:t>rigor</w:t>
      </w:r>
      <w:r w:rsidRPr="00353B3D">
        <w:rPr>
          <w:rStyle w:val="StyleUnderline"/>
        </w:rPr>
        <w:t xml:space="preserve"> with </w:t>
      </w:r>
      <w:r w:rsidRPr="00456038">
        <w:rPr>
          <w:rStyle w:val="StyleUnderline"/>
          <w:highlight w:val="cyan"/>
        </w:rPr>
        <w:t>which they</w:t>
      </w:r>
      <w:r w:rsidRPr="00353B3D">
        <w:rPr>
          <w:rStyle w:val="StyleUnderline"/>
        </w:rPr>
        <w:t xml:space="preserve"> can </w:t>
      </w:r>
      <w:r w:rsidRPr="00456038">
        <w:rPr>
          <w:rStyle w:val="StyleUnderline"/>
          <w:highlight w:val="cyan"/>
        </w:rPr>
        <w:t>review</w:t>
      </w:r>
      <w:r w:rsidRPr="00353B3D">
        <w:rPr>
          <w:rStyle w:val="StyleUnderline"/>
        </w:rPr>
        <w:t xml:space="preserve"> the agency’s </w:t>
      </w:r>
      <w:r w:rsidRPr="00456038">
        <w:rPr>
          <w:rStyle w:val="Emphasis"/>
          <w:highlight w:val="cyan"/>
        </w:rPr>
        <w:t>decisions is</w:t>
      </w:r>
      <w:r w:rsidRPr="00353B3D">
        <w:rPr>
          <w:rStyle w:val="Emphasis"/>
        </w:rPr>
        <w:t xml:space="preserve"> vitally </w:t>
      </w:r>
      <w:r w:rsidRPr="00456038">
        <w:rPr>
          <w:rStyle w:val="Emphasis"/>
          <w:highlight w:val="cyan"/>
        </w:rPr>
        <w:t>important</w:t>
      </w:r>
      <w:r w:rsidRPr="00353B3D">
        <w:rPr>
          <w:rStyle w:val="StyleUnderline"/>
        </w:rPr>
        <w:t xml:space="preserve">, </w:t>
      </w:r>
      <w:r w:rsidRPr="00456038">
        <w:rPr>
          <w:rStyle w:val="StyleUnderline"/>
          <w:highlight w:val="cyan"/>
        </w:rPr>
        <w:t>as is</w:t>
      </w:r>
      <w:r w:rsidRPr="00353B3D">
        <w:rPr>
          <w:rStyle w:val="StyleUnderline"/>
        </w:rPr>
        <w:t xml:space="preserve">, by extension, the question of whether they must </w:t>
      </w:r>
      <w:r w:rsidRPr="00353B3D">
        <w:rPr>
          <w:rStyle w:val="Emphasis"/>
        </w:rPr>
        <w:t>presumptively defer</w:t>
      </w:r>
      <w:r w:rsidRPr="00353B3D">
        <w:rPr>
          <w:rStyle w:val="StyleUnderline"/>
        </w:rPr>
        <w:t xml:space="preserve"> to those decisions under </w:t>
      </w:r>
      <w:r w:rsidRPr="00456038">
        <w:rPr>
          <w:rStyle w:val="StyleUnderline"/>
          <w:highlight w:val="cyan"/>
        </w:rPr>
        <w:t>Chevron</w:t>
      </w:r>
      <w:r w:rsidRPr="002A607A">
        <w:rPr>
          <w:sz w:val="16"/>
        </w:rPr>
        <w:t xml:space="preserve">. </w:t>
      </w:r>
    </w:p>
    <w:p w14:paraId="24113558" w14:textId="7C707BAA" w:rsidR="00353B3D" w:rsidRPr="002A607A" w:rsidRDefault="00353B3D" w:rsidP="00EE6BEE">
      <w:pPr>
        <w:rPr>
          <w:sz w:val="16"/>
        </w:rPr>
      </w:pPr>
      <w:r w:rsidRPr="00353B3D">
        <w:rPr>
          <w:rStyle w:val="StyleUnderline"/>
        </w:rPr>
        <w:t>The Supreme Court</w:t>
      </w:r>
      <w:r w:rsidRPr="002A607A">
        <w:rPr>
          <w:sz w:val="16"/>
        </w:rPr>
        <w:t xml:space="preserve"> has in recent years repeatedly </w:t>
      </w:r>
      <w:r w:rsidRPr="00353B3D">
        <w:rPr>
          <w:rStyle w:val="StyleUnderline"/>
        </w:rPr>
        <w:t xml:space="preserve">reached back to </w:t>
      </w:r>
      <w:r w:rsidRPr="00353B3D">
        <w:rPr>
          <w:rStyle w:val="Emphasis"/>
        </w:rPr>
        <w:t>the touchstone</w:t>
      </w:r>
      <w:r w:rsidRPr="00353B3D">
        <w:rPr>
          <w:rStyle w:val="StyleUnderline"/>
        </w:rPr>
        <w:t xml:space="preserve"> of </w:t>
      </w:r>
      <w:r w:rsidRPr="00353B3D">
        <w:rPr>
          <w:rStyle w:val="Emphasis"/>
        </w:rPr>
        <w:t>the balance of powers principles</w:t>
      </w:r>
      <w:r w:rsidRPr="00353B3D">
        <w:rPr>
          <w:rStyle w:val="StyleUnderline"/>
        </w:rPr>
        <w:t xml:space="preserve"> underlying Chevron</w:t>
      </w:r>
      <w:r w:rsidRPr="002A607A">
        <w:rPr>
          <w:sz w:val="16"/>
        </w:rPr>
        <w:t xml:space="preserve">, concerned that the Chevron doctrine has allowed agencies to usurp both legislative power that should be held by Congress and interpretive power that should be exercised by the courts. The justices’ concerns about the abuse of executive power and inordinate claims to executive deference seem very apt in the asylum context. Congress intended to comply fully with the requirements of non-refoulement in passing the Refugee Act. The Justice Department, whose “ordinary statutory duties”170 do not involve the protection but rather the prosecution of irregular migrants, has its own executive—and prosecutorial—imperatives. Given the political importance of strong border control, </w:t>
      </w:r>
      <w:r w:rsidRPr="00353B3D">
        <w:rPr>
          <w:rStyle w:val="StyleUnderline"/>
        </w:rPr>
        <w:t xml:space="preserve">the </w:t>
      </w:r>
      <w:r w:rsidRPr="00456038">
        <w:rPr>
          <w:rStyle w:val="StyleUnderline"/>
          <w:highlight w:val="cyan"/>
        </w:rPr>
        <w:t>Department has</w:t>
      </w:r>
      <w:r w:rsidRPr="00353B3D">
        <w:rPr>
          <w:rStyle w:val="StyleUnderline"/>
        </w:rPr>
        <w:t xml:space="preserve"> </w:t>
      </w:r>
      <w:r w:rsidRPr="00353B3D">
        <w:rPr>
          <w:rStyle w:val="Emphasis"/>
        </w:rPr>
        <w:t xml:space="preserve">every </w:t>
      </w:r>
      <w:r w:rsidRPr="00456038">
        <w:rPr>
          <w:rStyle w:val="Emphasis"/>
          <w:highlight w:val="cyan"/>
        </w:rPr>
        <w:t>incentive</w:t>
      </w:r>
      <w:r w:rsidRPr="00456038">
        <w:rPr>
          <w:rStyle w:val="StyleUnderline"/>
          <w:highlight w:val="cyan"/>
        </w:rPr>
        <w:t xml:space="preserve"> to interpret</w:t>
      </w:r>
      <w:r w:rsidRPr="002A607A">
        <w:rPr>
          <w:sz w:val="16"/>
        </w:rPr>
        <w:t xml:space="preserve"> Refugee Act </w:t>
      </w:r>
      <w:r w:rsidRPr="00456038">
        <w:rPr>
          <w:rStyle w:val="StyleUnderline"/>
          <w:highlight w:val="cyan"/>
        </w:rPr>
        <w:t xml:space="preserve">provisions to </w:t>
      </w:r>
      <w:r w:rsidRPr="00456038">
        <w:rPr>
          <w:rStyle w:val="Emphasis"/>
          <w:highlight w:val="cyan"/>
        </w:rPr>
        <w:t>maximize</w:t>
      </w:r>
      <w:r w:rsidRPr="00353B3D">
        <w:rPr>
          <w:rStyle w:val="StyleUnderline"/>
        </w:rPr>
        <w:t xml:space="preserve"> its </w:t>
      </w:r>
      <w:r w:rsidRPr="00456038">
        <w:rPr>
          <w:rStyle w:val="StyleUnderline"/>
          <w:highlight w:val="cyan"/>
        </w:rPr>
        <w:t xml:space="preserve">ability to </w:t>
      </w:r>
      <w:r w:rsidRPr="00456038">
        <w:rPr>
          <w:rStyle w:val="Emphasis"/>
          <w:highlight w:val="cyan"/>
        </w:rPr>
        <w:t>deny protection</w:t>
      </w:r>
      <w:r w:rsidRPr="00456038">
        <w:rPr>
          <w:rStyle w:val="StyleUnderline"/>
          <w:highlight w:val="cyan"/>
        </w:rPr>
        <w:t xml:space="preserve"> and </w:t>
      </w:r>
      <w:r w:rsidRPr="00456038">
        <w:rPr>
          <w:rStyle w:val="Emphasis"/>
          <w:highlight w:val="cyan"/>
        </w:rPr>
        <w:t>to remove</w:t>
      </w:r>
      <w:r w:rsidRPr="00353B3D">
        <w:rPr>
          <w:rStyle w:val="Emphasis"/>
        </w:rPr>
        <w:t xml:space="preserve"> or repel</w:t>
      </w:r>
      <w:r w:rsidRPr="00353B3D">
        <w:rPr>
          <w:rStyle w:val="StyleUnderline"/>
        </w:rPr>
        <w:t xml:space="preserve"> those who arrive or stay in the country </w:t>
      </w:r>
      <w:r w:rsidRPr="00456038">
        <w:rPr>
          <w:rStyle w:val="StyleUnderline"/>
          <w:highlight w:val="cyan"/>
        </w:rPr>
        <w:t>outside</w:t>
      </w:r>
      <w:r w:rsidRPr="00353B3D">
        <w:rPr>
          <w:rStyle w:val="StyleUnderline"/>
        </w:rPr>
        <w:t xml:space="preserve"> </w:t>
      </w:r>
      <w:r w:rsidRPr="00353B3D">
        <w:rPr>
          <w:rStyle w:val="Emphasis"/>
        </w:rPr>
        <w:t xml:space="preserve">normal </w:t>
      </w:r>
      <w:r w:rsidRPr="00456038">
        <w:rPr>
          <w:rStyle w:val="Emphasis"/>
          <w:highlight w:val="cyan"/>
        </w:rPr>
        <w:t>channels</w:t>
      </w:r>
      <w:r w:rsidRPr="00353B3D">
        <w:rPr>
          <w:rStyle w:val="StyleUnderline"/>
        </w:rPr>
        <w:t>. The Attorney General</w:t>
      </w:r>
      <w:r w:rsidRPr="002A607A">
        <w:rPr>
          <w:sz w:val="16"/>
        </w:rPr>
        <w:t xml:space="preserve">, as the politically appointed head of the Department, is both very powerful in influencing the interpretation of asylum law and demonstrably sensitive to the volatile political consequences of irregular migration. As such, he or she often </w:t>
      </w:r>
      <w:r w:rsidRPr="00353B3D">
        <w:rPr>
          <w:rStyle w:val="StyleUnderline"/>
        </w:rPr>
        <w:t xml:space="preserve">acts as an </w:t>
      </w:r>
      <w:r w:rsidRPr="00353B3D">
        <w:rPr>
          <w:rStyle w:val="Emphasis"/>
        </w:rPr>
        <w:t>instrument</w:t>
      </w:r>
      <w:r w:rsidRPr="00353B3D">
        <w:rPr>
          <w:rStyle w:val="StyleUnderline"/>
        </w:rPr>
        <w:t xml:space="preserve"> of the broader</w:t>
      </w:r>
      <w:r w:rsidRPr="002A607A">
        <w:rPr>
          <w:sz w:val="16"/>
        </w:rPr>
        <w:t xml:space="preserve"> administration and for its </w:t>
      </w:r>
      <w:r w:rsidRPr="00353B3D">
        <w:rPr>
          <w:rStyle w:val="Emphasis"/>
        </w:rPr>
        <w:t>political purposes</w:t>
      </w:r>
      <w:r w:rsidRPr="00353B3D">
        <w:rPr>
          <w:rStyle w:val="StyleUnderline"/>
        </w:rPr>
        <w:t xml:space="preserve">. </w:t>
      </w:r>
      <w:r w:rsidRPr="00456038">
        <w:rPr>
          <w:rStyle w:val="StyleUnderline"/>
          <w:highlight w:val="cyan"/>
        </w:rPr>
        <w:t xml:space="preserve">It is </w:t>
      </w:r>
      <w:r w:rsidRPr="00456038">
        <w:rPr>
          <w:rStyle w:val="Emphasis"/>
          <w:highlight w:val="cyan"/>
        </w:rPr>
        <w:t>not</w:t>
      </w:r>
      <w:r w:rsidRPr="00353B3D">
        <w:rPr>
          <w:rStyle w:val="Emphasis"/>
        </w:rPr>
        <w:t xml:space="preserve"> at all</w:t>
      </w:r>
      <w:r w:rsidRPr="00353B3D">
        <w:rPr>
          <w:rStyle w:val="StyleUnderline"/>
        </w:rPr>
        <w:t xml:space="preserve"> </w:t>
      </w:r>
      <w:r w:rsidRPr="00456038">
        <w:rPr>
          <w:rStyle w:val="StyleUnderline"/>
          <w:highlight w:val="cyan"/>
        </w:rPr>
        <w:t>a stretch</w:t>
      </w:r>
      <w:r w:rsidRPr="00353B3D">
        <w:rPr>
          <w:rStyle w:val="StyleUnderline"/>
        </w:rPr>
        <w:t xml:space="preserve"> to </w:t>
      </w:r>
      <w:r w:rsidRPr="00456038">
        <w:rPr>
          <w:rStyle w:val="StyleUnderline"/>
          <w:highlight w:val="cyan"/>
        </w:rPr>
        <w:t>imagine</w:t>
      </w:r>
      <w:r w:rsidRPr="002A607A">
        <w:rPr>
          <w:sz w:val="16"/>
        </w:rPr>
        <w:t xml:space="preserve"> that </w:t>
      </w:r>
      <w:r w:rsidRPr="00353B3D">
        <w:rPr>
          <w:rStyle w:val="StyleUnderline"/>
        </w:rPr>
        <w:t xml:space="preserve">these incentives </w:t>
      </w:r>
      <w:r w:rsidRPr="00456038">
        <w:rPr>
          <w:rStyle w:val="StyleUnderline"/>
          <w:highlight w:val="cyan"/>
        </w:rPr>
        <w:t>and</w:t>
      </w:r>
      <w:r w:rsidRPr="00353B3D">
        <w:rPr>
          <w:rStyle w:val="StyleUnderline"/>
        </w:rPr>
        <w:t xml:space="preserve"> pressures could </w:t>
      </w:r>
      <w:r w:rsidRPr="00456038">
        <w:rPr>
          <w:rStyle w:val="Emphasis"/>
          <w:highlight w:val="cyan"/>
        </w:rPr>
        <w:t>color</w:t>
      </w:r>
      <w:r w:rsidRPr="00353B3D">
        <w:rPr>
          <w:rStyle w:val="StyleUnderline"/>
        </w:rPr>
        <w:t xml:space="preserve"> the </w:t>
      </w:r>
      <w:r w:rsidRPr="00456038">
        <w:rPr>
          <w:rStyle w:val="StyleUnderline"/>
          <w:highlight w:val="cyan"/>
        </w:rPr>
        <w:t>Department’s</w:t>
      </w:r>
      <w:r w:rsidRPr="00353B3D">
        <w:rPr>
          <w:rStyle w:val="StyleUnderline"/>
        </w:rPr>
        <w:t xml:space="preserve"> </w:t>
      </w:r>
      <w:r w:rsidRPr="00353B3D">
        <w:rPr>
          <w:rStyle w:val="Emphasis"/>
        </w:rPr>
        <w:t xml:space="preserve">statutory </w:t>
      </w:r>
      <w:r w:rsidRPr="00456038">
        <w:rPr>
          <w:rStyle w:val="Emphasis"/>
          <w:highlight w:val="cyan"/>
        </w:rPr>
        <w:t>interpretations</w:t>
      </w:r>
      <w:r w:rsidRPr="00353B3D">
        <w:rPr>
          <w:rStyle w:val="StyleUnderline"/>
        </w:rPr>
        <w:t xml:space="preserve"> </w:t>
      </w:r>
      <w:r w:rsidRPr="00536F2B">
        <w:rPr>
          <w:rStyle w:val="StyleUnderline"/>
        </w:rPr>
        <w:t>to</w:t>
      </w:r>
      <w:r w:rsidRPr="00353B3D">
        <w:rPr>
          <w:rStyle w:val="StyleUnderline"/>
        </w:rPr>
        <w:t xml:space="preserve"> improperly limit the congressional intent to provide protection</w:t>
      </w:r>
      <w:r w:rsidRPr="002A607A">
        <w:rPr>
          <w:sz w:val="16"/>
        </w:rPr>
        <w:t xml:space="preserve">. To the contrary, </w:t>
      </w:r>
      <w:r w:rsidRPr="00353B3D">
        <w:rPr>
          <w:rStyle w:val="StyleUnderline"/>
        </w:rPr>
        <w:t>history shows</w:t>
      </w:r>
      <w:r w:rsidRPr="002A607A">
        <w:rPr>
          <w:sz w:val="16"/>
        </w:rPr>
        <w:t xml:space="preserve"> that </w:t>
      </w:r>
      <w:r w:rsidRPr="00353B3D">
        <w:rPr>
          <w:rStyle w:val="StyleUnderline"/>
        </w:rPr>
        <w:t xml:space="preserve">they have and predictably will continue to do so. </w:t>
      </w:r>
      <w:r w:rsidRPr="00456038">
        <w:rPr>
          <w:rStyle w:val="StyleUnderline"/>
          <w:highlight w:val="cyan"/>
        </w:rPr>
        <w:t>Given</w:t>
      </w:r>
      <w:r w:rsidRPr="00353B3D">
        <w:rPr>
          <w:rStyle w:val="StyleUnderline"/>
        </w:rPr>
        <w:t xml:space="preserve"> </w:t>
      </w:r>
      <w:r w:rsidRPr="00353B3D">
        <w:rPr>
          <w:rStyle w:val="Emphasis"/>
        </w:rPr>
        <w:t xml:space="preserve">the </w:t>
      </w:r>
      <w:r w:rsidRPr="00456038">
        <w:rPr>
          <w:rStyle w:val="Emphasis"/>
          <w:highlight w:val="cyan"/>
        </w:rPr>
        <w:t>distorting influence</w:t>
      </w:r>
      <w:r w:rsidRPr="00456038">
        <w:rPr>
          <w:rStyle w:val="StyleUnderline"/>
          <w:highlight w:val="cyan"/>
        </w:rPr>
        <w:t xml:space="preserve"> of</w:t>
      </w:r>
      <w:r w:rsidRPr="00353B3D">
        <w:rPr>
          <w:rStyle w:val="StyleUnderline"/>
        </w:rPr>
        <w:t xml:space="preserve"> the Justice Department’s </w:t>
      </w:r>
      <w:r w:rsidRPr="00456038">
        <w:rPr>
          <w:rStyle w:val="Emphasis"/>
          <w:highlight w:val="cyan"/>
        </w:rPr>
        <w:t>structural investment</w:t>
      </w:r>
      <w:r w:rsidRPr="00353B3D">
        <w:rPr>
          <w:rStyle w:val="StyleUnderline"/>
        </w:rPr>
        <w:t xml:space="preserve"> in its role as an immigration enforcement agency, </w:t>
      </w:r>
      <w:r w:rsidRPr="00456038">
        <w:rPr>
          <w:rStyle w:val="StyleUnderline"/>
          <w:highlight w:val="cyan"/>
        </w:rPr>
        <w:t xml:space="preserve">courts serve as </w:t>
      </w:r>
      <w:r w:rsidRPr="00456038">
        <w:rPr>
          <w:rStyle w:val="Emphasis"/>
          <w:highlight w:val="cyan"/>
        </w:rPr>
        <w:t>a</w:t>
      </w:r>
      <w:r w:rsidRPr="00353B3D">
        <w:rPr>
          <w:rStyle w:val="Emphasis"/>
        </w:rPr>
        <w:t xml:space="preserve"> crucial </w:t>
      </w:r>
      <w:r w:rsidRPr="00456038">
        <w:rPr>
          <w:rStyle w:val="Emphasis"/>
          <w:highlight w:val="cyan"/>
        </w:rPr>
        <w:t>check</w:t>
      </w:r>
      <w:r w:rsidRPr="00353B3D">
        <w:rPr>
          <w:rStyle w:val="StyleUnderline"/>
        </w:rPr>
        <w:t xml:space="preserve"> on the executive’s </w:t>
      </w:r>
      <w:r w:rsidRPr="00353B3D">
        <w:rPr>
          <w:rStyle w:val="Emphasis"/>
        </w:rPr>
        <w:t>considerable enforcement power</w:t>
      </w:r>
      <w:r w:rsidRPr="00353B3D">
        <w:rPr>
          <w:rStyle w:val="StyleUnderline"/>
        </w:rPr>
        <w:t xml:space="preserve"> </w:t>
      </w:r>
      <w:r w:rsidRPr="00456038">
        <w:rPr>
          <w:rStyle w:val="StyleUnderline"/>
          <w:highlight w:val="cyan"/>
        </w:rPr>
        <w:t>and should</w:t>
      </w:r>
      <w:r w:rsidRPr="00353B3D">
        <w:rPr>
          <w:rStyle w:val="StyleUnderline"/>
        </w:rPr>
        <w:t xml:space="preserve"> </w:t>
      </w:r>
      <w:r w:rsidRPr="00353B3D">
        <w:rPr>
          <w:rStyle w:val="Emphasis"/>
        </w:rPr>
        <w:t xml:space="preserve">rigorously </w:t>
      </w:r>
      <w:r w:rsidRPr="00456038">
        <w:rPr>
          <w:rStyle w:val="Emphasis"/>
          <w:highlight w:val="cyan"/>
        </w:rPr>
        <w:t>review</w:t>
      </w:r>
      <w:r w:rsidRPr="00456038">
        <w:rPr>
          <w:rStyle w:val="StyleUnderline"/>
          <w:highlight w:val="cyan"/>
        </w:rPr>
        <w:t xml:space="preserve"> BIA</w:t>
      </w:r>
      <w:r w:rsidRPr="002A607A">
        <w:rPr>
          <w:sz w:val="16"/>
        </w:rPr>
        <w:t xml:space="preserve"> and Attorney General </w:t>
      </w:r>
      <w:r w:rsidRPr="00456038">
        <w:rPr>
          <w:rStyle w:val="StyleUnderline"/>
          <w:highlight w:val="cyan"/>
        </w:rPr>
        <w:t>decisions</w:t>
      </w:r>
      <w:r w:rsidRPr="002A607A">
        <w:rPr>
          <w:sz w:val="16"/>
        </w:rPr>
        <w:t xml:space="preserve">, to ensure compliance with the congressional intent to comply with non-refoulement obligations. </w:t>
      </w:r>
    </w:p>
    <w:p w14:paraId="02452644" w14:textId="1429F261" w:rsidR="00353B3D" w:rsidRPr="002A607A" w:rsidRDefault="00353B3D" w:rsidP="00EE6BEE">
      <w:pPr>
        <w:rPr>
          <w:sz w:val="16"/>
        </w:rPr>
      </w:pPr>
      <w:r w:rsidRPr="00536F2B">
        <w:rPr>
          <w:rStyle w:val="Emphasis"/>
        </w:rPr>
        <w:t>A refusal to defer</w:t>
      </w:r>
      <w:r w:rsidRPr="00536F2B">
        <w:rPr>
          <w:sz w:val="16"/>
        </w:rPr>
        <w:t xml:space="preserve"> to the Justice Department in matters of asylum </w:t>
      </w:r>
      <w:r w:rsidRPr="00536F2B">
        <w:rPr>
          <w:rStyle w:val="StyleUnderline"/>
        </w:rPr>
        <w:t>is akin to the principle</w:t>
      </w:r>
      <w:r w:rsidRPr="00536F2B">
        <w:rPr>
          <w:sz w:val="16"/>
        </w:rPr>
        <w:t xml:space="preserve"> that </w:t>
      </w:r>
      <w:r w:rsidRPr="00536F2B">
        <w:rPr>
          <w:rStyle w:val="StyleUnderline"/>
        </w:rPr>
        <w:t xml:space="preserve">there is </w:t>
      </w:r>
      <w:r w:rsidRPr="00536F2B">
        <w:rPr>
          <w:rStyle w:val="Emphasis"/>
        </w:rPr>
        <w:t>no deference</w:t>
      </w:r>
      <w:r w:rsidRPr="00536F2B">
        <w:rPr>
          <w:rStyle w:val="StyleUnderline"/>
        </w:rPr>
        <w:t xml:space="preserve"> due to</w:t>
      </w:r>
      <w:r w:rsidRPr="00536F2B">
        <w:rPr>
          <w:sz w:val="16"/>
        </w:rPr>
        <w:t xml:space="preserve"> a prosecutor’s </w:t>
      </w:r>
      <w:r w:rsidRPr="00536F2B">
        <w:rPr>
          <w:rStyle w:val="StyleUnderline"/>
        </w:rPr>
        <w:t>interpretation of a criminal statute</w:t>
      </w:r>
      <w:r w:rsidRPr="00536F2B">
        <w:rPr>
          <w:sz w:val="16"/>
        </w:rPr>
        <w:t>. As Justice Scalia observed in his concurrence in the case of C</w:t>
      </w:r>
      <w:r w:rsidRPr="002A607A">
        <w:rPr>
          <w:sz w:val="16"/>
        </w:rPr>
        <w:t xml:space="preserve">randon v. United States, 171 prosecutors have an incentive to “err in the direction of inclusion rather than exclusion—assuming, to be on the safe side, that the statute may cover more than is entirely apparent.”172 For this reason, again in Justice Scalia’s words, </w:t>
      </w:r>
      <w:r w:rsidRPr="00353B3D">
        <w:rPr>
          <w:rStyle w:val="StyleUnderline"/>
        </w:rPr>
        <w:t>“we have never thought</w:t>
      </w:r>
      <w:r w:rsidRPr="002A607A">
        <w:rPr>
          <w:sz w:val="16"/>
        </w:rPr>
        <w:t xml:space="preserve"> that </w:t>
      </w:r>
      <w:r w:rsidRPr="00353B3D">
        <w:rPr>
          <w:rStyle w:val="StyleUnderline"/>
        </w:rPr>
        <w:t xml:space="preserve">the interpretation of those charged with prosecuting criminal statutes is entitled to </w:t>
      </w:r>
      <w:r w:rsidRPr="00353B3D">
        <w:rPr>
          <w:rStyle w:val="Emphasis"/>
        </w:rPr>
        <w:t>deference</w:t>
      </w:r>
      <w:r w:rsidRPr="00353B3D">
        <w:rPr>
          <w:rStyle w:val="StyleUnderline"/>
        </w:rPr>
        <w:t>.”</w:t>
      </w:r>
      <w:r w:rsidRPr="002A607A">
        <w:rPr>
          <w:sz w:val="16"/>
        </w:rPr>
        <w:t xml:space="preserve">173 </w:t>
      </w:r>
      <w:r w:rsidRPr="00456038">
        <w:rPr>
          <w:rStyle w:val="StyleUnderline"/>
          <w:highlight w:val="cyan"/>
        </w:rPr>
        <w:t>To do otherwise</w:t>
      </w:r>
      <w:r w:rsidRPr="00353B3D">
        <w:rPr>
          <w:rStyle w:val="StyleUnderline"/>
        </w:rPr>
        <w:t xml:space="preserve"> would </w:t>
      </w:r>
      <w:r w:rsidRPr="00456038">
        <w:rPr>
          <w:rStyle w:val="StyleUnderline"/>
          <w:highlight w:val="cyan"/>
        </w:rPr>
        <w:t>create</w:t>
      </w:r>
      <w:r w:rsidRPr="00353B3D">
        <w:rPr>
          <w:rStyle w:val="StyleUnderline"/>
        </w:rPr>
        <w:t xml:space="preserve"> a “</w:t>
      </w:r>
      <w:r w:rsidRPr="00353B3D">
        <w:rPr>
          <w:rStyle w:val="Emphasis"/>
        </w:rPr>
        <w:t xml:space="preserve">rule of </w:t>
      </w:r>
      <w:r w:rsidRPr="00456038">
        <w:rPr>
          <w:rStyle w:val="Emphasis"/>
          <w:highlight w:val="cyan"/>
        </w:rPr>
        <w:t>severity</w:t>
      </w:r>
      <w:r w:rsidRPr="00353B3D">
        <w:rPr>
          <w:rStyle w:val="StyleUnderline"/>
        </w:rPr>
        <w:t xml:space="preserve">” </w:t>
      </w:r>
      <w:r w:rsidRPr="00456038">
        <w:rPr>
          <w:rStyle w:val="StyleUnderline"/>
          <w:highlight w:val="cyan"/>
        </w:rPr>
        <w:t>rather than</w:t>
      </w:r>
      <w:r w:rsidRPr="00353B3D">
        <w:rPr>
          <w:rStyle w:val="StyleUnderline"/>
        </w:rPr>
        <w:t xml:space="preserve"> </w:t>
      </w:r>
      <w:r w:rsidRPr="00353B3D">
        <w:rPr>
          <w:rStyle w:val="Emphasis"/>
        </w:rPr>
        <w:t xml:space="preserve">the traditional rule of </w:t>
      </w:r>
      <w:r w:rsidRPr="00456038">
        <w:rPr>
          <w:rStyle w:val="Emphasis"/>
          <w:highlight w:val="cyan"/>
        </w:rPr>
        <w:t>lenity</w:t>
      </w:r>
      <w:r w:rsidRPr="002A607A">
        <w:rPr>
          <w:sz w:val="16"/>
        </w:rPr>
        <w:t xml:space="preserve">.174 </w:t>
      </w:r>
    </w:p>
    <w:p w14:paraId="55AF5060" w14:textId="0BB1748C" w:rsidR="00353B3D" w:rsidRPr="002A607A" w:rsidRDefault="00353B3D" w:rsidP="00EE6BEE">
      <w:pPr>
        <w:rPr>
          <w:sz w:val="16"/>
        </w:rPr>
      </w:pPr>
      <w:r w:rsidRPr="002A607A">
        <w:rPr>
          <w:sz w:val="16"/>
        </w:rPr>
        <w:t>Alina Das, considering deference in the federal habeas context in the wake of City of Arlington, argues that the separation of powers concerns highlighted by Chief Justice Roberts in his dissent in that case can and should affect a court’s consideration of whether Congress likely intended to delegate a question to an executive agency.175 She poses the two-sided question: (1) Are there reasons to think that Congress intended to delegate its law-making authority and (2) Are there reasons to think it would not delegate its authority on the particular question at issue?176 Das argues that the strong liberty interest at issue in habeas and the prominence in the Constitution of the protection of the right to petition for habeas relief give rise to a kind of “anti-deference” with which a court should regard the detaining executive agency, because Congress would have been unlikely to cede primary law-making authority on such an important liberty issue to the very executive responsible for the detention.177 Where an individual who has lost her liberty confronts a government agency’s detention power, Das argues for the courts as a robust check on agency power.178 She concludes that where individual liberty is at stake in a habeas proceeding, it is proper for the courts to exercise robust review of the executive detention decision.179</w:t>
      </w:r>
    </w:p>
    <w:p w14:paraId="64E4D303" w14:textId="7C30DF31" w:rsidR="00353B3D" w:rsidRPr="002A607A" w:rsidRDefault="00353B3D" w:rsidP="00EE6BEE">
      <w:pPr>
        <w:rPr>
          <w:sz w:val="16"/>
        </w:rPr>
      </w:pPr>
      <w:r w:rsidRPr="002A607A">
        <w:rPr>
          <w:rStyle w:val="StyleUnderline"/>
        </w:rPr>
        <w:t>This argument</w:t>
      </w:r>
      <w:r w:rsidRPr="002A607A">
        <w:rPr>
          <w:sz w:val="16"/>
        </w:rPr>
        <w:t xml:space="preserve"> finds </w:t>
      </w:r>
      <w:r w:rsidRPr="002A607A">
        <w:rPr>
          <w:rStyle w:val="Emphasis"/>
        </w:rPr>
        <w:t>echoes</w:t>
      </w:r>
      <w:r w:rsidRPr="002A607A">
        <w:rPr>
          <w:sz w:val="16"/>
        </w:rPr>
        <w:t xml:space="preserve"> in </w:t>
      </w:r>
      <w:r w:rsidRPr="002A607A">
        <w:rPr>
          <w:rStyle w:val="StyleUnderline"/>
        </w:rPr>
        <w:t>the separation of powers rationale of Chevron</w:t>
      </w:r>
      <w:r w:rsidRPr="002A607A">
        <w:rPr>
          <w:sz w:val="16"/>
        </w:rPr>
        <w:t xml:space="preserve">, and its principles apply equally well to the context of applications for asylum and withholding of removal. There are significant reasons to think that Congress would not—or may not even have the power to—delegate to the enforcement agency unchecked authority to interpret provisions implementing the nation’s obligation of non-refoulement. 180 Asylum and withholding applications, like habeas petitions, involve a strong, fundamental individual right (to the personal security inherent in humanitarian protection and to relief from persecution), guaranteed by an authoritative external source of law (the Refugee Convention), and at potential risk of abuse by an executive otherwise empowered to compromise the right (through its authority to exclude or deport individuals not authorized to be present in the country). Non-refoulement, like the fundamental right to liberty at issue in habeas, operates as a direct check on executive power and has profound consequences for individuals and their most basic human rights. All of these factors function as reasons </w:t>
      </w:r>
      <w:r w:rsidRPr="00871052">
        <w:rPr>
          <w:rStyle w:val="StyleUnderline"/>
        </w:rPr>
        <w:t>Congress would not want to defer to the executive agency, as “</w:t>
      </w:r>
      <w:r w:rsidRPr="00871052">
        <w:rPr>
          <w:rStyle w:val="Emphasis"/>
        </w:rPr>
        <w:t>anti-deference</w:t>
      </w:r>
      <w:r w:rsidRPr="00871052">
        <w:rPr>
          <w:rStyle w:val="StyleUnderline"/>
        </w:rPr>
        <w:t>” factors</w:t>
      </w:r>
      <w:r w:rsidRPr="002A607A">
        <w:rPr>
          <w:sz w:val="16"/>
        </w:rPr>
        <w:t>.</w:t>
      </w:r>
    </w:p>
    <w:p w14:paraId="44B41CE3" w14:textId="22B51429" w:rsidR="00353B3D" w:rsidRPr="002A607A" w:rsidRDefault="00353B3D" w:rsidP="00EE6BEE">
      <w:pPr>
        <w:rPr>
          <w:sz w:val="16"/>
        </w:rPr>
      </w:pPr>
      <w:r w:rsidRPr="002A607A">
        <w:rPr>
          <w:sz w:val="16"/>
        </w:rPr>
        <w:t xml:space="preserve">While it is true that Justice Scalia and the majority dismissed the “fox guarding the henhouse” concern in the civil regulatory context in City of Arlington, there are important differences between that situation and the question of deference in non-refoulement and humanitarian protection.181 For one thing, non-refoulement, like the liberty interest in the criminal or habeas context, is a fundamental interest with serious consequences for personal liberty and even the survival of the individual. For another, there is a structural institutional difference. The Court in City of Arlington was considering who should decide the breadth of an agency’s power to regulate third parties. By contrast, with asylum and withholding—as </w:t>
      </w:r>
      <w:r w:rsidRPr="00871052">
        <w:rPr>
          <w:rStyle w:val="StyleUnderline"/>
        </w:rPr>
        <w:t>in the criminal</w:t>
      </w:r>
      <w:r w:rsidRPr="002A607A">
        <w:rPr>
          <w:sz w:val="16"/>
        </w:rPr>
        <w:t xml:space="preserve"> or habeas </w:t>
      </w:r>
      <w:r w:rsidRPr="00871052">
        <w:rPr>
          <w:rStyle w:val="StyleUnderline"/>
        </w:rPr>
        <w:t>context—</w:t>
      </w:r>
      <w:r w:rsidRPr="00456038">
        <w:rPr>
          <w:rStyle w:val="StyleUnderline"/>
          <w:highlight w:val="cyan"/>
        </w:rPr>
        <w:t xml:space="preserve">the question is who should </w:t>
      </w:r>
      <w:r w:rsidRPr="00456038">
        <w:rPr>
          <w:rStyle w:val="Emphasis"/>
          <w:highlight w:val="cyan"/>
        </w:rPr>
        <w:t>police</w:t>
      </w:r>
      <w:r w:rsidRPr="00456038">
        <w:rPr>
          <w:rStyle w:val="StyleUnderline"/>
          <w:highlight w:val="cyan"/>
        </w:rPr>
        <w:t xml:space="preserve"> the agency’s</w:t>
      </w:r>
      <w:r w:rsidRPr="00871052">
        <w:rPr>
          <w:rStyle w:val="StyleUnderline"/>
        </w:rPr>
        <w:t xml:space="preserve"> </w:t>
      </w:r>
      <w:r w:rsidRPr="00871052">
        <w:rPr>
          <w:rStyle w:val="Emphasis"/>
        </w:rPr>
        <w:t>self-regulation</w:t>
      </w:r>
      <w:r w:rsidRPr="00871052">
        <w:rPr>
          <w:rStyle w:val="StyleUnderline"/>
        </w:rPr>
        <w:t xml:space="preserve"> </w:t>
      </w:r>
      <w:r w:rsidRPr="00456038">
        <w:rPr>
          <w:rStyle w:val="StyleUnderline"/>
          <w:highlight w:val="cyan"/>
        </w:rPr>
        <w:t>on</w:t>
      </w:r>
      <w:r w:rsidRPr="00871052">
        <w:rPr>
          <w:rStyle w:val="StyleUnderline"/>
        </w:rPr>
        <w:t xml:space="preserve"> a matter of </w:t>
      </w:r>
      <w:r w:rsidRPr="00871052">
        <w:rPr>
          <w:rStyle w:val="Emphasis"/>
        </w:rPr>
        <w:t xml:space="preserve">fundamental </w:t>
      </w:r>
      <w:r w:rsidRPr="00456038">
        <w:rPr>
          <w:rStyle w:val="Emphasis"/>
          <w:highlight w:val="cyan"/>
        </w:rPr>
        <w:t>individual liberty</w:t>
      </w:r>
      <w:r w:rsidRPr="00456038">
        <w:rPr>
          <w:rStyle w:val="StyleUnderline"/>
          <w:highlight w:val="cyan"/>
        </w:rPr>
        <w:t>. The need for</w:t>
      </w:r>
      <w:r w:rsidRPr="00871052">
        <w:rPr>
          <w:rStyle w:val="StyleUnderline"/>
        </w:rPr>
        <w:t xml:space="preserve"> </w:t>
      </w:r>
      <w:r w:rsidRPr="00871052">
        <w:rPr>
          <w:rStyle w:val="Emphasis"/>
        </w:rPr>
        <w:t xml:space="preserve">an </w:t>
      </w:r>
      <w:r w:rsidRPr="00456038">
        <w:rPr>
          <w:rStyle w:val="Emphasis"/>
          <w:highlight w:val="cyan"/>
        </w:rPr>
        <w:t>external check</w:t>
      </w:r>
      <w:r w:rsidRPr="002A607A">
        <w:rPr>
          <w:sz w:val="16"/>
        </w:rPr>
        <w:t xml:space="preserve"> in that circumstance </w:t>
      </w:r>
      <w:r w:rsidRPr="00456038">
        <w:rPr>
          <w:rStyle w:val="StyleUnderline"/>
          <w:highlight w:val="cyan"/>
        </w:rPr>
        <w:t xml:space="preserve">is </w:t>
      </w:r>
      <w:r w:rsidRPr="00456038">
        <w:rPr>
          <w:rStyle w:val="Emphasis"/>
          <w:highlight w:val="cyan"/>
        </w:rPr>
        <w:t>amplified</w:t>
      </w:r>
      <w:r w:rsidRPr="002A607A">
        <w:rPr>
          <w:sz w:val="16"/>
        </w:rPr>
        <w:t>.</w:t>
      </w:r>
    </w:p>
    <w:p w14:paraId="28441E19" w14:textId="53E449EF" w:rsidR="00353B3D" w:rsidRPr="002A607A" w:rsidRDefault="00353B3D" w:rsidP="00EE6BEE">
      <w:pPr>
        <w:rPr>
          <w:sz w:val="16"/>
        </w:rPr>
      </w:pPr>
      <w:r w:rsidRPr="002A607A">
        <w:rPr>
          <w:sz w:val="16"/>
        </w:rPr>
        <w:t xml:space="preserve">As a matter of separation of powers, there are thus good reasons to believe that Congress would not have left the fundamental principle of non-refoulement in the unchecked hands of the executive enforcement agency. As with the criminal prosecutor, Congress would have expected the courts to exercise robust review of the enforcement agency’s interpretations. </w:t>
      </w:r>
      <w:r w:rsidRPr="00456038">
        <w:rPr>
          <w:rStyle w:val="StyleUnderline"/>
          <w:highlight w:val="cyan"/>
        </w:rPr>
        <w:t>Unlike</w:t>
      </w:r>
      <w:r w:rsidRPr="002A607A">
        <w:rPr>
          <w:rStyle w:val="StyleUnderline"/>
        </w:rPr>
        <w:t xml:space="preserve"> the Department of </w:t>
      </w:r>
      <w:r w:rsidRPr="00456038">
        <w:rPr>
          <w:rStyle w:val="StyleUnderline"/>
          <w:highlight w:val="cyan"/>
        </w:rPr>
        <w:t>Justice</w:t>
      </w:r>
      <w:r w:rsidRPr="002A607A">
        <w:rPr>
          <w:rStyle w:val="StyleUnderline"/>
        </w:rPr>
        <w:t xml:space="preserve">, the </w:t>
      </w:r>
      <w:r w:rsidRPr="00456038">
        <w:rPr>
          <w:rStyle w:val="StyleUnderline"/>
          <w:highlight w:val="cyan"/>
        </w:rPr>
        <w:t xml:space="preserve">courts are </w:t>
      </w:r>
      <w:r w:rsidRPr="00456038">
        <w:rPr>
          <w:rStyle w:val="Emphasis"/>
          <w:highlight w:val="cyan"/>
        </w:rPr>
        <w:t>not invested</w:t>
      </w:r>
      <w:r w:rsidRPr="002A607A">
        <w:rPr>
          <w:rStyle w:val="StyleUnderline"/>
        </w:rPr>
        <w:t xml:space="preserve"> on </w:t>
      </w:r>
      <w:r w:rsidRPr="002A607A">
        <w:rPr>
          <w:rStyle w:val="Emphasis"/>
        </w:rPr>
        <w:t>an institutional level</w:t>
      </w:r>
      <w:r w:rsidRPr="002A607A">
        <w:rPr>
          <w:rStyle w:val="StyleUnderline"/>
        </w:rPr>
        <w:t xml:space="preserve"> </w:t>
      </w:r>
      <w:r w:rsidRPr="00456038">
        <w:rPr>
          <w:rStyle w:val="StyleUnderline"/>
          <w:highlight w:val="cyan"/>
        </w:rPr>
        <w:t>in</w:t>
      </w:r>
      <w:r w:rsidRPr="002A607A">
        <w:rPr>
          <w:rStyle w:val="StyleUnderline"/>
        </w:rPr>
        <w:t xml:space="preserve"> the mission of punishing, deporting</w:t>
      </w:r>
      <w:r w:rsidRPr="002A607A">
        <w:rPr>
          <w:sz w:val="16"/>
        </w:rPr>
        <w:t xml:space="preserve"> or excluding those not authorized to be in the country </w:t>
      </w:r>
      <w:r w:rsidRPr="002A607A">
        <w:rPr>
          <w:rStyle w:val="StyleUnderline"/>
        </w:rPr>
        <w:t>or</w:t>
      </w:r>
      <w:r w:rsidRPr="002A607A">
        <w:rPr>
          <w:sz w:val="16"/>
        </w:rPr>
        <w:t xml:space="preserve"> of </w:t>
      </w:r>
      <w:r w:rsidRPr="00456038">
        <w:rPr>
          <w:rStyle w:val="StyleUnderline"/>
          <w:highlight w:val="cyan"/>
        </w:rPr>
        <w:t>deterring</w:t>
      </w:r>
      <w:r w:rsidRPr="002A607A">
        <w:rPr>
          <w:rStyle w:val="StyleUnderline"/>
        </w:rPr>
        <w:t xml:space="preserve"> </w:t>
      </w:r>
      <w:r w:rsidRPr="002A607A">
        <w:rPr>
          <w:rStyle w:val="Emphasis"/>
        </w:rPr>
        <w:t xml:space="preserve">future unlawful </w:t>
      </w:r>
      <w:r w:rsidRPr="00456038">
        <w:rPr>
          <w:rStyle w:val="Emphasis"/>
          <w:highlight w:val="cyan"/>
        </w:rPr>
        <w:t>immigration</w:t>
      </w:r>
      <w:r w:rsidRPr="002A607A">
        <w:rPr>
          <w:sz w:val="16"/>
        </w:rPr>
        <w:t xml:space="preserve">. As such, </w:t>
      </w:r>
      <w:r w:rsidRPr="00456038">
        <w:rPr>
          <w:rStyle w:val="StyleUnderline"/>
          <w:highlight w:val="cyan"/>
        </w:rPr>
        <w:t xml:space="preserve">they are in </w:t>
      </w:r>
      <w:r w:rsidRPr="00456038">
        <w:rPr>
          <w:rStyle w:val="Emphasis"/>
          <w:highlight w:val="cyan"/>
        </w:rPr>
        <w:t>a better</w:t>
      </w:r>
      <w:r w:rsidRPr="002A607A">
        <w:rPr>
          <w:rStyle w:val="Emphasis"/>
        </w:rPr>
        <w:t xml:space="preserve"> </w:t>
      </w:r>
      <w:r w:rsidRPr="00456038">
        <w:rPr>
          <w:rStyle w:val="Emphasis"/>
          <w:highlight w:val="cyan"/>
        </w:rPr>
        <w:t>position</w:t>
      </w:r>
      <w:r w:rsidRPr="002A607A">
        <w:rPr>
          <w:rStyle w:val="StyleUnderline"/>
        </w:rPr>
        <w:t xml:space="preserve"> as </w:t>
      </w:r>
      <w:r w:rsidRPr="002A607A">
        <w:rPr>
          <w:rStyle w:val="Emphasis"/>
        </w:rPr>
        <w:t>a structural matter</w:t>
      </w:r>
      <w:r w:rsidRPr="002A607A">
        <w:rPr>
          <w:rStyle w:val="StyleUnderline"/>
        </w:rPr>
        <w:t xml:space="preserve"> </w:t>
      </w:r>
      <w:r w:rsidRPr="00456038">
        <w:rPr>
          <w:rStyle w:val="StyleUnderline"/>
          <w:highlight w:val="cyan"/>
        </w:rPr>
        <w:t>to defend the principle</w:t>
      </w:r>
      <w:r w:rsidRPr="002A607A">
        <w:rPr>
          <w:sz w:val="16"/>
        </w:rPr>
        <w:t xml:space="preserve"> and the nation’s obligation of non-refoulement. In the absence of an express indication otherwise, it is reasonable to conclude that Congress intended them to do so vigorously. </w:t>
      </w:r>
    </w:p>
    <w:p w14:paraId="7048F8C5" w14:textId="77777777" w:rsidR="00536F2B" w:rsidRDefault="00536F2B" w:rsidP="00536F2B">
      <w:pPr>
        <w:pStyle w:val="Heading4"/>
      </w:pPr>
      <w:r>
        <w:t xml:space="preserve">Leaving it in the hands of the BIA at all is </w:t>
      </w:r>
      <w:r>
        <w:rPr>
          <w:u w:val="single"/>
        </w:rPr>
        <w:t>insufficient</w:t>
      </w:r>
      <w:r>
        <w:t xml:space="preserve"> – only </w:t>
      </w:r>
      <w:r>
        <w:rPr>
          <w:u w:val="single"/>
        </w:rPr>
        <w:t>judicial review</w:t>
      </w:r>
      <w:r>
        <w:t xml:space="preserve"> solves.</w:t>
      </w:r>
    </w:p>
    <w:p w14:paraId="3A7C7F0C" w14:textId="77777777" w:rsidR="00536F2B" w:rsidRPr="00D4168F" w:rsidRDefault="00536F2B" w:rsidP="00536F2B">
      <w:r w:rsidRPr="00D4168F">
        <w:rPr>
          <w:rStyle w:val="Style13ptBold"/>
        </w:rPr>
        <w:t>Roth et al. 19</w:t>
      </w:r>
      <w:r>
        <w:t xml:space="preserve"> – Charles Roth, National Immigrant Justice Center’s director of appellate litigation. Jean-Claude André, JD from UVA, previously an Assistant United States Attorney and as the appellate chief at the Office of the United States Attorney for the Central District of California. Andrew B. Talai, JD from Berkeley, law clerk to Chief Judge of the U.S. Court of Appeals for the Sixth Circuit. Gerry B. Hirschfeld, JD from Northwestern. Russell Abrutyn, JD cum laude from the University of Michigan, a nationally recognized immigration attorney. William A. Stock, JD from the University of Minnesota, President of the American Immigration Lawyers Association. Derek A. Webb, JD from Georgetown University, PhD from the University of Notre Dame, a law clerk to Judge Jeffrey S. Sutton. [Brief on the behalf of Kisor in James L. Kisor, v. Robert L. Wilkie, Secretary of Veterans Affairs, On Writ of Certiorari to the United States Court of Appeals for the Federal Circuit, No. 18-15, 1-31-19, https://www.supremecourt.gov/DocketPDF/18/18-15/86593/20190131193247151_18-15tsacNationalImmigrantJusticeCenter.pdf]//BPS</w:t>
      </w:r>
    </w:p>
    <w:p w14:paraId="5522D556" w14:textId="77777777" w:rsidR="00536F2B" w:rsidRPr="00D4168F" w:rsidRDefault="00536F2B" w:rsidP="00536F2B">
      <w:pPr>
        <w:rPr>
          <w:sz w:val="16"/>
        </w:rPr>
      </w:pPr>
      <w:r w:rsidRPr="00D4168F">
        <w:rPr>
          <w:sz w:val="16"/>
        </w:rPr>
        <w:t xml:space="preserve">III. </w:t>
      </w:r>
      <w:r w:rsidRPr="000C6EC6">
        <w:rPr>
          <w:rStyle w:val="StyleUnderline"/>
        </w:rPr>
        <w:t xml:space="preserve">AUER DEFERENCE IS </w:t>
      </w:r>
      <w:r w:rsidRPr="000C6EC6">
        <w:rPr>
          <w:rStyle w:val="Emphasis"/>
        </w:rPr>
        <w:t>PERNICIOUS</w:t>
      </w:r>
      <w:r w:rsidRPr="000C6EC6">
        <w:rPr>
          <w:rStyle w:val="StyleUnderline"/>
        </w:rPr>
        <w:t xml:space="preserve"> WHERE </w:t>
      </w:r>
      <w:r w:rsidRPr="000C6EC6">
        <w:rPr>
          <w:rStyle w:val="Emphasis"/>
        </w:rPr>
        <w:t>QUASI-JUDICIAL AGENCIES</w:t>
      </w:r>
      <w:r w:rsidRPr="000C6EC6">
        <w:rPr>
          <w:rStyle w:val="StyleUnderline"/>
        </w:rPr>
        <w:t xml:space="preserve"> LIKE THE BIA INTERPRET REGULATIONS THROUGH ADJUDICATION</w:t>
      </w:r>
      <w:r w:rsidRPr="00D4168F">
        <w:rPr>
          <w:sz w:val="16"/>
        </w:rPr>
        <w:t>.</w:t>
      </w:r>
    </w:p>
    <w:p w14:paraId="345F2640" w14:textId="77777777" w:rsidR="00536F2B" w:rsidRPr="00D4168F" w:rsidRDefault="00536F2B" w:rsidP="00536F2B">
      <w:pPr>
        <w:rPr>
          <w:sz w:val="16"/>
        </w:rPr>
      </w:pPr>
      <w:r w:rsidRPr="00D4168F">
        <w:rPr>
          <w:sz w:val="16"/>
        </w:rPr>
        <w:t xml:space="preserve">Auer’s flaws apply equally, if not with greater force, to quasi-judicial agencies that interpret regulations through case-by-case adjudication.14 This Court has long recognized that, “in administrative proceedings of a quasi-judicial character,” liberty must be “protected by the rudimentary requirements of fair play.” Morgan v. United States, 304 U.S. 1, 14-15 (1938). </w:t>
      </w:r>
      <w:r w:rsidRPr="00456038">
        <w:rPr>
          <w:rStyle w:val="StyleUnderline"/>
          <w:highlight w:val="cyan"/>
        </w:rPr>
        <w:t>Cloaked in</w:t>
      </w:r>
      <w:r w:rsidRPr="000C6EC6">
        <w:rPr>
          <w:rStyle w:val="StyleUnderline"/>
        </w:rPr>
        <w:t xml:space="preserve"> </w:t>
      </w:r>
      <w:r w:rsidRPr="000C6EC6">
        <w:rPr>
          <w:rStyle w:val="Emphasis"/>
        </w:rPr>
        <w:t xml:space="preserve">judicial </w:t>
      </w:r>
      <w:r w:rsidRPr="00456038">
        <w:rPr>
          <w:rStyle w:val="Emphasis"/>
          <w:highlight w:val="cyan"/>
        </w:rPr>
        <w:t>garb</w:t>
      </w:r>
      <w:r w:rsidRPr="00D4168F">
        <w:rPr>
          <w:sz w:val="16"/>
        </w:rPr>
        <w:t xml:space="preserve">, however, </w:t>
      </w:r>
      <w:r w:rsidRPr="00456038">
        <w:rPr>
          <w:rStyle w:val="StyleUnderline"/>
          <w:highlight w:val="cyan"/>
        </w:rPr>
        <w:t>an</w:t>
      </w:r>
      <w:r w:rsidRPr="00D4168F">
        <w:rPr>
          <w:sz w:val="16"/>
        </w:rPr>
        <w:t xml:space="preserve"> administrative </w:t>
      </w:r>
      <w:r w:rsidRPr="00456038">
        <w:rPr>
          <w:rStyle w:val="StyleUnderline"/>
          <w:highlight w:val="cyan"/>
        </w:rPr>
        <w:t>agency can</w:t>
      </w:r>
      <w:r w:rsidRPr="000C6EC6">
        <w:rPr>
          <w:rStyle w:val="StyleUnderline"/>
        </w:rPr>
        <w:t xml:space="preserve"> conduct binding adjudications that “</w:t>
      </w:r>
      <w:r w:rsidRPr="00456038">
        <w:rPr>
          <w:rStyle w:val="StyleUnderline"/>
          <w:highlight w:val="cyan"/>
        </w:rPr>
        <w:t>change</w:t>
      </w:r>
      <w:r w:rsidRPr="000C6EC6">
        <w:rPr>
          <w:rStyle w:val="StyleUnderline"/>
        </w:rPr>
        <w:t xml:space="preserve"> the meaning of </w:t>
      </w:r>
      <w:r w:rsidRPr="00456038">
        <w:rPr>
          <w:rStyle w:val="StyleUnderline"/>
          <w:highlight w:val="cyan"/>
        </w:rPr>
        <w:t>regulations</w:t>
      </w:r>
      <w:r w:rsidRPr="00D4168F">
        <w:rPr>
          <w:sz w:val="16"/>
        </w:rPr>
        <w:t xml:space="preserve"> * * * </w:t>
      </w:r>
      <w:r w:rsidRPr="00456038">
        <w:rPr>
          <w:rStyle w:val="StyleUnderline"/>
          <w:highlight w:val="cyan"/>
        </w:rPr>
        <w:t>without</w:t>
      </w:r>
      <w:r w:rsidRPr="000C6EC6">
        <w:rPr>
          <w:rStyle w:val="StyleUnderline"/>
        </w:rPr>
        <w:t xml:space="preserve"> </w:t>
      </w:r>
      <w:r w:rsidRPr="000C6EC6">
        <w:rPr>
          <w:rStyle w:val="Emphasis"/>
        </w:rPr>
        <w:t xml:space="preserve">any advance </w:t>
      </w:r>
      <w:r w:rsidRPr="00456038">
        <w:rPr>
          <w:rStyle w:val="Emphasis"/>
          <w:highlight w:val="cyan"/>
        </w:rPr>
        <w:t>notice</w:t>
      </w:r>
      <w:r w:rsidRPr="000C6EC6">
        <w:rPr>
          <w:rStyle w:val="StyleUnderline"/>
        </w:rPr>
        <w:t xml:space="preserve"> to the parties.”</w:t>
      </w:r>
      <w:r w:rsidRPr="00D4168F">
        <w:rPr>
          <w:sz w:val="16"/>
        </w:rPr>
        <w:t xml:space="preserve"> Perez, 135 S. Ct. at 1221 (Thomas, J., concurring in the judgment); see also Decker, 568 U.S. at 620 (Scalia, J., concurring in part and dissenting in part) (“[W]hen an agency interprets its own rules * * * the power to prescribe is augmented by the power to interpret.”). Moreover, Auer deference shields the agency’s purported power to “say what its own rules mean” from plenary judicial review. John F. Manning, Constitutional Structure and Judicial Deference to Agency Interpretations of Agency Rules, 96 Colum. L. Rev. 612, 654 (1996). </w:t>
      </w:r>
    </w:p>
    <w:p w14:paraId="414B2F34" w14:textId="77777777" w:rsidR="00536F2B" w:rsidRPr="00D4168F" w:rsidRDefault="00536F2B" w:rsidP="00536F2B">
      <w:pPr>
        <w:rPr>
          <w:sz w:val="16"/>
        </w:rPr>
      </w:pPr>
      <w:r w:rsidRPr="00D4168F">
        <w:rPr>
          <w:sz w:val="16"/>
        </w:rPr>
        <w:t xml:space="preserve">Amici submit that </w:t>
      </w:r>
      <w:r w:rsidRPr="00456038">
        <w:rPr>
          <w:rStyle w:val="StyleUnderline"/>
          <w:highlight w:val="cyan"/>
        </w:rPr>
        <w:t>this</w:t>
      </w:r>
      <w:r w:rsidRPr="000C6EC6">
        <w:rPr>
          <w:rStyle w:val="StyleUnderline"/>
        </w:rPr>
        <w:t xml:space="preserve"> regime </w:t>
      </w:r>
      <w:r w:rsidRPr="00456038">
        <w:rPr>
          <w:rStyle w:val="StyleUnderline"/>
          <w:highlight w:val="cyan"/>
        </w:rPr>
        <w:t xml:space="preserve">is </w:t>
      </w:r>
      <w:r w:rsidRPr="00456038">
        <w:rPr>
          <w:rStyle w:val="Emphasis"/>
          <w:highlight w:val="cyan"/>
        </w:rPr>
        <w:t>incompatible</w:t>
      </w:r>
      <w:r w:rsidRPr="00456038">
        <w:rPr>
          <w:rStyle w:val="StyleUnderline"/>
          <w:highlight w:val="cyan"/>
        </w:rPr>
        <w:t xml:space="preserve"> with</w:t>
      </w:r>
      <w:r w:rsidRPr="000C6EC6">
        <w:rPr>
          <w:rStyle w:val="StyleUnderline"/>
        </w:rPr>
        <w:t xml:space="preserve"> the </w:t>
      </w:r>
      <w:r w:rsidRPr="00456038">
        <w:rPr>
          <w:rStyle w:val="StyleUnderline"/>
          <w:highlight w:val="cyan"/>
        </w:rPr>
        <w:t>“</w:t>
      </w:r>
      <w:r w:rsidRPr="00456038">
        <w:rPr>
          <w:rStyle w:val="Emphasis"/>
          <w:highlight w:val="cyan"/>
        </w:rPr>
        <w:t>cherished</w:t>
      </w:r>
      <w:r w:rsidRPr="000C6EC6">
        <w:rPr>
          <w:rStyle w:val="Emphasis"/>
        </w:rPr>
        <w:t xml:space="preserve"> judicial tradition</w:t>
      </w:r>
      <w:r w:rsidRPr="000C6EC6">
        <w:rPr>
          <w:rStyle w:val="StyleUnderline"/>
        </w:rPr>
        <w:t xml:space="preserve"> embodying</w:t>
      </w:r>
      <w:r w:rsidRPr="00D4168F">
        <w:rPr>
          <w:sz w:val="16"/>
        </w:rPr>
        <w:t xml:space="preserve"> the basic concepts of </w:t>
      </w:r>
      <w:r w:rsidRPr="00456038">
        <w:rPr>
          <w:rStyle w:val="StyleUnderline"/>
          <w:highlight w:val="cyan"/>
        </w:rPr>
        <w:t>fair play,”</w:t>
      </w:r>
      <w:r w:rsidRPr="00D4168F">
        <w:rPr>
          <w:sz w:val="16"/>
        </w:rPr>
        <w:t xml:space="preserve"> Morgan, 304 U.S. at 22, particularly </w:t>
      </w:r>
      <w:r w:rsidRPr="00456038">
        <w:rPr>
          <w:rStyle w:val="StyleUnderline"/>
          <w:highlight w:val="cyan"/>
        </w:rPr>
        <w:t>in</w:t>
      </w:r>
      <w:r w:rsidRPr="000C6EC6">
        <w:rPr>
          <w:rStyle w:val="StyleUnderline"/>
        </w:rPr>
        <w:t xml:space="preserve"> </w:t>
      </w:r>
      <w:r w:rsidRPr="000C6EC6">
        <w:rPr>
          <w:rStyle w:val="Emphasis"/>
        </w:rPr>
        <w:t xml:space="preserve">the </w:t>
      </w:r>
      <w:r w:rsidRPr="00456038">
        <w:rPr>
          <w:rStyle w:val="Emphasis"/>
          <w:highlight w:val="cyan"/>
        </w:rPr>
        <w:t>immigration</w:t>
      </w:r>
      <w:r w:rsidRPr="000C6EC6">
        <w:rPr>
          <w:rStyle w:val="Emphasis"/>
        </w:rPr>
        <w:t xml:space="preserve"> context</w:t>
      </w:r>
      <w:r w:rsidRPr="00D4168F">
        <w:rPr>
          <w:sz w:val="16"/>
        </w:rPr>
        <w:t xml:space="preserve">. First, at the most basic level, quasi-judicial agencies are not properly constituted to exercise judicial power. Second, and relatedly, quasi-judicial agencies are not better equipped to interpret regulations, particularly considering fiscal and operational constraints within the Executive Branch. Third, </w:t>
      </w:r>
      <w:r w:rsidRPr="000C6EC6">
        <w:rPr>
          <w:rStyle w:val="Emphasis"/>
        </w:rPr>
        <w:t>the sev</w:t>
      </w:r>
      <w:r w:rsidRPr="00536F2B">
        <w:rPr>
          <w:rStyle w:val="Emphasis"/>
        </w:rPr>
        <w:t>erity of deportation</w:t>
      </w:r>
      <w:r w:rsidRPr="00536F2B">
        <w:rPr>
          <w:sz w:val="16"/>
        </w:rPr>
        <w:t xml:space="preserve">, as a punishment, </w:t>
      </w:r>
      <w:r w:rsidRPr="00536F2B">
        <w:rPr>
          <w:rStyle w:val="StyleUnderline"/>
        </w:rPr>
        <w:t>counsels against aba</w:t>
      </w:r>
      <w:r w:rsidRPr="000C6EC6">
        <w:rPr>
          <w:rStyle w:val="StyleUnderline"/>
        </w:rPr>
        <w:t xml:space="preserve">ndoning </w:t>
      </w:r>
      <w:r w:rsidRPr="000C6EC6">
        <w:rPr>
          <w:rStyle w:val="Emphasis"/>
        </w:rPr>
        <w:t>fulsome judicial review</w:t>
      </w:r>
      <w:r w:rsidRPr="000C6EC6">
        <w:rPr>
          <w:rStyle w:val="StyleUnderline"/>
        </w:rPr>
        <w:t xml:space="preserve"> of regulatory interpretations</w:t>
      </w:r>
      <w:r w:rsidRPr="00D4168F">
        <w:rPr>
          <w:sz w:val="16"/>
        </w:rPr>
        <w:t xml:space="preserve">. Amici illustrate these flaws through an examination of the BIA, which underscores why subregulatory interpretation through quasi-judicial adjudication should be reviewed under traditional Skidmore principles. </w:t>
      </w:r>
    </w:p>
    <w:p w14:paraId="7C5EC271" w14:textId="77777777" w:rsidR="00536F2B" w:rsidRPr="00D4168F" w:rsidRDefault="00536F2B" w:rsidP="00536F2B">
      <w:pPr>
        <w:rPr>
          <w:sz w:val="16"/>
        </w:rPr>
      </w:pPr>
      <w:r w:rsidRPr="00D4168F">
        <w:rPr>
          <w:sz w:val="16"/>
        </w:rPr>
        <w:t xml:space="preserve">A. Most circuits give Auer deference to the BIA’s interpretation of ambiguous regulations. </w:t>
      </w:r>
    </w:p>
    <w:p w14:paraId="5A56601C" w14:textId="77777777" w:rsidR="00536F2B" w:rsidRPr="00D4168F" w:rsidRDefault="00536F2B" w:rsidP="00536F2B">
      <w:pPr>
        <w:rPr>
          <w:sz w:val="16"/>
        </w:rPr>
      </w:pPr>
      <w:r w:rsidRPr="00D4168F">
        <w:rPr>
          <w:sz w:val="16"/>
        </w:rPr>
        <w:t>The Immigration and Nationality Act (“INA”), 8 U.S.C. § 1101 et seq., and its implementing regulations, 8 C.F.R. § 100.1 et seq., designate the process for removing non-citizens from the United States. Generally, Immigration Judges (“IJs”) conduct initial removal proceedings and the BIA reviews appeals from removal orders. See 8 U.S.C. § 1229a(a)(1), (c)(5). According to the Department of Justice (“DOJ”), the majority of BIA appeals involve orders of removal and applications for relief from removal.15</w:t>
      </w:r>
    </w:p>
    <w:p w14:paraId="3EB20423" w14:textId="77777777" w:rsidR="00536F2B" w:rsidRPr="00D4168F" w:rsidRDefault="00536F2B" w:rsidP="00536F2B">
      <w:pPr>
        <w:rPr>
          <w:sz w:val="16"/>
        </w:rPr>
      </w:pPr>
      <w:r w:rsidRPr="00D4168F">
        <w:rPr>
          <w:sz w:val="16"/>
        </w:rPr>
        <w:t xml:space="preserve">The BIA is a component of the DOJ’s Executive Office for Immigration Review, and is considered the highest administrative body for interpreting immigration law. See Bd. of Immigration Appeals, U.S. Dep’t of Justice, Board of Immigration Appeals Practice Manual, ch. 1.2(a)-(b), https://www.justice.gov/eoir/ page/file/1103051/download (last updated Oct. 16, 2018) [hereinafter BIA Practice Manual]. The BIA generally does not conduct courtroom proceedings or hear oral arguments.16 Decisions are rendered either by a single Board Member, a three-member panel, or, rarely, the full Board. Id., ch. 1.3(a). The BIA’s orders are final, unless stayed, modified, rescinded, or overruled by the Board, the Attorney General, or a federal court. Id. ch. 1.4(d) (citing 8 C.F.R. § 1003.1(d)(7), (g)). Decisions released in “published” form constitute binding precedent for the Board and the Immigration Courts. Id. ch. 1.4(d)(i) (citing 8 C.F.R. § 1003.1(g)). But the vast majority of BIA decisions are unpublished and, while binding on the parties, are not considered precedent. Id. ch. 1.4(d)(i)-(ii). </w:t>
      </w:r>
    </w:p>
    <w:p w14:paraId="4E55971E" w14:textId="77777777" w:rsidR="00536F2B" w:rsidRPr="00D4168F" w:rsidRDefault="00536F2B" w:rsidP="00536F2B">
      <w:pPr>
        <w:rPr>
          <w:sz w:val="16"/>
        </w:rPr>
      </w:pPr>
      <w:r w:rsidRPr="000C6EC6">
        <w:rPr>
          <w:rStyle w:val="StyleUnderline"/>
        </w:rPr>
        <w:t xml:space="preserve">Nearly </w:t>
      </w:r>
      <w:r w:rsidRPr="00456038">
        <w:rPr>
          <w:rStyle w:val="Emphasis"/>
          <w:highlight w:val="cyan"/>
        </w:rPr>
        <w:t>every circuit</w:t>
      </w:r>
      <w:r w:rsidRPr="00D4168F">
        <w:rPr>
          <w:sz w:val="16"/>
        </w:rPr>
        <w:t xml:space="preserve"> has </w:t>
      </w:r>
      <w:r w:rsidRPr="00456038">
        <w:rPr>
          <w:rStyle w:val="StyleUnderline"/>
          <w:highlight w:val="cyan"/>
        </w:rPr>
        <w:t>held</w:t>
      </w:r>
      <w:r w:rsidRPr="00D4168F">
        <w:rPr>
          <w:sz w:val="16"/>
        </w:rPr>
        <w:t xml:space="preserve"> that </w:t>
      </w:r>
      <w:r w:rsidRPr="00456038">
        <w:rPr>
          <w:rStyle w:val="StyleUnderline"/>
          <w:highlight w:val="cyan"/>
        </w:rPr>
        <w:t xml:space="preserve">the BIA is entitled to </w:t>
      </w:r>
      <w:r w:rsidRPr="00456038">
        <w:rPr>
          <w:rStyle w:val="Emphasis"/>
          <w:highlight w:val="cyan"/>
        </w:rPr>
        <w:t>Auer</w:t>
      </w:r>
      <w:r w:rsidRPr="000C6EC6">
        <w:rPr>
          <w:rStyle w:val="Emphasis"/>
        </w:rPr>
        <w:t xml:space="preserve"> deference</w:t>
      </w:r>
      <w:r w:rsidRPr="00D4168F">
        <w:rPr>
          <w:sz w:val="16"/>
        </w:rPr>
        <w:t xml:space="preserve"> when interpreting ambiguous immigration regulations, unless “plainly erroneous or inconsistent with the regulation.” See Auer, 519 U.S. at 461. As the Sixth Circuit has recently explained, “we * * * afford substantial deference to [the BIA’s] interpretation of the INA and accompanying regulations,” the latter of which “are controlling unless plainly erroneous or inconsistent with the regulation.” Hernandez-Perez v. Whitaker, 911 F.3d 305, 312 (6th Cir. 2018).17</w:t>
      </w:r>
    </w:p>
    <w:p w14:paraId="44934306" w14:textId="77777777" w:rsidR="00536F2B" w:rsidRPr="00D4168F" w:rsidRDefault="00536F2B" w:rsidP="00536F2B">
      <w:pPr>
        <w:rPr>
          <w:sz w:val="16"/>
        </w:rPr>
      </w:pPr>
      <w:r w:rsidRPr="00D4168F">
        <w:rPr>
          <w:sz w:val="16"/>
        </w:rPr>
        <w:t>Consider, for example, Zhang v. Holder, 617 F.3d 650 (2d Cir. 2010). There, the Second Circuit gave Auer deference to the BIA’s interpretation of 8 C.F.R. § 1003.2(a)—a regulation governing the Board’s sua sponte authority to reopen final removal proceedings. In Matter of Armendarez-Mendez, 24 I. &amp; N. Dec. 646, 660 (B.I.A. 2008), the BIA concluded that the so-called “departure bar” deprived it of jurisdiction to consider motions to reopen. Zhang, 617 F.3d at 652. Deferring to that legal interpretation of Section 1003.2(d), the Second Circuit held that the BIA’s reading was not “plainly erroneous” and thus denied the petition for review. Id. The court explained that, although it was “not without flaws,” the BIA’s legal “construction * * * is entitled to deference.” Id. at 655. The court also felt obliged to note that “the BIA’s construction [wa]s anything but airtight,” and restrained itself from “creat[ing] an exhaustive list” of concerns. Id. at 660. “Were we writing on a blank slate,” the court emphasized, “we might reach a different conclusion.” Id.18</w:t>
      </w:r>
    </w:p>
    <w:p w14:paraId="607F10F3" w14:textId="77777777" w:rsidR="00536F2B" w:rsidRPr="00D4168F" w:rsidRDefault="00536F2B" w:rsidP="00536F2B">
      <w:pPr>
        <w:rPr>
          <w:sz w:val="16"/>
        </w:rPr>
      </w:pPr>
      <w:r w:rsidRPr="000C6EC6">
        <w:rPr>
          <w:rStyle w:val="Emphasis"/>
        </w:rPr>
        <w:t>A majority of circuits</w:t>
      </w:r>
      <w:r w:rsidRPr="000C6EC6">
        <w:rPr>
          <w:rStyle w:val="StyleUnderline"/>
        </w:rPr>
        <w:t xml:space="preserve"> apply Auer deference </w:t>
      </w:r>
      <w:r w:rsidRPr="000C6EC6">
        <w:rPr>
          <w:rStyle w:val="Emphasis"/>
        </w:rPr>
        <w:t>even to</w:t>
      </w:r>
      <w:r w:rsidRPr="000C6EC6">
        <w:rPr>
          <w:rStyle w:val="StyleUnderline"/>
        </w:rPr>
        <w:t xml:space="preserve"> unpublished</w:t>
      </w:r>
      <w:r w:rsidRPr="00D4168F">
        <w:rPr>
          <w:sz w:val="16"/>
        </w:rPr>
        <w:t xml:space="preserve"> single-member BIA </w:t>
      </w:r>
      <w:r w:rsidRPr="000C6EC6">
        <w:rPr>
          <w:rStyle w:val="StyleUnderline"/>
        </w:rPr>
        <w:t>decisions</w:t>
      </w:r>
      <w:r w:rsidRPr="00D4168F">
        <w:rPr>
          <w:sz w:val="16"/>
        </w:rPr>
        <w:t>.19 In the Chevron context, courts find that in issuing unpublished decisions, “the BIA is not exercising its authority to make a rule carrying the force of law, and thus the opinion is not entitled to Chevron deference.” Martinez v. Holder, 740 F.3d 902, 909-10 (4th Cir. 2014) (collecting cases); see also Dhuka v. Holder, 716 F.3d 149, 154-56 (5th Cir. 2013). Yet in the Auer context, many circuits find that “the BIA is entitled to significant deference when it * * * interprets an immigration regulation in a single-member, nonprecedential opinion.” Gomez v. Lynch, 831 F.3d 652, 655 (5th Cir. 2016). They reason that, under Auer, “the agency’s interpretations, even if relatively informal * * *, are given ‘controlling weight.’” Id. at 655-56; see also Mansour v. Holder, 739 F.3d 412, 414, 417 (8th Cir. 2014) (extending “the deference afforded by * * * Auer” to regulatory interpretation in an “unpublished BIA decision”); Linares Huarcaya v. Mukasey, 550 F.3d 224, 227-30 (2d Cir. 2008) (per curiam) (extending Auer deference to an unpublished decision, despite recognizing “the potential for redundancy in the BIA’s interpretation”).20</w:t>
      </w:r>
    </w:p>
    <w:p w14:paraId="05BA16F8" w14:textId="77777777" w:rsidR="00536F2B" w:rsidRPr="00D4168F" w:rsidRDefault="00536F2B" w:rsidP="00536F2B">
      <w:pPr>
        <w:rPr>
          <w:sz w:val="16"/>
        </w:rPr>
      </w:pPr>
      <w:r w:rsidRPr="00D4168F">
        <w:rPr>
          <w:sz w:val="16"/>
        </w:rPr>
        <w:t xml:space="preserve">B. </w:t>
      </w:r>
      <w:r w:rsidRPr="000C6EC6">
        <w:rPr>
          <w:rStyle w:val="StyleUnderline"/>
        </w:rPr>
        <w:t xml:space="preserve">Affording Auer deference to </w:t>
      </w:r>
      <w:r w:rsidRPr="000C6EC6">
        <w:rPr>
          <w:rStyle w:val="Emphasis"/>
        </w:rPr>
        <w:t>BIA adjudications</w:t>
      </w:r>
      <w:r w:rsidRPr="000C6EC6">
        <w:rPr>
          <w:rStyle w:val="StyleUnderline"/>
        </w:rPr>
        <w:t xml:space="preserve"> is </w:t>
      </w:r>
      <w:r w:rsidRPr="000C6EC6">
        <w:rPr>
          <w:rStyle w:val="Emphasis"/>
        </w:rPr>
        <w:t>particularly problematic</w:t>
      </w:r>
      <w:r w:rsidRPr="00D4168F">
        <w:rPr>
          <w:sz w:val="16"/>
        </w:rPr>
        <w:t>.</w:t>
      </w:r>
    </w:p>
    <w:p w14:paraId="4F0FCFA8" w14:textId="77777777" w:rsidR="00536F2B" w:rsidRPr="00D4168F" w:rsidRDefault="00536F2B" w:rsidP="00536F2B">
      <w:pPr>
        <w:rPr>
          <w:sz w:val="16"/>
        </w:rPr>
      </w:pPr>
      <w:r w:rsidRPr="00D4168F">
        <w:rPr>
          <w:sz w:val="16"/>
        </w:rPr>
        <w:t xml:space="preserve">With this essential background in mind, amici submit that </w:t>
      </w:r>
      <w:r w:rsidRPr="00456038">
        <w:rPr>
          <w:rStyle w:val="StyleUnderline"/>
          <w:highlight w:val="cyan"/>
        </w:rPr>
        <w:t>Auer</w:t>
      </w:r>
      <w:r w:rsidRPr="00D4168F">
        <w:rPr>
          <w:sz w:val="16"/>
        </w:rPr>
        <w:t xml:space="preserve"> deference </w:t>
      </w:r>
      <w:r w:rsidRPr="00456038">
        <w:rPr>
          <w:rStyle w:val="StyleUnderline"/>
          <w:highlight w:val="cyan"/>
        </w:rPr>
        <w:t xml:space="preserve">is </w:t>
      </w:r>
      <w:r w:rsidRPr="00456038">
        <w:rPr>
          <w:rStyle w:val="Emphasis"/>
          <w:highlight w:val="cyan"/>
        </w:rPr>
        <w:t>unjustified</w:t>
      </w:r>
      <w:r w:rsidRPr="00D4168F">
        <w:rPr>
          <w:rStyle w:val="StyleUnderline"/>
        </w:rPr>
        <w:t xml:space="preserve"> in </w:t>
      </w:r>
      <w:r w:rsidRPr="00D4168F">
        <w:rPr>
          <w:rStyle w:val="Emphasis"/>
        </w:rPr>
        <w:t>the immigration context</w:t>
      </w:r>
      <w:r w:rsidRPr="00D4168F">
        <w:rPr>
          <w:sz w:val="16"/>
        </w:rPr>
        <w:t xml:space="preserve"> for at least three fundamental reasons.21</w:t>
      </w:r>
    </w:p>
    <w:p w14:paraId="2C9E3646" w14:textId="77777777" w:rsidR="00536F2B" w:rsidRPr="00D4168F" w:rsidRDefault="00536F2B" w:rsidP="00536F2B">
      <w:pPr>
        <w:rPr>
          <w:sz w:val="16"/>
        </w:rPr>
      </w:pPr>
      <w:r w:rsidRPr="00D4168F">
        <w:rPr>
          <w:sz w:val="16"/>
        </w:rPr>
        <w:t xml:space="preserve">1. Our constitutional system requires federal courts to “exercise independent judgment in determining that a regulation properly covers the conduct of regulated parties.” See Perez, 135 S. Ct. at 1219 (Thomas, J., concurring in the judgment). </w:t>
      </w:r>
      <w:r w:rsidRPr="00D4168F">
        <w:rPr>
          <w:rStyle w:val="StyleUnderline"/>
        </w:rPr>
        <w:t xml:space="preserve">Auer </w:t>
      </w:r>
      <w:r w:rsidRPr="00D4168F">
        <w:rPr>
          <w:rStyle w:val="Emphasis"/>
        </w:rPr>
        <w:t>short-circuits</w:t>
      </w:r>
      <w:r w:rsidRPr="00D4168F">
        <w:rPr>
          <w:rStyle w:val="StyleUnderline"/>
        </w:rPr>
        <w:t xml:space="preserve"> that safeguard</w:t>
      </w:r>
      <w:r w:rsidRPr="00D4168F">
        <w:rPr>
          <w:sz w:val="16"/>
        </w:rPr>
        <w:t>, demanding, instead, that judges defer to agency interpretations that are not plainly erroneous or otherwise inconsistent with the regulation. See Christopher v. SmithKline Beecham Corp., 567 U.S. 142, 155 (2012). This deference doctrine therefore amounts to “a transfer of the judge’s exercise of interpretive judgment to the agency.” See Perez, 135 S. Ct. at 1219 (Thomas, J., concurring in the judgment).</w:t>
      </w:r>
    </w:p>
    <w:p w14:paraId="4C94F7E4" w14:textId="77777777" w:rsidR="00536F2B" w:rsidRPr="00D4168F" w:rsidRDefault="00536F2B" w:rsidP="00536F2B">
      <w:pPr>
        <w:rPr>
          <w:sz w:val="16"/>
        </w:rPr>
      </w:pPr>
      <w:r w:rsidRPr="00D4168F">
        <w:rPr>
          <w:sz w:val="16"/>
        </w:rPr>
        <w:t>The BIA’s exercise of quasi-judicial power is no exception. While Board Members and IJs are considered “independent” adjudicators, see BIA Practice Manual, ch. 1.2(c), they are, doubtless, components of the Executive Branch housed within DOJ and subject to oversight by the Attorney General. Significantly, these Executive Branch officials lack the “structural protections for independent judgment adopted by the Framers”—i.e., Article III’s life tenure and salary protections. See Perez, 135 S. Ct. at 1220 (Thomas, J., concurring in the judgment); Jason Dzubow, Former BIA Chairman Paul W. Schmidt on His Career, the Board, and the Purge (part 2), The Asylumist (Oct. 5, 2016), https://www.asylumist.com/2016/10/05/former-biachairman-paul-w-schmidt-on-his-career-the-boardand-the-purge-part-2/ (explaining dismissal of BIA members due to the Attorney General’s disagreement with opinions). Thus, as the most basic level, the BIA is “not properly constituted to exercise the judicial power under the Constitution,” which suggests that any “transfer of interpretive judgment raises serious separation-of-powers concerns.” Perez, 135 S. Ct. at 1220.</w:t>
      </w:r>
    </w:p>
    <w:p w14:paraId="09F6C537" w14:textId="77777777" w:rsidR="00536F2B" w:rsidRPr="00D4168F" w:rsidRDefault="00536F2B" w:rsidP="00536F2B">
      <w:pPr>
        <w:rPr>
          <w:sz w:val="16"/>
        </w:rPr>
      </w:pPr>
      <w:r w:rsidRPr="00D4168F">
        <w:rPr>
          <w:sz w:val="16"/>
        </w:rPr>
        <w:t>2. Complicated and technical regulatory matters often require expertise, along with the exercise of “judgment grounded in policy concerns.” See Thomas Jefferson Univ. v. Shalala, 512 U.S. 504, 512 (1994) (quoting Pauley v. BethEnergy Mines, Inc., 501 U.S. 680, 697 (1991)). This confirms that agencies—not courts— should promulgate regulations; but it says nothing about “who should interpret regulations.” See Decker, 568 U.S. at 618 (Scalia, J., concurring in part and dissenting in part). Put another way: “[T]he purpose of interpretation is * * * [n]ot to make policy, but to determine what policy has been made.” Id. Federal judges are up to that task, often more so that administrative agencies. See Perez, 135 S. Ct. at 1222-23 (Thomas, J., concurring in the judgment) (citing Marbury v. Madison, 5 U.S. (1 Cranch) 137, 177 (1803) (“It is emphatically the province and duty of the judicial department to say what the law is.”)).</w:t>
      </w:r>
    </w:p>
    <w:p w14:paraId="5AF88B39" w14:textId="77777777" w:rsidR="00536F2B" w:rsidRPr="00D4168F" w:rsidRDefault="00536F2B" w:rsidP="00536F2B">
      <w:pPr>
        <w:rPr>
          <w:sz w:val="16"/>
        </w:rPr>
      </w:pPr>
      <w:r w:rsidRPr="00D4168F">
        <w:rPr>
          <w:sz w:val="16"/>
        </w:rPr>
        <w:t xml:space="preserve">Auer deference is accordingly at its nadir when regulatory interpretations do not reflect the agency’s “fair and considered judgment on the matter in question.” See SmithKline Beecham Corp., 567 U.S. at 155. </w:t>
      </w:r>
      <w:r w:rsidRPr="00456038">
        <w:rPr>
          <w:rStyle w:val="StyleUnderline"/>
          <w:highlight w:val="cyan"/>
        </w:rPr>
        <w:t>Experience</w:t>
      </w:r>
      <w:r w:rsidRPr="00D4168F">
        <w:rPr>
          <w:sz w:val="16"/>
        </w:rPr>
        <w:t xml:space="preserve"> has </w:t>
      </w:r>
      <w:r w:rsidRPr="00456038">
        <w:rPr>
          <w:rStyle w:val="StyleUnderline"/>
          <w:highlight w:val="cyan"/>
        </w:rPr>
        <w:t>taught</w:t>
      </w:r>
      <w:r w:rsidRPr="00D4168F">
        <w:rPr>
          <w:rStyle w:val="StyleUnderline"/>
        </w:rPr>
        <w:t xml:space="preserve"> that—</w:t>
      </w:r>
      <w:r w:rsidRPr="00456038">
        <w:rPr>
          <w:rStyle w:val="StyleUnderline"/>
          <w:highlight w:val="cyan"/>
        </w:rPr>
        <w:t>given</w:t>
      </w:r>
      <w:r w:rsidRPr="00D4168F">
        <w:rPr>
          <w:rStyle w:val="StyleUnderline"/>
        </w:rPr>
        <w:t xml:space="preserve"> </w:t>
      </w:r>
      <w:r w:rsidRPr="00D4168F">
        <w:rPr>
          <w:rStyle w:val="Emphasis"/>
        </w:rPr>
        <w:t xml:space="preserve">its </w:t>
      </w:r>
      <w:r w:rsidRPr="00456038">
        <w:rPr>
          <w:rStyle w:val="Emphasis"/>
          <w:highlight w:val="cyan"/>
        </w:rPr>
        <w:t>crippling workload</w:t>
      </w:r>
      <w:r w:rsidRPr="00D4168F">
        <w:rPr>
          <w:rStyle w:val="StyleUnderline"/>
        </w:rPr>
        <w:t xml:space="preserve">, </w:t>
      </w:r>
      <w:r w:rsidRPr="00D4168F">
        <w:rPr>
          <w:rStyle w:val="Emphasis"/>
        </w:rPr>
        <w:t xml:space="preserve">inadequate </w:t>
      </w:r>
      <w:r w:rsidRPr="00456038">
        <w:rPr>
          <w:rStyle w:val="Emphasis"/>
          <w:highlight w:val="cyan"/>
        </w:rPr>
        <w:t>funding</w:t>
      </w:r>
      <w:r w:rsidRPr="00456038">
        <w:rPr>
          <w:rStyle w:val="StyleUnderline"/>
          <w:highlight w:val="cyan"/>
        </w:rPr>
        <w:t>, and</w:t>
      </w:r>
      <w:r w:rsidRPr="00D4168F">
        <w:rPr>
          <w:rStyle w:val="StyleUnderline"/>
        </w:rPr>
        <w:t xml:space="preserve"> </w:t>
      </w:r>
      <w:r w:rsidRPr="00D4168F">
        <w:rPr>
          <w:rStyle w:val="Emphasis"/>
        </w:rPr>
        <w:t>ever-</w:t>
      </w:r>
      <w:r w:rsidRPr="00456038">
        <w:rPr>
          <w:rStyle w:val="Emphasis"/>
          <w:highlight w:val="cyan"/>
        </w:rPr>
        <w:t>expanding backlog</w:t>
      </w:r>
      <w:r w:rsidRPr="00D4168F">
        <w:rPr>
          <w:rStyle w:val="Emphasis"/>
        </w:rPr>
        <w:t xml:space="preserve"> of cases</w:t>
      </w:r>
      <w:r w:rsidRPr="00D4168F">
        <w:rPr>
          <w:sz w:val="16"/>
        </w:rPr>
        <w:t>22—</w:t>
      </w:r>
      <w:r w:rsidRPr="00456038">
        <w:rPr>
          <w:rStyle w:val="StyleUnderline"/>
          <w:highlight w:val="cyan"/>
        </w:rPr>
        <w:t xml:space="preserve">the BIA is </w:t>
      </w:r>
      <w:r w:rsidRPr="00456038">
        <w:rPr>
          <w:rStyle w:val="Emphasis"/>
          <w:highlight w:val="cyan"/>
        </w:rPr>
        <w:t>not</w:t>
      </w:r>
      <w:r w:rsidRPr="00D4168F">
        <w:rPr>
          <w:rStyle w:val="Emphasis"/>
        </w:rPr>
        <w:t xml:space="preserve"> sufficiently </w:t>
      </w:r>
      <w:r w:rsidRPr="00456038">
        <w:rPr>
          <w:rStyle w:val="Emphasis"/>
          <w:highlight w:val="cyan"/>
        </w:rPr>
        <w:t>equipped</w:t>
      </w:r>
      <w:r w:rsidRPr="00D4168F">
        <w:rPr>
          <w:rStyle w:val="StyleUnderline"/>
        </w:rPr>
        <w:t xml:space="preserve"> to “say what its own rules mean.”</w:t>
      </w:r>
      <w:r w:rsidRPr="00D4168F">
        <w:rPr>
          <w:sz w:val="16"/>
        </w:rPr>
        <w:t xml:space="preserve"> Manning, supra, at 654. </w:t>
      </w:r>
      <w:r w:rsidRPr="00D4168F">
        <w:rPr>
          <w:rStyle w:val="StyleUnderline"/>
        </w:rPr>
        <w:t>Courts</w:t>
      </w:r>
      <w:r w:rsidRPr="00D4168F">
        <w:rPr>
          <w:sz w:val="16"/>
        </w:rPr>
        <w:t xml:space="preserve"> and commentators alike have </w:t>
      </w:r>
      <w:r w:rsidRPr="00D4168F">
        <w:rPr>
          <w:rStyle w:val="StyleUnderline"/>
        </w:rPr>
        <w:t>recognized</w:t>
      </w:r>
      <w:r w:rsidRPr="00D4168F">
        <w:rPr>
          <w:sz w:val="16"/>
        </w:rPr>
        <w:t xml:space="preserve"> that, </w:t>
      </w:r>
      <w:r w:rsidRPr="00D4168F">
        <w:rPr>
          <w:rStyle w:val="StyleUnderline"/>
        </w:rPr>
        <w:t>in the immigration context</w:t>
      </w:r>
      <w:r w:rsidRPr="00D4168F">
        <w:rPr>
          <w:sz w:val="16"/>
        </w:rPr>
        <w:t xml:space="preserve">, quasi-judicial </w:t>
      </w:r>
      <w:r w:rsidRPr="00D4168F">
        <w:rPr>
          <w:rStyle w:val="StyleUnderline"/>
        </w:rPr>
        <w:t xml:space="preserve">adjudication has “fallen below the minimum standards of </w:t>
      </w:r>
      <w:r w:rsidRPr="00D4168F">
        <w:rPr>
          <w:rStyle w:val="Emphasis"/>
        </w:rPr>
        <w:t>legal justice</w:t>
      </w:r>
      <w:r w:rsidRPr="00D4168F">
        <w:rPr>
          <w:rStyle w:val="StyleUnderline"/>
        </w:rPr>
        <w:t>.”</w:t>
      </w:r>
      <w:r w:rsidRPr="00D4168F">
        <w:rPr>
          <w:sz w:val="16"/>
        </w:rPr>
        <w:t xml:space="preserve"> Benslimane v. Gonzales, 430 F.3d 828, 829-30 (7th Cir. 2005). At points, the BIA has been deciding cases at the rate of 7-10 minutes per Board Member, per case. See Lisa Getter &amp; Jonathan Peterson, Speedier Rate of Deportation Rulings Assailed, L.A. Times (Jan. 5, 2003), http://articles.latimes.com/2003/ jan/05/nation/na-immig5 (cited in Kadia v. Gonzales, 501 F.3d 817, 820 (7th Cir. 2007)).23</w:t>
      </w:r>
    </w:p>
    <w:p w14:paraId="0C01E50C" w14:textId="77777777" w:rsidR="00536F2B" w:rsidRPr="00D4168F" w:rsidRDefault="00536F2B" w:rsidP="00536F2B">
      <w:pPr>
        <w:rPr>
          <w:sz w:val="16"/>
        </w:rPr>
      </w:pPr>
      <w:r w:rsidRPr="00D4168F">
        <w:rPr>
          <w:sz w:val="16"/>
        </w:rPr>
        <w:t>Footnote 22 begins:</w:t>
      </w:r>
    </w:p>
    <w:p w14:paraId="3FBCC0F2" w14:textId="77777777" w:rsidR="00536F2B" w:rsidRPr="00D4168F" w:rsidRDefault="00536F2B" w:rsidP="00536F2B">
      <w:pPr>
        <w:rPr>
          <w:sz w:val="16"/>
        </w:rPr>
      </w:pPr>
      <w:r w:rsidRPr="00D4168F">
        <w:rPr>
          <w:sz w:val="16"/>
        </w:rPr>
        <w:t xml:space="preserve">22 </w:t>
      </w:r>
      <w:r w:rsidRPr="00D4168F">
        <w:rPr>
          <w:rStyle w:val="StyleUnderline"/>
        </w:rPr>
        <w:t xml:space="preserve">The </w:t>
      </w:r>
      <w:r w:rsidRPr="00456038">
        <w:rPr>
          <w:rStyle w:val="StyleUnderline"/>
          <w:highlight w:val="cyan"/>
        </w:rPr>
        <w:t>backlog increased from</w:t>
      </w:r>
      <w:r w:rsidRPr="00D4168F">
        <w:rPr>
          <w:sz w:val="16"/>
        </w:rPr>
        <w:t xml:space="preserve"> approximately </w:t>
      </w:r>
      <w:r w:rsidRPr="00456038">
        <w:rPr>
          <w:rStyle w:val="Emphasis"/>
          <w:highlight w:val="cyan"/>
        </w:rPr>
        <w:t>212,000</w:t>
      </w:r>
      <w:r w:rsidRPr="00D4168F">
        <w:rPr>
          <w:rStyle w:val="Emphasis"/>
        </w:rPr>
        <w:t xml:space="preserve"> cases</w:t>
      </w:r>
      <w:r w:rsidRPr="00D4168F">
        <w:rPr>
          <w:sz w:val="16"/>
        </w:rPr>
        <w:t xml:space="preserve"> pending at the start of FY 2006, when the median pending time for those cases was 198 days, </w:t>
      </w:r>
      <w:r w:rsidRPr="00456038">
        <w:rPr>
          <w:rStyle w:val="StyleUnderline"/>
          <w:highlight w:val="cyan"/>
        </w:rPr>
        <w:t xml:space="preserve">to </w:t>
      </w:r>
      <w:r w:rsidRPr="00456038">
        <w:rPr>
          <w:rStyle w:val="Emphasis"/>
          <w:highlight w:val="cyan"/>
        </w:rPr>
        <w:t>437,000</w:t>
      </w:r>
      <w:r w:rsidRPr="00D4168F">
        <w:rPr>
          <w:rStyle w:val="Emphasis"/>
        </w:rPr>
        <w:t xml:space="preserve"> pending </w:t>
      </w:r>
      <w:r w:rsidRPr="00456038">
        <w:rPr>
          <w:rStyle w:val="Emphasis"/>
          <w:highlight w:val="cyan"/>
        </w:rPr>
        <w:t>cases</w:t>
      </w:r>
      <w:r w:rsidRPr="00D4168F">
        <w:rPr>
          <w:sz w:val="16"/>
        </w:rPr>
        <w:t xml:space="preserve"> at the start of FY 2015, </w:t>
      </w:r>
      <w:r w:rsidRPr="00456038">
        <w:rPr>
          <w:rStyle w:val="StyleUnderline"/>
          <w:highlight w:val="cyan"/>
        </w:rPr>
        <w:t>when</w:t>
      </w:r>
      <w:r w:rsidRPr="00D4168F">
        <w:rPr>
          <w:rStyle w:val="StyleUnderline"/>
        </w:rPr>
        <w:t xml:space="preserve"> the </w:t>
      </w:r>
      <w:r w:rsidRPr="00456038">
        <w:rPr>
          <w:rStyle w:val="StyleUnderline"/>
          <w:highlight w:val="cyan"/>
        </w:rPr>
        <w:t>median</w:t>
      </w:r>
      <w:r w:rsidRPr="00D4168F">
        <w:rPr>
          <w:rStyle w:val="StyleUnderline"/>
        </w:rPr>
        <w:t xml:space="preserve"> pending time </w:t>
      </w:r>
      <w:r w:rsidRPr="00456038">
        <w:rPr>
          <w:rStyle w:val="StyleUnderline"/>
          <w:highlight w:val="cyan"/>
        </w:rPr>
        <w:t xml:space="preserve">was </w:t>
      </w:r>
      <w:r w:rsidRPr="00456038">
        <w:rPr>
          <w:rStyle w:val="Emphasis"/>
          <w:highlight w:val="cyan"/>
        </w:rPr>
        <w:t>404 days</w:t>
      </w:r>
      <w:r w:rsidRPr="00D4168F">
        <w:rPr>
          <w:sz w:val="16"/>
        </w:rPr>
        <w:t>. U.S. Gov’t Accountability Office, GAO-17-438, Immigration Courts: Actions Needed to Reduce Case Backlog and Long-Standing Management and Operational Challenges 22 (2017).</w:t>
      </w:r>
    </w:p>
    <w:p w14:paraId="4742D79C" w14:textId="77777777" w:rsidR="00536F2B" w:rsidRPr="00D4168F" w:rsidRDefault="00536F2B" w:rsidP="00536F2B">
      <w:pPr>
        <w:rPr>
          <w:sz w:val="16"/>
        </w:rPr>
      </w:pPr>
      <w:r w:rsidRPr="00D4168F">
        <w:rPr>
          <w:sz w:val="16"/>
        </w:rPr>
        <w:t>Footnote 22 ends and footnote 23 begins:</w:t>
      </w:r>
    </w:p>
    <w:p w14:paraId="6A565163" w14:textId="77777777" w:rsidR="00536F2B" w:rsidRPr="00D4168F" w:rsidRDefault="00536F2B" w:rsidP="00536F2B">
      <w:pPr>
        <w:rPr>
          <w:sz w:val="16"/>
        </w:rPr>
      </w:pPr>
      <w:r w:rsidRPr="00D4168F">
        <w:rPr>
          <w:sz w:val="16"/>
        </w:rPr>
        <w:t xml:space="preserve">23 </w:t>
      </w:r>
      <w:r w:rsidRPr="00D4168F">
        <w:rPr>
          <w:rStyle w:val="StyleUnderline"/>
        </w:rPr>
        <w:t xml:space="preserve">Criticism of the Board has been </w:t>
      </w:r>
      <w:r w:rsidRPr="00D4168F">
        <w:rPr>
          <w:rStyle w:val="Emphasis"/>
        </w:rPr>
        <w:t>severe</w:t>
      </w:r>
      <w:r w:rsidRPr="00D4168F">
        <w:rPr>
          <w:sz w:val="16"/>
        </w:rPr>
        <w:t>. See, e.g., Cruz Rendon v. Holder, 603 F.3d 1104, 1111 n.3 (9th Cir. 2010) (“We are deeply troubled by the IJ’s conduct in this case, which exhibits a fundamental disregard for the rights of individuals who look to her for fairness.”); Wang v. Attorney Gen., 423 F.3d 260, 269 (3d Cir. 2005) (“The tone, the tenor, the disparagement, and the sarcasm of the IJ seem more appropriate to a court television show than a federal court proceeding.”); Mohammed v. Gonzales, 400 F.3d 785, 792 (9th Cir. 2005) (“Not only was the BIA’s opinion an example of sloppy adjudication, it contravened considerable precedent.”); Galina v. INS, 213 F.3d 955, 958 (7th Cir. 2000) (“</w:t>
      </w:r>
      <w:r w:rsidRPr="00D4168F">
        <w:rPr>
          <w:rStyle w:val="StyleUnderline"/>
        </w:rPr>
        <w:t xml:space="preserve">The </w:t>
      </w:r>
      <w:r w:rsidRPr="00456038">
        <w:rPr>
          <w:rStyle w:val="Emphasis"/>
          <w:highlight w:val="cyan"/>
        </w:rPr>
        <w:t>elementary</w:t>
      </w:r>
      <w:r w:rsidRPr="00D4168F">
        <w:rPr>
          <w:rStyle w:val="Emphasis"/>
        </w:rPr>
        <w:t xml:space="preserve"> principles</w:t>
      </w:r>
      <w:r w:rsidRPr="00D4168F">
        <w:rPr>
          <w:rStyle w:val="StyleUnderline"/>
        </w:rPr>
        <w:t xml:space="preserve"> of </w:t>
      </w:r>
      <w:r w:rsidRPr="00456038">
        <w:rPr>
          <w:rStyle w:val="Emphasis"/>
          <w:highlight w:val="cyan"/>
        </w:rPr>
        <w:t>admin</w:t>
      </w:r>
      <w:r w:rsidRPr="00D4168F">
        <w:rPr>
          <w:rStyle w:val="Emphasis"/>
        </w:rPr>
        <w:t xml:space="preserve">istrative </w:t>
      </w:r>
      <w:r w:rsidRPr="00456038">
        <w:rPr>
          <w:rStyle w:val="Emphasis"/>
          <w:highlight w:val="cyan"/>
        </w:rPr>
        <w:t>law</w:t>
      </w:r>
      <w:r w:rsidRPr="00D4168F">
        <w:rPr>
          <w:sz w:val="16"/>
        </w:rPr>
        <w:t xml:space="preserve">, the rules of logic, </w:t>
      </w:r>
      <w:r w:rsidRPr="00456038">
        <w:rPr>
          <w:rStyle w:val="StyleUnderline"/>
          <w:highlight w:val="cyan"/>
        </w:rPr>
        <w:t>and</w:t>
      </w:r>
      <w:r w:rsidRPr="00D4168F">
        <w:rPr>
          <w:rStyle w:val="StyleUnderline"/>
        </w:rPr>
        <w:t xml:space="preserve"> </w:t>
      </w:r>
      <w:r w:rsidRPr="00456038">
        <w:rPr>
          <w:rStyle w:val="Emphasis"/>
          <w:highlight w:val="cyan"/>
        </w:rPr>
        <w:t>common sense</w:t>
      </w:r>
      <w:r w:rsidRPr="00D4168F">
        <w:rPr>
          <w:sz w:val="16"/>
        </w:rPr>
        <w:t xml:space="preserve"> seem to have </w:t>
      </w:r>
      <w:r w:rsidRPr="00456038">
        <w:rPr>
          <w:rStyle w:val="StyleUnderline"/>
          <w:highlight w:val="cyan"/>
        </w:rPr>
        <w:t>eluded the [BIA]</w:t>
      </w:r>
      <w:r w:rsidRPr="00D4168F">
        <w:rPr>
          <w:sz w:val="16"/>
        </w:rPr>
        <w:t xml:space="preserve"> in this as in other cases.”). </w:t>
      </w:r>
    </w:p>
    <w:p w14:paraId="0C7D3B61" w14:textId="77777777" w:rsidR="00536F2B" w:rsidRPr="00D4168F" w:rsidRDefault="00536F2B" w:rsidP="00536F2B">
      <w:pPr>
        <w:rPr>
          <w:sz w:val="16"/>
        </w:rPr>
      </w:pPr>
      <w:r w:rsidRPr="00D4168F">
        <w:rPr>
          <w:sz w:val="16"/>
        </w:rPr>
        <w:t>Footnote 23 ends and the article continues:</w:t>
      </w:r>
    </w:p>
    <w:p w14:paraId="3B5BA7BE" w14:textId="77777777" w:rsidR="00536F2B" w:rsidRPr="00D4168F" w:rsidRDefault="00536F2B" w:rsidP="00536F2B">
      <w:pPr>
        <w:rPr>
          <w:sz w:val="16"/>
        </w:rPr>
      </w:pPr>
      <w:r w:rsidRPr="00D4168F">
        <w:rPr>
          <w:sz w:val="16"/>
        </w:rPr>
        <w:t xml:space="preserve">Yet, </w:t>
      </w:r>
      <w:r w:rsidRPr="00D4168F">
        <w:rPr>
          <w:rStyle w:val="StyleUnderline"/>
        </w:rPr>
        <w:t>despite the BIA’s shortcomings</w:t>
      </w:r>
      <w:r w:rsidRPr="00D4168F">
        <w:rPr>
          <w:sz w:val="16"/>
        </w:rPr>
        <w:t xml:space="preserve"> (understandable as they perhaps may be), </w:t>
      </w:r>
      <w:r w:rsidRPr="00D4168F">
        <w:rPr>
          <w:rStyle w:val="StyleUnderline"/>
        </w:rPr>
        <w:t>Auer</w:t>
      </w:r>
      <w:r w:rsidRPr="00D4168F">
        <w:rPr>
          <w:sz w:val="16"/>
        </w:rPr>
        <w:t xml:space="preserve"> nevertheless </w:t>
      </w:r>
      <w:r w:rsidRPr="00D4168F">
        <w:rPr>
          <w:rStyle w:val="StyleUnderline"/>
        </w:rPr>
        <w:t xml:space="preserve">compels federal judges to afford </w:t>
      </w:r>
      <w:r w:rsidRPr="00D4168F">
        <w:rPr>
          <w:rStyle w:val="Emphasis"/>
        </w:rPr>
        <w:t>significant deference</w:t>
      </w:r>
      <w:r w:rsidRPr="00D4168F">
        <w:rPr>
          <w:rStyle w:val="StyleUnderline"/>
        </w:rPr>
        <w:t xml:space="preserve"> to interpretations of </w:t>
      </w:r>
      <w:r w:rsidRPr="00D4168F">
        <w:rPr>
          <w:rStyle w:val="Emphasis"/>
        </w:rPr>
        <w:t>ambiguous immigration regulations</w:t>
      </w:r>
      <w:r w:rsidRPr="00D4168F">
        <w:rPr>
          <w:sz w:val="16"/>
        </w:rPr>
        <w:t xml:space="preserve">. And as previously explained, some </w:t>
      </w:r>
      <w:r w:rsidRPr="00456038">
        <w:rPr>
          <w:rStyle w:val="StyleUnderline"/>
          <w:highlight w:val="cyan"/>
        </w:rPr>
        <w:t>circuits</w:t>
      </w:r>
      <w:r w:rsidRPr="00D4168F">
        <w:rPr>
          <w:sz w:val="16"/>
        </w:rPr>
        <w:t xml:space="preserve"> have even </w:t>
      </w:r>
      <w:r w:rsidRPr="00456038">
        <w:rPr>
          <w:rStyle w:val="StyleUnderline"/>
          <w:highlight w:val="cyan"/>
        </w:rPr>
        <w:t>extended Auer</w:t>
      </w:r>
      <w:r w:rsidRPr="00D4168F">
        <w:rPr>
          <w:rStyle w:val="StyleUnderline"/>
        </w:rPr>
        <w:t xml:space="preserve"> deference </w:t>
      </w:r>
      <w:r w:rsidRPr="00456038">
        <w:rPr>
          <w:rStyle w:val="StyleUnderline"/>
          <w:highlight w:val="cyan"/>
        </w:rPr>
        <w:t>to</w:t>
      </w:r>
      <w:r w:rsidRPr="00536F2B">
        <w:rPr>
          <w:rStyle w:val="StyleUnderline"/>
        </w:rPr>
        <w:t xml:space="preserve"> </w:t>
      </w:r>
      <w:r w:rsidRPr="00536F2B">
        <w:rPr>
          <w:rStyle w:val="Emphasis"/>
        </w:rPr>
        <w:t xml:space="preserve">single-judge, </w:t>
      </w:r>
      <w:r w:rsidRPr="00456038">
        <w:rPr>
          <w:rStyle w:val="Emphasis"/>
          <w:highlight w:val="cyan"/>
        </w:rPr>
        <w:t>unpublished</w:t>
      </w:r>
      <w:r w:rsidRPr="00D4168F">
        <w:rPr>
          <w:rStyle w:val="Emphasis"/>
        </w:rPr>
        <w:t xml:space="preserve"> BIA </w:t>
      </w:r>
      <w:r w:rsidRPr="00456038">
        <w:rPr>
          <w:rStyle w:val="Emphasis"/>
          <w:highlight w:val="cyan"/>
        </w:rPr>
        <w:t>decisions</w:t>
      </w:r>
      <w:r w:rsidRPr="00D4168F">
        <w:rPr>
          <w:sz w:val="16"/>
        </w:rPr>
        <w:t xml:space="preserve">. See, e.g., Gomez, 831 F.3d at 655; Mansour, 739 F.3d at 414; Linares Huarcaya, 550 F.3d at 227-30. </w:t>
      </w:r>
      <w:r w:rsidRPr="00D4168F">
        <w:rPr>
          <w:rStyle w:val="StyleUnderline"/>
        </w:rPr>
        <w:t xml:space="preserve">That practice is </w:t>
      </w:r>
      <w:r w:rsidRPr="00D4168F">
        <w:rPr>
          <w:rStyle w:val="Emphasis"/>
        </w:rPr>
        <w:t>misguided</w:t>
      </w:r>
      <w:r w:rsidRPr="00D4168F">
        <w:rPr>
          <w:sz w:val="16"/>
        </w:rPr>
        <w:t xml:space="preserve">. The BIA’s informal adjudicatory processes do not live up to the “cherished judicial tradition.” See Morgan, 304 U.S. at 22. As the Ninth Circuit correctly explained in LezamaGarcia v. Holder, 666 F.3d 518 (9th Cir. 2011), singlemember BIA orders are “non-precedential,” often neglect to “explain [their] reasoning,” and therefore fail to “reflect the agency’s fair and considered judgment.” Id. at 532; Auer, 519 U.S. at 462. Put simply: </w:t>
      </w:r>
      <w:r w:rsidRPr="00D4168F">
        <w:rPr>
          <w:rStyle w:val="StyleUnderline"/>
        </w:rPr>
        <w:t xml:space="preserve">“Deference is </w:t>
      </w:r>
      <w:r w:rsidRPr="00D4168F">
        <w:rPr>
          <w:rStyle w:val="Emphasis"/>
        </w:rPr>
        <w:t>earned</w:t>
      </w:r>
      <w:r w:rsidRPr="00D4168F">
        <w:rPr>
          <w:rStyle w:val="StyleUnderline"/>
        </w:rPr>
        <w:t xml:space="preserve">; it is not </w:t>
      </w:r>
      <w:r w:rsidRPr="00D4168F">
        <w:rPr>
          <w:rStyle w:val="Emphasis"/>
        </w:rPr>
        <w:t>a birthright</w:t>
      </w:r>
      <w:r w:rsidRPr="00D4168F">
        <w:rPr>
          <w:rStyle w:val="StyleUnderline"/>
        </w:rPr>
        <w:t>.”</w:t>
      </w:r>
      <w:r w:rsidRPr="00D4168F">
        <w:rPr>
          <w:sz w:val="16"/>
        </w:rPr>
        <w:t xml:space="preserve"> See Kadia, 501 F.3d at 821. </w:t>
      </w:r>
    </w:p>
    <w:p w14:paraId="463F0402" w14:textId="77777777" w:rsidR="00536F2B" w:rsidRPr="00D4168F" w:rsidRDefault="00536F2B" w:rsidP="00536F2B">
      <w:pPr>
        <w:rPr>
          <w:sz w:val="16"/>
        </w:rPr>
      </w:pPr>
      <w:r w:rsidRPr="00D4168F">
        <w:rPr>
          <w:sz w:val="16"/>
        </w:rPr>
        <w:t xml:space="preserve">3. </w:t>
      </w:r>
      <w:r w:rsidRPr="00456038">
        <w:rPr>
          <w:rStyle w:val="StyleUnderline"/>
          <w:highlight w:val="cyan"/>
        </w:rPr>
        <w:t>Deportation is</w:t>
      </w:r>
      <w:r w:rsidRPr="00D4168F">
        <w:rPr>
          <w:rStyle w:val="StyleUnderline"/>
        </w:rPr>
        <w:t xml:space="preserve"> a “</w:t>
      </w:r>
      <w:r w:rsidRPr="00456038">
        <w:rPr>
          <w:rStyle w:val="Emphasis"/>
          <w:highlight w:val="cyan"/>
        </w:rPr>
        <w:t>drastic</w:t>
      </w:r>
      <w:r w:rsidRPr="00D4168F">
        <w:rPr>
          <w:rStyle w:val="Emphasis"/>
        </w:rPr>
        <w:t xml:space="preserve"> measure</w:t>
      </w:r>
      <w:r w:rsidRPr="00D4168F">
        <w:rPr>
          <w:rStyle w:val="StyleUnderline"/>
        </w:rPr>
        <w:t>,” comparable to “</w:t>
      </w:r>
      <w:r w:rsidRPr="00D4168F">
        <w:rPr>
          <w:rStyle w:val="Emphasis"/>
        </w:rPr>
        <w:t>banishment of exile</w:t>
      </w:r>
      <w:r w:rsidRPr="00D4168F">
        <w:rPr>
          <w:rStyle w:val="StyleUnderline"/>
        </w:rPr>
        <w:t>.”</w:t>
      </w:r>
      <w:r w:rsidRPr="00D4168F">
        <w:rPr>
          <w:sz w:val="16"/>
        </w:rPr>
        <w:t xml:space="preserve"> Fong Haw Tan v. Phelan, 333 U.S. 6, 10 (1948). And often, </w:t>
      </w:r>
      <w:r w:rsidRPr="00D4168F">
        <w:rPr>
          <w:rStyle w:val="StyleUnderline"/>
        </w:rPr>
        <w:t>this “</w:t>
      </w:r>
      <w:r w:rsidRPr="00D4168F">
        <w:rPr>
          <w:rStyle w:val="Emphasis"/>
        </w:rPr>
        <w:t>particularly severe penalty</w:t>
      </w:r>
      <w:r w:rsidRPr="00D4168F">
        <w:rPr>
          <w:rStyle w:val="StyleUnderline"/>
        </w:rPr>
        <w:t>” will be more important to non-citizens than “</w:t>
      </w:r>
      <w:r w:rsidRPr="00D4168F">
        <w:rPr>
          <w:rStyle w:val="Emphasis"/>
        </w:rPr>
        <w:t>any potential jail sentence</w:t>
      </w:r>
      <w:r w:rsidRPr="00D4168F">
        <w:rPr>
          <w:rStyle w:val="StyleUnderline"/>
        </w:rPr>
        <w:t>.”</w:t>
      </w:r>
      <w:r w:rsidRPr="00D4168F">
        <w:rPr>
          <w:sz w:val="16"/>
        </w:rPr>
        <w:t xml:space="preserve"> Lee v. United States, 137 S. Ct. 1958, 1968 (2017) (quoting Padilla v. Kentucky, 559 U.S. 356, 365, 368 (2010)). Recognizing the “grave nature of deportation,” this Court has taken great care when reviewing removal cases. See Jordan v. De George, 341 U.S. 223, 231 (1951) (reviewing removal provision under the void-for-vagueness doctrine); see also Reno v. Flores, 507 U.S. 292, 306 (1993) (holding that the Fifth Amendment entitles non-citizens to due process in removal proceeding); INS v. Cardoza-Fonseca, 480 U.S. 421, 449 (1987) (holding that ambiguities in deportation provisions should be construed in favor of non-citizens). Likewise, the federal courts have consistently tried to “promote efficiency, fairness, and predictability” in immigration law. Mellouli, 135 S. Ct. at 1987. </w:t>
      </w:r>
    </w:p>
    <w:p w14:paraId="7A898E59" w14:textId="77777777" w:rsidR="00536F2B" w:rsidRPr="00D4168F" w:rsidRDefault="00536F2B" w:rsidP="00536F2B">
      <w:pPr>
        <w:rPr>
          <w:sz w:val="16"/>
        </w:rPr>
      </w:pPr>
      <w:r w:rsidRPr="00D4168F">
        <w:rPr>
          <w:sz w:val="16"/>
        </w:rPr>
        <w:t xml:space="preserve">But </w:t>
      </w:r>
      <w:r w:rsidRPr="00D4168F">
        <w:rPr>
          <w:rStyle w:val="StyleUnderline"/>
        </w:rPr>
        <w:t xml:space="preserve">Auer deference compels judges to abandon </w:t>
      </w:r>
      <w:r w:rsidRPr="00D4168F">
        <w:rPr>
          <w:rStyle w:val="Emphasis"/>
        </w:rPr>
        <w:t>fulsome checks</w:t>
      </w:r>
      <w:r w:rsidRPr="00D4168F">
        <w:rPr>
          <w:rStyle w:val="StyleUnderline"/>
        </w:rPr>
        <w:t xml:space="preserve"> on </w:t>
      </w:r>
      <w:r w:rsidRPr="00D4168F">
        <w:rPr>
          <w:rStyle w:val="Emphasis"/>
        </w:rPr>
        <w:t>the severity of deportation</w:t>
      </w:r>
      <w:r w:rsidRPr="00D4168F">
        <w:rPr>
          <w:sz w:val="16"/>
        </w:rPr>
        <w:t xml:space="preserve">. See Perez, 135 S. Ct. at 1221 (Thomas, J., concurring in the judgment) (“When courts refuse even to decide what the best interpretation is under the law, they abandon the judicial check.”). As previously explained, the majority of BIA appeals concern removal orders and applications for relief from removal. The BIA’s interpretation of an ambiguous regulation often will be outcome-determinative. See, e.g., Zhang, 617 F.3d at 660 (denying petition for review, even though the BIA’s interpretation of regulation was “anything but airtight”). </w:t>
      </w:r>
      <w:r w:rsidRPr="00D4168F">
        <w:rPr>
          <w:rStyle w:val="StyleUnderline"/>
        </w:rPr>
        <w:t xml:space="preserve">So long as Auer remains </w:t>
      </w:r>
      <w:r w:rsidRPr="00D4168F">
        <w:rPr>
          <w:rStyle w:val="Emphasis"/>
        </w:rPr>
        <w:t>good law</w:t>
      </w:r>
      <w:r w:rsidRPr="00D4168F">
        <w:rPr>
          <w:sz w:val="16"/>
        </w:rPr>
        <w:t xml:space="preserve">, however, </w:t>
      </w:r>
      <w:r w:rsidRPr="00456038">
        <w:rPr>
          <w:rStyle w:val="StyleUnderline"/>
          <w:highlight w:val="cyan"/>
        </w:rPr>
        <w:t>Article III judges will be</w:t>
      </w:r>
      <w:r w:rsidRPr="00D4168F">
        <w:rPr>
          <w:rStyle w:val="StyleUnderline"/>
        </w:rPr>
        <w:t xml:space="preserve"> </w:t>
      </w:r>
      <w:r w:rsidRPr="00D4168F">
        <w:rPr>
          <w:rStyle w:val="Emphasis"/>
        </w:rPr>
        <w:t>all-but-</w:t>
      </w:r>
      <w:r w:rsidRPr="00456038">
        <w:rPr>
          <w:rStyle w:val="Emphasis"/>
          <w:highlight w:val="cyan"/>
        </w:rPr>
        <w:t>powerless</w:t>
      </w:r>
      <w:r w:rsidRPr="00456038">
        <w:rPr>
          <w:rStyle w:val="StyleUnderline"/>
          <w:highlight w:val="cyan"/>
        </w:rPr>
        <w:t xml:space="preserve"> to</w:t>
      </w:r>
      <w:r w:rsidRPr="00D4168F">
        <w:rPr>
          <w:rStyle w:val="StyleUnderline"/>
        </w:rPr>
        <w:t xml:space="preserve"> “serve as </w:t>
      </w:r>
      <w:r w:rsidRPr="00D4168F">
        <w:rPr>
          <w:rStyle w:val="Emphasis"/>
        </w:rPr>
        <w:t>a ‘</w:t>
      </w:r>
      <w:r w:rsidRPr="00456038">
        <w:rPr>
          <w:rStyle w:val="Emphasis"/>
          <w:highlight w:val="cyan"/>
        </w:rPr>
        <w:t>check’</w:t>
      </w:r>
      <w:r w:rsidRPr="00D4168F">
        <w:rPr>
          <w:rStyle w:val="Emphasis"/>
        </w:rPr>
        <w:t>”</w:t>
      </w:r>
      <w:r w:rsidRPr="00D4168F">
        <w:rPr>
          <w:rStyle w:val="StyleUnderline"/>
        </w:rPr>
        <w:t xml:space="preserve"> on those who administer and enforce the </w:t>
      </w:r>
      <w:r w:rsidRPr="00456038">
        <w:rPr>
          <w:rStyle w:val="StyleUnderline"/>
          <w:highlight w:val="cyan"/>
        </w:rPr>
        <w:t>immigration laws</w:t>
      </w:r>
      <w:r w:rsidRPr="00D4168F">
        <w:rPr>
          <w:sz w:val="16"/>
        </w:rPr>
        <w:t>. See Perez, 135 S. Ct. at 1217 (Thomas, J., concurring in the judgment).24</w:t>
      </w:r>
    </w:p>
    <w:p w14:paraId="0A26F36E" w14:textId="77777777" w:rsidR="00536F2B" w:rsidRPr="00D4168F" w:rsidRDefault="00536F2B" w:rsidP="00536F2B">
      <w:pPr>
        <w:rPr>
          <w:sz w:val="16"/>
        </w:rPr>
      </w:pPr>
      <w:r w:rsidRPr="00D4168F">
        <w:rPr>
          <w:sz w:val="16"/>
        </w:rPr>
        <w:t>Footnote 24 begins:</w:t>
      </w:r>
    </w:p>
    <w:p w14:paraId="1355899F" w14:textId="77777777" w:rsidR="00536F2B" w:rsidRPr="00D4168F" w:rsidRDefault="00536F2B" w:rsidP="00536F2B">
      <w:pPr>
        <w:rPr>
          <w:sz w:val="16"/>
        </w:rPr>
      </w:pPr>
      <w:r w:rsidRPr="00D4168F">
        <w:rPr>
          <w:sz w:val="16"/>
        </w:rPr>
        <w:t xml:space="preserve">24 When Auer deference applies, courts are necessarily precluded from construing regulatory ambiguities in favor of non-citizens. See Cardoza-Fonseca, 480 U.S. at 449. But </w:t>
      </w:r>
      <w:r w:rsidRPr="00456038">
        <w:rPr>
          <w:rStyle w:val="Emphasis"/>
          <w:highlight w:val="cyan"/>
        </w:rPr>
        <w:t>fundamental rules</w:t>
      </w:r>
      <w:r w:rsidRPr="00D4168F">
        <w:rPr>
          <w:rStyle w:val="Emphasis"/>
        </w:rPr>
        <w:t xml:space="preserve"> of construction</w:t>
      </w:r>
      <w:r w:rsidRPr="00D4168F">
        <w:rPr>
          <w:rStyle w:val="StyleUnderline"/>
        </w:rPr>
        <w:t xml:space="preserve"> </w:t>
      </w:r>
      <w:r w:rsidRPr="00456038">
        <w:rPr>
          <w:rStyle w:val="StyleUnderline"/>
          <w:highlight w:val="cyan"/>
        </w:rPr>
        <w:t xml:space="preserve">should </w:t>
      </w:r>
      <w:r w:rsidRPr="00456038">
        <w:rPr>
          <w:rStyle w:val="Emphasis"/>
          <w:highlight w:val="cyan"/>
        </w:rPr>
        <w:t>overcome</w:t>
      </w:r>
      <w:r w:rsidRPr="00D4168F">
        <w:rPr>
          <w:rStyle w:val="StyleUnderline"/>
        </w:rPr>
        <w:t xml:space="preserve"> doctrines of administrative </w:t>
      </w:r>
      <w:r w:rsidRPr="00456038">
        <w:rPr>
          <w:rStyle w:val="StyleUnderline"/>
          <w:highlight w:val="cyan"/>
        </w:rPr>
        <w:t>deference</w:t>
      </w:r>
      <w:r w:rsidRPr="00D4168F">
        <w:rPr>
          <w:sz w:val="16"/>
        </w:rPr>
        <w:t xml:space="preserve">. See Perez, 135 S. Ct. at 1222 (Thomas, J., concurring in the judgment) (“[R]egulations should be interpreted like any other law.”); see also Nat’l Ass’n of Home Builders v. Defs. of Wildlife, 551 U.S. 644, 668-69 (2007) (invoking the surplusage canon when interpreting a regulation); Long Island Care at Home, 551 U.S. at 170 (invoking the general-specific canon when interpreting a regulation). </w:t>
      </w:r>
    </w:p>
    <w:p w14:paraId="538D5740" w14:textId="77777777" w:rsidR="00536F2B" w:rsidRPr="00D4168F" w:rsidRDefault="00536F2B" w:rsidP="00536F2B">
      <w:pPr>
        <w:rPr>
          <w:sz w:val="16"/>
        </w:rPr>
      </w:pPr>
      <w:r w:rsidRPr="00D4168F">
        <w:rPr>
          <w:sz w:val="16"/>
        </w:rPr>
        <w:t>Footnote 24 ends and the article continues:</w:t>
      </w:r>
    </w:p>
    <w:p w14:paraId="70591ED2" w14:textId="77777777" w:rsidR="00536F2B" w:rsidRPr="00D4168F" w:rsidRDefault="00536F2B" w:rsidP="00536F2B">
      <w:pPr>
        <w:rPr>
          <w:sz w:val="16"/>
        </w:rPr>
      </w:pPr>
      <w:r w:rsidRPr="00D4168F">
        <w:rPr>
          <w:sz w:val="16"/>
        </w:rPr>
        <w:t xml:space="preserve">* * * </w:t>
      </w:r>
    </w:p>
    <w:p w14:paraId="26003FB3" w14:textId="77777777" w:rsidR="00536F2B" w:rsidRPr="00D4168F" w:rsidRDefault="00536F2B" w:rsidP="00536F2B">
      <w:pPr>
        <w:rPr>
          <w:sz w:val="16"/>
        </w:rPr>
      </w:pPr>
      <w:r w:rsidRPr="00D4168F">
        <w:rPr>
          <w:sz w:val="16"/>
        </w:rPr>
        <w:t xml:space="preserve">For these reasons, Auer deference should not apply where quasi-judicial agencies interpret regulations through adjudication—and particularly not with respect to “relatively informal” non-precedential interpretations offered by understaffed and underfunded agencies like the BIA. Contrast Gomez, 831 F.3d at 655-56. </w:t>
      </w:r>
      <w:r w:rsidRPr="00456038">
        <w:rPr>
          <w:rStyle w:val="StyleUnderline"/>
          <w:highlight w:val="cyan"/>
        </w:rPr>
        <w:t>Compelling deference</w:t>
      </w:r>
      <w:r w:rsidRPr="00536F2B">
        <w:rPr>
          <w:rStyle w:val="StyleUnderline"/>
        </w:rPr>
        <w:t xml:space="preserve"> to</w:t>
      </w:r>
      <w:r w:rsidRPr="00D4168F">
        <w:rPr>
          <w:sz w:val="16"/>
        </w:rPr>
        <w:t xml:space="preserve"> such </w:t>
      </w:r>
      <w:r w:rsidRPr="00536F2B">
        <w:rPr>
          <w:rStyle w:val="StyleUnderline"/>
        </w:rPr>
        <w:t>decisions</w:t>
      </w:r>
      <w:r w:rsidRPr="00D4168F">
        <w:rPr>
          <w:rStyle w:val="StyleUnderline"/>
        </w:rPr>
        <w:t xml:space="preserve"> </w:t>
      </w:r>
      <w:r w:rsidRPr="00456038">
        <w:rPr>
          <w:rStyle w:val="StyleUnderline"/>
          <w:highlight w:val="cyan"/>
        </w:rPr>
        <w:t>places</w:t>
      </w:r>
      <w:r w:rsidRPr="00D4168F">
        <w:rPr>
          <w:sz w:val="16"/>
        </w:rPr>
        <w:t xml:space="preserve"> reviewing </w:t>
      </w:r>
      <w:r w:rsidRPr="00456038">
        <w:rPr>
          <w:rStyle w:val="StyleUnderline"/>
          <w:highlight w:val="cyan"/>
        </w:rPr>
        <w:t xml:space="preserve">courts “in </w:t>
      </w:r>
      <w:r w:rsidRPr="00456038">
        <w:rPr>
          <w:rStyle w:val="Emphasis"/>
          <w:highlight w:val="cyan"/>
        </w:rPr>
        <w:t>the</w:t>
      </w:r>
      <w:r w:rsidRPr="00D4168F">
        <w:rPr>
          <w:rStyle w:val="Emphasis"/>
        </w:rPr>
        <w:t xml:space="preserve"> impossible </w:t>
      </w:r>
      <w:r w:rsidRPr="00456038">
        <w:rPr>
          <w:rStyle w:val="Emphasis"/>
          <w:highlight w:val="cyan"/>
        </w:rPr>
        <w:t>position</w:t>
      </w:r>
      <w:r w:rsidRPr="00456038">
        <w:rPr>
          <w:rStyle w:val="StyleUnderline"/>
          <w:highlight w:val="cyan"/>
        </w:rPr>
        <w:t xml:space="preserve"> of having to uphold </w:t>
      </w:r>
      <w:r w:rsidRPr="00456038">
        <w:rPr>
          <w:rStyle w:val="Emphasis"/>
          <w:highlight w:val="cyan"/>
        </w:rPr>
        <w:t>as</w:t>
      </w:r>
      <w:r w:rsidRPr="00D4168F">
        <w:rPr>
          <w:rStyle w:val="Emphasis"/>
        </w:rPr>
        <w:t xml:space="preserve"> reasonable </w:t>
      </w:r>
      <w:r w:rsidRPr="00456038">
        <w:rPr>
          <w:rStyle w:val="Emphasis"/>
          <w:highlight w:val="cyan"/>
        </w:rPr>
        <w:t>on Tuesday</w:t>
      </w:r>
      <w:r w:rsidRPr="00456038">
        <w:rPr>
          <w:rStyle w:val="StyleUnderline"/>
          <w:highlight w:val="cyan"/>
        </w:rPr>
        <w:t xml:space="preserve"> one construction that is</w:t>
      </w:r>
      <w:r w:rsidRPr="00D4168F">
        <w:rPr>
          <w:rStyle w:val="StyleUnderline"/>
        </w:rPr>
        <w:t xml:space="preserve"> </w:t>
      </w:r>
      <w:r w:rsidRPr="00D4168F">
        <w:rPr>
          <w:rStyle w:val="Emphasis"/>
        </w:rPr>
        <w:t xml:space="preserve">completely </w:t>
      </w:r>
      <w:r w:rsidRPr="00456038">
        <w:rPr>
          <w:rStyle w:val="Emphasis"/>
          <w:highlight w:val="cyan"/>
        </w:rPr>
        <w:t>antithetical</w:t>
      </w:r>
      <w:r w:rsidRPr="00456038">
        <w:rPr>
          <w:rStyle w:val="StyleUnderline"/>
          <w:highlight w:val="cyan"/>
        </w:rPr>
        <w:t xml:space="preserve"> to another</w:t>
      </w:r>
      <w:r w:rsidRPr="00D4168F">
        <w:rPr>
          <w:rStyle w:val="StyleUnderline"/>
        </w:rPr>
        <w:t xml:space="preserve"> construction</w:t>
      </w:r>
      <w:r w:rsidRPr="00D4168F">
        <w:rPr>
          <w:sz w:val="16"/>
        </w:rPr>
        <w:t xml:space="preserve"> [that the court] </w:t>
      </w:r>
      <w:r w:rsidRPr="00456038">
        <w:rPr>
          <w:rStyle w:val="StyleUnderline"/>
          <w:highlight w:val="cyan"/>
        </w:rPr>
        <w:t>affirmed</w:t>
      </w:r>
      <w:r w:rsidRPr="00D4168F">
        <w:rPr>
          <w:rStyle w:val="StyleUnderline"/>
        </w:rPr>
        <w:t xml:space="preserve"> </w:t>
      </w:r>
      <w:r w:rsidRPr="00D4168F">
        <w:rPr>
          <w:rStyle w:val="Emphasis"/>
        </w:rPr>
        <w:t xml:space="preserve">as reasonable </w:t>
      </w:r>
      <w:r w:rsidRPr="00456038">
        <w:rPr>
          <w:rStyle w:val="Emphasis"/>
          <w:highlight w:val="cyan"/>
        </w:rPr>
        <w:t>the Monday before</w:t>
      </w:r>
      <w:r w:rsidRPr="00D4168F">
        <w:rPr>
          <w:rStyle w:val="StyleUnderline"/>
        </w:rPr>
        <w:t>.”</w:t>
      </w:r>
      <w:r w:rsidRPr="00D4168F">
        <w:rPr>
          <w:sz w:val="16"/>
        </w:rPr>
        <w:t xml:space="preserve"> Lin v. U.S. Dep’t of Justice, 416 F.3d 184, 190 (2d Cir. 2005); see also Henry v. INS, 74 F.3d 1, 6 (1st Cir. 1996) </w:t>
      </w:r>
      <w:r w:rsidRPr="00D4168F">
        <w:rPr>
          <w:rStyle w:val="StyleUnderline"/>
        </w:rPr>
        <w:t>(</w:t>
      </w:r>
      <w:r w:rsidRPr="00536F2B">
        <w:rPr>
          <w:rStyle w:val="StyleUnderline"/>
        </w:rPr>
        <w:t>“</w:t>
      </w:r>
      <w:r w:rsidRPr="00456038">
        <w:rPr>
          <w:rStyle w:val="StyleUnderline"/>
          <w:highlight w:val="cyan"/>
        </w:rPr>
        <w:t>An agency can</w:t>
      </w:r>
      <w:r w:rsidRPr="00D4168F">
        <w:rPr>
          <w:sz w:val="16"/>
        </w:rPr>
        <w:t xml:space="preserve">not </w:t>
      </w:r>
      <w:r w:rsidRPr="00D4168F">
        <w:rPr>
          <w:rStyle w:val="Emphasis"/>
        </w:rPr>
        <w:t xml:space="preserve">merely </w:t>
      </w:r>
      <w:r w:rsidRPr="00456038">
        <w:rPr>
          <w:rStyle w:val="Emphasis"/>
          <w:highlight w:val="cyan"/>
        </w:rPr>
        <w:t>flit</w:t>
      </w:r>
      <w:r w:rsidRPr="00D4168F">
        <w:rPr>
          <w:rStyle w:val="Emphasis"/>
        </w:rPr>
        <w:t xml:space="preserve"> serendipitously</w:t>
      </w:r>
      <w:r w:rsidRPr="00D4168F">
        <w:rPr>
          <w:sz w:val="16"/>
        </w:rPr>
        <w:t xml:space="preserve"> from case to case, </w:t>
      </w:r>
      <w:r w:rsidRPr="00D4168F">
        <w:rPr>
          <w:rStyle w:val="StyleUnderline"/>
        </w:rPr>
        <w:t xml:space="preserve">like </w:t>
      </w:r>
      <w:r w:rsidRPr="00D4168F">
        <w:rPr>
          <w:rStyle w:val="Emphasis"/>
        </w:rPr>
        <w:t>a bee</w:t>
      </w:r>
      <w:r w:rsidRPr="00D4168F">
        <w:rPr>
          <w:rStyle w:val="StyleUnderline"/>
        </w:rPr>
        <w:t xml:space="preserve"> buzzing </w:t>
      </w:r>
      <w:r w:rsidRPr="00456038">
        <w:rPr>
          <w:rStyle w:val="StyleUnderline"/>
          <w:highlight w:val="cyan"/>
        </w:rPr>
        <w:t xml:space="preserve">from </w:t>
      </w:r>
      <w:r w:rsidRPr="00456038">
        <w:rPr>
          <w:rStyle w:val="Emphasis"/>
          <w:highlight w:val="cyan"/>
        </w:rPr>
        <w:t>flower to flower</w:t>
      </w:r>
      <w:r w:rsidRPr="00456038">
        <w:rPr>
          <w:rStyle w:val="StyleUnderline"/>
          <w:highlight w:val="cyan"/>
        </w:rPr>
        <w:t>, making up the rules</w:t>
      </w:r>
      <w:r w:rsidRPr="00D4168F">
        <w:rPr>
          <w:rStyle w:val="StyleUnderline"/>
        </w:rPr>
        <w:t xml:space="preserve"> as it goes along.”)</w:t>
      </w:r>
      <w:r w:rsidRPr="00D4168F">
        <w:rPr>
          <w:sz w:val="16"/>
        </w:rPr>
        <w:t xml:space="preserve">. </w:t>
      </w:r>
    </w:p>
    <w:p w14:paraId="4956EDC7" w14:textId="0F244151" w:rsidR="00EE6BEE" w:rsidRDefault="00EE6BEE" w:rsidP="00EE6BEE">
      <w:pPr>
        <w:pStyle w:val="Heading3"/>
      </w:pPr>
      <w:r>
        <w:t>1AR – AT: Deportations CP</w:t>
      </w:r>
    </w:p>
    <w:p w14:paraId="02B8FECB" w14:textId="77777777" w:rsidR="00EE6BEE" w:rsidRDefault="00EE6BEE" w:rsidP="00EE6BEE">
      <w:pPr>
        <w:pStyle w:val="Heading4"/>
      </w:pPr>
      <w:r>
        <w:t>Judicial role key.</w:t>
      </w:r>
    </w:p>
    <w:p w14:paraId="0E137004" w14:textId="77777777" w:rsidR="00EE6BEE" w:rsidRPr="00E66567" w:rsidRDefault="00EE6BEE" w:rsidP="00EE6BEE">
      <w:r w:rsidRPr="00E66567">
        <w:rPr>
          <w:rStyle w:val="Style13ptBold"/>
        </w:rPr>
        <w:t>Cade 18</w:t>
      </w:r>
      <w:r w:rsidRPr="00E66567">
        <w:t xml:space="preserve"> – Jason A. Cade, Law Professor at the University of Georgia. [Judicial Review of Disproportionate (or Retaliatory) Deportation, 75 Wash. &amp; Lee L. Rev. 1427, 75(3), https://scholarlycommons.law.wlu.edu/wlulr/vol75/iss3/8]//BPS</w:t>
      </w:r>
    </w:p>
    <w:p w14:paraId="1ABCFAC3" w14:textId="77777777" w:rsidR="00EE6BEE" w:rsidRDefault="00EE6BEE" w:rsidP="00EE6BEE">
      <w:pPr>
        <w:rPr>
          <w:sz w:val="16"/>
        </w:rPr>
      </w:pPr>
      <w:r w:rsidRPr="00E66567">
        <w:rPr>
          <w:rStyle w:val="StyleUnderline"/>
        </w:rPr>
        <w:t xml:space="preserve">Especially </w:t>
      </w:r>
      <w:r w:rsidRPr="00456038">
        <w:rPr>
          <w:rStyle w:val="StyleUnderline"/>
          <w:highlight w:val="cyan"/>
        </w:rPr>
        <w:t xml:space="preserve">against </w:t>
      </w:r>
      <w:r w:rsidRPr="00456038">
        <w:rPr>
          <w:rStyle w:val="Emphasis"/>
          <w:highlight w:val="cyan"/>
        </w:rPr>
        <w:t>this backdrop</w:t>
      </w:r>
      <w:r w:rsidRPr="00E66567">
        <w:rPr>
          <w:rStyle w:val="StyleUnderline"/>
        </w:rPr>
        <w:t xml:space="preserve">, </w:t>
      </w:r>
      <w:r w:rsidRPr="00E66567">
        <w:rPr>
          <w:rStyle w:val="Emphasis"/>
        </w:rPr>
        <w:t xml:space="preserve">judicial </w:t>
      </w:r>
      <w:r w:rsidRPr="00456038">
        <w:rPr>
          <w:rStyle w:val="Emphasis"/>
          <w:highlight w:val="cyan"/>
        </w:rPr>
        <w:t>decisions</w:t>
      </w:r>
      <w:r w:rsidRPr="00E66567">
        <w:rPr>
          <w:rStyle w:val="StyleUnderline"/>
        </w:rPr>
        <w:t xml:space="preserve"> such as those considered in this Article </w:t>
      </w:r>
      <w:r w:rsidRPr="00456038">
        <w:rPr>
          <w:rStyle w:val="StyleUnderline"/>
          <w:highlight w:val="cyan"/>
        </w:rPr>
        <w:t xml:space="preserve">serve </w:t>
      </w:r>
      <w:r w:rsidRPr="00456038">
        <w:rPr>
          <w:rStyle w:val="Emphasis"/>
          <w:highlight w:val="cyan"/>
        </w:rPr>
        <w:t>important functions</w:t>
      </w:r>
      <w:r w:rsidRPr="00456038">
        <w:rPr>
          <w:rStyle w:val="StyleUnderline"/>
          <w:highlight w:val="cyan"/>
        </w:rPr>
        <w:t>. They attract</w:t>
      </w:r>
      <w:r w:rsidRPr="00E66567">
        <w:rPr>
          <w:rStyle w:val="StyleUnderline"/>
        </w:rPr>
        <w:t xml:space="preserve"> </w:t>
      </w:r>
      <w:r w:rsidRPr="00E66567">
        <w:rPr>
          <w:rStyle w:val="Emphasis"/>
        </w:rPr>
        <w:t xml:space="preserve">media </w:t>
      </w:r>
      <w:r w:rsidRPr="00456038">
        <w:rPr>
          <w:rStyle w:val="Emphasis"/>
          <w:highlight w:val="cyan"/>
        </w:rPr>
        <w:t>attention</w:t>
      </w:r>
      <w:r w:rsidRPr="00456038">
        <w:rPr>
          <w:rStyle w:val="StyleUnderline"/>
          <w:highlight w:val="cyan"/>
        </w:rPr>
        <w:t xml:space="preserve"> and </w:t>
      </w:r>
      <w:r w:rsidRPr="00456038">
        <w:rPr>
          <w:rStyle w:val="Emphasis"/>
          <w:highlight w:val="cyan"/>
        </w:rPr>
        <w:t>galvanize</w:t>
      </w:r>
      <w:r w:rsidRPr="00E66567">
        <w:rPr>
          <w:rStyle w:val="StyleUnderline"/>
        </w:rPr>
        <w:t xml:space="preserve"> the </w:t>
      </w:r>
      <w:r w:rsidRPr="00E66567">
        <w:rPr>
          <w:rStyle w:val="Emphasis"/>
        </w:rPr>
        <w:t xml:space="preserve">efforts of </w:t>
      </w:r>
      <w:r w:rsidRPr="00456038">
        <w:rPr>
          <w:rStyle w:val="Emphasis"/>
          <w:highlight w:val="cyan"/>
        </w:rPr>
        <w:t>advocates</w:t>
      </w:r>
      <w:r w:rsidRPr="00456038">
        <w:rPr>
          <w:rStyle w:val="StyleUnderline"/>
          <w:highlight w:val="cyan"/>
        </w:rPr>
        <w:t xml:space="preserve"> to fight</w:t>
      </w:r>
      <w:r w:rsidRPr="00E66567">
        <w:rPr>
          <w:rStyle w:val="StyleUnderline"/>
        </w:rPr>
        <w:t xml:space="preserve"> and seek reform of </w:t>
      </w:r>
      <w:r w:rsidRPr="00456038">
        <w:rPr>
          <w:rStyle w:val="StyleUnderline"/>
          <w:highlight w:val="cyan"/>
        </w:rPr>
        <w:t>the Administration’s policies</w:t>
      </w:r>
      <w:r w:rsidRPr="00E66567">
        <w:rPr>
          <w:sz w:val="16"/>
        </w:rPr>
        <w:t xml:space="preserve">, both on behalf of particular individuals and more broadly. </w:t>
      </w:r>
      <w:r w:rsidRPr="00456038">
        <w:rPr>
          <w:rStyle w:val="StyleUnderline"/>
          <w:highlight w:val="cyan"/>
        </w:rPr>
        <w:t>They</w:t>
      </w:r>
      <w:r w:rsidRPr="00E66567">
        <w:rPr>
          <w:sz w:val="16"/>
        </w:rPr>
        <w:t xml:space="preserve"> also </w:t>
      </w:r>
      <w:r w:rsidRPr="00456038">
        <w:rPr>
          <w:rStyle w:val="StyleUnderline"/>
          <w:highlight w:val="cyan"/>
        </w:rPr>
        <w:t xml:space="preserve">function as </w:t>
      </w:r>
      <w:r w:rsidRPr="00456038">
        <w:rPr>
          <w:rStyle w:val="Emphasis"/>
          <w:highlight w:val="cyan"/>
        </w:rPr>
        <w:t>signals</w:t>
      </w:r>
      <w:r w:rsidRPr="00456038">
        <w:rPr>
          <w:rStyle w:val="StyleUnderline"/>
          <w:highlight w:val="cyan"/>
        </w:rPr>
        <w:t xml:space="preserve"> to </w:t>
      </w:r>
      <w:r w:rsidRPr="00456038">
        <w:rPr>
          <w:rStyle w:val="Emphasis"/>
          <w:highlight w:val="cyan"/>
        </w:rPr>
        <w:t>the political branches</w:t>
      </w:r>
      <w:r w:rsidRPr="00456038">
        <w:rPr>
          <w:rStyle w:val="StyleUnderline"/>
          <w:highlight w:val="cyan"/>
        </w:rPr>
        <w:t xml:space="preserve"> that </w:t>
      </w:r>
      <w:r w:rsidRPr="00456038">
        <w:rPr>
          <w:rStyle w:val="Emphasis"/>
          <w:highlight w:val="cyan"/>
        </w:rPr>
        <w:t>policy</w:t>
      </w:r>
      <w:r w:rsidRPr="00E66567">
        <w:rPr>
          <w:rStyle w:val="StyleUnderline"/>
        </w:rPr>
        <w:t xml:space="preserve"> or </w:t>
      </w:r>
      <w:r w:rsidRPr="00E66567">
        <w:rPr>
          <w:rStyle w:val="Emphasis"/>
        </w:rPr>
        <w:t>rule changes</w:t>
      </w:r>
      <w:r w:rsidRPr="00E66567">
        <w:rPr>
          <w:rStyle w:val="StyleUnderline"/>
        </w:rPr>
        <w:t xml:space="preserve"> </w:t>
      </w:r>
      <w:r w:rsidRPr="00456038">
        <w:rPr>
          <w:rStyle w:val="StyleUnderline"/>
          <w:highlight w:val="cyan"/>
        </w:rPr>
        <w:t>are needed</w:t>
      </w:r>
      <w:r w:rsidRPr="00E66567">
        <w:rPr>
          <w:sz w:val="16"/>
        </w:rPr>
        <w:t xml:space="preserve">. Finally, </w:t>
      </w:r>
      <w:r w:rsidRPr="00E66567">
        <w:rPr>
          <w:rStyle w:val="StyleUnderline"/>
        </w:rPr>
        <w:t xml:space="preserve">the </w:t>
      </w:r>
      <w:r w:rsidRPr="00456038">
        <w:rPr>
          <w:rStyle w:val="StyleUnderline"/>
          <w:highlight w:val="cyan"/>
        </w:rPr>
        <w:t>decisions represent</w:t>
      </w:r>
      <w:r w:rsidRPr="00E66567">
        <w:rPr>
          <w:rStyle w:val="StyleUnderline"/>
        </w:rPr>
        <w:t xml:space="preserve"> </w:t>
      </w:r>
      <w:r w:rsidRPr="00E66567">
        <w:rPr>
          <w:rStyle w:val="Emphasis"/>
        </w:rPr>
        <w:t xml:space="preserve">an </w:t>
      </w:r>
      <w:r w:rsidRPr="00456038">
        <w:rPr>
          <w:rStyle w:val="Emphasis"/>
          <w:highlight w:val="cyan"/>
        </w:rPr>
        <w:t>accretion of authority</w:t>
      </w:r>
      <w:r w:rsidRPr="00E66567">
        <w:rPr>
          <w:sz w:val="16"/>
        </w:rPr>
        <w:t xml:space="preserve"> toward more substantive proportionality review. As the judicial pronouncements (and related litigation) considered in this Article illustrate, </w:t>
      </w:r>
      <w:r w:rsidRPr="00E66567">
        <w:rPr>
          <w:rStyle w:val="Emphasis"/>
        </w:rPr>
        <w:t xml:space="preserve">the </w:t>
      </w:r>
      <w:r w:rsidRPr="00456038">
        <w:rPr>
          <w:rStyle w:val="Emphasis"/>
          <w:highlight w:val="cyan"/>
        </w:rPr>
        <w:t>harsh results</w:t>
      </w:r>
      <w:r w:rsidRPr="00E66567">
        <w:rPr>
          <w:rStyle w:val="Emphasis"/>
        </w:rPr>
        <w:t xml:space="preserve"> caused</w:t>
      </w:r>
      <w:r w:rsidRPr="00E66567">
        <w:rPr>
          <w:rStyle w:val="StyleUnderline"/>
        </w:rPr>
        <w:t xml:space="preserve"> by the Administration’s policies </w:t>
      </w:r>
      <w:r w:rsidRPr="00456038">
        <w:rPr>
          <w:rStyle w:val="StyleUnderline"/>
          <w:highlight w:val="cyan"/>
        </w:rPr>
        <w:t>may</w:t>
      </w:r>
      <w:r w:rsidRPr="00E66567">
        <w:rPr>
          <w:rStyle w:val="StyleUnderline"/>
        </w:rPr>
        <w:t xml:space="preserve"> well </w:t>
      </w:r>
      <w:r w:rsidRPr="00456038">
        <w:rPr>
          <w:rStyle w:val="StyleUnderline"/>
          <w:highlight w:val="cyan"/>
        </w:rPr>
        <w:t>lead judges to engage in</w:t>
      </w:r>
      <w:r w:rsidRPr="00E66567">
        <w:rPr>
          <w:rStyle w:val="StyleUnderline"/>
        </w:rPr>
        <w:t xml:space="preserve"> </w:t>
      </w:r>
      <w:r w:rsidRPr="00E66567">
        <w:rPr>
          <w:rStyle w:val="Emphasis"/>
        </w:rPr>
        <w:t xml:space="preserve">a more </w:t>
      </w:r>
      <w:r w:rsidRPr="00456038">
        <w:rPr>
          <w:rStyle w:val="Emphasis"/>
          <w:highlight w:val="cyan"/>
        </w:rPr>
        <w:t>searching review</w:t>
      </w:r>
      <w:r w:rsidRPr="00456038">
        <w:rPr>
          <w:rStyle w:val="StyleUnderline"/>
          <w:highlight w:val="cyan"/>
        </w:rPr>
        <w:t xml:space="preserve"> of </w:t>
      </w:r>
      <w:r w:rsidRPr="00456038">
        <w:rPr>
          <w:rStyle w:val="Emphasis"/>
          <w:highlight w:val="cyan"/>
        </w:rPr>
        <w:t>enforcement</w:t>
      </w:r>
      <w:r w:rsidRPr="00E66567">
        <w:rPr>
          <w:rStyle w:val="Emphasis"/>
        </w:rPr>
        <w:t xml:space="preserve"> actions</w:t>
      </w:r>
      <w:r w:rsidRPr="00E66567">
        <w:rPr>
          <w:rStyle w:val="StyleUnderline"/>
        </w:rPr>
        <w:t>. Courts</w:t>
      </w:r>
      <w:r w:rsidRPr="00E66567">
        <w:rPr>
          <w:sz w:val="16"/>
        </w:rPr>
        <w:t xml:space="preserve"> increasingly </w:t>
      </w:r>
      <w:r w:rsidRPr="00E66567">
        <w:rPr>
          <w:rStyle w:val="StyleUnderline"/>
        </w:rPr>
        <w:t xml:space="preserve">will be </w:t>
      </w:r>
      <w:r w:rsidRPr="00E66567">
        <w:rPr>
          <w:rStyle w:val="Emphasis"/>
        </w:rPr>
        <w:t>confronted</w:t>
      </w:r>
      <w:r w:rsidRPr="00E66567">
        <w:rPr>
          <w:sz w:val="16"/>
        </w:rPr>
        <w:t xml:space="preserve"> with difficult questions about proportionality, due process, equal protection, and protected speech. This Article outlines </w:t>
      </w:r>
      <w:r w:rsidRPr="00E66567">
        <w:rPr>
          <w:rStyle w:val="Emphasis"/>
        </w:rPr>
        <w:t xml:space="preserve">doctrinal </w:t>
      </w:r>
      <w:r w:rsidRPr="00456038">
        <w:rPr>
          <w:rStyle w:val="Emphasis"/>
          <w:highlight w:val="cyan"/>
        </w:rPr>
        <w:t>developments</w:t>
      </w:r>
      <w:r w:rsidRPr="00E66567">
        <w:rPr>
          <w:sz w:val="16"/>
        </w:rPr>
        <w:t xml:space="preserve"> that </w:t>
      </w:r>
      <w:r w:rsidRPr="00456038">
        <w:rPr>
          <w:rStyle w:val="StyleUnderline"/>
          <w:highlight w:val="cyan"/>
        </w:rPr>
        <w:t>may</w:t>
      </w:r>
      <w:r w:rsidRPr="00E66567">
        <w:rPr>
          <w:sz w:val="16"/>
        </w:rPr>
        <w:t xml:space="preserve"> eventually </w:t>
      </w:r>
      <w:r w:rsidRPr="00456038">
        <w:rPr>
          <w:rStyle w:val="StyleUnderline"/>
          <w:highlight w:val="cyan"/>
        </w:rPr>
        <w:t>cause courts to stay</w:t>
      </w:r>
      <w:r w:rsidRPr="00E66567">
        <w:rPr>
          <w:rStyle w:val="StyleUnderline"/>
        </w:rPr>
        <w:t xml:space="preserve"> </w:t>
      </w:r>
      <w:r w:rsidRPr="00E66567">
        <w:rPr>
          <w:rStyle w:val="Emphasis"/>
        </w:rPr>
        <w:t xml:space="preserve">excessively </w:t>
      </w:r>
      <w:r w:rsidRPr="00456038">
        <w:rPr>
          <w:rStyle w:val="Emphasis"/>
          <w:highlight w:val="cyan"/>
        </w:rPr>
        <w:t>harsh</w:t>
      </w:r>
      <w:r w:rsidRPr="00456038">
        <w:rPr>
          <w:rStyle w:val="StyleUnderline"/>
          <w:highlight w:val="cyan"/>
        </w:rPr>
        <w:t xml:space="preserve"> but</w:t>
      </w:r>
      <w:r w:rsidRPr="00E66567">
        <w:rPr>
          <w:rStyle w:val="StyleUnderline"/>
        </w:rPr>
        <w:t xml:space="preserve"> </w:t>
      </w:r>
      <w:r w:rsidRPr="00E66567">
        <w:rPr>
          <w:rStyle w:val="Emphasis"/>
        </w:rPr>
        <w:t xml:space="preserve">otherwise </w:t>
      </w:r>
      <w:r w:rsidRPr="00456038">
        <w:rPr>
          <w:rStyle w:val="Emphasis"/>
          <w:highlight w:val="cyan"/>
        </w:rPr>
        <w:t>valid</w:t>
      </w:r>
      <w:r w:rsidRPr="00E66567">
        <w:rPr>
          <w:rStyle w:val="Emphasis"/>
        </w:rPr>
        <w:t xml:space="preserve"> removal </w:t>
      </w:r>
      <w:r w:rsidRPr="00456038">
        <w:rPr>
          <w:rStyle w:val="Emphasis"/>
          <w:highlight w:val="cyan"/>
        </w:rPr>
        <w:t>orders</w:t>
      </w:r>
      <w:r w:rsidRPr="00456038">
        <w:rPr>
          <w:rStyle w:val="StyleUnderline"/>
          <w:highlight w:val="cyan"/>
        </w:rPr>
        <w:t xml:space="preserve"> on</w:t>
      </w:r>
      <w:r w:rsidRPr="00E66567">
        <w:t xml:space="preserve"> </w:t>
      </w:r>
      <w:r w:rsidRPr="00E66567">
        <w:rPr>
          <w:sz w:val="16"/>
        </w:rPr>
        <w:t xml:space="preserve">substantive constitutional grounds. A close look at the Court’s recent jurisprudence in the deportation context reveals increasing sensitivity to proportionality concerns, lending additional weight to new challenges based on due process, the First Amendment, or </w:t>
      </w:r>
      <w:r w:rsidRPr="00456038">
        <w:rPr>
          <w:rStyle w:val="Emphasis"/>
          <w:highlight w:val="cyan"/>
        </w:rPr>
        <w:t>arbitrary and capricious review</w:t>
      </w:r>
      <w:r w:rsidRPr="00E66567">
        <w:rPr>
          <w:sz w:val="16"/>
        </w:rPr>
        <w:t xml:space="preserve">. Of particular importance are hybrid claims, in which the joint force of multiple constitutional violations may combine to justify judicial intervention in egregious situations. </w:t>
      </w:r>
    </w:p>
    <w:p w14:paraId="7CEA7399" w14:textId="094F86CF" w:rsidR="00EE6BEE" w:rsidRDefault="00EE6BEE" w:rsidP="00EE6BEE">
      <w:pPr>
        <w:pStyle w:val="Heading4"/>
      </w:pPr>
      <w:r>
        <w:rPr>
          <w:i/>
        </w:rPr>
        <w:t>Chevron</w:t>
      </w:r>
      <w:r>
        <w:t xml:space="preserve"> means other agencies try to deter migration.</w:t>
      </w:r>
    </w:p>
    <w:p w14:paraId="164DFB33" w14:textId="5473DBB8" w:rsidR="00EE6BEE" w:rsidRPr="00EE6BEE" w:rsidRDefault="00EE6BEE" w:rsidP="00EE6BEE">
      <w:r w:rsidRPr="00EE6BEE">
        <w:rPr>
          <w:rStyle w:val="Style13ptBold"/>
        </w:rPr>
        <w:t>Kagan 18</w:t>
      </w:r>
      <w:r>
        <w:t xml:space="preserve"> – Michael Kagan, Law Professor at UNLV. [Should Federal Courts Defer to Jeff Sessions in Deportation Case? 3-27-18, https://lawliberty.org/should-federal-courts-defer-to-jeff-sessions-in-deportation-case-judicial-deference-immigration-chevron-gorsuch/]//BPS </w:t>
      </w:r>
    </w:p>
    <w:p w14:paraId="1265F648" w14:textId="672444D3" w:rsidR="00EE6BEE" w:rsidRPr="00EE6BEE" w:rsidRDefault="00EE6BEE" w:rsidP="00EE6BEE">
      <w:pPr>
        <w:rPr>
          <w:sz w:val="16"/>
        </w:rPr>
      </w:pPr>
      <w:r w:rsidRPr="00EE6BEE">
        <w:rPr>
          <w:sz w:val="16"/>
        </w:rPr>
        <w:t xml:space="preserve">But </w:t>
      </w:r>
      <w:r w:rsidRPr="00EE6BEE">
        <w:rPr>
          <w:rStyle w:val="StyleUnderline"/>
        </w:rPr>
        <w:t xml:space="preserve">there is </w:t>
      </w:r>
      <w:r w:rsidRPr="00EE6BEE">
        <w:rPr>
          <w:rStyle w:val="Emphasis"/>
        </w:rPr>
        <w:t>a broader legal issue here</w:t>
      </w:r>
      <w:r w:rsidRPr="00EE6BEE">
        <w:rPr>
          <w:sz w:val="16"/>
        </w:rPr>
        <w:t xml:space="preserve">. Judge </w:t>
      </w:r>
      <w:r w:rsidRPr="00EE6BEE">
        <w:rPr>
          <w:rStyle w:val="StyleUnderline"/>
        </w:rPr>
        <w:t xml:space="preserve">Gorsuch came to </w:t>
      </w:r>
      <w:r w:rsidRPr="00EE6BEE">
        <w:rPr>
          <w:rStyle w:val="Emphasis"/>
        </w:rPr>
        <w:t>national prominence</w:t>
      </w:r>
      <w:r w:rsidRPr="00EE6BEE">
        <w:rPr>
          <w:rStyle w:val="StyleUnderline"/>
        </w:rPr>
        <w:t xml:space="preserve"> because he used</w:t>
      </w:r>
      <w:r w:rsidRPr="00EE6BEE">
        <w:rPr>
          <w:sz w:val="16"/>
        </w:rPr>
        <w:t xml:space="preserve"> the case of </w:t>
      </w:r>
      <w:r w:rsidRPr="00EE6BEE">
        <w:rPr>
          <w:rStyle w:val="StyleUnderline"/>
        </w:rPr>
        <w:t>a Mexican man</w:t>
      </w:r>
      <w:r w:rsidRPr="00EE6BEE">
        <w:rPr>
          <w:sz w:val="16"/>
        </w:rPr>
        <w:t xml:space="preserve">, Hugo Rosario Gutierrez-Brizuela, </w:t>
      </w:r>
      <w:r w:rsidRPr="00EE6BEE">
        <w:rPr>
          <w:rStyle w:val="StyleUnderline"/>
        </w:rPr>
        <w:t>to critique</w:t>
      </w:r>
      <w:r w:rsidRPr="00EE6BEE">
        <w:rPr>
          <w:sz w:val="16"/>
        </w:rPr>
        <w:t xml:space="preserve"> the legal doctrine known as </w:t>
      </w:r>
      <w:r w:rsidRPr="00EE6BEE">
        <w:rPr>
          <w:rStyle w:val="Emphasis"/>
        </w:rPr>
        <w:t>Chevron deference</w:t>
      </w:r>
      <w:r w:rsidRPr="00EE6BEE">
        <w:rPr>
          <w:sz w:val="16"/>
        </w:rPr>
        <w:t>. Under this rule, federal courts should defer to the executive branch on the interpretation of ambiguous statutes passed by Congress. Since the late 1980s, Chevron has been the dominant doctrine in administrative law. In theory, it strengthens the hand of administrative agencies, who gain latitude to impose their own view of what the law should be.</w:t>
      </w:r>
    </w:p>
    <w:p w14:paraId="79D99FF4" w14:textId="75F8DC31" w:rsidR="00EE6BEE" w:rsidRPr="00EE6BEE" w:rsidRDefault="00EE6BEE" w:rsidP="00EE6BEE">
      <w:pPr>
        <w:rPr>
          <w:sz w:val="16"/>
        </w:rPr>
      </w:pPr>
      <w:r w:rsidRPr="00EE6BEE">
        <w:rPr>
          <w:sz w:val="16"/>
        </w:rPr>
        <w:t>Chevron has long attracted critique, mainly from conservative jurists and scholars because it seems to weaken the role of the judiciary to say what the law is. In terms of the usual paradigms of partisan politics, Chevron seems favorable for progressives and problematic for conservatives because it empowers regulators vis-à-vis business. Thus, when Gorsuch was nominated to the Supreme Court, a talking point from Democratic senators was that he would make it harder for government agencies to impose public health and environmental regulations.</w:t>
      </w:r>
    </w:p>
    <w:p w14:paraId="69881357" w14:textId="508AC01C" w:rsidR="00EE6BEE" w:rsidRPr="00EE6BEE" w:rsidRDefault="00EE6BEE" w:rsidP="00EE6BEE">
      <w:pPr>
        <w:rPr>
          <w:sz w:val="16"/>
        </w:rPr>
      </w:pPr>
      <w:r w:rsidRPr="00EE6BEE">
        <w:rPr>
          <w:rStyle w:val="StyleUnderline"/>
        </w:rPr>
        <w:t>Immigration inverts</w:t>
      </w:r>
      <w:r w:rsidRPr="00EE6BEE">
        <w:rPr>
          <w:sz w:val="16"/>
        </w:rPr>
        <w:t xml:space="preserve"> these </w:t>
      </w:r>
      <w:r w:rsidRPr="00EE6BEE">
        <w:rPr>
          <w:rStyle w:val="Emphasis"/>
        </w:rPr>
        <w:t>political dynamics</w:t>
      </w:r>
      <w:r w:rsidRPr="00EE6BEE">
        <w:rPr>
          <w:rStyle w:val="StyleUnderline"/>
        </w:rPr>
        <w:t>, but</w:t>
      </w:r>
      <w:r w:rsidRPr="00EE6BEE">
        <w:rPr>
          <w:sz w:val="16"/>
        </w:rPr>
        <w:t xml:space="preserve"> also </w:t>
      </w:r>
      <w:r w:rsidRPr="00EE6BEE">
        <w:rPr>
          <w:rStyle w:val="StyleUnderline"/>
        </w:rPr>
        <w:t xml:space="preserve">offers a chance to </w:t>
      </w:r>
      <w:r w:rsidRPr="00EE6BEE">
        <w:rPr>
          <w:rStyle w:val="Emphasis"/>
        </w:rPr>
        <w:t>clarify</w:t>
      </w:r>
      <w:r w:rsidRPr="00EE6BEE">
        <w:rPr>
          <w:sz w:val="16"/>
        </w:rPr>
        <w:t xml:space="preserve"> some of </w:t>
      </w:r>
      <w:r w:rsidRPr="00EE6BEE">
        <w:rPr>
          <w:rStyle w:val="StyleUnderline"/>
        </w:rPr>
        <w:t xml:space="preserve">the limitations of </w:t>
      </w:r>
      <w:r w:rsidRPr="00EE6BEE">
        <w:rPr>
          <w:rStyle w:val="Emphasis"/>
        </w:rPr>
        <w:t>judicial deference</w:t>
      </w:r>
      <w:r w:rsidRPr="00EE6BEE">
        <w:rPr>
          <w:rStyle w:val="StyleUnderline"/>
        </w:rPr>
        <w:t xml:space="preserve">. It is hard to find </w:t>
      </w:r>
      <w:r w:rsidRPr="00EE6BEE">
        <w:rPr>
          <w:rStyle w:val="Emphasis"/>
        </w:rPr>
        <w:t>any constituency</w:t>
      </w:r>
      <w:r w:rsidRPr="00EE6BEE">
        <w:rPr>
          <w:rStyle w:val="StyleUnderline"/>
        </w:rPr>
        <w:t xml:space="preserve"> that suffers more from </w:t>
      </w:r>
      <w:r w:rsidRPr="00EE6BEE">
        <w:rPr>
          <w:rStyle w:val="Emphasis"/>
        </w:rPr>
        <w:t>an overbearing</w:t>
      </w:r>
      <w:r w:rsidRPr="00EE6BEE">
        <w:rPr>
          <w:rStyle w:val="StyleUnderline"/>
        </w:rPr>
        <w:t xml:space="preserve"> and </w:t>
      </w:r>
      <w:r w:rsidRPr="00EE6BEE">
        <w:rPr>
          <w:rStyle w:val="Emphasis"/>
        </w:rPr>
        <w:t>unaccountable administrative state</w:t>
      </w:r>
      <w:r w:rsidRPr="00EE6BEE">
        <w:rPr>
          <w:rStyle w:val="StyleUnderline"/>
        </w:rPr>
        <w:t xml:space="preserve"> than immigrants. In immigration enforcement, </w:t>
      </w:r>
      <w:r w:rsidRPr="00EE6BEE">
        <w:rPr>
          <w:rStyle w:val="Emphasis"/>
        </w:rPr>
        <w:t>an administrative agency (ICE)</w:t>
      </w:r>
      <w:r w:rsidRPr="00EE6BEE">
        <w:rPr>
          <w:rStyle w:val="StyleUnderline"/>
        </w:rPr>
        <w:t xml:space="preserve"> arrests people without making </w:t>
      </w:r>
      <w:r w:rsidRPr="00EE6BEE">
        <w:rPr>
          <w:rStyle w:val="Emphasis"/>
        </w:rPr>
        <w:t>any specific showing of probable</w:t>
      </w:r>
      <w:r w:rsidRPr="00EE6BEE">
        <w:rPr>
          <w:sz w:val="16"/>
        </w:rPr>
        <w:t xml:space="preserve"> cause to a neutral magistrate. </w:t>
      </w:r>
      <w:r w:rsidRPr="00EE6BEE">
        <w:rPr>
          <w:rStyle w:val="StyleUnderline"/>
        </w:rPr>
        <w:t>The resulting deportation case will be adjudicated</w:t>
      </w:r>
      <w:r w:rsidRPr="00EE6BEE">
        <w:rPr>
          <w:sz w:val="16"/>
        </w:rPr>
        <w:t xml:space="preserve"> not by a real court, but by immigration judges and </w:t>
      </w:r>
      <w:r w:rsidRPr="00EE6BEE">
        <w:rPr>
          <w:rStyle w:val="StyleUnderline"/>
        </w:rPr>
        <w:t>by</w:t>
      </w:r>
      <w:r w:rsidRPr="00EE6BEE">
        <w:rPr>
          <w:sz w:val="16"/>
        </w:rPr>
        <w:t xml:space="preserve"> members of </w:t>
      </w:r>
      <w:r w:rsidRPr="00EE6BEE">
        <w:rPr>
          <w:rStyle w:val="StyleUnderline"/>
        </w:rPr>
        <w:t>the</w:t>
      </w:r>
      <w:r w:rsidRPr="00EE6BEE">
        <w:rPr>
          <w:sz w:val="16"/>
        </w:rPr>
        <w:t xml:space="preserve"> Board of Immigration Appeals (</w:t>
      </w:r>
      <w:r w:rsidRPr="00EE6BEE">
        <w:rPr>
          <w:rStyle w:val="StyleUnderline"/>
        </w:rPr>
        <w:t>BIA</w:t>
      </w:r>
      <w:r w:rsidRPr="00EE6BEE">
        <w:rPr>
          <w:sz w:val="16"/>
        </w:rPr>
        <w:t xml:space="preserve">), all of whom are </w:t>
      </w:r>
      <w:r w:rsidRPr="00EE6BEE">
        <w:rPr>
          <w:rStyle w:val="StyleUnderline"/>
        </w:rPr>
        <w:t>employees of the Department of Justice</w:t>
      </w:r>
      <w:r w:rsidRPr="00EE6BEE">
        <w:rPr>
          <w:sz w:val="16"/>
        </w:rPr>
        <w:t>. The Attorney General retains the right to appoint, remove, or reassign any of them. Or, if the Attorney General disagrees with the BIA in a particular case, he can simply overrule the decision.</w:t>
      </w:r>
    </w:p>
    <w:p w14:paraId="246C6012" w14:textId="472AD06D" w:rsidR="00EE6BEE" w:rsidRPr="00EE6BEE" w:rsidRDefault="00EE6BEE" w:rsidP="00EE6BEE">
      <w:pPr>
        <w:rPr>
          <w:sz w:val="16"/>
        </w:rPr>
      </w:pPr>
      <w:r w:rsidRPr="00EE6BEE">
        <w:rPr>
          <w:sz w:val="16"/>
        </w:rPr>
        <w:t>At the end of the administrative process, an immigrant on the verge of deportation may file a last ditch petition for review to a federal court of appeals. It is here that Chevron deference becomes relevant. Government lawyers are likely to tell the court that under Chevron it should defer back to the Attorney General on difficult questions of law.</w:t>
      </w:r>
    </w:p>
    <w:p w14:paraId="48FE32A8" w14:textId="405E08FA" w:rsidR="00EE6BEE" w:rsidRDefault="00EE6BEE" w:rsidP="00EE6BEE">
      <w:pPr>
        <w:rPr>
          <w:sz w:val="16"/>
        </w:rPr>
      </w:pPr>
      <w:r w:rsidRPr="00EE6BEE">
        <w:rPr>
          <w:sz w:val="16"/>
        </w:rPr>
        <w:t xml:space="preserve">To put this in blunt terms as this plays out in 2018: </w:t>
      </w:r>
      <w:r w:rsidRPr="00EE6BEE">
        <w:rPr>
          <w:rStyle w:val="StyleUnderline"/>
        </w:rPr>
        <w:t xml:space="preserve">federal judges are asked to </w:t>
      </w:r>
      <w:r w:rsidRPr="00EE6BEE">
        <w:rPr>
          <w:rStyle w:val="Emphasis"/>
        </w:rPr>
        <w:t>defer</w:t>
      </w:r>
      <w:r w:rsidRPr="00EE6BEE">
        <w:rPr>
          <w:rStyle w:val="StyleUnderline"/>
        </w:rPr>
        <w:t xml:space="preserve"> to Jeff Sessions, who</w:t>
      </w:r>
      <w:r w:rsidRPr="00EE6BEE">
        <w:rPr>
          <w:sz w:val="16"/>
        </w:rPr>
        <w:t xml:space="preserve"> not long ago </w:t>
      </w:r>
      <w:r w:rsidRPr="00EE6BEE">
        <w:rPr>
          <w:rStyle w:val="StyleUnderline"/>
        </w:rPr>
        <w:t>told</w:t>
      </w:r>
      <w:r w:rsidRPr="00EE6BEE">
        <w:rPr>
          <w:sz w:val="16"/>
        </w:rPr>
        <w:t xml:space="preserve"> the </w:t>
      </w:r>
      <w:r w:rsidRPr="00EE6BEE">
        <w:rPr>
          <w:rStyle w:val="StyleUnderline"/>
        </w:rPr>
        <w:t>immigration judges he supervises</w:t>
      </w:r>
      <w:r w:rsidRPr="00EE6BEE">
        <w:rPr>
          <w:sz w:val="16"/>
        </w:rPr>
        <w:t xml:space="preserve"> that </w:t>
      </w:r>
      <w:r w:rsidRPr="00EE6BEE">
        <w:rPr>
          <w:rStyle w:val="StyleUnderline"/>
        </w:rPr>
        <w:t>“</w:t>
      </w:r>
      <w:r w:rsidRPr="00EE6BEE">
        <w:rPr>
          <w:rStyle w:val="Emphasis"/>
        </w:rPr>
        <w:t>dirty immigration lawyers</w:t>
      </w:r>
      <w:r w:rsidRPr="00EE6BEE">
        <w:rPr>
          <w:rStyle w:val="StyleUnderline"/>
        </w:rPr>
        <w:t xml:space="preserve">” are conspiring with clients to submit </w:t>
      </w:r>
      <w:r w:rsidRPr="00EE6BEE">
        <w:rPr>
          <w:rStyle w:val="Emphasis"/>
        </w:rPr>
        <w:t>fraudulent claims</w:t>
      </w:r>
      <w:r w:rsidRPr="00EE6BEE">
        <w:rPr>
          <w:rStyle w:val="StyleUnderline"/>
        </w:rPr>
        <w:t xml:space="preserve"> to stay in the U</w:t>
      </w:r>
      <w:r w:rsidRPr="00EE6BEE">
        <w:rPr>
          <w:sz w:val="16"/>
        </w:rPr>
        <w:t xml:space="preserve">nited </w:t>
      </w:r>
      <w:r w:rsidRPr="00EE6BEE">
        <w:rPr>
          <w:rStyle w:val="StyleUnderline"/>
        </w:rPr>
        <w:t>S</w:t>
      </w:r>
      <w:r w:rsidRPr="00EE6BEE">
        <w:rPr>
          <w:sz w:val="16"/>
        </w:rPr>
        <w:t xml:space="preserve">tates, </w:t>
      </w:r>
      <w:r w:rsidRPr="00EE6BEE">
        <w:rPr>
          <w:rStyle w:val="StyleUnderline"/>
        </w:rPr>
        <w:t>and complained</w:t>
      </w:r>
      <w:r w:rsidRPr="00EE6BEE">
        <w:rPr>
          <w:sz w:val="16"/>
        </w:rPr>
        <w:t xml:space="preserve"> that </w:t>
      </w:r>
      <w:r w:rsidRPr="00EE6BEE">
        <w:rPr>
          <w:rStyle w:val="StyleUnderline"/>
        </w:rPr>
        <w:t xml:space="preserve">asylum claims are </w:t>
      </w:r>
      <w:r w:rsidRPr="00EE6BEE">
        <w:rPr>
          <w:rStyle w:val="Emphasis"/>
        </w:rPr>
        <w:t>too easily granted</w:t>
      </w:r>
      <w:r w:rsidRPr="00EE6BEE">
        <w:rPr>
          <w:sz w:val="16"/>
        </w:rPr>
        <w:t>.</w:t>
      </w:r>
    </w:p>
    <w:p w14:paraId="5FCA96EE" w14:textId="77777777" w:rsidR="00621D20" w:rsidRPr="00DE65BE" w:rsidRDefault="00621D20" w:rsidP="00621D20">
      <w:pPr>
        <w:pStyle w:val="Heading4"/>
      </w:pPr>
      <w:r>
        <w:t>The BIA is not subject to political accountability.</w:t>
      </w:r>
    </w:p>
    <w:p w14:paraId="7A0D1494" w14:textId="77777777" w:rsidR="00621D20" w:rsidRDefault="00621D20" w:rsidP="00621D20">
      <w:r>
        <w:rPr>
          <w:rStyle w:val="Style13ptBold"/>
        </w:rPr>
        <w:t>Sharpless 17</w:t>
      </w:r>
      <w:r>
        <w:t xml:space="preserve"> – Rebecca Sharpless, Clinical Professor at University of Miami School of Law ("Zone of Nondeference: Chevron and Deportation for a Crime,” 9 Drexel L. Review 323, available online at https://drexel.edu/law/lawreview/issues/Archives/v9-2/sharpless/, accessed 6-25-2020) LR</w:t>
      </w:r>
    </w:p>
    <w:p w14:paraId="62DB7616" w14:textId="77777777" w:rsidR="00621D20" w:rsidRPr="00F23BDB" w:rsidRDefault="00621D20" w:rsidP="00621D20">
      <w:pPr>
        <w:rPr>
          <w:rStyle w:val="StyleUnderline"/>
        </w:rPr>
      </w:pPr>
      <w:r w:rsidRPr="00F23BDB">
        <w:rPr>
          <w:sz w:val="16"/>
        </w:rPr>
        <w:t xml:space="preserve">The second pillar of </w:t>
      </w:r>
      <w:r w:rsidRPr="007D78CD">
        <w:rPr>
          <w:rStyle w:val="StyleUnderline"/>
        </w:rPr>
        <w:t>Chevron</w:t>
      </w:r>
      <w:r w:rsidRPr="00F23BDB">
        <w:rPr>
          <w:sz w:val="16"/>
        </w:rPr>
        <w:t xml:space="preserve"> is the </w:t>
      </w:r>
      <w:r w:rsidRPr="007D78CD">
        <w:rPr>
          <w:rStyle w:val="StyleUnderline"/>
        </w:rPr>
        <w:t>notion that settling interpretive ambiguity amounts to the promulgation of policy, something</w:t>
      </w:r>
      <w:r w:rsidRPr="00F23BDB">
        <w:rPr>
          <w:sz w:val="16"/>
        </w:rPr>
        <w:t xml:space="preserve"> within the province of the </w:t>
      </w:r>
      <w:r w:rsidRPr="007D78CD">
        <w:rPr>
          <w:rStyle w:val="StyleUnderline"/>
        </w:rPr>
        <w:t>politically accountable</w:t>
      </w:r>
      <w:r w:rsidRPr="00F23BDB">
        <w:rPr>
          <w:sz w:val="16"/>
        </w:rPr>
        <w:t xml:space="preserve"> executive branch.136 </w:t>
      </w:r>
      <w:r w:rsidRPr="007D78CD">
        <w:rPr>
          <w:rStyle w:val="StyleUnderline"/>
        </w:rPr>
        <w:t xml:space="preserve">But </w:t>
      </w:r>
      <w:r w:rsidRPr="00F23BDB">
        <w:rPr>
          <w:rStyle w:val="Emphasis"/>
        </w:rPr>
        <w:t>immigration agencies</w:t>
      </w:r>
      <w:r w:rsidRPr="00F23BDB">
        <w:rPr>
          <w:sz w:val="16"/>
        </w:rPr>
        <w:t xml:space="preserve">, when exercising their adjudicative function, may </w:t>
      </w:r>
      <w:r w:rsidRPr="00F23BDB">
        <w:rPr>
          <w:rStyle w:val="Emphasis"/>
        </w:rPr>
        <w:t>not</w:t>
      </w:r>
      <w:r w:rsidRPr="00F23BDB">
        <w:rPr>
          <w:sz w:val="16"/>
        </w:rPr>
        <w:t xml:space="preserve"> be </w:t>
      </w:r>
      <w:r w:rsidRPr="00F23BDB">
        <w:rPr>
          <w:rStyle w:val="Emphasis"/>
        </w:rPr>
        <w:t>as politically accountable</w:t>
      </w:r>
      <w:r w:rsidRPr="007D78CD">
        <w:rPr>
          <w:rStyle w:val="StyleUnderline"/>
        </w:rPr>
        <w:t xml:space="preserve"> as other agencies. The two main immigration adjudicatory bodies are the BIA and the</w:t>
      </w:r>
      <w:r w:rsidRPr="00F23BDB">
        <w:rPr>
          <w:sz w:val="16"/>
        </w:rPr>
        <w:t xml:space="preserve"> U.S. </w:t>
      </w:r>
      <w:r w:rsidRPr="007D78CD">
        <w:rPr>
          <w:rStyle w:val="StyleUnderline"/>
        </w:rPr>
        <w:t>Attorney General. While the Attorney General has authority to overrule the BIA, he has historically</w:t>
      </w:r>
      <w:r w:rsidRPr="00F23BDB">
        <w:rPr>
          <w:sz w:val="16"/>
        </w:rPr>
        <w:t xml:space="preserve"> invoked this power </w:t>
      </w:r>
      <w:r w:rsidRPr="007D78CD">
        <w:rPr>
          <w:rStyle w:val="StyleUnderline"/>
        </w:rPr>
        <w:t>only occasionally.</w:t>
      </w:r>
      <w:r w:rsidRPr="00F23BDB">
        <w:rPr>
          <w:sz w:val="16"/>
        </w:rPr>
        <w:t xml:space="preserve">137 In the last ten years, the Attorney General has issued only 12 decisions, whereas the BIA issued 319 precedential decisions over the same period.138 </w:t>
      </w:r>
      <w:r w:rsidRPr="007D78CD">
        <w:rPr>
          <w:rStyle w:val="StyleUnderline"/>
        </w:rPr>
        <w:t>BIA members</w:t>
      </w:r>
      <w:r w:rsidRPr="00F23BDB">
        <w:rPr>
          <w:sz w:val="16"/>
        </w:rPr>
        <w:t xml:space="preserve">, unlike the Attorney General, </w:t>
      </w:r>
      <w:r w:rsidRPr="007D78CD">
        <w:rPr>
          <w:rStyle w:val="StyleUnderline"/>
        </w:rPr>
        <w:t xml:space="preserve">are </w:t>
      </w:r>
      <w:r w:rsidRPr="00F23BDB">
        <w:rPr>
          <w:rStyle w:val="Emphasis"/>
        </w:rPr>
        <w:t>not political appointees</w:t>
      </w:r>
      <w:r w:rsidRPr="007D78CD">
        <w:rPr>
          <w:rStyle w:val="StyleUnderline"/>
        </w:rPr>
        <w:t>.</w:t>
      </w:r>
      <w:r w:rsidRPr="00F23BDB">
        <w:rPr>
          <w:sz w:val="16"/>
        </w:rPr>
        <w:t xml:space="preserve">139 </w:t>
      </w:r>
      <w:r w:rsidRPr="00F23BDB">
        <w:rPr>
          <w:rStyle w:val="StyleUnderline"/>
        </w:rPr>
        <w:t>Department of Justice regulations require that the BIA use “independent judgment and discretion,”</w:t>
      </w:r>
      <w:r w:rsidRPr="00F23BDB">
        <w:rPr>
          <w:sz w:val="16"/>
        </w:rPr>
        <w:t xml:space="preserve">140 </w:t>
      </w:r>
      <w:r w:rsidRPr="00F23BDB">
        <w:rPr>
          <w:rStyle w:val="StyleUnderline"/>
        </w:rPr>
        <w:t>and the</w:t>
      </w:r>
      <w:r w:rsidRPr="00F23BDB">
        <w:rPr>
          <w:sz w:val="16"/>
        </w:rPr>
        <w:t xml:space="preserve"> Supreme </w:t>
      </w:r>
      <w:r w:rsidRPr="00F23BDB">
        <w:rPr>
          <w:rStyle w:val="StyleUnderline"/>
        </w:rPr>
        <w:t>Court has held that the Attorney General must abide by this regulation.</w:t>
      </w:r>
      <w:r w:rsidRPr="00F23BDB">
        <w:rPr>
          <w:sz w:val="16"/>
        </w:rPr>
        <w:t xml:space="preserve">141 Thus, while </w:t>
      </w:r>
      <w:r w:rsidRPr="00F23BDB">
        <w:rPr>
          <w:rStyle w:val="StyleUnderline"/>
        </w:rPr>
        <w:t>the BIA</w:t>
      </w:r>
      <w:r w:rsidRPr="00F23BDB">
        <w:rPr>
          <w:sz w:val="16"/>
        </w:rPr>
        <w:t xml:space="preserve">, as the main source of immigration adjudicatory authority, is part of the executive branch, it </w:t>
      </w:r>
      <w:r w:rsidRPr="00F23BDB">
        <w:rPr>
          <w:rStyle w:val="StyleUnderline"/>
        </w:rPr>
        <w:t xml:space="preserve">is not as politically accountable as </w:t>
      </w:r>
      <w:r w:rsidRPr="00F23BDB">
        <w:rPr>
          <w:sz w:val="16"/>
        </w:rPr>
        <w:t xml:space="preserve">other </w:t>
      </w:r>
      <w:r w:rsidRPr="00F23BDB">
        <w:rPr>
          <w:rStyle w:val="StyleUnderline"/>
        </w:rPr>
        <w:t>agencies that operate</w:t>
      </w:r>
      <w:r w:rsidRPr="00F23BDB">
        <w:rPr>
          <w:sz w:val="16"/>
        </w:rPr>
        <w:t xml:space="preserve"> more </w:t>
      </w:r>
      <w:r w:rsidRPr="00F23BDB">
        <w:rPr>
          <w:rStyle w:val="StyleUnderline"/>
        </w:rPr>
        <w:t>directly through</w:t>
      </w:r>
      <w:r w:rsidRPr="00F23BDB">
        <w:rPr>
          <w:sz w:val="16"/>
        </w:rPr>
        <w:t xml:space="preserve"> the </w:t>
      </w:r>
      <w:r w:rsidRPr="00F23BDB">
        <w:rPr>
          <w:rStyle w:val="StyleUnderline"/>
        </w:rPr>
        <w:t xml:space="preserve">leadership of political appointees. </w:t>
      </w:r>
    </w:p>
    <w:p w14:paraId="728B29AC" w14:textId="68C8555E" w:rsidR="00621D20" w:rsidRDefault="00621D20" w:rsidP="00EE6BEE">
      <w:pPr>
        <w:rPr>
          <w:sz w:val="16"/>
        </w:rPr>
      </w:pPr>
      <w:r w:rsidRPr="00F23BDB">
        <w:rPr>
          <w:sz w:val="16"/>
        </w:rPr>
        <w:t xml:space="preserve">At the same time, </w:t>
      </w:r>
      <w:r w:rsidRPr="00F23BDB">
        <w:rPr>
          <w:rStyle w:val="StyleUnderline"/>
        </w:rPr>
        <w:t xml:space="preserve">the BIA is </w:t>
      </w:r>
      <w:r w:rsidRPr="00F23BDB">
        <w:rPr>
          <w:rStyle w:val="Emphasis"/>
        </w:rPr>
        <w:t>not</w:t>
      </w:r>
      <w:r w:rsidRPr="00F23BDB">
        <w:rPr>
          <w:sz w:val="16"/>
        </w:rPr>
        <w:t xml:space="preserve"> as </w:t>
      </w:r>
      <w:r w:rsidRPr="00F23BDB">
        <w:rPr>
          <w:rStyle w:val="Emphasis"/>
        </w:rPr>
        <w:t>well-positioned</w:t>
      </w:r>
      <w:r w:rsidRPr="00F23BDB">
        <w:rPr>
          <w:sz w:val="16"/>
        </w:rPr>
        <w:t xml:space="preserve"> as courts </w:t>
      </w:r>
      <w:r w:rsidRPr="00F23BDB">
        <w:rPr>
          <w:rStyle w:val="StyleUnderline"/>
        </w:rPr>
        <w:t xml:space="preserve">to carry out the duties of a </w:t>
      </w:r>
      <w:r w:rsidRPr="00F23BDB">
        <w:rPr>
          <w:rStyle w:val="Emphasis"/>
        </w:rPr>
        <w:t>neutral arbiter</w:t>
      </w:r>
      <w:r w:rsidRPr="00F23BDB">
        <w:rPr>
          <w:rStyle w:val="StyleUnderline"/>
        </w:rPr>
        <w:t>. The fact that the BIA is subject to being overruled</w:t>
      </w:r>
      <w:r w:rsidRPr="00F23BDB">
        <w:rPr>
          <w:sz w:val="16"/>
        </w:rPr>
        <w:t xml:space="preserve"> by the Attorney General </w:t>
      </w:r>
      <w:r w:rsidRPr="00F23BDB">
        <w:rPr>
          <w:rStyle w:val="StyleUnderline"/>
        </w:rPr>
        <w:t xml:space="preserve">means that it </w:t>
      </w:r>
      <w:r w:rsidRPr="00F23BDB">
        <w:rPr>
          <w:rStyle w:val="Emphasis"/>
        </w:rPr>
        <w:t>lacks</w:t>
      </w:r>
      <w:r w:rsidRPr="00F23BDB">
        <w:rPr>
          <w:sz w:val="16"/>
        </w:rPr>
        <w:t xml:space="preserve"> true </w:t>
      </w:r>
      <w:r w:rsidRPr="00F23BDB">
        <w:rPr>
          <w:rStyle w:val="Emphasis"/>
        </w:rPr>
        <w:t>independence</w:t>
      </w:r>
      <w:r w:rsidRPr="00F23BDB">
        <w:rPr>
          <w:rStyle w:val="StyleUnderline"/>
        </w:rPr>
        <w:t>. The BIA exists in an awkward “middle position,” functioning as “neither a judicial body nor an independent agency.”</w:t>
      </w:r>
      <w:r w:rsidRPr="00F23BDB">
        <w:rPr>
          <w:sz w:val="16"/>
        </w:rPr>
        <w:t xml:space="preserve">142 </w:t>
      </w:r>
      <w:r w:rsidRPr="00F23BDB">
        <w:rPr>
          <w:rStyle w:val="StyleUnderline"/>
        </w:rPr>
        <w:t>The political accountability rationale</w:t>
      </w:r>
      <w:r w:rsidRPr="00F23BDB">
        <w:rPr>
          <w:sz w:val="16"/>
        </w:rPr>
        <w:t xml:space="preserve"> for deferring to agencies </w:t>
      </w:r>
      <w:r w:rsidRPr="00F23BDB">
        <w:rPr>
          <w:rStyle w:val="Emphasis"/>
        </w:rPr>
        <w:t>does not apply</w:t>
      </w:r>
      <w:r w:rsidRPr="00F23BDB">
        <w:rPr>
          <w:rStyle w:val="StyleUnderline"/>
        </w:rPr>
        <w:t xml:space="preserve"> to the BIA</w:t>
      </w:r>
      <w:r w:rsidRPr="00F23BDB">
        <w:rPr>
          <w:sz w:val="16"/>
        </w:rPr>
        <w:t xml:space="preserve"> with the force it might to other agencies.</w:t>
      </w:r>
    </w:p>
    <w:p w14:paraId="0FD6AE28" w14:textId="4A630CE0" w:rsidR="00D70D21" w:rsidRPr="007C6F40" w:rsidRDefault="00D70D21" w:rsidP="00D70D21">
      <w:pPr>
        <w:pStyle w:val="Heading4"/>
      </w:pPr>
      <w:r>
        <w:t>Repealing the law can’t solve.</w:t>
      </w:r>
    </w:p>
    <w:p w14:paraId="7711C8DA" w14:textId="54F1D6CC" w:rsidR="00D70D21" w:rsidRPr="007C6F40" w:rsidRDefault="00D70D21" w:rsidP="00D70D21">
      <w:r w:rsidRPr="007C6F40">
        <w:t xml:space="preserve">Andy J. </w:t>
      </w:r>
      <w:r w:rsidRPr="007C6F40">
        <w:rPr>
          <w:rStyle w:val="Style13ptBold"/>
        </w:rPr>
        <w:t>Semotiuk 19</w:t>
      </w:r>
      <w:r w:rsidRPr="007C6F40">
        <w:t xml:space="preserve"> (U.S. and Canadian Immigration attorney, 8-30-2019, "Repealing Section 1325 Overlooks What Is Really Needed In U.S. Immigration Reform", Forbes, https://www.forbes.com/sites/andyjsemotiuk/2019/08/30/how-changing-one-section-in-us-immigration-law-will-not-fix-everything/#1967db99127a, accessed: 7-2-2020)//yeed</w:t>
      </w:r>
    </w:p>
    <w:p w14:paraId="00535487" w14:textId="77777777" w:rsidR="00D70D21" w:rsidRPr="007C6F40" w:rsidRDefault="00D70D21" w:rsidP="00D70D21">
      <w:pPr>
        <w:rPr>
          <w:u w:val="single"/>
        </w:rPr>
      </w:pPr>
      <w:r w:rsidRPr="007C6F40">
        <w:rPr>
          <w:rStyle w:val="StyleUnderline"/>
        </w:rPr>
        <w:t xml:space="preserve">Repealing this provision would remove the legal basis for enforcement agencies to detain people as criminals at the border and does not have to result in mistreatment of immigrants. </w:t>
      </w:r>
      <w:r w:rsidRPr="007C6F40">
        <w:t xml:space="preserve">We need to have serious consequences to deter irregular crossings - </w:t>
      </w:r>
      <w:r w:rsidRPr="007C6F40">
        <w:rPr>
          <w:rStyle w:val="StyleUnderline"/>
        </w:rPr>
        <w:t>we need to avoid “open-borders</w:t>
      </w:r>
      <w:r w:rsidRPr="007C6F40">
        <w:t xml:space="preserve">." </w:t>
      </w:r>
      <w:r w:rsidRPr="007C6F40">
        <w:rPr>
          <w:rStyle w:val="StyleUnderline"/>
        </w:rPr>
        <w:t>The</w:t>
      </w:r>
      <w:r w:rsidRPr="007C6F40">
        <w:t xml:space="preserve"> real </w:t>
      </w:r>
      <w:r w:rsidRPr="007C6F40">
        <w:rPr>
          <w:rStyle w:val="StyleUnderline"/>
        </w:rPr>
        <w:t>issue</w:t>
      </w:r>
      <w:r w:rsidRPr="007C6F40">
        <w:t xml:space="preserve"> </w:t>
      </w:r>
      <w:r w:rsidRPr="007C6F40">
        <w:rPr>
          <w:rStyle w:val="StyleUnderline"/>
        </w:rPr>
        <w:t>is</w:t>
      </w:r>
      <w:r w:rsidRPr="007C6F40">
        <w:t xml:space="preserve"> not the section, but President </w:t>
      </w:r>
      <w:r w:rsidRPr="007C6F40">
        <w:rPr>
          <w:rStyle w:val="StyleUnderline"/>
        </w:rPr>
        <w:t>Trump</w:t>
      </w:r>
      <w:r w:rsidRPr="007C6F40">
        <w:t xml:space="preserve"> </w:t>
      </w:r>
      <w:r w:rsidRPr="007C6F40">
        <w:rPr>
          <w:rStyle w:val="StyleUnderline"/>
        </w:rPr>
        <w:t>using it punitively</w:t>
      </w:r>
      <w:r w:rsidRPr="007C6F40">
        <w:t xml:space="preserve"> to rip apart families based on illegal entries. So </w:t>
      </w:r>
      <w:r w:rsidRPr="007C6F40">
        <w:rPr>
          <w:rStyle w:val="StyleUnderline"/>
        </w:rPr>
        <w:t>repealing is an oversimplification of the issues</w:t>
      </w:r>
      <w:r w:rsidRPr="007C6F40">
        <w:t xml:space="preserve"> - a </w:t>
      </w:r>
      <w:r w:rsidRPr="007C6F40">
        <w:rPr>
          <w:rStyle w:val="StyleUnderline"/>
        </w:rPr>
        <w:t>re-write of immigration law is needed as well as U.S. support to rebuild the economies of neighboring Latin American countries</w:t>
      </w:r>
      <w:r w:rsidRPr="007C6F40">
        <w:t xml:space="preserve"> so these people do not need to flee to the USA. Also, </w:t>
      </w:r>
      <w:r w:rsidRPr="007C6F40">
        <w:rPr>
          <w:rStyle w:val="StyleUnderline"/>
        </w:rPr>
        <w:t>this section makes it possible to prosecute traffickers and smugglers as criminals at points of entry, as they deserve to be</w:t>
      </w:r>
      <w:r w:rsidRPr="007C6F40">
        <w:t xml:space="preserve">. </w:t>
      </w:r>
      <w:r w:rsidRPr="007C6F40">
        <w:rPr>
          <w:rStyle w:val="StyleUnderline"/>
        </w:rPr>
        <w:t>Criminalizing illegal entry acts as a deterrent because those who are prosecuted end up with a criminal record that creates significant problems obtaining employment and handling financial matters.</w:t>
      </w:r>
    </w:p>
    <w:p w14:paraId="17DE5FF0" w14:textId="77777777" w:rsidR="00D70D21" w:rsidRDefault="00D70D21" w:rsidP="00D70D21">
      <w:pPr>
        <w:rPr>
          <w:rStyle w:val="StyleUnderline"/>
        </w:rPr>
      </w:pPr>
      <w:r w:rsidRPr="007C6F40">
        <w:t xml:space="preserve">Whether you are for or against </w:t>
      </w:r>
      <w:r w:rsidRPr="007C6F40">
        <w:rPr>
          <w:rStyle w:val="StyleUnderline"/>
        </w:rPr>
        <w:t>repealing this section</w:t>
      </w:r>
      <w:r w:rsidRPr="007C6F40">
        <w:t xml:space="preserve">, it alone </w:t>
      </w:r>
      <w:r w:rsidRPr="007C6F40">
        <w:rPr>
          <w:rStyle w:val="StyleUnderline"/>
        </w:rPr>
        <w:t>is not likely to solve the problem of separated families and offensive living conditions</w:t>
      </w:r>
      <w:r w:rsidRPr="007C6F40">
        <w:t xml:space="preserve">. </w:t>
      </w:r>
      <w:r w:rsidRPr="007C6F40">
        <w:rPr>
          <w:rStyle w:val="StyleUnderline"/>
        </w:rPr>
        <w:t>It is the attitude of the leadership in Washington and their disdain for immigrants</w:t>
      </w:r>
      <w:r w:rsidRPr="007C6F40">
        <w:t xml:space="preserve">, often even legal ones, </w:t>
      </w:r>
      <w:r w:rsidRPr="007C6F40">
        <w:rPr>
          <w:rStyle w:val="StyleUnderline"/>
        </w:rPr>
        <w:t>that is the real problem</w:t>
      </w:r>
      <w:r w:rsidRPr="007C6F40">
        <w:t xml:space="preserve">. </w:t>
      </w:r>
      <w:r w:rsidRPr="007C6F40">
        <w:rPr>
          <w:rStyle w:val="StyleUnderline"/>
        </w:rPr>
        <w:t>What is required is a dedicated effort to implement comprehensive immigration reform</w:t>
      </w:r>
      <w:r w:rsidRPr="007C6F40">
        <w:t xml:space="preserve"> - reform that rewards those who comply with reasonable immigration laws and punishes those who do not. To the degree the immigration debate is distracted from this overarching goal by focusing on this one section of the U.S. Code, that is to say - betting the farm on one section of immigration law, to that degree, </w:t>
      </w:r>
      <w:r w:rsidRPr="007C6F40">
        <w:rPr>
          <w:rStyle w:val="StyleUnderline"/>
        </w:rPr>
        <w:t>this plan is a disservice to what really needs to be done in America.</w:t>
      </w:r>
      <w:r w:rsidRPr="007C6F40">
        <w:t xml:space="preserve"> </w:t>
      </w:r>
      <w:r w:rsidRPr="007C6F40">
        <w:rPr>
          <w:rStyle w:val="StyleUnderline"/>
        </w:rPr>
        <w:t>Such an approach is like of focusing on repairing one tree while neglecting the forest.</w:t>
      </w:r>
    </w:p>
    <w:p w14:paraId="687FF494" w14:textId="77777777" w:rsidR="00D70D21" w:rsidRPr="00EE6BEE" w:rsidRDefault="00D70D21" w:rsidP="00EE6BEE">
      <w:pPr>
        <w:rPr>
          <w:sz w:val="16"/>
        </w:rPr>
      </w:pPr>
    </w:p>
    <w:p w14:paraId="51DA5E04" w14:textId="1F89BA88" w:rsidR="00EE6BEE" w:rsidRDefault="00EE6BEE" w:rsidP="00EE6BEE">
      <w:pPr>
        <w:pStyle w:val="Heading4"/>
      </w:pPr>
      <w:r>
        <w:t xml:space="preserve">People will </w:t>
      </w:r>
      <w:r w:rsidRPr="00EE6BEE">
        <w:rPr>
          <w:u w:val="single"/>
        </w:rPr>
        <w:t>confuse</w:t>
      </w:r>
      <w:r>
        <w:t xml:space="preserve"> signals until court victories.</w:t>
      </w:r>
    </w:p>
    <w:p w14:paraId="01C5C1A3" w14:textId="71B64ADB" w:rsidR="00EE6BEE" w:rsidRPr="00EE6BEE" w:rsidRDefault="00EE6BEE" w:rsidP="00EE6BEE">
      <w:r w:rsidRPr="00EE6BEE">
        <w:rPr>
          <w:rStyle w:val="Style13ptBold"/>
        </w:rPr>
        <w:t>Córdoba 17</w:t>
      </w:r>
      <w:r>
        <w:t xml:space="preserve"> – José de Córdoba, reporter. [Mexican Migrants Signal They Prefer Detention to Deportation; Illegal immigrants meet with Mexican officials in Phoenix, discuss options under Trump administration, the Wall Street Journal, 2-17-17, ProQuest]//BPS</w:t>
      </w:r>
    </w:p>
    <w:p w14:paraId="0AF714D2" w14:textId="26838B74" w:rsidR="00EE6BEE" w:rsidRPr="00EE6BEE" w:rsidRDefault="00EE6BEE" w:rsidP="00EE6BEE">
      <w:pPr>
        <w:rPr>
          <w:sz w:val="16"/>
        </w:rPr>
      </w:pPr>
      <w:r w:rsidRPr="00EE6BEE">
        <w:rPr>
          <w:sz w:val="16"/>
        </w:rPr>
        <w:t>PHOENIX--</w:t>
      </w:r>
      <w:r w:rsidRPr="00EE6BEE">
        <w:rPr>
          <w:rStyle w:val="Emphasis"/>
        </w:rPr>
        <w:t>All but one</w:t>
      </w:r>
      <w:r w:rsidRPr="00EE6BEE">
        <w:rPr>
          <w:rStyle w:val="StyleUnderline"/>
        </w:rPr>
        <w:t xml:space="preserve"> of</w:t>
      </w:r>
      <w:r w:rsidRPr="00EE6BEE">
        <w:rPr>
          <w:sz w:val="16"/>
        </w:rPr>
        <w:t xml:space="preserve"> about 50 </w:t>
      </w:r>
      <w:r w:rsidRPr="00EE6BEE">
        <w:rPr>
          <w:rStyle w:val="StyleUnderline"/>
        </w:rPr>
        <w:t>undocumented Mexican migrants</w:t>
      </w:r>
      <w:r w:rsidRPr="00EE6BEE">
        <w:rPr>
          <w:sz w:val="16"/>
        </w:rPr>
        <w:t xml:space="preserve"> at a meeting Saturday </w:t>
      </w:r>
      <w:r w:rsidRPr="00EE6BEE">
        <w:rPr>
          <w:rStyle w:val="StyleUnderline"/>
        </w:rPr>
        <w:t xml:space="preserve">indicated they would rather risk detention and </w:t>
      </w:r>
      <w:r w:rsidRPr="00EE6BEE">
        <w:rPr>
          <w:rStyle w:val="Emphasis"/>
        </w:rPr>
        <w:t>long court battles</w:t>
      </w:r>
      <w:r w:rsidRPr="00EE6BEE">
        <w:rPr>
          <w:sz w:val="16"/>
        </w:rPr>
        <w:t xml:space="preserve"> in the U.S. than return to Mexico voluntarily.</w:t>
      </w:r>
    </w:p>
    <w:p w14:paraId="3013CEF4" w14:textId="17C97469" w:rsidR="00EE6BEE" w:rsidRPr="00EE6BEE" w:rsidRDefault="00EE6BEE" w:rsidP="00EE6BEE">
      <w:pPr>
        <w:rPr>
          <w:rStyle w:val="StyleUnderline"/>
          <w:sz w:val="16"/>
          <w:u w:val="none"/>
        </w:rPr>
      </w:pPr>
      <w:r w:rsidRPr="00EE6BEE">
        <w:rPr>
          <w:sz w:val="16"/>
        </w:rPr>
        <w:t xml:space="preserve">The majority of migrants at the meeting in Phoenix, which included Mexican officials, signaled in a show of hands that </w:t>
      </w:r>
      <w:r w:rsidRPr="00EE6BEE">
        <w:rPr>
          <w:rStyle w:val="StyleUnderline"/>
        </w:rPr>
        <w:t xml:space="preserve">they were ready to fight deportation in </w:t>
      </w:r>
      <w:r w:rsidRPr="00EE6BEE">
        <w:rPr>
          <w:rStyle w:val="Emphasis"/>
        </w:rPr>
        <w:t>U.S. courts</w:t>
      </w:r>
      <w:r w:rsidRPr="00EE6BEE">
        <w:rPr>
          <w:sz w:val="16"/>
        </w:rPr>
        <w:t>.</w:t>
      </w:r>
    </w:p>
    <w:p w14:paraId="3C4FD234" w14:textId="0E6019C6" w:rsidR="00EE6BEE" w:rsidRPr="00EE6BEE" w:rsidRDefault="00EE6BEE" w:rsidP="00EE6BEE">
      <w:pPr>
        <w:rPr>
          <w:sz w:val="16"/>
        </w:rPr>
      </w:pPr>
      <w:r w:rsidRPr="00EE6BEE">
        <w:rPr>
          <w:sz w:val="16"/>
        </w:rPr>
        <w:t>"Even if that means detention for weeks?" asked former foreign minister Jorge Castaneda.</w:t>
      </w:r>
    </w:p>
    <w:p w14:paraId="7320C46D" w14:textId="6CBC4997" w:rsidR="00EE6BEE" w:rsidRPr="00EE6BEE" w:rsidRDefault="00EE6BEE" w:rsidP="00EE6BEE">
      <w:pPr>
        <w:rPr>
          <w:sz w:val="16"/>
        </w:rPr>
      </w:pPr>
      <w:r w:rsidRPr="00EE6BEE">
        <w:rPr>
          <w:sz w:val="16"/>
        </w:rPr>
        <w:t>"Even if it takes months," shouted one woman. "Even if it takes years," another yelled. "We are here to fight."</w:t>
      </w:r>
    </w:p>
    <w:p w14:paraId="598DEEC6" w14:textId="5DFDCD5D" w:rsidR="00EE6BEE" w:rsidRPr="00EE6BEE" w:rsidRDefault="00EE6BEE" w:rsidP="00EE6BEE">
      <w:pPr>
        <w:rPr>
          <w:sz w:val="16"/>
        </w:rPr>
      </w:pPr>
      <w:r w:rsidRPr="00EE6BEE">
        <w:rPr>
          <w:sz w:val="16"/>
        </w:rPr>
        <w:t>Mr. Castaneda and others want Mexico's government to endorse a tough and perhaps risky strategy to battle an expected increase in deportations of their undocumented compatriots in the U.S. by underwriting the migrants' legal struggle in the U.S. court system. By overwhelming already heavily burdened immigration courts , Mr. Castaneda hopes the legal system would break down, bringing deportations to a halt.</w:t>
      </w:r>
    </w:p>
    <w:p w14:paraId="5A076DCD" w14:textId="4CB1D9D0" w:rsidR="00EE6BEE" w:rsidRPr="00EE6BEE" w:rsidRDefault="00EE6BEE" w:rsidP="00EE6BEE">
      <w:pPr>
        <w:rPr>
          <w:sz w:val="16"/>
        </w:rPr>
      </w:pPr>
      <w:r w:rsidRPr="00EE6BEE">
        <w:rPr>
          <w:sz w:val="16"/>
        </w:rPr>
        <w:t>Mexico's government hasn't endorsed the strategy, but President Enrique Peña Nieto recently budgeted about $50 million to the country's 50 consulates to help pay the costs of defending migrants who are in the U.S. illegally and facing deportation.</w:t>
      </w:r>
    </w:p>
    <w:p w14:paraId="3B028DBD" w14:textId="0FC9D30A" w:rsidR="00EE6BEE" w:rsidRPr="00EE6BEE" w:rsidRDefault="00EE6BEE" w:rsidP="00EE6BEE">
      <w:pPr>
        <w:rPr>
          <w:sz w:val="16"/>
        </w:rPr>
      </w:pPr>
      <w:r w:rsidRPr="00EE6BEE">
        <w:rPr>
          <w:rStyle w:val="StyleUnderline"/>
        </w:rPr>
        <w:t>Some are worried</w:t>
      </w:r>
      <w:r w:rsidRPr="00EE6BEE">
        <w:rPr>
          <w:sz w:val="16"/>
        </w:rPr>
        <w:t xml:space="preserve"> that President Donald </w:t>
      </w:r>
      <w:r w:rsidRPr="00EE6BEE">
        <w:rPr>
          <w:rStyle w:val="StyleUnderline"/>
        </w:rPr>
        <w:t>Trump has decided to expand</w:t>
      </w:r>
      <w:r w:rsidRPr="00EE6BEE">
        <w:rPr>
          <w:sz w:val="16"/>
        </w:rPr>
        <w:t xml:space="preserve"> the type of </w:t>
      </w:r>
      <w:r w:rsidRPr="00EE6BEE">
        <w:rPr>
          <w:rStyle w:val="StyleUnderline"/>
        </w:rPr>
        <w:t xml:space="preserve">undocumented migrants who are at risk of being deported, from </w:t>
      </w:r>
      <w:r w:rsidRPr="00EE6BEE">
        <w:rPr>
          <w:rStyle w:val="Emphasis"/>
        </w:rPr>
        <w:t>the violent</w:t>
      </w:r>
      <w:r w:rsidRPr="00EE6BEE">
        <w:rPr>
          <w:rStyle w:val="StyleUnderline"/>
        </w:rPr>
        <w:t xml:space="preserve"> or </w:t>
      </w:r>
      <w:r w:rsidRPr="00EE6BEE">
        <w:rPr>
          <w:rStyle w:val="Emphasis"/>
        </w:rPr>
        <w:t>dangerous people</w:t>
      </w:r>
      <w:r w:rsidRPr="00EE6BEE">
        <w:rPr>
          <w:sz w:val="16"/>
        </w:rPr>
        <w:t xml:space="preserve"> that the </w:t>
      </w:r>
      <w:r w:rsidRPr="00EE6BEE">
        <w:rPr>
          <w:rStyle w:val="StyleUnderline"/>
        </w:rPr>
        <w:t>Obama</w:t>
      </w:r>
      <w:r w:rsidRPr="00EE6BEE">
        <w:rPr>
          <w:sz w:val="16"/>
        </w:rPr>
        <w:t xml:space="preserve"> administration </w:t>
      </w:r>
      <w:r w:rsidRPr="00EE6BEE">
        <w:rPr>
          <w:rStyle w:val="StyleUnderline"/>
        </w:rPr>
        <w:t>targeted</w:t>
      </w:r>
      <w:r w:rsidRPr="00EE6BEE">
        <w:rPr>
          <w:sz w:val="16"/>
        </w:rPr>
        <w:t xml:space="preserve"> to migrants </w:t>
      </w:r>
      <w:r w:rsidRPr="00EE6BEE">
        <w:rPr>
          <w:rStyle w:val="StyleUnderline"/>
        </w:rPr>
        <w:t xml:space="preserve">who have had </w:t>
      </w:r>
      <w:r w:rsidRPr="00EE6BEE">
        <w:rPr>
          <w:rStyle w:val="Emphasis"/>
        </w:rPr>
        <w:t>minor brushes</w:t>
      </w:r>
      <w:r w:rsidRPr="00EE6BEE">
        <w:rPr>
          <w:rStyle w:val="StyleUnderline"/>
        </w:rPr>
        <w:t xml:space="preserve"> with </w:t>
      </w:r>
      <w:r w:rsidRPr="00EE6BEE">
        <w:rPr>
          <w:rStyle w:val="Emphasis"/>
        </w:rPr>
        <w:t>law enforcement</w:t>
      </w:r>
      <w:r w:rsidRPr="00EE6BEE">
        <w:rPr>
          <w:sz w:val="16"/>
        </w:rPr>
        <w:t>.</w:t>
      </w:r>
    </w:p>
    <w:p w14:paraId="76A14686" w14:textId="032078E0" w:rsidR="00EE6BEE" w:rsidRPr="00EE6BEE" w:rsidRDefault="00EE6BEE" w:rsidP="00EE6BEE">
      <w:pPr>
        <w:rPr>
          <w:sz w:val="16"/>
        </w:rPr>
      </w:pPr>
      <w:r w:rsidRPr="00EE6BEE">
        <w:rPr>
          <w:sz w:val="16"/>
        </w:rPr>
        <w:t xml:space="preserve">Mr. </w:t>
      </w:r>
      <w:r w:rsidRPr="00EE6BEE">
        <w:rPr>
          <w:rStyle w:val="StyleUnderline"/>
        </w:rPr>
        <w:t>Trump</w:t>
      </w:r>
      <w:r w:rsidRPr="00EE6BEE">
        <w:rPr>
          <w:sz w:val="16"/>
        </w:rPr>
        <w:t xml:space="preserve"> on Sunday </w:t>
      </w:r>
      <w:r w:rsidRPr="00EE6BEE">
        <w:rPr>
          <w:rStyle w:val="StyleUnderline"/>
        </w:rPr>
        <w:t>called it a "</w:t>
      </w:r>
      <w:r w:rsidRPr="00EE6BEE">
        <w:rPr>
          <w:rStyle w:val="Emphasis"/>
        </w:rPr>
        <w:t>crackdown</w:t>
      </w:r>
      <w:r w:rsidRPr="00EE6BEE">
        <w:rPr>
          <w:rStyle w:val="StyleUnderline"/>
        </w:rPr>
        <w:t xml:space="preserve"> on illegal criminals,"</w:t>
      </w:r>
      <w:r w:rsidRPr="00EE6BEE">
        <w:rPr>
          <w:sz w:val="16"/>
        </w:rPr>
        <w:t xml:space="preserve"> adding in an early morning tweet that "Gang members, drug dealers &amp; others are being removed!"</w:t>
      </w:r>
    </w:p>
    <w:p w14:paraId="7C18B46E" w14:textId="60ACE29C" w:rsidR="00EE6BEE" w:rsidRPr="00EE6BEE" w:rsidRDefault="00EE6BEE" w:rsidP="00EE6BEE">
      <w:pPr>
        <w:rPr>
          <w:sz w:val="16"/>
        </w:rPr>
      </w:pPr>
      <w:r w:rsidRPr="00EE6BEE">
        <w:rPr>
          <w:sz w:val="16"/>
        </w:rPr>
        <w:t>The Phoenix meeting took place two days after the deportation of a Guadalupe García, a 36-year-old Mexican who lived in the U.S. for 22 years and has two U.S.-born children. Ms. García's removal stoked panic and protests in immigrant communities.</w:t>
      </w:r>
    </w:p>
    <w:p w14:paraId="6AA3E53B" w14:textId="637E661E" w:rsidR="00EE6BEE" w:rsidRPr="00EE6BEE" w:rsidRDefault="00EE6BEE" w:rsidP="00EE6BEE">
      <w:pPr>
        <w:rPr>
          <w:sz w:val="16"/>
        </w:rPr>
      </w:pPr>
      <w:r w:rsidRPr="00EE6BEE">
        <w:rPr>
          <w:sz w:val="16"/>
        </w:rPr>
        <w:t>Ms. García was convicted of identity theft, a felony, after being arrested in 2009 with a false Social Security card. She had been released into the community with the requirement of checking in with immigration agents every six months. This week, when she reported to the Immigration and Customs Enforcement office in Phoenix, she was detained and deported to Mexico.</w:t>
      </w:r>
    </w:p>
    <w:p w14:paraId="5FEB2B51" w14:textId="5E5BAD1E" w:rsidR="0047362D" w:rsidRDefault="00EE6BEE" w:rsidP="0047362D">
      <w:pPr>
        <w:rPr>
          <w:sz w:val="16"/>
        </w:rPr>
      </w:pPr>
      <w:r w:rsidRPr="00EE6BEE">
        <w:rPr>
          <w:rStyle w:val="Emphasis"/>
        </w:rPr>
        <w:t>Heightening fears</w:t>
      </w:r>
      <w:r w:rsidRPr="00EE6BEE">
        <w:rPr>
          <w:sz w:val="16"/>
        </w:rPr>
        <w:t xml:space="preserve"> in Hispanic communities across the country, </w:t>
      </w:r>
      <w:r w:rsidRPr="00EE6BEE">
        <w:rPr>
          <w:rStyle w:val="StyleUnderline"/>
        </w:rPr>
        <w:t xml:space="preserve">immigration agents made </w:t>
      </w:r>
      <w:r w:rsidRPr="00EE6BEE">
        <w:rPr>
          <w:rStyle w:val="Emphasis"/>
        </w:rPr>
        <w:t>raids</w:t>
      </w:r>
      <w:r w:rsidRPr="00EE6BEE">
        <w:rPr>
          <w:rStyle w:val="StyleUnderline"/>
        </w:rPr>
        <w:t xml:space="preserve"> and arrested </w:t>
      </w:r>
      <w:r w:rsidRPr="00EE6BEE">
        <w:rPr>
          <w:rStyle w:val="Emphasis"/>
        </w:rPr>
        <w:t>hundreds of migrants</w:t>
      </w:r>
      <w:r w:rsidRPr="00EE6BEE">
        <w:rPr>
          <w:sz w:val="16"/>
        </w:rPr>
        <w:t xml:space="preserve"> last week </w:t>
      </w:r>
      <w:r w:rsidRPr="00EE6BEE">
        <w:rPr>
          <w:rStyle w:val="StyleUnderline"/>
        </w:rPr>
        <w:t>in</w:t>
      </w:r>
      <w:r w:rsidRPr="00EE6BEE">
        <w:rPr>
          <w:sz w:val="16"/>
        </w:rPr>
        <w:t xml:space="preserve"> a five-day </w:t>
      </w:r>
      <w:r w:rsidRPr="00EE6BEE">
        <w:rPr>
          <w:rStyle w:val="Emphasis"/>
        </w:rPr>
        <w:t>enforcement "surge"</w:t>
      </w:r>
      <w:r w:rsidRPr="00EE6BEE">
        <w:rPr>
          <w:sz w:val="16"/>
        </w:rPr>
        <w:t xml:space="preserve"> in cities which included Atlanta, Chicago, Los Angeles and New York, ICE said.</w:t>
      </w:r>
    </w:p>
    <w:p w14:paraId="7E0D3F4C" w14:textId="0D970DB8" w:rsidR="0047362D" w:rsidRPr="0047362D" w:rsidRDefault="0047362D" w:rsidP="0047362D">
      <w:pPr>
        <w:pStyle w:val="Heading4"/>
      </w:pPr>
      <w:r>
        <w:t>The counterplan allows retroactive legal changes.</w:t>
      </w:r>
    </w:p>
    <w:p w14:paraId="5BE9ADDF" w14:textId="77777777" w:rsidR="0047362D" w:rsidRPr="002D4A41" w:rsidRDefault="0047362D" w:rsidP="0047362D">
      <w:r w:rsidRPr="00EA1B68">
        <w:rPr>
          <w:rStyle w:val="Style13ptBold"/>
        </w:rPr>
        <w:t>Markowitz 11</w:t>
      </w:r>
      <w:r>
        <w:t xml:space="preserve"> (Peter Markowitz, Professor of Law at Benjamin N. Cardozo School of Law and the founding faculty member and co-director of the Kathryn O. Greenberg Immigration Justice Clinic,  University of Pennsylvania Journal of Constitutional Law, “Deportation is Different,” p1299, June 2011)</w:t>
      </w:r>
    </w:p>
    <w:p w14:paraId="2EC02FFC" w14:textId="77777777" w:rsidR="0047362D" w:rsidRPr="00B65EB0" w:rsidRDefault="0047362D" w:rsidP="0047362D">
      <w:pPr>
        <w:rPr>
          <w:sz w:val="16"/>
        </w:rPr>
      </w:pPr>
      <w:r w:rsidRPr="00B65EB0">
        <w:rPr>
          <w:sz w:val="16"/>
        </w:rPr>
        <w:t xml:space="preserve">Over </w:t>
      </w:r>
      <w:r w:rsidRPr="009059AE">
        <w:rPr>
          <w:rStyle w:val="StyleUnderline"/>
        </w:rPr>
        <w:t>one hundred years ago, the Supreme Court emphatically declared that deportation proceedings are civil, not criminal</w:t>
      </w:r>
      <w:r w:rsidRPr="00B65EB0">
        <w:rPr>
          <w:sz w:val="16"/>
        </w:rPr>
        <w:t>, in nature</w:t>
      </w:r>
      <w:r w:rsidRPr="009059AE">
        <w:rPr>
          <w:rStyle w:val="StyleUnderline"/>
        </w:rPr>
        <w:t>. As a result, none of the nearly 400,000 individuals who were deported last year enjoyed any of the constitutional protections afforded to criminal defendants under the Sixth or Eighth Amendments</w:t>
      </w:r>
      <w:r w:rsidRPr="00B65EB0">
        <w:rPr>
          <w:sz w:val="16"/>
        </w:rPr>
        <w:t xml:space="preserve">. </w:t>
      </w:r>
      <w:r w:rsidRPr="009059AE">
        <w:rPr>
          <w:rStyle w:val="StyleUnderline"/>
        </w:rPr>
        <w:t xml:space="preserve">Among those 400,000 were numerous detained juveniles and mentally ill </w:t>
      </w:r>
      <w:r w:rsidRPr="002D4A41">
        <w:rPr>
          <w:rStyle w:val="StyleUnderline"/>
        </w:rPr>
        <w:t>individuals who</w:t>
      </w:r>
      <w:r w:rsidRPr="00B65EB0">
        <w:rPr>
          <w:sz w:val="16"/>
        </w:rPr>
        <w:t xml:space="preserve">, as a result of the civil designation, </w:t>
      </w:r>
      <w:r w:rsidRPr="002D4A41">
        <w:rPr>
          <w:rStyle w:val="StyleUnderline"/>
        </w:rPr>
        <w:t>were forced to navigate the labyrinth of immigration law alone, without appointed counsel</w:t>
      </w:r>
      <w:r w:rsidRPr="00B65EB0">
        <w:rPr>
          <w:sz w:val="16"/>
        </w:rPr>
        <w:t>. O</w:t>
      </w:r>
      <w:r w:rsidRPr="002D4A41">
        <w:rPr>
          <w:rStyle w:val="StyleUnderline"/>
        </w:rPr>
        <w:t xml:space="preserve">thers were lawul permanent residents who had pled guilty to minor offenses </w:t>
      </w:r>
      <w:r w:rsidRPr="00B65EB0">
        <w:rPr>
          <w:sz w:val="16"/>
        </w:rPr>
        <w:t>upon the correct advice of counsel that they could not be deported-</w:t>
      </w:r>
      <w:r w:rsidRPr="002D4A41">
        <w:rPr>
          <w:rStyle w:val="StyleUnderline"/>
        </w:rPr>
        <w:t xml:space="preserve">only to have Congress, unbound by the criminal prohibition against ex post facto laws, retroactively changed the law and subject them to deportation. </w:t>
      </w:r>
      <w:r w:rsidRPr="00B65EB0">
        <w:rPr>
          <w:sz w:val="16"/>
        </w:rPr>
        <w:t>The dichotomy between the gravity of the liberty interest at stake in these proceedings-a lifetime of exile from homes and families in the United States-and the relative dearth of procedural protections afforded respondents, has always been intuitively unjust to many. However, over the past twenty years, as immigration and criminal law have become intertwined as never before, the intuitive sense of many has matured into a scholarly movement exploring the criminalization of immigration laie. This movement has taken aim at the incoherence of Leportation's civil designation.</w:t>
      </w:r>
    </w:p>
    <w:p w14:paraId="3FB00CE3" w14:textId="26EC0895" w:rsidR="0047362D" w:rsidRPr="00EE6BEE" w:rsidRDefault="0047362D" w:rsidP="00EE6BEE">
      <w:pPr>
        <w:rPr>
          <w:sz w:val="16"/>
        </w:rPr>
      </w:pPr>
      <w:r w:rsidRPr="00B65EB0">
        <w:rPr>
          <w:sz w:val="16"/>
        </w:rPr>
        <w:t xml:space="preserve">Until recently, there was little reason to think the Supreme Court would wade into the waters of the resurgent debate over the nature of deportation proceedings. In Padilla v. Kentucky, 130 S.Ct. 1473 (2010), however, </w:t>
      </w:r>
      <w:r w:rsidRPr="002D4A41">
        <w:rPr>
          <w:rStyle w:val="StyleUnderline"/>
        </w:rPr>
        <w:t>the Court surprised almost everyone as it went to great length to chr</w:t>
      </w:r>
      <w:r>
        <w:rPr>
          <w:rStyle w:val="StyleUnderline"/>
        </w:rPr>
        <w:t>o</w:t>
      </w:r>
      <w:r w:rsidRPr="002D4A41">
        <w:rPr>
          <w:rStyle w:val="StyleUnderline"/>
        </w:rPr>
        <w:t>nicle the criminalization of immigration law and ultimately concluded that deportation is "uniquely difficult to classify."</w:t>
      </w:r>
      <w:r w:rsidRPr="00B65EB0">
        <w:rPr>
          <w:sz w:val="16"/>
        </w:rPr>
        <w:t xml:space="preserve"> The immediate impact of the Padilla decision is the critical recognition that criminal defendants have a right to be advised by their attorneys if a plea they are contemplating will result in deportation. However, I argue, that in time Padilla may come to stand for something much more significant in immigration jurisprudence. When we read Padilla in the context of the Supreme Courts evolving immigration jurisprudence, there is good reason to believe that it is a critical pivot point for the Court. </w:t>
      </w:r>
      <w:r w:rsidRPr="002D4A41">
        <w:rPr>
          <w:rStyle w:val="StyleUnderline"/>
        </w:rPr>
        <w:t xml:space="preserve">Padilla marks the beginning of a significant reconceptualization of the nature of deportation toward the realization that it is </w:t>
      </w:r>
      <w:r w:rsidRPr="002D4A41">
        <w:rPr>
          <w:rStyle w:val="Emphasis"/>
        </w:rPr>
        <w:t>neither truly civil nor criminal</w:t>
      </w:r>
      <w:r w:rsidRPr="00B65EB0">
        <w:rPr>
          <w:sz w:val="16"/>
        </w:rPr>
        <w:t>. Rather, deportation is different. It is a unique legal animal that lives in the crease between the civil and criminal labels. This Article explores the evolving arch of Supreme Court jurisprudence regarding the quasi-criminal nature of deportation proceedings and articulates a principled mechanism to define the scope of the rights afforded to individuals facing deportation under this new framework.</w:t>
      </w:r>
    </w:p>
    <w:p w14:paraId="7EB76D28" w14:textId="3C35DF62" w:rsidR="008D141F" w:rsidRDefault="008D141F" w:rsidP="00FE7015">
      <w:pPr>
        <w:pStyle w:val="Heading3"/>
      </w:pPr>
      <w:r>
        <w:t>2AC – AT: States CP</w:t>
      </w:r>
    </w:p>
    <w:p w14:paraId="786EA1CA" w14:textId="1847B973" w:rsidR="008D141F" w:rsidRPr="000D2D70" w:rsidRDefault="000D2D70" w:rsidP="008D141F">
      <w:pPr>
        <w:pStyle w:val="Heading4"/>
      </w:pPr>
      <w:r>
        <w:t xml:space="preserve">States CP is </w:t>
      </w:r>
      <w:r>
        <w:rPr>
          <w:u w:val="single"/>
        </w:rPr>
        <w:t>nonresponsive</w:t>
      </w:r>
      <w:r>
        <w:t>.</w:t>
      </w:r>
    </w:p>
    <w:p w14:paraId="57AAE141" w14:textId="3976CE94" w:rsidR="000D2D70" w:rsidRPr="000D2D70" w:rsidRDefault="000D2D70" w:rsidP="000D2D70">
      <w:r w:rsidRPr="000D2D70">
        <w:rPr>
          <w:rStyle w:val="Style13ptBold"/>
        </w:rPr>
        <w:t>Levy 13</w:t>
      </w:r>
      <w:r>
        <w:t xml:space="preserve"> – Robert A. Levy, JD at George Mason Law School, Law Professor at Georgetown University from 1997 to 2004, chairman of the board of directors at the Cato Institute. [Yes, States Can Nullify Some Federal Laws, Not All, 3-18-13, https://www.cato.org/publications/commentary/yes-states-can-nullify-some-federal-laws-not-all]//BPS</w:t>
      </w:r>
    </w:p>
    <w:p w14:paraId="7FB96754" w14:textId="77777777" w:rsidR="008D141F" w:rsidRPr="000D2D70" w:rsidRDefault="008D141F" w:rsidP="008D141F">
      <w:pPr>
        <w:rPr>
          <w:sz w:val="16"/>
        </w:rPr>
      </w:pPr>
      <w:r w:rsidRPr="000D2D70">
        <w:rPr>
          <w:sz w:val="16"/>
        </w:rPr>
        <w:t xml:space="preserve">In a nutshell: (1) State officials need not enforce federal laws that the state has determined to be unconstitutional; nor may Congress mandate that states enact specific laws. But (2), </w:t>
      </w:r>
      <w:r w:rsidRPr="000D2D70">
        <w:rPr>
          <w:rStyle w:val="StyleUnderline"/>
        </w:rPr>
        <w:t xml:space="preserve">states may </w:t>
      </w:r>
      <w:r w:rsidRPr="000D2D70">
        <w:rPr>
          <w:rStyle w:val="Emphasis"/>
        </w:rPr>
        <w:t>not</w:t>
      </w:r>
      <w:r w:rsidRPr="000D2D70">
        <w:rPr>
          <w:rStyle w:val="StyleUnderline"/>
        </w:rPr>
        <w:t xml:space="preserve"> block </w:t>
      </w:r>
      <w:r w:rsidRPr="000D2D70">
        <w:rPr>
          <w:rStyle w:val="Emphasis"/>
        </w:rPr>
        <w:t>federal authori</w:t>
      </w:r>
      <w:r w:rsidRPr="008D141F">
        <w:rPr>
          <w:rStyle w:val="Emphasis"/>
        </w:rPr>
        <w:t>ties</w:t>
      </w:r>
      <w:r w:rsidRPr="000D2D70">
        <w:rPr>
          <w:sz w:val="16"/>
        </w:rPr>
        <w:t xml:space="preserve"> </w:t>
      </w:r>
      <w:r w:rsidRPr="008D141F">
        <w:rPr>
          <w:rStyle w:val="StyleUnderline"/>
        </w:rPr>
        <w:t xml:space="preserve">who attempt to enforce a federal law </w:t>
      </w:r>
      <w:r w:rsidRPr="008D141F">
        <w:rPr>
          <w:rStyle w:val="Emphasis"/>
        </w:rPr>
        <w:t>unless</w:t>
      </w:r>
      <w:r w:rsidRPr="008D141F">
        <w:rPr>
          <w:rStyle w:val="StyleUnderline"/>
        </w:rPr>
        <w:t xml:space="preserve"> a court has held</w:t>
      </w:r>
      <w:r w:rsidRPr="000D2D70">
        <w:rPr>
          <w:sz w:val="16"/>
        </w:rPr>
        <w:t xml:space="preserve"> that </w:t>
      </w:r>
      <w:r w:rsidRPr="008D141F">
        <w:rPr>
          <w:rStyle w:val="StyleUnderline"/>
        </w:rPr>
        <w:t>the law</w:t>
      </w:r>
      <w:r w:rsidRPr="000D2D70">
        <w:rPr>
          <w:sz w:val="16"/>
        </w:rPr>
        <w:t xml:space="preserve"> is </w:t>
      </w:r>
      <w:r w:rsidRPr="008D141F">
        <w:rPr>
          <w:rStyle w:val="Emphasis"/>
        </w:rPr>
        <w:t>unconstitutional</w:t>
      </w:r>
      <w:r w:rsidRPr="000D2D70">
        <w:rPr>
          <w:sz w:val="16"/>
        </w:rPr>
        <w:t xml:space="preserve">. And (3), </w:t>
      </w:r>
      <w:r w:rsidRPr="00456038">
        <w:rPr>
          <w:rStyle w:val="StyleUnderline"/>
          <w:highlight w:val="cyan"/>
        </w:rPr>
        <w:t xml:space="preserve">individuals are </w:t>
      </w:r>
      <w:r w:rsidRPr="00456038">
        <w:rPr>
          <w:rStyle w:val="Emphasis"/>
          <w:highlight w:val="cyan"/>
        </w:rPr>
        <w:t>not exempt</w:t>
      </w:r>
      <w:r w:rsidRPr="008D141F">
        <w:rPr>
          <w:rStyle w:val="Emphasis"/>
        </w:rPr>
        <w:t xml:space="preserve"> from prosecution</w:t>
      </w:r>
      <w:r w:rsidRPr="008D141F">
        <w:rPr>
          <w:rStyle w:val="StyleUnderline"/>
        </w:rPr>
        <w:t xml:space="preserve"> </w:t>
      </w:r>
      <w:r w:rsidRPr="00456038">
        <w:rPr>
          <w:rStyle w:val="StyleUnderline"/>
          <w:highlight w:val="cyan"/>
        </w:rPr>
        <w:t>by the fed</w:t>
      </w:r>
      <w:r w:rsidRPr="008D141F">
        <w:rPr>
          <w:rStyle w:val="StyleUnderline"/>
        </w:rPr>
        <w:t xml:space="preserve">eral government </w:t>
      </w:r>
      <w:r w:rsidRPr="008D141F">
        <w:rPr>
          <w:rStyle w:val="Emphasis"/>
        </w:rPr>
        <w:t xml:space="preserve">just </w:t>
      </w:r>
      <w:r w:rsidRPr="00456038">
        <w:rPr>
          <w:rStyle w:val="Emphasis"/>
          <w:highlight w:val="cyan"/>
        </w:rPr>
        <w:t>because</w:t>
      </w:r>
      <w:r w:rsidRPr="00456038">
        <w:rPr>
          <w:rStyle w:val="StyleUnderline"/>
          <w:highlight w:val="cyan"/>
        </w:rPr>
        <w:t xml:space="preserve"> the state</w:t>
      </w:r>
      <w:r w:rsidRPr="008D141F">
        <w:rPr>
          <w:rStyle w:val="StyleUnderline"/>
        </w:rPr>
        <w:t xml:space="preserve"> where they reside has legalized an activity or </w:t>
      </w:r>
      <w:r w:rsidRPr="00456038">
        <w:rPr>
          <w:rStyle w:val="StyleUnderline"/>
          <w:highlight w:val="cyan"/>
        </w:rPr>
        <w:t>pronounced</w:t>
      </w:r>
      <w:r w:rsidRPr="000D2D70">
        <w:rPr>
          <w:sz w:val="16"/>
        </w:rPr>
        <w:t xml:space="preserve"> that </w:t>
      </w:r>
      <w:r w:rsidRPr="00456038">
        <w:rPr>
          <w:rStyle w:val="StyleUnderline"/>
          <w:highlight w:val="cyan"/>
        </w:rPr>
        <w:t>a federal law</w:t>
      </w:r>
      <w:r w:rsidRPr="000D2D70">
        <w:rPr>
          <w:rStyle w:val="StyleUnderline"/>
        </w:rPr>
        <w:t xml:space="preserve"> is </w:t>
      </w:r>
      <w:r w:rsidRPr="00456038">
        <w:rPr>
          <w:rStyle w:val="Emphasis"/>
          <w:highlight w:val="cyan"/>
        </w:rPr>
        <w:t>unconstitutional</w:t>
      </w:r>
      <w:r w:rsidRPr="000D2D70">
        <w:rPr>
          <w:sz w:val="16"/>
        </w:rPr>
        <w:t>; if convicted, individuals can attempt to vindicate their constitutional rights in court.</w:t>
      </w:r>
    </w:p>
    <w:p w14:paraId="551FC559" w14:textId="13A7214E" w:rsidR="000D2D70" w:rsidRPr="000D2D70" w:rsidRDefault="000D2D70" w:rsidP="008D141F">
      <w:pPr>
        <w:rPr>
          <w:sz w:val="16"/>
        </w:rPr>
      </w:pPr>
      <w:r w:rsidRPr="000D2D70">
        <w:rPr>
          <w:sz w:val="16"/>
        </w:rPr>
        <w:t>Let’s examine each of those questions:</w:t>
      </w:r>
    </w:p>
    <w:p w14:paraId="2EAB335C" w14:textId="0DB56DA1" w:rsidR="000D2D70" w:rsidRPr="000D2D70" w:rsidRDefault="000D2D70" w:rsidP="008D141F">
      <w:pPr>
        <w:rPr>
          <w:sz w:val="16"/>
        </w:rPr>
      </w:pPr>
      <w:r w:rsidRPr="000D2D70">
        <w:rPr>
          <w:sz w:val="16"/>
        </w:rPr>
        <w:t>First, are states required to enforce federal laws and enact regulatory programs that Congress mandates? The answer on both counts is “No.”</w:t>
      </w:r>
    </w:p>
    <w:p w14:paraId="26286727" w14:textId="043B6720" w:rsidR="000D2D70" w:rsidRPr="000D2D70" w:rsidRDefault="000D2D70" w:rsidP="008D141F">
      <w:pPr>
        <w:rPr>
          <w:sz w:val="16"/>
        </w:rPr>
      </w:pPr>
      <w:r w:rsidRPr="000D2D70">
        <w:rPr>
          <w:sz w:val="16"/>
        </w:rPr>
        <w:t>In the 1997 case, Printz v. United States, the Supreme Court ruled that the federal government could not command state law enforcement authorities to conduct background checks on prospective handgun purchasers.</w:t>
      </w:r>
    </w:p>
    <w:p w14:paraId="6286E780" w14:textId="75EFDB7D" w:rsidR="000D2D70" w:rsidRPr="000D2D70" w:rsidRDefault="000D2D70" w:rsidP="008D141F">
      <w:pPr>
        <w:rPr>
          <w:sz w:val="16"/>
        </w:rPr>
      </w:pPr>
      <w:r w:rsidRPr="000D2D70">
        <w:rPr>
          <w:sz w:val="16"/>
        </w:rPr>
        <w:t>In the 1992 case, New York v. United States, the Court ruled that Congress couldn’t require states to enact specified waste disposal regulations.</w:t>
      </w:r>
    </w:p>
    <w:p w14:paraId="620A2F43" w14:textId="0DC43257" w:rsidR="000D2D70" w:rsidRPr="000D2D70" w:rsidRDefault="000D2D70" w:rsidP="008D141F">
      <w:pPr>
        <w:rPr>
          <w:sz w:val="16"/>
        </w:rPr>
      </w:pPr>
      <w:r w:rsidRPr="000D2D70">
        <w:rPr>
          <w:sz w:val="16"/>
        </w:rPr>
        <w:t xml:space="preserve">The second question is more difficult: </w:t>
      </w:r>
      <w:r w:rsidRPr="00456038">
        <w:rPr>
          <w:rStyle w:val="StyleUnderline"/>
          <w:highlight w:val="cyan"/>
        </w:rPr>
        <w:t xml:space="preserve">Can a state </w:t>
      </w:r>
      <w:r w:rsidRPr="00456038">
        <w:rPr>
          <w:rStyle w:val="Emphasis"/>
          <w:highlight w:val="cyan"/>
        </w:rPr>
        <w:t>impede</w:t>
      </w:r>
      <w:r w:rsidRPr="00456038">
        <w:rPr>
          <w:rStyle w:val="StyleUnderline"/>
          <w:highlight w:val="cyan"/>
        </w:rPr>
        <w:t xml:space="preserve"> fed</w:t>
      </w:r>
      <w:r w:rsidRPr="000D2D70">
        <w:rPr>
          <w:rStyle w:val="StyleUnderline"/>
        </w:rPr>
        <w:t xml:space="preserve">eral authorities </w:t>
      </w:r>
      <w:r w:rsidRPr="00456038">
        <w:rPr>
          <w:rStyle w:val="StyleUnderline"/>
          <w:highlight w:val="cyan"/>
        </w:rPr>
        <w:t>from enforcing</w:t>
      </w:r>
      <w:r w:rsidRPr="000D2D70">
        <w:rPr>
          <w:rStyle w:val="StyleUnderline"/>
        </w:rPr>
        <w:t xml:space="preserve"> </w:t>
      </w:r>
      <w:r w:rsidRPr="000D2D70">
        <w:rPr>
          <w:rStyle w:val="Emphasis"/>
        </w:rPr>
        <w:t xml:space="preserve">their own </w:t>
      </w:r>
      <w:r w:rsidRPr="00456038">
        <w:rPr>
          <w:rStyle w:val="Emphasis"/>
          <w:highlight w:val="cyan"/>
        </w:rPr>
        <w:t>law</w:t>
      </w:r>
      <w:r w:rsidRPr="00456038">
        <w:rPr>
          <w:rStyle w:val="StyleUnderline"/>
          <w:highlight w:val="cyan"/>
        </w:rPr>
        <w:t xml:space="preserve"> if</w:t>
      </w:r>
      <w:r w:rsidRPr="000D2D70">
        <w:rPr>
          <w:rStyle w:val="StyleUnderline"/>
        </w:rPr>
        <w:t xml:space="preserve"> </w:t>
      </w:r>
      <w:r w:rsidRPr="000D2D70">
        <w:rPr>
          <w:rStyle w:val="Emphasis"/>
        </w:rPr>
        <w:t xml:space="preserve">the </w:t>
      </w:r>
      <w:r w:rsidRPr="00456038">
        <w:rPr>
          <w:rStyle w:val="Emphasis"/>
          <w:highlight w:val="cyan"/>
        </w:rPr>
        <w:t>state deems</w:t>
      </w:r>
      <w:r w:rsidRPr="000D2D70">
        <w:rPr>
          <w:rStyle w:val="StyleUnderline"/>
        </w:rPr>
        <w:t xml:space="preserve"> the </w:t>
      </w:r>
      <w:r w:rsidRPr="00456038">
        <w:rPr>
          <w:rStyle w:val="StyleUnderline"/>
          <w:highlight w:val="cyan"/>
        </w:rPr>
        <w:t>law</w:t>
      </w:r>
      <w:r w:rsidRPr="000D2D70">
        <w:rPr>
          <w:rStyle w:val="StyleUnderline"/>
        </w:rPr>
        <w:t xml:space="preserve"> to be </w:t>
      </w:r>
      <w:r w:rsidRPr="00456038">
        <w:rPr>
          <w:rStyle w:val="Emphasis"/>
          <w:highlight w:val="cyan"/>
        </w:rPr>
        <w:t>unconstitutional</w:t>
      </w:r>
      <w:r w:rsidRPr="000D2D70">
        <w:rPr>
          <w:rStyle w:val="StyleUnderline"/>
        </w:rPr>
        <w:t>. The answer is “</w:t>
      </w:r>
      <w:r w:rsidRPr="00456038">
        <w:rPr>
          <w:rStyle w:val="Emphasis"/>
          <w:highlight w:val="cyan"/>
        </w:rPr>
        <w:t>No</w:t>
      </w:r>
      <w:r w:rsidRPr="000D2D70">
        <w:rPr>
          <w:rStyle w:val="StyleUnderline"/>
        </w:rPr>
        <w:t>,”</w:t>
      </w:r>
      <w:r w:rsidRPr="000D2D70">
        <w:rPr>
          <w:sz w:val="16"/>
        </w:rPr>
        <w:t xml:space="preserve"> although more radical nullification proponents would disagree. They point to the Kentucky and Virginia Resolutions of 1798 and 1799, in which Thomas Jefferson and James Madison asserted a state’s right to nullify the Alien and Sedition Acts.</w:t>
      </w:r>
    </w:p>
    <w:p w14:paraId="50E3D7D8" w14:textId="3ACBE4AF" w:rsidR="000D2D70" w:rsidRPr="000D2D70" w:rsidRDefault="000D2D70" w:rsidP="008D141F">
      <w:pPr>
        <w:rPr>
          <w:sz w:val="16"/>
        </w:rPr>
      </w:pPr>
      <w:r w:rsidRPr="000D2D70">
        <w:rPr>
          <w:sz w:val="16"/>
        </w:rPr>
        <w:t>But consider those resolutions in context: Jefferson and Madison had argued that the states must have the final word because the Constitution had not expressly established an ultimate authority on constitutional matters.</w:t>
      </w:r>
    </w:p>
    <w:p w14:paraId="15CF87B5" w14:textId="1E83FF97" w:rsidR="000D2D70" w:rsidRPr="000D2D70" w:rsidRDefault="000D2D70" w:rsidP="008D141F">
      <w:pPr>
        <w:rPr>
          <w:sz w:val="16"/>
        </w:rPr>
      </w:pPr>
      <w:r w:rsidRPr="000D2D70">
        <w:rPr>
          <w:sz w:val="16"/>
        </w:rPr>
        <w:t xml:space="preserve">Four years later </w:t>
      </w:r>
      <w:r w:rsidRPr="000D2D70">
        <w:rPr>
          <w:rStyle w:val="StyleUnderline"/>
        </w:rPr>
        <w:t>in Marbury v. Madison</w:t>
      </w:r>
      <w:r w:rsidRPr="000D2D70">
        <w:rPr>
          <w:sz w:val="16"/>
        </w:rPr>
        <w:t xml:space="preserve">, Chief Justice </w:t>
      </w:r>
      <w:r w:rsidRPr="000D2D70">
        <w:rPr>
          <w:rStyle w:val="StyleUnderline"/>
        </w:rPr>
        <w:t>John Marshall resolved that oversight</w:t>
      </w:r>
      <w:r w:rsidRPr="000D2D70">
        <w:rPr>
          <w:sz w:val="16"/>
        </w:rPr>
        <w:t xml:space="preserve">. He wrote: </w:t>
      </w:r>
      <w:r w:rsidRPr="000D2D70">
        <w:rPr>
          <w:rStyle w:val="StyleUnderline"/>
        </w:rPr>
        <w:t xml:space="preserve">“It is </w:t>
      </w:r>
      <w:r w:rsidRPr="000D2D70">
        <w:rPr>
          <w:rStyle w:val="Emphasis"/>
        </w:rPr>
        <w:t>emphatically</w:t>
      </w:r>
      <w:r w:rsidRPr="000D2D70">
        <w:rPr>
          <w:rStyle w:val="StyleUnderline"/>
        </w:rPr>
        <w:t xml:space="preserve"> the</w:t>
      </w:r>
      <w:r w:rsidRPr="000D2D70">
        <w:rPr>
          <w:sz w:val="16"/>
        </w:rPr>
        <w:t xml:space="preserve"> province and </w:t>
      </w:r>
      <w:r w:rsidRPr="000D2D70">
        <w:rPr>
          <w:rStyle w:val="StyleUnderline"/>
        </w:rPr>
        <w:t xml:space="preserve">duty of </w:t>
      </w:r>
      <w:r w:rsidRPr="000D2D70">
        <w:rPr>
          <w:rStyle w:val="Emphasis"/>
        </w:rPr>
        <w:t>the judicial department</w:t>
      </w:r>
      <w:r w:rsidRPr="000D2D70">
        <w:rPr>
          <w:rStyle w:val="StyleUnderline"/>
        </w:rPr>
        <w:t xml:space="preserve"> to say what the law is.”</w:t>
      </w:r>
      <w:r w:rsidRPr="000D2D70">
        <w:rPr>
          <w:sz w:val="16"/>
        </w:rPr>
        <w:t xml:space="preserve"> Since then, </w:t>
      </w:r>
      <w:r w:rsidRPr="000D2D70">
        <w:rPr>
          <w:rStyle w:val="StyleUnderline"/>
        </w:rPr>
        <w:t xml:space="preserve">instead of </w:t>
      </w:r>
      <w:r w:rsidRPr="000D2D70">
        <w:rPr>
          <w:rStyle w:val="Emphasis"/>
        </w:rPr>
        <w:t>50 individual states</w:t>
      </w:r>
      <w:r w:rsidRPr="000D2D70">
        <w:rPr>
          <w:rStyle w:val="StyleUnderline"/>
        </w:rPr>
        <w:t xml:space="preserve"> effecting their own views regarding </w:t>
      </w:r>
      <w:r w:rsidRPr="000D2D70">
        <w:rPr>
          <w:rStyle w:val="Emphasis"/>
        </w:rPr>
        <w:t>constitutionality</w:t>
      </w:r>
      <w:r w:rsidRPr="000D2D70">
        <w:rPr>
          <w:rStyle w:val="StyleUnderline"/>
        </w:rPr>
        <w:t xml:space="preserve">, we have </w:t>
      </w:r>
      <w:r w:rsidRPr="000D2D70">
        <w:rPr>
          <w:rStyle w:val="Emphasis"/>
        </w:rPr>
        <w:t>one Supreme Court</w:t>
      </w:r>
      <w:r w:rsidRPr="000D2D70">
        <w:rPr>
          <w:rStyle w:val="StyleUnderline"/>
        </w:rPr>
        <w:t xml:space="preserve"> establishing a uniform rule for </w:t>
      </w:r>
      <w:r w:rsidRPr="000D2D70">
        <w:rPr>
          <w:rStyle w:val="Emphasis"/>
        </w:rPr>
        <w:t>the entire nation</w:t>
      </w:r>
      <w:r w:rsidRPr="000D2D70">
        <w:rPr>
          <w:sz w:val="16"/>
        </w:rPr>
        <w:t>.</w:t>
      </w:r>
    </w:p>
    <w:p w14:paraId="45CC3D13" w14:textId="48F1171A" w:rsidR="000D2D70" w:rsidRPr="000D2D70" w:rsidRDefault="000D2D70" w:rsidP="008D141F">
      <w:pPr>
        <w:rPr>
          <w:sz w:val="16"/>
        </w:rPr>
      </w:pPr>
      <w:r w:rsidRPr="000D2D70">
        <w:rPr>
          <w:rStyle w:val="StyleUnderline"/>
        </w:rPr>
        <w:t xml:space="preserve">The Framers </w:t>
      </w:r>
      <w:r w:rsidRPr="000D2D70">
        <w:rPr>
          <w:rStyle w:val="Emphasis"/>
        </w:rPr>
        <w:t>concurred</w:t>
      </w:r>
      <w:r w:rsidRPr="000D2D70">
        <w:rPr>
          <w:sz w:val="16"/>
        </w:rPr>
        <w:t>. In Federalist 78, Alexander Hamilton had written: “\ limited constitution … can be preserved in practice no other way than through the medium of courts of justice, whose duty it must be to declare all acts contrary to the manifest tenor of the constitution void.” Madison shared that view. He wrote: “(I)ndependent tribunals … will be an impenetrable bulwark against every assumption of power in the legislative or executive.”</w:t>
      </w:r>
    </w:p>
    <w:p w14:paraId="638BE2E4" w14:textId="3B10E671" w:rsidR="000D2D70" w:rsidRPr="000D2D70" w:rsidRDefault="000D2D70" w:rsidP="008D141F">
      <w:pPr>
        <w:rPr>
          <w:u w:val="single"/>
        </w:rPr>
      </w:pPr>
      <w:r w:rsidRPr="000D2D70">
        <w:rPr>
          <w:sz w:val="16"/>
        </w:rPr>
        <w:t xml:space="preserve">Even before Marbury, </w:t>
      </w:r>
      <w:r w:rsidRPr="000D2D70">
        <w:rPr>
          <w:rStyle w:val="StyleUnderline"/>
        </w:rPr>
        <w:t>the Virginia General Assembly</w:t>
      </w:r>
      <w:r w:rsidRPr="000D2D70">
        <w:rPr>
          <w:sz w:val="16"/>
        </w:rPr>
        <w:t xml:space="preserve"> had passed Madison’s Report of 1800. It </w:t>
      </w:r>
      <w:r w:rsidRPr="000D2D70">
        <w:rPr>
          <w:rStyle w:val="StyleUnderline"/>
        </w:rPr>
        <w:t>acknowledged</w:t>
      </w:r>
      <w:r w:rsidRPr="000D2D70">
        <w:rPr>
          <w:sz w:val="16"/>
        </w:rPr>
        <w:t xml:space="preserve"> that </w:t>
      </w:r>
      <w:r w:rsidRPr="000D2D70">
        <w:rPr>
          <w:rStyle w:val="StyleUnderline"/>
        </w:rPr>
        <w:t xml:space="preserve">states can declare federal laws unconstitutional; but the declaration would have </w:t>
      </w:r>
      <w:r w:rsidRPr="000D2D70">
        <w:rPr>
          <w:rStyle w:val="Emphasis"/>
        </w:rPr>
        <w:t>no legal effect unless the courts agreed</w:t>
      </w:r>
      <w:r w:rsidRPr="000D2D70">
        <w:rPr>
          <w:sz w:val="16"/>
        </w:rPr>
        <w:t xml:space="preserve">. Here’s what </w:t>
      </w:r>
      <w:r w:rsidRPr="00456038">
        <w:rPr>
          <w:rStyle w:val="StyleUnderline"/>
          <w:highlight w:val="cyan"/>
        </w:rPr>
        <w:t>Madison wrote: State “declarations … are</w:t>
      </w:r>
      <w:r w:rsidRPr="000D2D70">
        <w:rPr>
          <w:sz w:val="16"/>
        </w:rPr>
        <w:t xml:space="preserve"> expressions of </w:t>
      </w:r>
      <w:r w:rsidRPr="00456038">
        <w:rPr>
          <w:rStyle w:val="StyleUnderline"/>
          <w:highlight w:val="cyan"/>
        </w:rPr>
        <w:t>opinion</w:t>
      </w:r>
      <w:r w:rsidRPr="000D2D70">
        <w:rPr>
          <w:sz w:val="16"/>
        </w:rPr>
        <w:t xml:space="preserve">, (intended </w:t>
      </w:r>
      <w:r w:rsidRPr="000D2D70">
        <w:rPr>
          <w:rStyle w:val="Emphasis"/>
        </w:rPr>
        <w:t xml:space="preserve">only </w:t>
      </w:r>
      <w:r w:rsidRPr="00456038">
        <w:rPr>
          <w:rStyle w:val="Emphasis"/>
          <w:highlight w:val="cyan"/>
        </w:rPr>
        <w:t>for</w:t>
      </w:r>
      <w:r w:rsidRPr="000D2D70">
        <w:rPr>
          <w:sz w:val="16"/>
        </w:rPr>
        <w:t xml:space="preserve">) exciting </w:t>
      </w:r>
      <w:r w:rsidRPr="00456038">
        <w:rPr>
          <w:rStyle w:val="StyleUnderline"/>
          <w:highlight w:val="cyan"/>
        </w:rPr>
        <w:t>reflection</w:t>
      </w:r>
      <w:r w:rsidRPr="000D2D70">
        <w:rPr>
          <w:rStyle w:val="StyleUnderline"/>
        </w:rPr>
        <w:t xml:space="preserve">. The expositions of </w:t>
      </w:r>
      <w:r w:rsidRPr="00456038">
        <w:rPr>
          <w:rStyle w:val="StyleUnderline"/>
          <w:highlight w:val="cyan"/>
        </w:rPr>
        <w:t>the judiciary</w:t>
      </w:r>
      <w:r w:rsidRPr="000D2D70">
        <w:rPr>
          <w:sz w:val="16"/>
        </w:rPr>
        <w:t xml:space="preserve">, on the other hand, </w:t>
      </w:r>
      <w:r w:rsidRPr="00456038">
        <w:rPr>
          <w:rStyle w:val="StyleUnderline"/>
          <w:highlight w:val="cyan"/>
        </w:rPr>
        <w:t>are</w:t>
      </w:r>
      <w:r w:rsidRPr="000D2D70">
        <w:rPr>
          <w:rStyle w:val="StyleUnderline"/>
        </w:rPr>
        <w:t xml:space="preserve"> carried into </w:t>
      </w:r>
      <w:r w:rsidRPr="00456038">
        <w:rPr>
          <w:rStyle w:val="Emphasis"/>
          <w:highlight w:val="cyan"/>
        </w:rPr>
        <w:t>immediate</w:t>
      </w:r>
      <w:r w:rsidRPr="000D2D70">
        <w:rPr>
          <w:rStyle w:val="Emphasis"/>
        </w:rPr>
        <w:t xml:space="preserve"> effect</w:t>
      </w:r>
      <w:r w:rsidRPr="000D2D70">
        <w:rPr>
          <w:rStyle w:val="StyleUnderline"/>
        </w:rPr>
        <w:t>.”</w:t>
      </w:r>
    </w:p>
    <w:p w14:paraId="173FF96D" w14:textId="126540DD" w:rsidR="000D2D70" w:rsidRPr="000D2D70" w:rsidRDefault="000D2D70" w:rsidP="008D141F">
      <w:pPr>
        <w:rPr>
          <w:sz w:val="16"/>
        </w:rPr>
      </w:pPr>
      <w:r w:rsidRPr="000D2D70">
        <w:rPr>
          <w:sz w:val="16"/>
        </w:rPr>
        <w:t>Madison also published Notes on Nullification in 1834. There, he wrote that an individual state cannot unilaterally invalidate a federal law. That process requires collective action by the states. Similarly, Jefferson’s Kentucky Resolutions had described nullification as an act by “the several states” that formed the Constitution.</w:t>
      </w:r>
    </w:p>
    <w:p w14:paraId="37C9C589" w14:textId="51762085" w:rsidR="000D2D70" w:rsidRPr="000D2D70" w:rsidRDefault="000D2D70" w:rsidP="008D141F">
      <w:pPr>
        <w:rPr>
          <w:sz w:val="16"/>
        </w:rPr>
      </w:pPr>
      <w:r w:rsidRPr="000D2D70">
        <w:rPr>
          <w:sz w:val="16"/>
        </w:rPr>
        <w:t>Moreover, seven states rejected resolutions similar to Virginia’s and Kentucky’s; six states passed alternate resolutions holding that constitutionality was for courts to decide; four states took no action. No other state went along with Virginia or Kentucky.</w:t>
      </w:r>
    </w:p>
    <w:p w14:paraId="44EB2ED5" w14:textId="6251F270" w:rsidR="000D2D70" w:rsidRPr="000D2D70" w:rsidRDefault="000D2D70" w:rsidP="008D141F">
      <w:pPr>
        <w:rPr>
          <w:sz w:val="16"/>
        </w:rPr>
      </w:pPr>
      <w:r w:rsidRPr="000D2D70">
        <w:rPr>
          <w:sz w:val="16"/>
        </w:rPr>
        <w:t xml:space="preserve">Since then, </w:t>
      </w:r>
      <w:r w:rsidRPr="00456038">
        <w:rPr>
          <w:rStyle w:val="StyleUnderline"/>
          <w:highlight w:val="cyan"/>
        </w:rPr>
        <w:t>nullification</w:t>
      </w:r>
      <w:r w:rsidRPr="000D2D70">
        <w:rPr>
          <w:rStyle w:val="StyleUnderline"/>
        </w:rPr>
        <w:t xml:space="preserve"> attempts have </w:t>
      </w:r>
      <w:r w:rsidRPr="00456038">
        <w:rPr>
          <w:rStyle w:val="StyleUnderline"/>
          <w:highlight w:val="cyan"/>
        </w:rPr>
        <w:t>failed</w:t>
      </w:r>
      <w:r w:rsidRPr="000D2D70">
        <w:rPr>
          <w:rStyle w:val="StyleUnderline"/>
        </w:rPr>
        <w:t xml:space="preserve"> on </w:t>
      </w:r>
      <w:r w:rsidRPr="000D2D70">
        <w:rPr>
          <w:rStyle w:val="Emphasis"/>
        </w:rPr>
        <w:t>three occasions</w:t>
      </w:r>
      <w:r w:rsidRPr="000D2D70">
        <w:rPr>
          <w:rStyle w:val="StyleUnderline"/>
        </w:rPr>
        <w:t xml:space="preserve">: </w:t>
      </w:r>
      <w:r w:rsidRPr="00456038">
        <w:rPr>
          <w:rStyle w:val="StyleUnderline"/>
          <w:highlight w:val="cyan"/>
        </w:rPr>
        <w:t>In 1828</w:t>
      </w:r>
      <w:r w:rsidRPr="000D2D70">
        <w:rPr>
          <w:sz w:val="16"/>
        </w:rPr>
        <w:t xml:space="preserve">, South Carolina tried to nullify two national tariffs. President Andrew Jackson proclaimed nullification to be treason; Congress authorized Jackson to send troops, and the state backed down. </w:t>
      </w:r>
      <w:r w:rsidRPr="000D2D70">
        <w:rPr>
          <w:rStyle w:val="StyleUnderline"/>
        </w:rPr>
        <w:t xml:space="preserve">In </w:t>
      </w:r>
      <w:r w:rsidRPr="00456038">
        <w:rPr>
          <w:rStyle w:val="StyleUnderline"/>
          <w:highlight w:val="cyan"/>
        </w:rPr>
        <w:t>1859</w:t>
      </w:r>
      <w:r w:rsidRPr="000D2D70">
        <w:rPr>
          <w:sz w:val="16"/>
        </w:rPr>
        <w:t>, the Supreme Court rejected nullification in Ableman v. Booth.</w:t>
      </w:r>
    </w:p>
    <w:p w14:paraId="48E3E1D3" w14:textId="3BCA7E09" w:rsidR="000D2D70" w:rsidRPr="000D2D70" w:rsidRDefault="000D2D70" w:rsidP="008D141F">
      <w:pPr>
        <w:rPr>
          <w:rStyle w:val="StyleUnderline"/>
        </w:rPr>
      </w:pPr>
      <w:r w:rsidRPr="000D2D70">
        <w:rPr>
          <w:sz w:val="16"/>
        </w:rPr>
        <w:t xml:space="preserve">Booth had frustrated recapture of a slave in violation of the Fugitive Slave Act. Wisconsin’s Supreme Court held the act unconstitutional, but the U.S. Supreme Court reinstated the conviction. </w:t>
      </w:r>
      <w:r w:rsidRPr="000D2D70">
        <w:rPr>
          <w:rStyle w:val="StyleUnderline"/>
        </w:rPr>
        <w:t xml:space="preserve">In </w:t>
      </w:r>
      <w:r w:rsidRPr="00456038">
        <w:rPr>
          <w:rStyle w:val="StyleUnderline"/>
          <w:highlight w:val="cyan"/>
        </w:rPr>
        <w:t>1958</w:t>
      </w:r>
      <w:r w:rsidRPr="000D2D70">
        <w:rPr>
          <w:sz w:val="16"/>
        </w:rPr>
        <w:t xml:space="preserve">, after southern states refused to integrate their schools, </w:t>
      </w:r>
      <w:r w:rsidRPr="000D2D70">
        <w:rPr>
          <w:rStyle w:val="StyleUnderline"/>
        </w:rPr>
        <w:t xml:space="preserve">the Supreme </w:t>
      </w:r>
      <w:r w:rsidRPr="00456038">
        <w:rPr>
          <w:rStyle w:val="StyleUnderline"/>
          <w:highlight w:val="cyan"/>
        </w:rPr>
        <w:t>Court</w:t>
      </w:r>
      <w:r w:rsidRPr="000D2D70">
        <w:rPr>
          <w:rStyle w:val="StyleUnderline"/>
        </w:rPr>
        <w:t xml:space="preserve"> in Cooper v. Aaron </w:t>
      </w:r>
      <w:r w:rsidRPr="00456038">
        <w:rPr>
          <w:rStyle w:val="StyleUnderline"/>
          <w:highlight w:val="cyan"/>
        </w:rPr>
        <w:t>held</w:t>
      </w:r>
      <w:r w:rsidRPr="000D2D70">
        <w:rPr>
          <w:sz w:val="16"/>
        </w:rPr>
        <w:t xml:space="preserve"> that </w:t>
      </w:r>
      <w:r w:rsidRPr="00456038">
        <w:rPr>
          <w:rStyle w:val="StyleUnderline"/>
          <w:highlight w:val="cyan"/>
        </w:rPr>
        <w:t>nullification “is</w:t>
      </w:r>
      <w:r w:rsidRPr="000D2D70">
        <w:rPr>
          <w:rStyle w:val="StyleUnderline"/>
        </w:rPr>
        <w:t xml:space="preserve"> not </w:t>
      </w:r>
      <w:r w:rsidRPr="000D2D70">
        <w:rPr>
          <w:rStyle w:val="Emphasis"/>
        </w:rPr>
        <w:t>a constitutional doctrine</w:t>
      </w:r>
      <w:r w:rsidRPr="000D2D70">
        <w:rPr>
          <w:rStyle w:val="StyleUnderline"/>
        </w:rPr>
        <w:t xml:space="preserve"> … it is </w:t>
      </w:r>
      <w:r w:rsidRPr="000D2D70">
        <w:rPr>
          <w:rStyle w:val="Emphasis"/>
        </w:rPr>
        <w:t xml:space="preserve">illegal </w:t>
      </w:r>
      <w:r w:rsidRPr="00456038">
        <w:rPr>
          <w:rStyle w:val="Emphasis"/>
          <w:highlight w:val="cyan"/>
        </w:rPr>
        <w:t>defiance</w:t>
      </w:r>
      <w:r w:rsidRPr="00456038">
        <w:rPr>
          <w:rStyle w:val="StyleUnderline"/>
          <w:highlight w:val="cyan"/>
        </w:rPr>
        <w:t xml:space="preserve"> of</w:t>
      </w:r>
      <w:r w:rsidRPr="000D2D70">
        <w:rPr>
          <w:rStyle w:val="StyleUnderline"/>
        </w:rPr>
        <w:t xml:space="preserve"> </w:t>
      </w:r>
      <w:r w:rsidRPr="000D2D70">
        <w:rPr>
          <w:rStyle w:val="Emphasis"/>
        </w:rPr>
        <w:t xml:space="preserve">constitutional </w:t>
      </w:r>
      <w:r w:rsidRPr="00456038">
        <w:rPr>
          <w:rStyle w:val="Emphasis"/>
          <w:highlight w:val="cyan"/>
        </w:rPr>
        <w:t>authority</w:t>
      </w:r>
      <w:r w:rsidRPr="00456038">
        <w:rPr>
          <w:rStyle w:val="StyleUnderline"/>
          <w:highlight w:val="cyan"/>
        </w:rPr>
        <w:t>.”</w:t>
      </w:r>
    </w:p>
    <w:p w14:paraId="6B90408E" w14:textId="7CCEA45A" w:rsidR="000D2D70" w:rsidRPr="000D2D70" w:rsidRDefault="000D2D70" w:rsidP="008D141F">
      <w:pPr>
        <w:rPr>
          <w:sz w:val="16"/>
        </w:rPr>
      </w:pPr>
      <w:r w:rsidRPr="000D2D70">
        <w:rPr>
          <w:sz w:val="16"/>
        </w:rPr>
        <w:t>Fans of nullification count on the states to check federal tyranny. But sometimes it cuts the other way; states are also tyrannical. Indeed, if state and local governments could invalidate federal law, Virginia would have continued its ban on inter‐​racial marriages; Texas might still be jailing gay people for consensual sex; and constructive gun bans would remain in effect in Chicago and elsewhere.</w:t>
      </w:r>
    </w:p>
    <w:p w14:paraId="4DDD19D4" w14:textId="37BC562D" w:rsidR="000D2D70" w:rsidRDefault="000D2D70" w:rsidP="008D141F">
      <w:pPr>
        <w:rPr>
          <w:sz w:val="16"/>
        </w:rPr>
      </w:pPr>
      <w:r w:rsidRPr="000D2D70">
        <w:rPr>
          <w:sz w:val="16"/>
        </w:rPr>
        <w:t xml:space="preserve">Finally, question #3: If a state deems a federal law to be unconstitutional, what’s the proper remedy? The answer is straightforward. </w:t>
      </w:r>
      <w:r w:rsidRPr="000D2D70">
        <w:rPr>
          <w:rStyle w:val="StyleUnderline"/>
        </w:rPr>
        <w:t xml:space="preserve">Because </w:t>
      </w:r>
      <w:r w:rsidRPr="00456038">
        <w:rPr>
          <w:rStyle w:val="Emphasis"/>
          <w:highlight w:val="cyan"/>
        </w:rPr>
        <w:t>the</w:t>
      </w:r>
      <w:r w:rsidRPr="000D2D70">
        <w:rPr>
          <w:rStyle w:val="Emphasis"/>
        </w:rPr>
        <w:t xml:space="preserve"> Supreme </w:t>
      </w:r>
      <w:r w:rsidRPr="00456038">
        <w:rPr>
          <w:rStyle w:val="Emphasis"/>
          <w:highlight w:val="cyan"/>
        </w:rPr>
        <w:t>Court</w:t>
      </w:r>
      <w:r w:rsidRPr="00456038">
        <w:rPr>
          <w:rStyle w:val="StyleUnderline"/>
          <w:highlight w:val="cyan"/>
        </w:rPr>
        <w:t xml:space="preserve"> is </w:t>
      </w:r>
      <w:r w:rsidRPr="00456038">
        <w:rPr>
          <w:rStyle w:val="Emphasis"/>
          <w:highlight w:val="cyan"/>
        </w:rPr>
        <w:t>the ultimate authority</w:t>
      </w:r>
      <w:r w:rsidRPr="000D2D70">
        <w:rPr>
          <w:rStyle w:val="StyleUnderline"/>
        </w:rPr>
        <w:t xml:space="preserve">, the remedy is a lawsuit challenging the constitutionality of the </w:t>
      </w:r>
      <w:r w:rsidRPr="000D2D70">
        <w:rPr>
          <w:rStyle w:val="Emphasis"/>
        </w:rPr>
        <w:t>suspect federal regulation or statute</w:t>
      </w:r>
      <w:r w:rsidRPr="000D2D70">
        <w:rPr>
          <w:sz w:val="16"/>
        </w:rPr>
        <w:t>.</w:t>
      </w:r>
    </w:p>
    <w:p w14:paraId="4F42D9C8" w14:textId="116BE70F" w:rsidR="00CB3F1F" w:rsidRDefault="00CB3F1F" w:rsidP="00CB3F1F">
      <w:pPr>
        <w:pStyle w:val="Heading3"/>
      </w:pPr>
      <w:r>
        <w:t>1AR – AT: States CP</w:t>
      </w:r>
    </w:p>
    <w:p w14:paraId="5AB8FD25" w14:textId="55DB7051" w:rsidR="00CB3F1F" w:rsidRPr="00CB3F1F" w:rsidRDefault="00CB3F1F" w:rsidP="00CB3F1F">
      <w:pPr>
        <w:pStyle w:val="Heading4"/>
      </w:pPr>
      <w:r>
        <w:t xml:space="preserve">States are </w:t>
      </w:r>
      <w:r>
        <w:rPr>
          <w:u w:val="single"/>
        </w:rPr>
        <w:t>already</w:t>
      </w:r>
      <w:r>
        <w:t xml:space="preserve"> getting rid of </w:t>
      </w:r>
      <w:r>
        <w:rPr>
          <w:i/>
          <w:iCs w:val="0"/>
        </w:rPr>
        <w:t>Chevron</w:t>
      </w:r>
      <w:r>
        <w:t>-equivalents.</w:t>
      </w:r>
    </w:p>
    <w:p w14:paraId="05D450AF" w14:textId="77777777" w:rsidR="00CB3F1F" w:rsidRPr="00397695" w:rsidRDefault="00CB3F1F" w:rsidP="00CB3F1F">
      <w:r w:rsidRPr="008E39C1">
        <w:rPr>
          <w:b/>
          <w:bCs/>
          <w:sz w:val="26"/>
          <w:szCs w:val="26"/>
        </w:rPr>
        <w:t>Phillips 20</w:t>
      </w:r>
      <w:r>
        <w:t xml:space="preserve"> - </w:t>
      </w:r>
      <w:r w:rsidRPr="008E39C1">
        <w:t>University of Mississippi, School of Law,</w:t>
      </w:r>
      <w:r>
        <w:t xml:space="preserve"> J.D. Candidate, (Luke, “</w:t>
      </w:r>
      <w:r w:rsidRPr="008E39C1">
        <w:t>Chevron in the States? Not So Much</w:t>
      </w:r>
      <w:r>
        <w:t xml:space="preserve">,” </w:t>
      </w:r>
      <w:r w:rsidRPr="008E39C1">
        <w:rPr>
          <w:i/>
          <w:iCs/>
        </w:rPr>
        <w:t>Mississippi Law Journal, Vol. 89, No. 313, 2020</w:t>
      </w:r>
      <w:r>
        <w:t xml:space="preserve">, 5-1-20, </w:t>
      </w:r>
      <w:hyperlink r:id="rId141" w:history="1">
        <w:r w:rsidRPr="00DC67D3">
          <w:rPr>
            <w:rStyle w:val="Hyperlink"/>
          </w:rPr>
          <w:t>https://papers.ssrn.com/sol3/papers.cfm?abstract_id=3602679</w:t>
        </w:r>
      </w:hyperlink>
      <w:r>
        <w:t>, Accessed 7-4-20, LASA-AH)</w:t>
      </w:r>
    </w:p>
    <w:p w14:paraId="3D27EDB1" w14:textId="77777777" w:rsidR="00CB3F1F" w:rsidRDefault="00CB3F1F" w:rsidP="00CB3F1F">
      <w:r>
        <w:t xml:space="preserve">The most significant finding of this survey is that, </w:t>
      </w:r>
      <w:r w:rsidRPr="008E39C1">
        <w:rPr>
          <w:u w:val="single"/>
        </w:rPr>
        <w:t>by a count of thirty-six states against fourteen states and the District of Columbia, the states that apply no deference or a lesser form of deference outnumber the Chevron-type of deference standards by a ratio of greater than 2- to-1</w:t>
      </w:r>
      <w:r>
        <w:t xml:space="preserve">. Twenty-five states have established de novo review of agencies’ interpretations, according varying levels of weight to agency interpretations, but emphasizing courts’ independent construction of statutes. Among those are four states that adhere to a Skidmore-type rule, stressing the persuasive factors of agency interpretations, including consistency of interpretations over time and expertise. </w:t>
      </w:r>
      <w:r w:rsidRPr="008E39C1">
        <w:rPr>
          <w:u w:val="single"/>
        </w:rPr>
        <w:t xml:space="preserve">Eleven states have a </w:t>
      </w:r>
      <w:r w:rsidRPr="008E39C1">
        <w:rPr>
          <w:rStyle w:val="Emphasis"/>
        </w:rPr>
        <w:t>Hybrid standard of review</w:t>
      </w:r>
      <w:r w:rsidRPr="00397695">
        <w:rPr>
          <w:u w:val="single"/>
        </w:rPr>
        <w:t>, some with a Chevmore style doctrine,</w:t>
      </w:r>
      <w:r>
        <w:t xml:space="preserve"> and others that incorporate step zero tests or are more creative in specifying unique factors for their own standard. Fourteen states and the District of Columbia follow Chevron-type deference, either adopting the Chevron standard explicitly or applying similar analysis with the same effect.</w:t>
      </w:r>
    </w:p>
    <w:p w14:paraId="3FD667E8" w14:textId="77777777" w:rsidR="00CB3F1F" w:rsidRPr="008E39C1" w:rsidRDefault="00CB3F1F" w:rsidP="00CB3F1F">
      <w:pPr>
        <w:rPr>
          <w:u w:val="single"/>
        </w:rPr>
      </w:pPr>
      <w:r>
        <w:t xml:space="preserve">In all, some standards are clearer than others. </w:t>
      </w:r>
      <w:r w:rsidRPr="008E39C1">
        <w:rPr>
          <w:u w:val="single"/>
        </w:rPr>
        <w:t xml:space="preserve">A </w:t>
      </w:r>
      <w:r w:rsidRPr="008E39C1">
        <w:rPr>
          <w:rStyle w:val="Emphasis"/>
        </w:rPr>
        <w:t>consistent problem among the Hybrid states</w:t>
      </w:r>
      <w:r w:rsidRPr="008E39C1">
        <w:rPr>
          <w:u w:val="single"/>
        </w:rPr>
        <w:t xml:space="preserve"> is the dual application of incompatible doctrines, Chevron-type and de novo review</w:t>
      </w:r>
      <w:r>
        <w:t xml:space="preserve">. Many </w:t>
      </w:r>
      <w:r w:rsidRPr="008E39C1">
        <w:rPr>
          <w:u w:val="single"/>
        </w:rPr>
        <w:t>states have insisted on retaining multiple avenues by which to review agency interpretations.</w:t>
      </w:r>
      <w:r>
        <w:t xml:space="preserve"> One could easily argue that having a multitude of deference standards only makes courts more susceptible to deciding the issues before based on their own whim, as they can pick and choose whatever standard suits the day. To be less cynical</w:t>
      </w:r>
      <w:r w:rsidRPr="008E39C1">
        <w:rPr>
          <w:u w:val="single"/>
        </w:rPr>
        <w:t xml:space="preserve">, it is easy to see that states which apply different sets of standards, with no clear demarcation on how or when to use them, can fall into inconsistent application. </w:t>
      </w:r>
      <w:r>
        <w:t xml:space="preserve">Moreover, </w:t>
      </w:r>
      <w:r w:rsidRPr="008E39C1">
        <w:rPr>
          <w:u w:val="single"/>
        </w:rPr>
        <w:t xml:space="preserve">the use of terms such as “deference” and “weight” as synonyms has the </w:t>
      </w:r>
      <w:r w:rsidRPr="008E39C1">
        <w:rPr>
          <w:rStyle w:val="Emphasis"/>
        </w:rPr>
        <w:t>potential to confuse</w:t>
      </w:r>
      <w:r>
        <w:t xml:space="preserve">, as states like Mississippi and Virginia have observed. </w:t>
      </w:r>
      <w:r w:rsidRPr="008E39C1">
        <w:rPr>
          <w:u w:val="single"/>
        </w:rPr>
        <w:t>Much is sure to be done to clarify and refine the standards across the states.</w:t>
      </w:r>
    </w:p>
    <w:p w14:paraId="738BF167" w14:textId="4F421B49" w:rsidR="00CB3F1F" w:rsidRPr="00CB3F1F" w:rsidRDefault="00CB3F1F" w:rsidP="00CB3F1F">
      <w:r w:rsidRPr="008E39C1">
        <w:rPr>
          <w:u w:val="single"/>
        </w:rPr>
        <w:t xml:space="preserve">The lack of </w:t>
      </w:r>
      <w:r w:rsidRPr="008E39C1">
        <w:rPr>
          <w:rStyle w:val="Emphasis"/>
        </w:rPr>
        <w:t>clarity and frustration</w:t>
      </w:r>
      <w:r w:rsidRPr="008E39C1">
        <w:rPr>
          <w:u w:val="single"/>
        </w:rPr>
        <w:t xml:space="preserve"> with these doctrines in certain states has resulted in a recent upsurge in declarations of de novo review for agency interpretations of statutes</w:t>
      </w:r>
      <w:r>
        <w:t>. Four states established de novo review in 2018 alone. In the state supreme courts that choose to overturn past deference doctrines</w:t>
      </w:r>
      <w:r w:rsidRPr="008E39C1">
        <w:rPr>
          <w:u w:val="single"/>
        </w:rPr>
        <w:t>, a consistent rationale is such doctrines are discordant with the separation of powers in their respective state constitutions.</w:t>
      </w:r>
      <w:r>
        <w:t xml:space="preserve"> Not only courts, but also the legislature in Arizona and the voting public in Florida got in on the action in 2018, with each state deciding to abandon deference and apply de novo review. In the coming years, this may very well become an increasingly popular issue.</w:t>
      </w:r>
      <w:r w:rsidRPr="008E39C1">
        <w:rPr>
          <w:u w:val="single"/>
        </w:rPr>
        <w:t xml:space="preserve"> As concern about the “administrative state” grows, more states will likely </w:t>
      </w:r>
      <w:r w:rsidRPr="008E39C1">
        <w:rPr>
          <w:rStyle w:val="Emphasis"/>
        </w:rPr>
        <w:t>revisit their approaches</w:t>
      </w:r>
      <w:r w:rsidRPr="008E39C1">
        <w:rPr>
          <w:u w:val="single"/>
        </w:rPr>
        <w:t xml:space="preserve"> regarding “judicial deference” to agency interpretations of statutes.</w:t>
      </w:r>
    </w:p>
    <w:p w14:paraId="5E36002E" w14:textId="7589238B" w:rsidR="00FE7015" w:rsidRPr="00644FD1" w:rsidRDefault="00FE7015" w:rsidP="00FE7015">
      <w:pPr>
        <w:pStyle w:val="Heading3"/>
      </w:pPr>
      <w:r>
        <w:t xml:space="preserve">2AC – AT: </w:t>
      </w:r>
      <w:r w:rsidR="00D4120B">
        <w:t>PIC out of CJR</w:t>
      </w:r>
    </w:p>
    <w:p w14:paraId="09D7A4E4" w14:textId="77777777" w:rsidR="00294130" w:rsidRDefault="00294130" w:rsidP="00294130">
      <w:pPr>
        <w:pStyle w:val="Heading4"/>
      </w:pPr>
      <w:r w:rsidRPr="00B40440">
        <w:t xml:space="preserve">CJR </w:t>
      </w:r>
      <w:r w:rsidRPr="00B40440">
        <w:rPr>
          <w:u w:val="single"/>
        </w:rPr>
        <w:t>strikes the balance</w:t>
      </w:r>
      <w:r w:rsidRPr="00B40440">
        <w:t>.</w:t>
      </w:r>
    </w:p>
    <w:p w14:paraId="30DD72FB" w14:textId="77777777" w:rsidR="00294130" w:rsidRPr="0087170C" w:rsidRDefault="00294130" w:rsidP="00294130">
      <w:r w:rsidRPr="0087170C">
        <w:rPr>
          <w:rStyle w:val="Style13ptBold"/>
        </w:rPr>
        <w:t>Larkin 16</w:t>
      </w:r>
      <w:r>
        <w:t xml:space="preserve"> – Paul J. Larkin, Jr., Senior Legal Research Fellow at The Heritage Foundation, MPP from George Washington University, JD at Stanford Law School. [Chevron and Federal Criminal Law, 32 JL &amp; Pol 211, HeinOnline]//BPS</w:t>
      </w:r>
    </w:p>
    <w:p w14:paraId="3A90CAD8" w14:textId="77777777" w:rsidR="00294130" w:rsidRPr="0087170C" w:rsidRDefault="00294130" w:rsidP="00294130">
      <w:pPr>
        <w:rPr>
          <w:sz w:val="16"/>
        </w:rPr>
      </w:pPr>
      <w:r w:rsidRPr="0087170C">
        <w:rPr>
          <w:sz w:val="16"/>
        </w:rPr>
        <w:t>V. CHEVRON AND OTHER AGENCIES: THE GOVERNMENT AS REGULATOR</w:t>
      </w:r>
    </w:p>
    <w:p w14:paraId="5FC29B21" w14:textId="77777777" w:rsidR="00294130" w:rsidRPr="0087170C" w:rsidRDefault="00294130" w:rsidP="00294130">
      <w:pPr>
        <w:rPr>
          <w:sz w:val="16"/>
        </w:rPr>
      </w:pPr>
      <w:r w:rsidRPr="0087170C">
        <w:rPr>
          <w:sz w:val="16"/>
        </w:rPr>
        <w:t xml:space="preserve">The proper answer is less clear where </w:t>
      </w:r>
      <w:r w:rsidRPr="005733D3">
        <w:rPr>
          <w:rStyle w:val="StyleUnderline"/>
        </w:rPr>
        <w:t>a statute creates both civil and criminal penalties</w:t>
      </w:r>
      <w:r w:rsidRPr="0087170C">
        <w:rPr>
          <w:sz w:val="16"/>
        </w:rPr>
        <w:t xml:space="preserve">,104 as two federal circuit courts of appeals judges have recently noted.105 As noted above, Justice Thomas has written that he would not give Chevron deference to an agency's interpretation of a statute when it is an issue in a criminal case.106 </w:t>
      </w:r>
      <w:r w:rsidRPr="005733D3">
        <w:rPr>
          <w:rStyle w:val="Emphasis"/>
        </w:rPr>
        <w:t>A current majority</w:t>
      </w:r>
      <w:r w:rsidRPr="005733D3">
        <w:rPr>
          <w:rStyle w:val="StyleUnderline"/>
        </w:rPr>
        <w:t xml:space="preserve"> of the Court has </w:t>
      </w:r>
      <w:r w:rsidRPr="005733D3">
        <w:rPr>
          <w:rStyle w:val="Emphasis"/>
        </w:rPr>
        <w:t>not</w:t>
      </w:r>
      <w:r w:rsidRPr="005733D3">
        <w:rPr>
          <w:rStyle w:val="StyleUnderline"/>
        </w:rPr>
        <w:t xml:space="preserve"> resolved the issue</w:t>
      </w:r>
      <w:r w:rsidRPr="0087170C">
        <w:rPr>
          <w:sz w:val="16"/>
        </w:rPr>
        <w:t>. Were the Supreme Court to apply Chevron deference to the interpretation of criminal statutes or regulations endorsed by an agency other than the Justice Department, executive branch officials would share with Article III judges the authority "to say what the law is," a responsibility that Marbury v. Madison said falls within the charter of the federal courts.107 That result would raise many of the same concerns discussed above in Point III that are posed by affording the Justice Department Chevron deference when it interprets criminal laws.</w:t>
      </w:r>
    </w:p>
    <w:p w14:paraId="47C638F3" w14:textId="77777777" w:rsidR="00294130" w:rsidRPr="0087170C" w:rsidRDefault="00294130" w:rsidP="00294130">
      <w:pPr>
        <w:rPr>
          <w:sz w:val="16"/>
        </w:rPr>
      </w:pPr>
      <w:r w:rsidRPr="0087170C">
        <w:rPr>
          <w:sz w:val="16"/>
        </w:rPr>
        <w:t>Footnote 104 begins:</w:t>
      </w:r>
    </w:p>
    <w:p w14:paraId="1A8394B3" w14:textId="77777777" w:rsidR="00294130" w:rsidRPr="0087170C" w:rsidRDefault="00294130" w:rsidP="00294130">
      <w:pPr>
        <w:rPr>
          <w:sz w:val="16"/>
        </w:rPr>
      </w:pPr>
      <w:r w:rsidRPr="0087170C">
        <w:rPr>
          <w:sz w:val="16"/>
        </w:rPr>
        <w:t xml:space="preserve">104 In a few cases, the Supreme Court has explained that a statute with both civil and criminal applications must be strictly construed—that is, as if the interpretation adopted would be applied only in crim¬inal cases. See, e.g., Clark v. Martinez, 543 U.S. 371, 380-81 (2005); Leocal v. Ashcroft, 543 U.S. 1, 11 n.8 (2004) ("Because we must interpret the statute consistently, whether we encounter its application in a criminal or noncriminal context, the rule of lenity applies."); United States v. Thompson/Center Arms Co., 504 U.S. 505, 517-18 (1992) (plurality opinion) (applying the rule of lenity to a tax statute litigated in a civil setting, because the statute had criminal applications and therefore had to be interpreted consistently with its criminal applications); id. at 519 (Scalia, J., concurring in the judgment) (same). Whatever interpretation is appropriate for a criminal prosecution will also be applied in a civil suit. As Justice Scalia put it, "the lowest common denominator, as it were, must govern." Clark, 543 U.S. at 380 (citations omitted). In Babbitt v. Sweet Home Chapter of Communities for a Great Oregon, 515 U.S. 687 (1995), however, the Court suggested that the rule of lenity should not always apply to statutes that have both a civil and criminal application. Id. at 704 n.18 ("We have never suggested that the rule of lenity should provide the standard for reviewing facial challenges to administrative regulations whenever the govern¬ing statute authorizes criminal enforcement."). </w:t>
      </w:r>
      <w:r w:rsidRPr="005733D3">
        <w:rPr>
          <w:rStyle w:val="StyleUnderline"/>
        </w:rPr>
        <w:t>Babbitt</w:t>
      </w:r>
      <w:r w:rsidRPr="0087170C">
        <w:rPr>
          <w:sz w:val="16"/>
        </w:rPr>
        <w:t xml:space="preserve">, however, </w:t>
      </w:r>
      <w:r w:rsidRPr="005733D3">
        <w:rPr>
          <w:rStyle w:val="StyleUnderline"/>
        </w:rPr>
        <w:t xml:space="preserve">is not </w:t>
      </w:r>
      <w:r w:rsidRPr="005733D3">
        <w:rPr>
          <w:rStyle w:val="Emphasis"/>
        </w:rPr>
        <w:t>good authority</w:t>
      </w:r>
      <w:r w:rsidRPr="0087170C">
        <w:rPr>
          <w:sz w:val="16"/>
        </w:rPr>
        <w:t xml:space="preserve"> for the proposition that Chevron trumps the rule of lenity when interpreting laws with civil and criminal application. </w:t>
      </w:r>
      <w:r w:rsidRPr="005733D3">
        <w:rPr>
          <w:rStyle w:val="StyleUnderline"/>
        </w:rPr>
        <w:t>It is unlikely</w:t>
      </w:r>
      <w:r w:rsidRPr="0087170C">
        <w:rPr>
          <w:sz w:val="16"/>
        </w:rPr>
        <w:t xml:space="preserve"> that </w:t>
      </w:r>
      <w:r w:rsidRPr="005733D3">
        <w:rPr>
          <w:rStyle w:val="StyleUnderline"/>
        </w:rPr>
        <w:t>the Supreme Court meant to resolve this issue in a footnote</w:t>
      </w:r>
      <w:r w:rsidRPr="0087170C">
        <w:rPr>
          <w:sz w:val="16"/>
        </w:rPr>
        <w:t>. See Wainwright v. Witt, 469 U.S. 412, 418-22 (1985) (explaining that a footnote in the Court's decision in Witherspoon v. Illinois, 391 U.S. 510 (1968), did not state the correct standard for dismissing a member of the venire because of his views on capital punishment). Plus, the Court's post -Babbitt decisions in Leocal, Clark, Abramski, and Apel reiterated the point first made by the plurality in Thompson/Center Arms Co. that statutes with civil and criminal applications must be construed with their criminal applications in mind.</w:t>
      </w:r>
    </w:p>
    <w:p w14:paraId="44EC6960" w14:textId="77777777" w:rsidR="00294130" w:rsidRPr="0087170C" w:rsidRDefault="00294130" w:rsidP="00294130">
      <w:pPr>
        <w:rPr>
          <w:sz w:val="16"/>
        </w:rPr>
      </w:pPr>
      <w:r w:rsidRPr="0087170C">
        <w:rPr>
          <w:sz w:val="16"/>
        </w:rPr>
        <w:t>Footnote 104 ends and footnote 106 begins:</w:t>
      </w:r>
    </w:p>
    <w:p w14:paraId="3C935341" w14:textId="77777777" w:rsidR="00294130" w:rsidRPr="0087170C" w:rsidRDefault="00294130" w:rsidP="00294130">
      <w:pPr>
        <w:rPr>
          <w:sz w:val="16"/>
        </w:rPr>
      </w:pPr>
      <w:r w:rsidRPr="0087170C">
        <w:rPr>
          <w:sz w:val="16"/>
        </w:rPr>
        <w:t xml:space="preserve">106 See Whitman v. United States, 135 S. Ct. 352, 353 (2014) (opinion of </w:t>
      </w:r>
      <w:r w:rsidRPr="008D3C0A">
        <w:rPr>
          <w:rStyle w:val="StyleUnderline"/>
        </w:rPr>
        <w:t>Scalia &amp; Thomas</w:t>
      </w:r>
      <w:r w:rsidRPr="0087170C">
        <w:rPr>
          <w:sz w:val="16"/>
        </w:rPr>
        <w:t xml:space="preserve">, JJ., respecting the denial of certiorari) ("I doubt </w:t>
      </w:r>
      <w:r w:rsidRPr="008D3C0A">
        <w:rPr>
          <w:rStyle w:val="StyleUnderline"/>
        </w:rPr>
        <w:t>the Government's pretensions to deference</w:t>
      </w:r>
      <w:r w:rsidRPr="0087170C">
        <w:rPr>
          <w:sz w:val="16"/>
        </w:rPr>
        <w:t xml:space="preserve">. They </w:t>
      </w:r>
      <w:r w:rsidRPr="008D3C0A">
        <w:rPr>
          <w:rStyle w:val="StyleUnderline"/>
        </w:rPr>
        <w:t xml:space="preserve">collide with </w:t>
      </w:r>
      <w:r w:rsidRPr="008D3C0A">
        <w:rPr>
          <w:rStyle w:val="Emphasis"/>
        </w:rPr>
        <w:t>the norm</w:t>
      </w:r>
      <w:r w:rsidRPr="008D3C0A">
        <w:rPr>
          <w:rStyle w:val="StyleUnderline"/>
        </w:rPr>
        <w:t xml:space="preserve"> that </w:t>
      </w:r>
      <w:r w:rsidRPr="008D3C0A">
        <w:rPr>
          <w:rStyle w:val="Emphasis"/>
        </w:rPr>
        <w:t>legislatures, not executive officers</w:t>
      </w:r>
      <w:r w:rsidRPr="008D3C0A">
        <w:rPr>
          <w:rStyle w:val="StyleUnderline"/>
        </w:rPr>
        <w:t>, define crimes</w:t>
      </w:r>
      <w:r w:rsidRPr="0087170C">
        <w:rPr>
          <w:sz w:val="16"/>
        </w:rPr>
        <w:t xml:space="preserve">. When King James I tried to create new crimes by royal command, the judges responded that 'the King cannot create any offence by his prohibition or proclamation, which was not an offence before.' . . . </w:t>
      </w:r>
      <w:r w:rsidRPr="008D3C0A">
        <w:rPr>
          <w:rStyle w:val="Emphasis"/>
        </w:rPr>
        <w:t>James I</w:t>
      </w:r>
      <w:r w:rsidRPr="0087170C">
        <w:rPr>
          <w:sz w:val="16"/>
        </w:rPr>
        <w:t xml:space="preserve">, however, </w:t>
      </w:r>
      <w:r w:rsidRPr="008D3C0A">
        <w:rPr>
          <w:rStyle w:val="StyleUnderline"/>
        </w:rPr>
        <w:t xml:space="preserve">did not have the benefit of </w:t>
      </w:r>
      <w:r w:rsidRPr="008D3C0A">
        <w:rPr>
          <w:rStyle w:val="Emphasis"/>
        </w:rPr>
        <w:t>Chevron deference</w:t>
      </w:r>
      <w:r w:rsidRPr="008D3C0A">
        <w:rPr>
          <w:rStyle w:val="StyleUnderline"/>
        </w:rPr>
        <w:t>. . . . With deference to agency interpretations of</w:t>
      </w:r>
      <w:r w:rsidRPr="0087170C">
        <w:rPr>
          <w:sz w:val="16"/>
        </w:rPr>
        <w:t xml:space="preserve"> statutory provisions to which </w:t>
      </w:r>
      <w:r w:rsidRPr="008D3C0A">
        <w:rPr>
          <w:rStyle w:val="StyleUnderline"/>
        </w:rPr>
        <w:t>criminal prohibitions are attached, federal administrators can</w:t>
      </w:r>
      <w:r w:rsidRPr="0087170C">
        <w:rPr>
          <w:sz w:val="16"/>
        </w:rPr>
        <w:t xml:space="preserve"> in effect </w:t>
      </w:r>
      <w:r w:rsidRPr="008D3C0A">
        <w:rPr>
          <w:rStyle w:val="Emphasis"/>
        </w:rPr>
        <w:t>create (and uncreate) new crimes at will</w:t>
      </w:r>
      <w:r w:rsidRPr="0087170C">
        <w:rPr>
          <w:sz w:val="16"/>
        </w:rPr>
        <w:t xml:space="preserve">, so long as they do not roam beyond ambiguities that the laws contain. Undoubtedly Congress may make it a crime to violate a regulation, . . . , but it is quite a different matter for Congress to give agencies—let alone for us to presume that Congress gave agencies—power to resolve ambiguities in criminal legislation”] ... [10 </w:t>
      </w:r>
      <w:r w:rsidRPr="008D3C0A">
        <w:rPr>
          <w:rStyle w:val="StyleUnderline"/>
        </w:rPr>
        <w:t>The Government's theory</w:t>
      </w:r>
      <w:r w:rsidRPr="0087170C">
        <w:rPr>
          <w:sz w:val="16"/>
        </w:rPr>
        <w:t xml:space="preserve"> that was accepted here </w:t>
      </w:r>
      <w:r w:rsidRPr="008D3C0A">
        <w:rPr>
          <w:rStyle w:val="StyleUnderline"/>
        </w:rPr>
        <w:t>would</w:t>
      </w:r>
      <w:r w:rsidRPr="0087170C">
        <w:rPr>
          <w:sz w:val="16"/>
        </w:rPr>
        <w:t xml:space="preserve">, in addition, </w:t>
      </w:r>
      <w:r w:rsidRPr="008D3C0A">
        <w:rPr>
          <w:rStyle w:val="Emphasis"/>
        </w:rPr>
        <w:t>upend</w:t>
      </w:r>
      <w:r w:rsidRPr="008D3C0A">
        <w:rPr>
          <w:rStyle w:val="StyleUnderline"/>
        </w:rPr>
        <w:t xml:space="preserve"> ordinary principles of interpretation</w:t>
      </w:r>
      <w:r w:rsidRPr="0087170C">
        <w:rPr>
          <w:sz w:val="16"/>
        </w:rPr>
        <w:t xml:space="preserve">. The rule of lenity requires interpreters to resolve ambiguity in criminal laws in favor of defendants. </w:t>
      </w:r>
      <w:r w:rsidRPr="008D3C0A">
        <w:rPr>
          <w:rStyle w:val="StyleUnderline"/>
        </w:rPr>
        <w:t xml:space="preserve">Deferring to </w:t>
      </w:r>
      <w:r w:rsidRPr="008D3C0A">
        <w:rPr>
          <w:rStyle w:val="Emphasis"/>
        </w:rPr>
        <w:t xml:space="preserve">the prosecuting branch's expansive </w:t>
      </w:r>
      <w:r w:rsidRPr="00733167">
        <w:rPr>
          <w:rStyle w:val="Emphasis"/>
        </w:rPr>
        <w:t>views</w:t>
      </w:r>
      <w:r w:rsidRPr="008D3C0A">
        <w:rPr>
          <w:rStyle w:val="StyleUnderline"/>
        </w:rPr>
        <w:t xml:space="preserve"> of these statutes 'would turn [their] normal construction ... </w:t>
      </w:r>
      <w:r w:rsidRPr="008D3C0A">
        <w:rPr>
          <w:rStyle w:val="Emphasis"/>
        </w:rPr>
        <w:t>upside-down</w:t>
      </w:r>
      <w:r w:rsidRPr="0087170C">
        <w:rPr>
          <w:sz w:val="16"/>
        </w:rPr>
        <w:t>, replacing the doctrine of lenity with a doctrine of severity.'") (citations omitted). Interestingly, the newest member of the Court, Justice Neil Gorsuch, wrote while a court of appeals judge that he would overrule Chevron altogether. See Gutierrez- Brizuela, 834 F.3d at 1149-58 (Gorsuch, J., concurring).</w:t>
      </w:r>
    </w:p>
    <w:p w14:paraId="7AEDB41C" w14:textId="77777777" w:rsidR="00294130" w:rsidRPr="0087170C" w:rsidRDefault="00294130" w:rsidP="00294130">
      <w:pPr>
        <w:rPr>
          <w:sz w:val="16"/>
        </w:rPr>
      </w:pPr>
      <w:r w:rsidRPr="0087170C">
        <w:rPr>
          <w:sz w:val="16"/>
        </w:rPr>
        <w:t>The article continues:</w:t>
      </w:r>
    </w:p>
    <w:p w14:paraId="0C238BAA" w14:textId="77777777" w:rsidR="00294130" w:rsidRPr="0087170C" w:rsidRDefault="00294130" w:rsidP="00294130">
      <w:pPr>
        <w:rPr>
          <w:sz w:val="16"/>
        </w:rPr>
      </w:pPr>
      <w:r w:rsidRPr="0087170C">
        <w:rPr>
          <w:sz w:val="16"/>
        </w:rPr>
        <w:t xml:space="preserve">The Justice Department is unique in that its principal responsibility is to represent the federal government in court. Most agencies are responsible for implementing a congressional program regulating one or more activities undertaken outside of court, such as protecting highway safety, disbursing federal health care funds or educational loans, protecting the environment, regulating the distribution of pharmaceuticals, and so forth. To help agencies accomplish their mission, Congress gives them broad authority to promulgate regulations defining terms in the authorizing statutes (for example, "waste" vs. "recyclable" materials). To ensure compliance, Congress gives the agency administrative or civil enforcement authority. On occasion, Congress may even create a criminal investigation division within the agency, staffed by career federal law enforcement officers.108 So </w:t>
      </w:r>
      <w:r w:rsidRPr="008607B0">
        <w:rPr>
          <w:rStyle w:val="StyleUnderline"/>
        </w:rPr>
        <w:t xml:space="preserve">the question arises whether those agencies should receive </w:t>
      </w:r>
      <w:r w:rsidRPr="008607B0">
        <w:rPr>
          <w:rStyle w:val="Emphasis"/>
        </w:rPr>
        <w:t>Chevron deference</w:t>
      </w:r>
      <w:r w:rsidRPr="008607B0">
        <w:rPr>
          <w:rStyle w:val="StyleUnderline"/>
        </w:rPr>
        <w:t xml:space="preserve"> when they interpret </w:t>
      </w:r>
      <w:r w:rsidRPr="008607B0">
        <w:rPr>
          <w:rStyle w:val="Emphasis"/>
        </w:rPr>
        <w:t>an ambiguous act</w:t>
      </w:r>
      <w:r w:rsidRPr="008607B0">
        <w:rPr>
          <w:rStyle w:val="StyleUnderline"/>
        </w:rPr>
        <w:t xml:space="preserve"> of Congress even though it is </w:t>
      </w:r>
      <w:r w:rsidRPr="008607B0">
        <w:rPr>
          <w:rStyle w:val="Emphasis"/>
        </w:rPr>
        <w:t>quite clear</w:t>
      </w:r>
      <w:r w:rsidRPr="0087170C">
        <w:rPr>
          <w:sz w:val="16"/>
        </w:rPr>
        <w:t xml:space="preserve"> that </w:t>
      </w:r>
      <w:r w:rsidRPr="008607B0">
        <w:rPr>
          <w:rStyle w:val="StyleUnderline"/>
        </w:rPr>
        <w:t xml:space="preserve">the statute can be enforced </w:t>
      </w:r>
      <w:r w:rsidRPr="008607B0">
        <w:rPr>
          <w:rStyle w:val="Emphasis"/>
        </w:rPr>
        <w:t>criminally</w:t>
      </w:r>
      <w:r w:rsidRPr="0087170C">
        <w:rPr>
          <w:sz w:val="16"/>
        </w:rPr>
        <w:t>.</w:t>
      </w:r>
    </w:p>
    <w:p w14:paraId="4AB1A50A" w14:textId="77777777" w:rsidR="00294130" w:rsidRPr="0087170C" w:rsidRDefault="00294130" w:rsidP="00294130">
      <w:pPr>
        <w:rPr>
          <w:sz w:val="16"/>
        </w:rPr>
      </w:pPr>
      <w:r w:rsidRPr="0087170C">
        <w:rPr>
          <w:sz w:val="16"/>
        </w:rPr>
        <w:t>This question is a more difficult one than those discussed in Parts III and IV. Since the advent of the modern administrative state during the New Deal, Congress has largely responded to systemic problems in the economy whatever concern the public may have. Empowering an agency to promulgate regulations necessary to implement a social welfare program may have seemed novel in the 1930s, but today it partakes of the "Dog Bites Man" headline—it's nothing new. Unless American society is willing to reexamine the legitimacy of the modern administrative state and to prune agencies of their authority to implement acts of Congress, federal agencies will be closely involved in the implementation of federal programs if for no other reason than that Congress cannot or will not do the job by itself; only executive branch officials can "take Care that the Laws [will] be faithfully executed."109 The same is true of agencies' law-making power. Unless Congress is willing to decide for itself through legislation what ever-changing list of pharmaceuticals are "controlled substances," what types of software should be subject to export licenses, and what industrial waste chemicals are "hazardous," agencies will have the task of making those d eterminations on a case-by-case basis or via generic rulemaking.110</w:t>
      </w:r>
    </w:p>
    <w:p w14:paraId="1C1557E3" w14:textId="77777777" w:rsidR="00294130" w:rsidRPr="0087170C" w:rsidRDefault="00294130" w:rsidP="00294130">
      <w:pPr>
        <w:rPr>
          <w:sz w:val="16"/>
        </w:rPr>
      </w:pPr>
      <w:r w:rsidRPr="0087170C">
        <w:rPr>
          <w:sz w:val="16"/>
        </w:rPr>
        <w:t>Congress often delegates lawmaking authority to a federal agency because its personnel are experts in a particular field (for example, pharmacol¬ogy and hazardous waste disposal for the Food and Drug Administration and Environmental Protection Agency, respectively). Many of the agency's reg¬ulations may simply amount to the application of a scientific standard incor¬porated into law (for example, "safe and effective" or "hazardous") to a par¬ticular substance (for example, a new chemotherapy drug or a new solvent) in a manner that requires only resort to scientific or technical expertise and does not involve fundamental policy questions (for example, should the "safe and effective" review standard apply to new drugs that can be used for palliative care for the terminally ill, or should the armed forces be exempt from the laws dealing with the proper disposal of hazardous waste). Fact¬finding undertakings like those do not involve the type of moral judgments that underlie criminal statutes because Congress has already made the moral judgments that drugs must be proven safe and effective to be distributed na¬tionwide and that the proper disposal of hazardous waste is necessary to pro¬tect (inter alia) the integrity of the nation's lakes, rivers, and aquifers. Be-cause Congress has turned to scientific experts in the same way that we turn to physicians for their opinion, it makes sense to pay attention to what they say. This chemotherapy drug might work; that one won't. This solvent will break down into harmless chemicals over a year; that one won't for a mil¬lennium. And so forth.</w:t>
      </w:r>
    </w:p>
    <w:p w14:paraId="79D95E7A" w14:textId="77777777" w:rsidR="00294130" w:rsidRPr="0087170C" w:rsidRDefault="00294130" w:rsidP="00294130">
      <w:pPr>
        <w:rPr>
          <w:sz w:val="16"/>
        </w:rPr>
      </w:pPr>
      <w:r w:rsidRPr="0087170C">
        <w:rPr>
          <w:sz w:val="16"/>
        </w:rPr>
        <w:t xml:space="preserve">But that is not the rationale underlying Chevron. Chevron did not conclude that law-interpreting requires the type of scientific knowledge that ad¬ministrative officials have in spades. Chevron rested on the principle that Congress presumably granted executive branch officials law-making and law-interpreting authority because they are responsible to the president, who is elected by the people and can be replaced by them, whereas judges with life tenure are responsible to no one but a higher court and cannot be replaced as long as they avoid committing felonies and remain compos mentis.111 </w:t>
      </w:r>
      <w:r w:rsidRPr="006615EC">
        <w:rPr>
          <w:rStyle w:val="Emphasis"/>
        </w:rPr>
        <w:t>The criminal law</w:t>
      </w:r>
      <w:r w:rsidRPr="006615EC">
        <w:rPr>
          <w:rStyle w:val="StyleUnderline"/>
        </w:rPr>
        <w:t xml:space="preserve"> reflects underlying </w:t>
      </w:r>
      <w:r w:rsidRPr="006615EC">
        <w:rPr>
          <w:rStyle w:val="Emphasis"/>
        </w:rPr>
        <w:t>moral judgments</w:t>
      </w:r>
      <w:r w:rsidRPr="006615EC">
        <w:rPr>
          <w:rStyle w:val="StyleUnderline"/>
        </w:rPr>
        <w:t xml:space="preserve"> that it is </w:t>
      </w:r>
      <w:r w:rsidRPr="006615EC">
        <w:rPr>
          <w:rStyle w:val="Emphasis"/>
        </w:rPr>
        <w:t>the responsibility</w:t>
      </w:r>
      <w:r w:rsidRPr="006615EC">
        <w:rPr>
          <w:rStyle w:val="StyleUnderline"/>
        </w:rPr>
        <w:t xml:space="preserve"> of the people to make in a democracy. Agencies lack expertise in making</w:t>
      </w:r>
      <w:r w:rsidRPr="0087170C">
        <w:rPr>
          <w:sz w:val="16"/>
        </w:rPr>
        <w:t xml:space="preserve"> these </w:t>
      </w:r>
      <w:r w:rsidRPr="006615EC">
        <w:rPr>
          <w:rStyle w:val="Emphasis"/>
        </w:rPr>
        <w:t>moral judgments</w:t>
      </w:r>
      <w:r w:rsidRPr="0087170C">
        <w:rPr>
          <w:sz w:val="16"/>
        </w:rPr>
        <w:t xml:space="preserve">; their </w:t>
      </w:r>
      <w:r w:rsidRPr="006615EC">
        <w:rPr>
          <w:rStyle w:val="StyleUnderline"/>
        </w:rPr>
        <w:t xml:space="preserve">skills lie </w:t>
      </w:r>
      <w:r w:rsidRPr="006615EC">
        <w:rPr>
          <w:rStyle w:val="Emphasis"/>
        </w:rPr>
        <w:t>elsewhere</w:t>
      </w:r>
      <w:r w:rsidRPr="0087170C">
        <w:rPr>
          <w:sz w:val="16"/>
        </w:rPr>
        <w:t xml:space="preserve">. In fact, </w:t>
      </w:r>
      <w:r w:rsidRPr="006615EC">
        <w:rPr>
          <w:rStyle w:val="Emphasis"/>
        </w:rPr>
        <w:t>a recent study</w:t>
      </w:r>
      <w:r w:rsidRPr="0087170C">
        <w:rPr>
          <w:sz w:val="16"/>
        </w:rPr>
        <w:t xml:space="preserve">112 </w:t>
      </w:r>
      <w:r w:rsidRPr="006615EC">
        <w:rPr>
          <w:rStyle w:val="StyleUnderline"/>
        </w:rPr>
        <w:t>concluded</w:t>
      </w:r>
      <w:r w:rsidRPr="0087170C">
        <w:rPr>
          <w:sz w:val="16"/>
        </w:rPr>
        <w:t xml:space="preserve"> that </w:t>
      </w:r>
      <w:r w:rsidRPr="006615EC">
        <w:rPr>
          <w:rStyle w:val="StyleUnderline"/>
        </w:rPr>
        <w:t xml:space="preserve">there is </w:t>
      </w:r>
      <w:r w:rsidRPr="006615EC">
        <w:rPr>
          <w:rStyle w:val="Emphasis"/>
        </w:rPr>
        <w:t>a serious disconnect</w:t>
      </w:r>
      <w:r w:rsidRPr="006615EC">
        <w:rPr>
          <w:rStyle w:val="StyleUnderline"/>
        </w:rPr>
        <w:t xml:space="preserve"> between the positions of the officials who work at federal agencies and the</w:t>
      </w:r>
      <w:r w:rsidRPr="0087170C">
        <w:rPr>
          <w:sz w:val="16"/>
        </w:rPr>
        <w:t xml:space="preserve"> views of the </w:t>
      </w:r>
      <w:r w:rsidRPr="006615EC">
        <w:rPr>
          <w:rStyle w:val="StyleUnderline"/>
        </w:rPr>
        <w:t>people whom those officials are responsible for serving</w:t>
      </w:r>
      <w:r w:rsidRPr="0087170C">
        <w:rPr>
          <w:sz w:val="16"/>
        </w:rPr>
        <w:t>, with government officials largely holding a condescending view towards the public."3 The rationale of Chevron therefore does not support giving deference in a criminal prosecution to an agency's policy-laden interpretation of a statute.</w:t>
      </w:r>
    </w:p>
    <w:p w14:paraId="230A654F" w14:textId="77777777" w:rsidR="00294130" w:rsidRPr="0087170C" w:rsidRDefault="00294130" w:rsidP="00294130">
      <w:pPr>
        <w:rPr>
          <w:sz w:val="16"/>
        </w:rPr>
      </w:pPr>
      <w:r w:rsidRPr="0087170C">
        <w:rPr>
          <w:sz w:val="16"/>
        </w:rPr>
        <w:t>Does that mean that an agency's interpretation of a criminal law is irrelevant? No. An agency, particularly the Justice Department, has experience in how a particular statute works even if that law imposes criminal penalties. The agency's position therefore may be quite illuminating. But the relevant standard is the one articulated in Skidmore v. Swift &amp; Co.,114 not Chevron. That standard considers whether an agency's interpretation is persuasive, but gives the courts the ultimate say on the matter.115 "A persuasive agency position would carry the same weight as an opinion by Arthur Corbin on contract law, Herbert Hovenkamp on antitrust law, William Prosser on tort law, David Shapiro on federal jurisdiction, Herbert Wechsler on criminal law, or Charles Allen Wright on federal civil procedure.""6 Those figures are widely recognized and highly regarded legal experts, and the legal com¬munity, including the courts, seek and value their opinions. The difference is that, under Skidmore, the courts get the final say whether their opinion or an agency's is right.117</w:t>
      </w:r>
    </w:p>
    <w:p w14:paraId="60DD4C42" w14:textId="77777777" w:rsidR="00294130" w:rsidRPr="0087170C" w:rsidRDefault="00294130" w:rsidP="00294130">
      <w:pPr>
        <w:rPr>
          <w:sz w:val="16"/>
        </w:rPr>
      </w:pPr>
      <w:r w:rsidRPr="0087170C">
        <w:rPr>
          <w:sz w:val="16"/>
        </w:rPr>
        <w:t>Does that mean an agency cannot promulgate regulations the violation of which can be enforced in a criminal prosecution? No. Some statutory schemes direct federal agencies to identify specific widgets that cannot be distributed in interstate commerce (for example, unapproved "new drugs") or that cannot be dumped into the water, air, or ground (for example, "hazardous wastes"). Congress should be free to draw on an agency's scientific, technical, fact-finding or law-applying expertise without having to identify by itself every specific widget that can be enforced through the criminal law. But finding facts and applying a legal standard to the facts so found is quite different from deciding in the first instance whether pharmaceuticals or hazardous wastes should be regulated through the criminal law. The former does not involve the delegation concerns that militate against allowing reg¬ulatory agencies to decide whether and for how long someone can land in prison. Only Congress should have the power to make those judgments.118</w:t>
      </w:r>
    </w:p>
    <w:p w14:paraId="24C36189" w14:textId="77777777" w:rsidR="00294130" w:rsidRPr="0087170C" w:rsidRDefault="00294130" w:rsidP="00294130">
      <w:pPr>
        <w:rPr>
          <w:sz w:val="16"/>
        </w:rPr>
      </w:pPr>
      <w:r w:rsidRPr="0087170C">
        <w:rPr>
          <w:sz w:val="16"/>
        </w:rPr>
        <w:t>CONCLUSION</w:t>
      </w:r>
    </w:p>
    <w:p w14:paraId="76818B46" w14:textId="77777777" w:rsidR="00294130" w:rsidRPr="0087170C" w:rsidRDefault="00294130" w:rsidP="00294130">
      <w:pPr>
        <w:rPr>
          <w:sz w:val="16"/>
        </w:rPr>
      </w:pPr>
      <w:r w:rsidRPr="0087170C">
        <w:rPr>
          <w:sz w:val="16"/>
        </w:rPr>
        <w:t xml:space="preserve">Chevron launched a new approach to statutory interpretation in the post- New Deal administrative state based on the dubious presumption that, where it leaves ambiguity in a statute, Congress intended to delegate law-interpret¬ing power to the federal agency charged with administering that act. That rule has come under attack on a variety of fronts, not the least of which is that it jettisons one of the oldest propositions in American legal history— that it is the duty of the courts to construe a law. </w:t>
      </w:r>
      <w:r w:rsidRPr="0087170C">
        <w:rPr>
          <w:rStyle w:val="StyleUnderline"/>
        </w:rPr>
        <w:t xml:space="preserve">Whatever the outcome of the challenges to the Chevron deference rule, it makes </w:t>
      </w:r>
      <w:r w:rsidRPr="0087170C">
        <w:rPr>
          <w:rStyle w:val="Emphasis"/>
        </w:rPr>
        <w:t>no sense</w:t>
      </w:r>
      <w:r w:rsidRPr="0087170C">
        <w:rPr>
          <w:rStyle w:val="StyleUnderline"/>
        </w:rPr>
        <w:t xml:space="preserve"> to apply that rule to </w:t>
      </w:r>
      <w:r w:rsidRPr="0087170C">
        <w:rPr>
          <w:rStyle w:val="Emphasis"/>
        </w:rPr>
        <w:t>the Justice Department's interpretation</w:t>
      </w:r>
      <w:r w:rsidRPr="0087170C">
        <w:rPr>
          <w:rStyle w:val="StyleUnderline"/>
        </w:rPr>
        <w:t xml:space="preserve"> of a criminal law or to an agency's </w:t>
      </w:r>
      <w:r w:rsidRPr="0087170C">
        <w:rPr>
          <w:rStyle w:val="Emphasis"/>
        </w:rPr>
        <w:t>non-scientific</w:t>
      </w:r>
      <w:r w:rsidRPr="0087170C">
        <w:rPr>
          <w:rStyle w:val="StyleUnderline"/>
        </w:rPr>
        <w:t xml:space="preserve">, </w:t>
      </w:r>
      <w:r w:rsidRPr="0087170C">
        <w:rPr>
          <w:rStyle w:val="Emphasis"/>
        </w:rPr>
        <w:t>non-technical</w:t>
      </w:r>
      <w:r w:rsidRPr="0087170C">
        <w:rPr>
          <w:rStyle w:val="StyleUnderline"/>
        </w:rPr>
        <w:t xml:space="preserve">, </w:t>
      </w:r>
      <w:r w:rsidRPr="0087170C">
        <w:rPr>
          <w:rStyle w:val="Emphasis"/>
        </w:rPr>
        <w:t>policy-laden judgment</w:t>
      </w:r>
      <w:r w:rsidRPr="0087170C">
        <w:rPr>
          <w:rStyle w:val="StyleUnderline"/>
        </w:rPr>
        <w:t xml:space="preserve"> regarding what conduct should be made a crime</w:t>
      </w:r>
      <w:r w:rsidRPr="0087170C">
        <w:rPr>
          <w:sz w:val="16"/>
        </w:rPr>
        <w:t>.</w:t>
      </w:r>
    </w:p>
    <w:p w14:paraId="7791E295" w14:textId="0CBE3DBB" w:rsidR="00EA1317" w:rsidRPr="00EA1317" w:rsidRDefault="00EA1317" w:rsidP="003242AF">
      <w:pPr>
        <w:pStyle w:val="Heading2"/>
      </w:pPr>
      <w:r>
        <w:t>Chevron DA</w:t>
      </w:r>
    </w:p>
    <w:p w14:paraId="77B9DF0F" w14:textId="57399E3F" w:rsidR="003242AF" w:rsidRDefault="003242AF" w:rsidP="0024151A">
      <w:pPr>
        <w:pStyle w:val="Heading3"/>
      </w:pPr>
      <w:r>
        <w:t xml:space="preserve">2AC – </w:t>
      </w:r>
      <w:r w:rsidR="00D10287">
        <w:t xml:space="preserve">UQ – </w:t>
      </w:r>
      <w:r>
        <w:t>AT</w:t>
      </w:r>
      <w:r w:rsidR="00D10287">
        <w:t>:</w:t>
      </w:r>
      <w:r w:rsidR="00C72E89">
        <w:t xml:space="preserve"> Qualitative</w:t>
      </w:r>
    </w:p>
    <w:p w14:paraId="78093D33" w14:textId="2455DAF9" w:rsidR="003242AF" w:rsidRPr="003242AF" w:rsidRDefault="003242AF" w:rsidP="003242AF">
      <w:pPr>
        <w:pStyle w:val="Heading4"/>
        <w:rPr>
          <w:szCs w:val="26"/>
        </w:rPr>
      </w:pPr>
      <w:r>
        <w:rPr>
          <w:i/>
          <w:iCs w:val="0"/>
          <w:szCs w:val="26"/>
        </w:rPr>
        <w:t>Chevron</w:t>
      </w:r>
      <w:r>
        <w:rPr>
          <w:szCs w:val="26"/>
        </w:rPr>
        <w:t>’s getting eviscerated now.</w:t>
      </w:r>
    </w:p>
    <w:p w14:paraId="157DCFAE" w14:textId="77777777" w:rsidR="003242AF" w:rsidRPr="00684BF3" w:rsidRDefault="003242AF" w:rsidP="003242AF">
      <w:r w:rsidRPr="00C80CAB">
        <w:rPr>
          <w:rStyle w:val="Heading4Char"/>
          <w:szCs w:val="26"/>
        </w:rPr>
        <w:t>Matz 18</w:t>
      </w:r>
      <w:r w:rsidRPr="00684BF3">
        <w:t xml:space="preserve"> – (Joshua Matz, specialist in the constitution; “The Imminent Demise of Chevron Deference?”; Take Care; D.A. June 28</w:t>
      </w:r>
      <w:r w:rsidRPr="00684BF3">
        <w:rPr>
          <w:vertAlign w:val="superscript"/>
        </w:rPr>
        <w:t>th</w:t>
      </w:r>
      <w:r w:rsidRPr="00684BF3">
        <w:t xml:space="preserve"> 2020, [Published June 21</w:t>
      </w:r>
      <w:r w:rsidRPr="00684BF3">
        <w:rPr>
          <w:vertAlign w:val="superscript"/>
        </w:rPr>
        <w:t>st</w:t>
      </w:r>
      <w:r w:rsidRPr="00684BF3">
        <w:t xml:space="preserve"> 2018]; </w:t>
      </w:r>
      <w:hyperlink r:id="rId142" w:history="1">
        <w:r w:rsidRPr="00684BF3">
          <w:rPr>
            <w:rStyle w:val="Hyperlink"/>
          </w:rPr>
          <w:t>https://takecareblog.com/blog/the-imminent-demise-of-chevron-deference</w:t>
        </w:r>
      </w:hyperlink>
      <w:r w:rsidRPr="00684BF3">
        <w:t>) //LFS—JCM [NOTE—an ‘n’ has been added to the end of ‘provisio’ because I believe ‘provisio’ to be a typo and corrected ‘opinon’ to ‘opinion’, change denoted by brackets]</w:t>
      </w:r>
    </w:p>
    <w:p w14:paraId="16950D52" w14:textId="77777777" w:rsidR="003242AF" w:rsidRPr="00684BF3" w:rsidRDefault="003242AF" w:rsidP="003242AF">
      <w:pPr>
        <w:rPr>
          <w:sz w:val="16"/>
        </w:rPr>
      </w:pPr>
      <w:r w:rsidRPr="00684BF3">
        <w:t>[TITLE]:</w:t>
      </w:r>
      <w:r w:rsidRPr="00684BF3">
        <w:rPr>
          <w:sz w:val="16"/>
        </w:rPr>
        <w:t xml:space="preserve"> </w:t>
      </w:r>
      <w:r w:rsidRPr="00684BF3">
        <w:rPr>
          <w:rStyle w:val="StyleUnderline"/>
        </w:rPr>
        <w:t>The</w:t>
      </w:r>
      <w:r w:rsidRPr="00684BF3">
        <w:rPr>
          <w:sz w:val="16"/>
        </w:rPr>
        <w:t xml:space="preserve"> </w:t>
      </w:r>
      <w:r w:rsidRPr="00684BF3">
        <w:rPr>
          <w:rStyle w:val="Emphasis"/>
        </w:rPr>
        <w:t>Imminent Demise</w:t>
      </w:r>
      <w:r w:rsidRPr="00684BF3">
        <w:rPr>
          <w:rStyle w:val="StyleUnderline"/>
        </w:rPr>
        <w:t xml:space="preserve"> of </w:t>
      </w:r>
      <w:r w:rsidRPr="00684BF3">
        <w:rPr>
          <w:rStyle w:val="Emphasis"/>
        </w:rPr>
        <w:t>Chevron</w:t>
      </w:r>
      <w:r w:rsidRPr="00684BF3">
        <w:rPr>
          <w:sz w:val="16"/>
        </w:rPr>
        <w:t xml:space="preserve"> Deference?</w:t>
      </w:r>
    </w:p>
    <w:p w14:paraId="6F2CC4B9" w14:textId="77777777" w:rsidR="003242AF" w:rsidRPr="00684BF3" w:rsidRDefault="003242AF" w:rsidP="003242AF">
      <w:pPr>
        <w:rPr>
          <w:sz w:val="16"/>
        </w:rPr>
      </w:pPr>
      <w:r w:rsidRPr="00684BF3">
        <w:rPr>
          <w:rStyle w:val="StyleUnderline"/>
        </w:rPr>
        <w:t>Chevron</w:t>
      </w:r>
      <w:r w:rsidRPr="00684BF3">
        <w:rPr>
          <w:sz w:val="16"/>
        </w:rPr>
        <w:t xml:space="preserve"> has </w:t>
      </w:r>
      <w:r w:rsidRPr="00684BF3">
        <w:rPr>
          <w:rStyle w:val="StyleUnderline"/>
        </w:rPr>
        <w:t xml:space="preserve">long </w:t>
      </w:r>
      <w:r w:rsidRPr="00684BF3">
        <w:rPr>
          <w:rStyle w:val="Emphasis"/>
        </w:rPr>
        <w:t>been contested</w:t>
      </w:r>
      <w:r w:rsidRPr="00684BF3">
        <w:rPr>
          <w:sz w:val="16"/>
        </w:rPr>
        <w:t>. Over time, courts have elaborated a complex series of rules governing when, where, and how it applies. Scholars, in turn, have argued over how many steps there are to Chevron analysis and whether it works properly. I won’t recount the many battles over Chevron’s justifications, history, and practical consequences, but rest assured there are hundreds of articles on the subject.</w:t>
      </w:r>
    </w:p>
    <w:p w14:paraId="2383E76B" w14:textId="77777777" w:rsidR="003242AF" w:rsidRPr="00684BF3" w:rsidRDefault="003242AF" w:rsidP="003242AF">
      <w:pPr>
        <w:rPr>
          <w:sz w:val="16"/>
        </w:rPr>
      </w:pPr>
      <w:r w:rsidRPr="00684BF3">
        <w:rPr>
          <w:sz w:val="16"/>
        </w:rPr>
        <w:t xml:space="preserve">In recent years, </w:t>
      </w:r>
      <w:r w:rsidRPr="00684BF3">
        <w:rPr>
          <w:rStyle w:val="Emphasis"/>
        </w:rPr>
        <w:t>conservative judges</w:t>
      </w:r>
      <w:r w:rsidRPr="00684BF3">
        <w:rPr>
          <w:rStyle w:val="StyleUnderline"/>
        </w:rPr>
        <w:t xml:space="preserve"> and Justices have </w:t>
      </w:r>
      <w:r w:rsidRPr="00684BF3">
        <w:rPr>
          <w:rStyle w:val="Emphasis"/>
        </w:rPr>
        <w:t>opened fire</w:t>
      </w:r>
      <w:r w:rsidRPr="00684BF3">
        <w:rPr>
          <w:rStyle w:val="StyleUnderline"/>
        </w:rPr>
        <w:t xml:space="preserve"> on Chevron</w:t>
      </w:r>
      <w:r w:rsidRPr="00684BF3">
        <w:rPr>
          <w:sz w:val="16"/>
        </w:rPr>
        <w:t xml:space="preserve">. Invoking an </w:t>
      </w:r>
      <w:r w:rsidRPr="00684BF3">
        <w:rPr>
          <w:rStyle w:val="StyleUnderline"/>
        </w:rPr>
        <w:t xml:space="preserve">exceptionally </w:t>
      </w:r>
      <w:r w:rsidRPr="00684BF3">
        <w:rPr>
          <w:rStyle w:val="Emphasis"/>
        </w:rPr>
        <w:t>aggressive view of</w:t>
      </w:r>
      <w:r w:rsidRPr="00684BF3">
        <w:rPr>
          <w:rStyle w:val="StyleUnderline"/>
        </w:rPr>
        <w:t xml:space="preserve"> the </w:t>
      </w:r>
      <w:r w:rsidRPr="00684BF3">
        <w:rPr>
          <w:rStyle w:val="Emphasis"/>
        </w:rPr>
        <w:t>s</w:t>
      </w:r>
      <w:r w:rsidRPr="00684BF3">
        <w:rPr>
          <w:rStyle w:val="StyleUnderline"/>
        </w:rPr>
        <w:t xml:space="preserve">eparation </w:t>
      </w:r>
      <w:r w:rsidRPr="00684BF3">
        <w:rPr>
          <w:rStyle w:val="Emphasis"/>
        </w:rPr>
        <w:t>o</w:t>
      </w:r>
      <w:r w:rsidRPr="00684BF3">
        <w:rPr>
          <w:rStyle w:val="StyleUnderline"/>
        </w:rPr>
        <w:t xml:space="preserve">f </w:t>
      </w:r>
      <w:r w:rsidRPr="00684BF3">
        <w:rPr>
          <w:rStyle w:val="Emphasis"/>
        </w:rPr>
        <w:t>p</w:t>
      </w:r>
      <w:r w:rsidRPr="00684BF3">
        <w:rPr>
          <w:rStyle w:val="StyleUnderline"/>
        </w:rPr>
        <w:t>owers</w:t>
      </w:r>
      <w:r w:rsidRPr="00684BF3">
        <w:rPr>
          <w:sz w:val="16"/>
        </w:rPr>
        <w:t xml:space="preserve">, and </w:t>
      </w:r>
      <w:r w:rsidRPr="00684BF3">
        <w:rPr>
          <w:rStyle w:val="Emphasis"/>
        </w:rPr>
        <w:t>decrying</w:t>
      </w:r>
      <w:r w:rsidRPr="00684BF3">
        <w:rPr>
          <w:rStyle w:val="StyleUnderline"/>
        </w:rPr>
        <w:t xml:space="preserve"> the perils of the </w:t>
      </w:r>
      <w:r w:rsidRPr="00684BF3">
        <w:rPr>
          <w:rStyle w:val="Emphasis"/>
        </w:rPr>
        <w:t>admin</w:t>
      </w:r>
      <w:r w:rsidRPr="00684BF3">
        <w:rPr>
          <w:rStyle w:val="StyleUnderline"/>
        </w:rPr>
        <w:t xml:space="preserve">istrative </w:t>
      </w:r>
      <w:r w:rsidRPr="00684BF3">
        <w:rPr>
          <w:rStyle w:val="Emphasis"/>
        </w:rPr>
        <w:t>state</w:t>
      </w:r>
      <w:r w:rsidRPr="00684BF3">
        <w:rPr>
          <w:sz w:val="16"/>
        </w:rPr>
        <w:t xml:space="preserve">, </w:t>
      </w:r>
      <w:r w:rsidRPr="00684BF3">
        <w:rPr>
          <w:rStyle w:val="StyleUnderline"/>
        </w:rPr>
        <w:t>they</w:t>
      </w:r>
      <w:r w:rsidRPr="00684BF3">
        <w:rPr>
          <w:sz w:val="16"/>
        </w:rPr>
        <w:t xml:space="preserve"> ha</w:t>
      </w:r>
      <w:r w:rsidRPr="00684BF3">
        <w:rPr>
          <w:rStyle w:val="StyleUnderline"/>
        </w:rPr>
        <w:t>ve</w:t>
      </w:r>
      <w:r w:rsidRPr="00684BF3">
        <w:rPr>
          <w:sz w:val="16"/>
        </w:rPr>
        <w:t xml:space="preserve"> </w:t>
      </w:r>
      <w:r w:rsidRPr="00684BF3">
        <w:rPr>
          <w:rStyle w:val="StyleUnderline"/>
        </w:rPr>
        <w:t>pictured Chevron as an open door to judicial abdication and</w:t>
      </w:r>
      <w:r w:rsidRPr="00684BF3">
        <w:rPr>
          <w:sz w:val="16"/>
        </w:rPr>
        <w:t xml:space="preserve"> agency </w:t>
      </w:r>
      <w:r w:rsidRPr="00684BF3">
        <w:rPr>
          <w:rStyle w:val="StyleUnderline"/>
        </w:rPr>
        <w:t>lawlessness</w:t>
      </w:r>
      <w:r w:rsidRPr="00684BF3">
        <w:rPr>
          <w:sz w:val="16"/>
        </w:rPr>
        <w:t xml:space="preserve">. Often, </w:t>
      </w:r>
      <w:r w:rsidRPr="00684BF3">
        <w:rPr>
          <w:rStyle w:val="StyleUnderline"/>
        </w:rPr>
        <w:t>they have linked</w:t>
      </w:r>
      <w:r w:rsidRPr="00684BF3">
        <w:rPr>
          <w:sz w:val="16"/>
        </w:rPr>
        <w:t xml:space="preserve"> these </w:t>
      </w:r>
      <w:r w:rsidRPr="00684BF3">
        <w:rPr>
          <w:rStyle w:val="StyleUnderline"/>
        </w:rPr>
        <w:t xml:space="preserve">criticisms to overt hostility to </w:t>
      </w:r>
      <w:r w:rsidRPr="00684BF3">
        <w:rPr>
          <w:rStyle w:val="Emphasis"/>
        </w:rPr>
        <w:t>economic regulation</w:t>
      </w:r>
      <w:r w:rsidRPr="00684BF3">
        <w:rPr>
          <w:rStyle w:val="StyleUnderline"/>
        </w:rPr>
        <w:t xml:space="preserve"> and </w:t>
      </w:r>
      <w:r w:rsidRPr="00684BF3">
        <w:rPr>
          <w:sz w:val="16"/>
        </w:rPr>
        <w:t xml:space="preserve">their </w:t>
      </w:r>
      <w:r w:rsidRPr="00684BF3">
        <w:rPr>
          <w:rStyle w:val="Emphasis"/>
        </w:rPr>
        <w:t>skepticism</w:t>
      </w:r>
      <w:r w:rsidRPr="00684BF3">
        <w:rPr>
          <w:rStyle w:val="StyleUnderline"/>
        </w:rPr>
        <w:t xml:space="preserve"> of progressive </w:t>
      </w:r>
      <w:r w:rsidRPr="00684BF3">
        <w:rPr>
          <w:rStyle w:val="Emphasis"/>
        </w:rPr>
        <w:t>policies</w:t>
      </w:r>
      <w:r w:rsidRPr="00684BF3">
        <w:rPr>
          <w:sz w:val="16"/>
        </w:rPr>
        <w:t>. (It may not be a coincidence that some of the most dynamic calls on the Court for overturning Chevron emerged during the Obama Administration.)  </w:t>
      </w:r>
    </w:p>
    <w:p w14:paraId="1651B13E" w14:textId="77777777" w:rsidR="003242AF" w:rsidRPr="00684BF3" w:rsidRDefault="003242AF" w:rsidP="003242AF">
      <w:pPr>
        <w:rPr>
          <w:sz w:val="16"/>
        </w:rPr>
      </w:pPr>
      <w:r w:rsidRPr="00684BF3">
        <w:rPr>
          <w:sz w:val="16"/>
        </w:rPr>
        <w:t>Before this Term, </w:t>
      </w:r>
      <w:r w:rsidRPr="00684BF3">
        <w:rPr>
          <w:rStyle w:val="StyleUnderline"/>
        </w:rPr>
        <w:t xml:space="preserve">Chevron was already </w:t>
      </w:r>
      <w:r w:rsidRPr="00684BF3">
        <w:rPr>
          <w:rStyle w:val="Emphasis"/>
        </w:rPr>
        <w:t>under siege</w:t>
      </w:r>
      <w:r w:rsidRPr="00684BF3">
        <w:rPr>
          <w:sz w:val="16"/>
        </w:rPr>
        <w:t xml:space="preserve">. Chief Justice </w:t>
      </w:r>
      <w:r w:rsidRPr="00684BF3">
        <w:rPr>
          <w:rStyle w:val="Emphasis"/>
        </w:rPr>
        <w:t>Roberts</w:t>
      </w:r>
      <w:r w:rsidRPr="00684BF3">
        <w:rPr>
          <w:rStyle w:val="StyleUnderline"/>
        </w:rPr>
        <w:t>, as well as</w:t>
      </w:r>
      <w:r w:rsidRPr="00684BF3">
        <w:rPr>
          <w:sz w:val="16"/>
        </w:rPr>
        <w:t xml:space="preserve"> Justices </w:t>
      </w:r>
      <w:r w:rsidRPr="00684BF3">
        <w:rPr>
          <w:rStyle w:val="Emphasis"/>
        </w:rPr>
        <w:t>Thomas, Scalia, Alito, and Gorsuch</w:t>
      </w:r>
      <w:r w:rsidRPr="00684BF3">
        <w:rPr>
          <w:rStyle w:val="StyleUnderline"/>
        </w:rPr>
        <w:t>, had assailed and narrowed the doctrine</w:t>
      </w:r>
      <w:r w:rsidRPr="00684BF3">
        <w:rPr>
          <w:sz w:val="16"/>
        </w:rPr>
        <w:t xml:space="preserve"> </w:t>
      </w:r>
      <w:r w:rsidRPr="00684BF3">
        <w:rPr>
          <w:rStyle w:val="StyleUnderline"/>
        </w:rPr>
        <w:t>in</w:t>
      </w:r>
      <w:r w:rsidRPr="00684BF3">
        <w:rPr>
          <w:sz w:val="16"/>
        </w:rPr>
        <w:t xml:space="preserve"> published </w:t>
      </w:r>
      <w:r w:rsidRPr="00684BF3">
        <w:rPr>
          <w:rStyle w:val="StyleUnderline"/>
        </w:rPr>
        <w:t>opinions, concurrences, and dissents</w:t>
      </w:r>
      <w:r w:rsidRPr="00684BF3">
        <w:rPr>
          <w:sz w:val="16"/>
        </w:rPr>
        <w:t xml:space="preserve">. Moreover, </w:t>
      </w:r>
      <w:r w:rsidRPr="00684BF3">
        <w:rPr>
          <w:rStyle w:val="StyleUnderline"/>
        </w:rPr>
        <w:t>in</w:t>
      </w:r>
      <w:r w:rsidRPr="00684BF3">
        <w:rPr>
          <w:sz w:val="16"/>
        </w:rPr>
        <w:t xml:space="preserve"> several </w:t>
      </w:r>
      <w:r w:rsidRPr="00684BF3">
        <w:rPr>
          <w:rStyle w:val="StyleUnderline"/>
        </w:rPr>
        <w:t>landmark opinions</w:t>
      </w:r>
      <w:r w:rsidRPr="00684BF3">
        <w:rPr>
          <w:sz w:val="16"/>
        </w:rPr>
        <w:t xml:space="preserve">, </w:t>
      </w:r>
      <w:r w:rsidRPr="00684BF3">
        <w:rPr>
          <w:rStyle w:val="StyleUnderline"/>
        </w:rPr>
        <w:t>the Court</w:t>
      </w:r>
      <w:r w:rsidRPr="00684BF3">
        <w:rPr>
          <w:sz w:val="16"/>
        </w:rPr>
        <w:t xml:space="preserve"> either explicitly </w:t>
      </w:r>
      <w:r w:rsidRPr="00684BF3">
        <w:rPr>
          <w:rStyle w:val="StyleUnderline"/>
        </w:rPr>
        <w:t>refused to apply Chevron</w:t>
      </w:r>
      <w:r w:rsidRPr="00684BF3">
        <w:rPr>
          <w:sz w:val="16"/>
        </w:rPr>
        <w:t> (e.g., </w:t>
      </w:r>
      <w:r w:rsidRPr="00684BF3">
        <w:rPr>
          <w:rStyle w:val="Emphasis"/>
        </w:rPr>
        <w:t>King</w:t>
      </w:r>
      <w:r w:rsidRPr="00684BF3">
        <w:rPr>
          <w:sz w:val="16"/>
        </w:rPr>
        <w:t xml:space="preserve"> v. Burwell, the second </w:t>
      </w:r>
      <w:r w:rsidRPr="00684BF3">
        <w:rPr>
          <w:rStyle w:val="Emphasis"/>
        </w:rPr>
        <w:t>Obamacare</w:t>
      </w:r>
      <w:r w:rsidRPr="00684BF3">
        <w:rPr>
          <w:sz w:val="16"/>
        </w:rPr>
        <w:t xml:space="preserve"> case) or </w:t>
      </w:r>
      <w:r w:rsidRPr="00684BF3">
        <w:rPr>
          <w:rStyle w:val="StyleUnderline"/>
        </w:rPr>
        <w:t>ignored Chevron</w:t>
      </w:r>
      <w:r w:rsidRPr="00684BF3">
        <w:rPr>
          <w:sz w:val="16"/>
        </w:rPr>
        <w:t> where the government properly sought to rely on it (e.g., </w:t>
      </w:r>
      <w:r w:rsidRPr="00684BF3">
        <w:rPr>
          <w:rStyle w:val="Emphasis"/>
        </w:rPr>
        <w:t>T</w:t>
      </w:r>
      <w:r w:rsidRPr="00684BF3">
        <w:rPr>
          <w:rStyle w:val="StyleUnderline"/>
        </w:rPr>
        <w:t xml:space="preserve">exas </w:t>
      </w:r>
      <w:r w:rsidRPr="00684BF3">
        <w:rPr>
          <w:rStyle w:val="Emphasis"/>
        </w:rPr>
        <w:t>D</w:t>
      </w:r>
      <w:r w:rsidRPr="00684BF3">
        <w:rPr>
          <w:rStyle w:val="StyleUnderline"/>
        </w:rPr>
        <w:t xml:space="preserve">epartment of </w:t>
      </w:r>
      <w:r w:rsidRPr="00684BF3">
        <w:rPr>
          <w:rStyle w:val="Emphasis"/>
        </w:rPr>
        <w:t>H</w:t>
      </w:r>
      <w:r w:rsidRPr="00684BF3">
        <w:rPr>
          <w:rStyle w:val="StyleUnderline"/>
        </w:rPr>
        <w:t>ousing</w:t>
      </w:r>
      <w:r w:rsidRPr="00684BF3">
        <w:rPr>
          <w:sz w:val="16"/>
        </w:rPr>
        <w:t xml:space="preserve"> v. Inclusive Communities, which </w:t>
      </w:r>
      <w:r w:rsidRPr="00684BF3">
        <w:rPr>
          <w:rStyle w:val="StyleUnderline"/>
        </w:rPr>
        <w:t>upheld</w:t>
      </w:r>
      <w:r w:rsidRPr="00684BF3">
        <w:rPr>
          <w:sz w:val="16"/>
        </w:rPr>
        <w:t xml:space="preserve"> disparate impact liability under the </w:t>
      </w:r>
      <w:r w:rsidRPr="00684BF3">
        <w:rPr>
          <w:rStyle w:val="StyleUnderline"/>
        </w:rPr>
        <w:t>Fair Housing Act</w:t>
      </w:r>
      <w:r w:rsidRPr="00684BF3">
        <w:rPr>
          <w:sz w:val="16"/>
        </w:rPr>
        <w:t>).</w:t>
      </w:r>
    </w:p>
    <w:p w14:paraId="570941EF" w14:textId="77777777" w:rsidR="003242AF" w:rsidRPr="00684BF3" w:rsidRDefault="003242AF" w:rsidP="003242AF">
      <w:pPr>
        <w:rPr>
          <w:rStyle w:val="StyleUnderline"/>
        </w:rPr>
      </w:pPr>
      <w:r w:rsidRPr="00684BF3">
        <w:rPr>
          <w:rStyle w:val="Emphasis"/>
        </w:rPr>
        <w:t>Things only got worse</w:t>
      </w:r>
      <w:r w:rsidRPr="00684BF3">
        <w:rPr>
          <w:sz w:val="16"/>
        </w:rPr>
        <w:t xml:space="preserve"> throughout this Term. Before today, </w:t>
      </w:r>
      <w:r w:rsidRPr="00684BF3">
        <w:rPr>
          <w:rStyle w:val="StyleUnderline"/>
        </w:rPr>
        <w:t>Chevron had been cited by the Court four times:</w:t>
      </w:r>
    </w:p>
    <w:p w14:paraId="19334053" w14:textId="77777777" w:rsidR="003242AF" w:rsidRPr="00684BF3" w:rsidRDefault="003242AF" w:rsidP="003242AF">
      <w:pPr>
        <w:pStyle w:val="ListParagraph"/>
        <w:numPr>
          <w:ilvl w:val="0"/>
          <w:numId w:val="12"/>
        </w:numPr>
        <w:rPr>
          <w:sz w:val="16"/>
        </w:rPr>
      </w:pPr>
      <w:r w:rsidRPr="00684BF3">
        <w:rPr>
          <w:rStyle w:val="Emphasis"/>
        </w:rPr>
        <w:t>Digital Realty Tr</w:t>
      </w:r>
      <w:r w:rsidRPr="00684BF3">
        <w:rPr>
          <w:sz w:val="16"/>
        </w:rPr>
        <w:t xml:space="preserve">., Inc. v. Somers, 138 S. Ct. 767, 772 (2018), where </w:t>
      </w:r>
      <w:r w:rsidRPr="00684BF3">
        <w:rPr>
          <w:rStyle w:val="StyleUnderline"/>
        </w:rPr>
        <w:t xml:space="preserve">the </w:t>
      </w:r>
      <w:r w:rsidRPr="00684BF3">
        <w:rPr>
          <w:rStyle w:val="Emphasis"/>
        </w:rPr>
        <w:t>Court rejected</w:t>
      </w:r>
      <w:r w:rsidRPr="00684BF3">
        <w:rPr>
          <w:rStyle w:val="StyleUnderline"/>
        </w:rPr>
        <w:t xml:space="preserve"> the government’s request for </w:t>
      </w:r>
      <w:r w:rsidRPr="00684BF3">
        <w:rPr>
          <w:rStyle w:val="Emphasis"/>
        </w:rPr>
        <w:t>Chevron</w:t>
      </w:r>
      <w:r w:rsidRPr="00684BF3">
        <w:rPr>
          <w:rStyle w:val="StyleUnderline"/>
        </w:rPr>
        <w:t xml:space="preserve"> deference</w:t>
      </w:r>
      <w:r w:rsidRPr="00684BF3">
        <w:rPr>
          <w:sz w:val="16"/>
        </w:rPr>
        <w:t xml:space="preserve"> in a case </w:t>
      </w:r>
      <w:r w:rsidRPr="00684BF3">
        <w:rPr>
          <w:rStyle w:val="StyleUnderline"/>
        </w:rPr>
        <w:t>about</w:t>
      </w:r>
      <w:r w:rsidRPr="00684BF3">
        <w:rPr>
          <w:sz w:val="16"/>
        </w:rPr>
        <w:t xml:space="preserve"> the scope of </w:t>
      </w:r>
      <w:r w:rsidRPr="00684BF3">
        <w:rPr>
          <w:rStyle w:val="StyleUnderline"/>
        </w:rPr>
        <w:t>Dodd-Frank’s</w:t>
      </w:r>
      <w:r w:rsidRPr="00684BF3">
        <w:rPr>
          <w:sz w:val="16"/>
        </w:rPr>
        <w:t xml:space="preserve"> anti-</w:t>
      </w:r>
      <w:r w:rsidRPr="00684BF3">
        <w:rPr>
          <w:rStyle w:val="StyleUnderline"/>
        </w:rPr>
        <w:t>retaliation provisio[n].</w:t>
      </w:r>
    </w:p>
    <w:p w14:paraId="5E37631A" w14:textId="77777777" w:rsidR="003242AF" w:rsidRPr="00684BF3" w:rsidRDefault="003242AF" w:rsidP="003242AF">
      <w:pPr>
        <w:pStyle w:val="ListParagraph"/>
        <w:numPr>
          <w:ilvl w:val="0"/>
          <w:numId w:val="12"/>
        </w:numPr>
        <w:rPr>
          <w:sz w:val="16"/>
        </w:rPr>
      </w:pPr>
      <w:r w:rsidRPr="00684BF3">
        <w:rPr>
          <w:rStyle w:val="Emphasis"/>
        </w:rPr>
        <w:t>Encino Motorcars</w:t>
      </w:r>
      <w:r w:rsidRPr="00684BF3">
        <w:rPr>
          <w:sz w:val="16"/>
        </w:rPr>
        <w:t xml:space="preserve">, LLC v. Navarro, 138 S. Ct. 1134 (2018), where </w:t>
      </w:r>
      <w:r w:rsidRPr="00684BF3">
        <w:rPr>
          <w:rStyle w:val="StyleUnderline"/>
        </w:rPr>
        <w:t xml:space="preserve">the </w:t>
      </w:r>
      <w:r w:rsidRPr="00684BF3">
        <w:rPr>
          <w:rStyle w:val="Emphasis"/>
        </w:rPr>
        <w:t>Court interpreted</w:t>
      </w:r>
      <w:r w:rsidRPr="00684BF3">
        <w:rPr>
          <w:rStyle w:val="StyleUnderline"/>
        </w:rPr>
        <w:t xml:space="preserve"> the </w:t>
      </w:r>
      <w:r w:rsidRPr="00684BF3">
        <w:rPr>
          <w:rStyle w:val="Emphasis"/>
        </w:rPr>
        <w:t>F</w:t>
      </w:r>
      <w:r w:rsidRPr="00684BF3">
        <w:rPr>
          <w:rStyle w:val="StyleUnderline"/>
        </w:rPr>
        <w:t xml:space="preserve">air </w:t>
      </w:r>
      <w:r w:rsidRPr="00684BF3">
        <w:rPr>
          <w:rStyle w:val="Emphasis"/>
        </w:rPr>
        <w:t>L</w:t>
      </w:r>
      <w:r w:rsidRPr="00684BF3">
        <w:rPr>
          <w:rStyle w:val="StyleUnderline"/>
        </w:rPr>
        <w:t xml:space="preserve">abor </w:t>
      </w:r>
      <w:r w:rsidRPr="00684BF3">
        <w:rPr>
          <w:rStyle w:val="Emphasis"/>
        </w:rPr>
        <w:t>S</w:t>
      </w:r>
      <w:r w:rsidRPr="00684BF3">
        <w:rPr>
          <w:rStyle w:val="StyleUnderline"/>
        </w:rPr>
        <w:t xml:space="preserve">tandards </w:t>
      </w:r>
      <w:r w:rsidRPr="00684BF3">
        <w:rPr>
          <w:rStyle w:val="Emphasis"/>
        </w:rPr>
        <w:t>A</w:t>
      </w:r>
      <w:r w:rsidRPr="00684BF3">
        <w:rPr>
          <w:rStyle w:val="StyleUnderline"/>
        </w:rPr>
        <w:t xml:space="preserve">ct </w:t>
      </w:r>
      <w:r w:rsidRPr="00684BF3">
        <w:rPr>
          <w:rStyle w:val="Emphasis"/>
        </w:rPr>
        <w:t>without</w:t>
      </w:r>
      <w:r w:rsidRPr="00684BF3">
        <w:rPr>
          <w:rStyle w:val="StyleUnderline"/>
        </w:rPr>
        <w:t xml:space="preserve"> any </w:t>
      </w:r>
      <w:r w:rsidRPr="00684BF3">
        <w:rPr>
          <w:rStyle w:val="Emphasis"/>
        </w:rPr>
        <w:t>deference</w:t>
      </w:r>
      <w:r w:rsidRPr="00684BF3">
        <w:rPr>
          <w:sz w:val="16"/>
        </w:rPr>
        <w:t xml:space="preserve"> to the Department of Labor (in accordance with a prior [opinion] </w:t>
      </w:r>
      <w:r w:rsidRPr="00684BF3">
        <w:rPr>
          <w:strike/>
          <w:sz w:val="16"/>
        </w:rPr>
        <w:t>opinon</w:t>
      </w:r>
      <w:r w:rsidRPr="00684BF3">
        <w:rPr>
          <w:sz w:val="16"/>
        </w:rPr>
        <w:t xml:space="preserve"> on that point)</w:t>
      </w:r>
    </w:p>
    <w:p w14:paraId="0DE1CA12" w14:textId="77777777" w:rsidR="003242AF" w:rsidRPr="00684BF3" w:rsidRDefault="003242AF" w:rsidP="003242AF">
      <w:pPr>
        <w:pStyle w:val="ListParagraph"/>
        <w:numPr>
          <w:ilvl w:val="0"/>
          <w:numId w:val="12"/>
        </w:numPr>
        <w:rPr>
          <w:sz w:val="16"/>
        </w:rPr>
      </w:pPr>
      <w:r w:rsidRPr="00684BF3">
        <w:rPr>
          <w:rStyle w:val="Emphasis"/>
        </w:rPr>
        <w:t>SAS Inst., Inc</w:t>
      </w:r>
      <w:r w:rsidRPr="00684BF3">
        <w:rPr>
          <w:sz w:val="16"/>
        </w:rPr>
        <w:t xml:space="preserve">. v. Iancu, 138 S. Ct. 1348, 1358 (2018), where </w:t>
      </w:r>
      <w:r w:rsidRPr="00684BF3">
        <w:rPr>
          <w:rStyle w:val="StyleUnderline"/>
        </w:rPr>
        <w:t xml:space="preserve">the </w:t>
      </w:r>
      <w:r w:rsidRPr="00684BF3">
        <w:rPr>
          <w:rStyle w:val="Emphasis"/>
        </w:rPr>
        <w:t>Court rejected</w:t>
      </w:r>
      <w:r w:rsidRPr="00684BF3">
        <w:rPr>
          <w:rStyle w:val="StyleUnderline"/>
        </w:rPr>
        <w:t xml:space="preserve"> the government’s request for </w:t>
      </w:r>
      <w:r w:rsidRPr="00684BF3">
        <w:rPr>
          <w:rStyle w:val="Emphasis"/>
        </w:rPr>
        <w:t>Chevron</w:t>
      </w:r>
      <w:r w:rsidRPr="00684BF3">
        <w:rPr>
          <w:sz w:val="16"/>
        </w:rPr>
        <w:t xml:space="preserve"> deference to a decision </w:t>
      </w:r>
      <w:r w:rsidRPr="00684BF3">
        <w:rPr>
          <w:rStyle w:val="StyleUnderline"/>
        </w:rPr>
        <w:t xml:space="preserve">by the </w:t>
      </w:r>
      <w:r w:rsidRPr="00684BF3">
        <w:rPr>
          <w:rStyle w:val="Emphasis"/>
        </w:rPr>
        <w:t>P</w:t>
      </w:r>
      <w:r w:rsidRPr="00684BF3">
        <w:rPr>
          <w:rStyle w:val="StyleUnderline"/>
        </w:rPr>
        <w:t xml:space="preserve">atent &amp; </w:t>
      </w:r>
      <w:r w:rsidRPr="00684BF3">
        <w:rPr>
          <w:rStyle w:val="Emphasis"/>
        </w:rPr>
        <w:t>T</w:t>
      </w:r>
      <w:r w:rsidRPr="00684BF3">
        <w:rPr>
          <w:rStyle w:val="StyleUnderline"/>
        </w:rPr>
        <w:t xml:space="preserve">rademark </w:t>
      </w:r>
      <w:r w:rsidRPr="00684BF3">
        <w:rPr>
          <w:rStyle w:val="Emphasis"/>
        </w:rPr>
        <w:t>O</w:t>
      </w:r>
      <w:r w:rsidRPr="00684BF3">
        <w:rPr>
          <w:rStyle w:val="StyleUnderline"/>
        </w:rPr>
        <w:t>ffice</w:t>
      </w:r>
      <w:r w:rsidRPr="00684BF3">
        <w:rPr>
          <w:sz w:val="16"/>
        </w:rPr>
        <w:t xml:space="preserve">—and where Justice </w:t>
      </w:r>
      <w:r w:rsidRPr="00684BF3">
        <w:rPr>
          <w:rStyle w:val="Emphasis"/>
        </w:rPr>
        <w:t>Gorsuch’s</w:t>
      </w:r>
      <w:r w:rsidRPr="00684BF3">
        <w:rPr>
          <w:rStyle w:val="StyleUnderline"/>
        </w:rPr>
        <w:t xml:space="preserve"> </w:t>
      </w:r>
      <w:r w:rsidRPr="00684BF3">
        <w:rPr>
          <w:rStyle w:val="Emphasis"/>
        </w:rPr>
        <w:t>majority opinion</w:t>
      </w:r>
      <w:r w:rsidRPr="00684BF3">
        <w:rPr>
          <w:rStyle w:val="StyleUnderline"/>
        </w:rPr>
        <w:t xml:space="preserve"> ominously warned</w:t>
      </w:r>
      <w:r w:rsidRPr="00684BF3">
        <w:rPr>
          <w:sz w:val="16"/>
        </w:rPr>
        <w:t>, “</w:t>
      </w:r>
      <w:r w:rsidRPr="00684BF3">
        <w:rPr>
          <w:rStyle w:val="StyleUnderline"/>
        </w:rPr>
        <w:t>Whether Chevron should remain</w:t>
      </w:r>
      <w:r w:rsidRPr="00684BF3">
        <w:rPr>
          <w:sz w:val="16"/>
        </w:rPr>
        <w:t xml:space="preserve"> is a question we may leave for another day.”</w:t>
      </w:r>
    </w:p>
    <w:p w14:paraId="2A11BE0D" w14:textId="77777777" w:rsidR="003242AF" w:rsidRDefault="003242AF" w:rsidP="003242AF">
      <w:pPr>
        <w:pStyle w:val="ListParagraph"/>
        <w:numPr>
          <w:ilvl w:val="0"/>
          <w:numId w:val="12"/>
        </w:numPr>
        <w:rPr>
          <w:sz w:val="16"/>
        </w:rPr>
      </w:pPr>
      <w:r w:rsidRPr="00684BF3">
        <w:rPr>
          <w:rStyle w:val="Emphasis"/>
        </w:rPr>
        <w:t>Epic Sys. Corp</w:t>
      </w:r>
      <w:r w:rsidRPr="00684BF3">
        <w:rPr>
          <w:sz w:val="16"/>
        </w:rPr>
        <w:t xml:space="preserve">. v. Lewis, 138 S. Ct. 1612, 1629 (2018), where </w:t>
      </w:r>
      <w:r w:rsidRPr="00684BF3">
        <w:rPr>
          <w:rStyle w:val="StyleUnderline"/>
        </w:rPr>
        <w:t xml:space="preserve">the </w:t>
      </w:r>
      <w:r w:rsidRPr="00684BF3">
        <w:rPr>
          <w:rStyle w:val="Emphasis"/>
        </w:rPr>
        <w:t>Court rejected</w:t>
      </w:r>
      <w:r w:rsidRPr="00684BF3">
        <w:rPr>
          <w:rStyle w:val="StyleUnderline"/>
        </w:rPr>
        <w:t xml:space="preserve"> a request for </w:t>
      </w:r>
      <w:r w:rsidRPr="00684BF3">
        <w:rPr>
          <w:rStyle w:val="Emphasis"/>
        </w:rPr>
        <w:t>Chevron</w:t>
      </w:r>
      <w:r w:rsidRPr="00684BF3">
        <w:rPr>
          <w:rStyle w:val="StyleUnderline"/>
        </w:rPr>
        <w:t xml:space="preserve"> deference</w:t>
      </w:r>
      <w:r w:rsidRPr="00684BF3">
        <w:rPr>
          <w:sz w:val="16"/>
        </w:rPr>
        <w:t xml:space="preserve"> to the National Labor Relation Board’s conclusion that collective bargaining agreements cannot include an arbitration class precluding class actions. In this opinion, too, Justice </w:t>
      </w:r>
      <w:r w:rsidRPr="00684BF3">
        <w:rPr>
          <w:rStyle w:val="StyleUnderline"/>
        </w:rPr>
        <w:t>Gorsuch emphasized that “No party to these cases has asked us to reconsider Chevron deference,”</w:t>
      </w:r>
      <w:r w:rsidRPr="00684BF3">
        <w:rPr>
          <w:sz w:val="16"/>
        </w:rPr>
        <w:t xml:space="preserve"> and instead offered a wide array of reasons for refusing to defer to the NLRB’s decision under Chevron.   </w:t>
      </w:r>
    </w:p>
    <w:p w14:paraId="05B4C454" w14:textId="77777777" w:rsidR="003242AF" w:rsidRPr="003242AF" w:rsidRDefault="003242AF" w:rsidP="003242AF"/>
    <w:p w14:paraId="217F9E87" w14:textId="5207876B" w:rsidR="003242AF" w:rsidRDefault="003242AF" w:rsidP="003242AF">
      <w:pPr>
        <w:pStyle w:val="Heading3"/>
      </w:pPr>
      <w:r>
        <w:t xml:space="preserve">1AR – </w:t>
      </w:r>
      <w:r w:rsidR="00D10287">
        <w:t xml:space="preserve">UQ – AT: </w:t>
      </w:r>
      <w:r w:rsidR="00C72E89">
        <w:t>Qualitative</w:t>
      </w:r>
    </w:p>
    <w:p w14:paraId="3210382E" w14:textId="55A9F663" w:rsidR="003242AF" w:rsidRPr="003242AF" w:rsidRDefault="003242AF" w:rsidP="003242AF">
      <w:pPr>
        <w:pStyle w:val="Heading4"/>
        <w:rPr>
          <w:szCs w:val="26"/>
        </w:rPr>
      </w:pPr>
      <w:r>
        <w:rPr>
          <w:szCs w:val="26"/>
        </w:rPr>
        <w:t xml:space="preserve">Admin state’s </w:t>
      </w:r>
      <w:r>
        <w:rPr>
          <w:szCs w:val="26"/>
          <w:u w:val="single"/>
        </w:rPr>
        <w:t>on the way out</w:t>
      </w:r>
      <w:r>
        <w:rPr>
          <w:szCs w:val="26"/>
        </w:rPr>
        <w:t>.</w:t>
      </w:r>
    </w:p>
    <w:p w14:paraId="6CC75139" w14:textId="77777777" w:rsidR="003242AF" w:rsidRPr="00684BF3" w:rsidRDefault="003242AF" w:rsidP="003242AF">
      <w:r w:rsidRPr="00C80CAB">
        <w:rPr>
          <w:rStyle w:val="Heading4Char"/>
          <w:szCs w:val="26"/>
        </w:rPr>
        <w:t>Berman 20</w:t>
      </w:r>
      <w:r w:rsidRPr="00684BF3">
        <w:t xml:space="preserve"> – (Amanda Berman, a counsel in the Environment &amp; Natural Resources and Litigation groups; “Administrative Law – The Supreme Court and the President Rein in the ‘Administrative State’”; crowell moring; D.A. June 28</w:t>
      </w:r>
      <w:r w:rsidRPr="00684BF3">
        <w:rPr>
          <w:vertAlign w:val="superscript"/>
        </w:rPr>
        <w:t>th</w:t>
      </w:r>
      <w:r w:rsidRPr="00684BF3">
        <w:t xml:space="preserve"> 2020, [Published February 26</w:t>
      </w:r>
      <w:r w:rsidRPr="00684BF3">
        <w:rPr>
          <w:vertAlign w:val="superscript"/>
        </w:rPr>
        <w:t>th</w:t>
      </w:r>
      <w:r w:rsidRPr="00684BF3">
        <w:t xml:space="preserve"> 2020]; </w:t>
      </w:r>
      <w:hyperlink r:id="rId143" w:history="1">
        <w:r w:rsidRPr="00684BF3">
          <w:rPr>
            <w:rStyle w:val="Hyperlink"/>
          </w:rPr>
          <w:t>https://www.crowell.com/NewsEvents/Publications/Articles/Administrative-Law-The-Supreme-Court-and-the-President-Rein-in-the-Administrative-State</w:t>
        </w:r>
      </w:hyperlink>
      <w:r w:rsidRPr="00684BF3">
        <w:t>) //LFS—JCM</w:t>
      </w:r>
    </w:p>
    <w:p w14:paraId="3583F1EB" w14:textId="77777777" w:rsidR="003242AF" w:rsidRPr="00684BF3" w:rsidRDefault="003242AF" w:rsidP="003242AF">
      <w:pPr>
        <w:rPr>
          <w:sz w:val="16"/>
        </w:rPr>
      </w:pPr>
      <w:r w:rsidRPr="00684BF3">
        <w:rPr>
          <w:rStyle w:val="StyleUnderline"/>
        </w:rPr>
        <w:t xml:space="preserve">A </w:t>
      </w:r>
      <w:r w:rsidRPr="00684BF3">
        <w:rPr>
          <w:rStyle w:val="Emphasis"/>
        </w:rPr>
        <w:t>conservative</w:t>
      </w:r>
      <w:r w:rsidRPr="00684BF3">
        <w:rPr>
          <w:sz w:val="16"/>
        </w:rPr>
        <w:t xml:space="preserve"> Supreme </w:t>
      </w:r>
      <w:r w:rsidRPr="00684BF3">
        <w:rPr>
          <w:rStyle w:val="Emphasis"/>
        </w:rPr>
        <w:t>Court</w:t>
      </w:r>
      <w:r w:rsidRPr="00684BF3">
        <w:rPr>
          <w:rStyle w:val="StyleUnderline"/>
        </w:rPr>
        <w:t xml:space="preserve"> and administration have</w:t>
      </w:r>
      <w:r w:rsidRPr="00684BF3">
        <w:rPr>
          <w:sz w:val="16"/>
        </w:rPr>
        <w:t xml:space="preserve"> both </w:t>
      </w:r>
      <w:r w:rsidRPr="00684BF3">
        <w:rPr>
          <w:rStyle w:val="StyleUnderline"/>
        </w:rPr>
        <w:t xml:space="preserve">been working to </w:t>
      </w:r>
      <w:r w:rsidRPr="00684BF3">
        <w:rPr>
          <w:rStyle w:val="Emphasis"/>
        </w:rPr>
        <w:t>roll back</w:t>
      </w:r>
      <w:r w:rsidRPr="00684BF3">
        <w:rPr>
          <w:rStyle w:val="StyleUnderline"/>
        </w:rPr>
        <w:t xml:space="preserve"> the </w:t>
      </w:r>
      <w:r w:rsidRPr="00684BF3">
        <w:rPr>
          <w:rStyle w:val="Emphasis"/>
        </w:rPr>
        <w:t>admin</w:t>
      </w:r>
      <w:r w:rsidRPr="00684BF3">
        <w:rPr>
          <w:rStyle w:val="StyleUnderline"/>
        </w:rPr>
        <w:t xml:space="preserve">istrative </w:t>
      </w:r>
      <w:r w:rsidRPr="00684BF3">
        <w:rPr>
          <w:rStyle w:val="Emphasis"/>
        </w:rPr>
        <w:t>state</w:t>
      </w:r>
      <w:r w:rsidRPr="00684BF3">
        <w:rPr>
          <w:sz w:val="16"/>
        </w:rPr>
        <w:t xml:space="preserve">, </w:t>
      </w:r>
      <w:r w:rsidRPr="00684BF3">
        <w:rPr>
          <w:rStyle w:val="Emphasis"/>
        </w:rPr>
        <w:t>shifting</w:t>
      </w:r>
      <w:r w:rsidRPr="00684BF3">
        <w:rPr>
          <w:rStyle w:val="StyleUnderline"/>
        </w:rPr>
        <w:t xml:space="preserve"> its</w:t>
      </w:r>
      <w:r w:rsidRPr="00684BF3">
        <w:rPr>
          <w:sz w:val="16"/>
        </w:rPr>
        <w:t xml:space="preserve"> center of </w:t>
      </w:r>
      <w:r w:rsidRPr="00684BF3">
        <w:rPr>
          <w:rStyle w:val="Emphasis"/>
        </w:rPr>
        <w:t>power to</w:t>
      </w:r>
      <w:r w:rsidRPr="00684BF3">
        <w:rPr>
          <w:rStyle w:val="StyleUnderline"/>
        </w:rPr>
        <w:t xml:space="preserve"> the </w:t>
      </w:r>
      <w:r w:rsidRPr="00684BF3">
        <w:rPr>
          <w:rStyle w:val="Emphasis"/>
        </w:rPr>
        <w:t>courts</w:t>
      </w:r>
      <w:r w:rsidRPr="00684BF3">
        <w:rPr>
          <w:sz w:val="16"/>
        </w:rPr>
        <w:t xml:space="preserve">. </w:t>
      </w:r>
      <w:r w:rsidRPr="00684BF3">
        <w:rPr>
          <w:rStyle w:val="StyleUnderline"/>
        </w:rPr>
        <w:t xml:space="preserve">The shift has been </w:t>
      </w:r>
      <w:r w:rsidRPr="00684BF3">
        <w:rPr>
          <w:rStyle w:val="Emphasis"/>
        </w:rPr>
        <w:t>incremental</w:t>
      </w:r>
      <w:r w:rsidRPr="00684BF3">
        <w:rPr>
          <w:sz w:val="16"/>
        </w:rPr>
        <w:t xml:space="preserve">, as </w:t>
      </w:r>
      <w:r w:rsidRPr="00684BF3">
        <w:rPr>
          <w:rStyle w:val="StyleUnderline"/>
        </w:rPr>
        <w:t>demonstrated by</w:t>
      </w:r>
      <w:r w:rsidRPr="00684BF3">
        <w:rPr>
          <w:sz w:val="16"/>
        </w:rPr>
        <w:t xml:space="preserve"> </w:t>
      </w:r>
      <w:r w:rsidRPr="00684BF3">
        <w:rPr>
          <w:rStyle w:val="StyleUnderline"/>
        </w:rPr>
        <w:t>two</w:t>
      </w:r>
      <w:r w:rsidRPr="00684BF3">
        <w:rPr>
          <w:sz w:val="16"/>
        </w:rPr>
        <w:t xml:space="preserve"> recent </w:t>
      </w:r>
      <w:r w:rsidRPr="00684BF3">
        <w:rPr>
          <w:rStyle w:val="StyleUnderline"/>
        </w:rPr>
        <w:t xml:space="preserve">Supreme </w:t>
      </w:r>
      <w:r w:rsidRPr="00684BF3">
        <w:rPr>
          <w:rStyle w:val="Emphasis"/>
        </w:rPr>
        <w:t>Court rulings</w:t>
      </w:r>
      <w:r w:rsidRPr="00684BF3">
        <w:rPr>
          <w:rStyle w:val="StyleUnderline"/>
        </w:rPr>
        <w:t xml:space="preserve"> and </w:t>
      </w:r>
      <w:r w:rsidRPr="00684BF3">
        <w:rPr>
          <w:rStyle w:val="Emphasis"/>
        </w:rPr>
        <w:t>executive orders</w:t>
      </w:r>
      <w:r w:rsidRPr="00684BF3">
        <w:rPr>
          <w:sz w:val="16"/>
        </w:rPr>
        <w:t xml:space="preserve">. </w:t>
      </w:r>
      <w:r w:rsidRPr="00684BF3">
        <w:rPr>
          <w:rStyle w:val="StyleUnderline"/>
        </w:rPr>
        <w:t xml:space="preserve">Yet the </w:t>
      </w:r>
      <w:r w:rsidRPr="00684BF3">
        <w:rPr>
          <w:rStyle w:val="Emphasis"/>
        </w:rPr>
        <w:t>impacts</w:t>
      </w:r>
      <w:r w:rsidRPr="00684BF3">
        <w:rPr>
          <w:rStyle w:val="StyleUnderline"/>
        </w:rPr>
        <w:t xml:space="preserve"> on virtually </w:t>
      </w:r>
      <w:r w:rsidRPr="00684BF3">
        <w:rPr>
          <w:rStyle w:val="Emphasis"/>
        </w:rPr>
        <w:t>every agency</w:t>
      </w:r>
      <w:r w:rsidRPr="00684BF3">
        <w:rPr>
          <w:sz w:val="16"/>
        </w:rPr>
        <w:t>—and therefore every business subject to regulation—</w:t>
      </w:r>
      <w:r w:rsidRPr="00684BF3">
        <w:rPr>
          <w:rStyle w:val="StyleUnderline"/>
        </w:rPr>
        <w:t xml:space="preserve">are </w:t>
      </w:r>
      <w:r w:rsidRPr="00684BF3">
        <w:rPr>
          <w:rStyle w:val="Emphasis"/>
        </w:rPr>
        <w:t>already substantial</w:t>
      </w:r>
      <w:r w:rsidRPr="00684BF3">
        <w:rPr>
          <w:sz w:val="16"/>
        </w:rPr>
        <w:t xml:space="preserve">. And </w:t>
      </w:r>
      <w:r w:rsidRPr="00684BF3">
        <w:rPr>
          <w:rStyle w:val="StyleUnderline"/>
        </w:rPr>
        <w:t xml:space="preserve">the </w:t>
      </w:r>
      <w:r w:rsidRPr="00684BF3">
        <w:rPr>
          <w:rStyle w:val="Emphasis"/>
        </w:rPr>
        <w:t>pace of change</w:t>
      </w:r>
      <w:r w:rsidRPr="00684BF3">
        <w:rPr>
          <w:rStyle w:val="StyleUnderline"/>
        </w:rPr>
        <w:t xml:space="preserve"> could rapidly </w:t>
      </w:r>
      <w:r w:rsidRPr="00684BF3">
        <w:rPr>
          <w:rStyle w:val="Emphasis"/>
        </w:rPr>
        <w:t>increase in 2020</w:t>
      </w:r>
      <w:r w:rsidRPr="00684BF3">
        <w:rPr>
          <w:sz w:val="16"/>
        </w:rPr>
        <w:t xml:space="preserve"> and beyond.</w:t>
      </w:r>
    </w:p>
    <w:p w14:paraId="21E481BD" w14:textId="77777777" w:rsidR="003242AF" w:rsidRPr="00684BF3" w:rsidRDefault="003242AF" w:rsidP="003242AF">
      <w:pPr>
        <w:rPr>
          <w:sz w:val="16"/>
        </w:rPr>
      </w:pPr>
      <w:r w:rsidRPr="00684BF3">
        <w:rPr>
          <w:sz w:val="16"/>
        </w:rPr>
        <w:t xml:space="preserve">“These </w:t>
      </w:r>
      <w:r w:rsidRPr="00684BF3">
        <w:rPr>
          <w:rStyle w:val="StyleUnderline"/>
        </w:rPr>
        <w:t>trends</w:t>
      </w:r>
      <w:r w:rsidRPr="00684BF3">
        <w:rPr>
          <w:sz w:val="16"/>
        </w:rPr>
        <w:t xml:space="preserve"> will </w:t>
      </w:r>
      <w:r w:rsidRPr="00684BF3">
        <w:rPr>
          <w:rStyle w:val="Emphasis"/>
        </w:rPr>
        <w:t>make it easier</w:t>
      </w:r>
      <w:r w:rsidRPr="00684BF3">
        <w:rPr>
          <w:rStyle w:val="StyleUnderline"/>
        </w:rPr>
        <w:t xml:space="preserve"> for industry </w:t>
      </w:r>
      <w:r w:rsidRPr="00684BF3">
        <w:rPr>
          <w:rStyle w:val="Emphasis"/>
        </w:rPr>
        <w:t>to challenge agency actions</w:t>
      </w:r>
      <w:r w:rsidRPr="00684BF3">
        <w:rPr>
          <w:sz w:val="16"/>
        </w:rPr>
        <w:t xml:space="preserve"> they don’t like,” says Amanda Shafer Berman, counsel in the Environment &amp; Natural Resources and Litigation groups at Crowell &amp; Moring and a former senior attorney in the Department of Justice’s Environmental Defense Section. “But </w:t>
      </w:r>
      <w:r w:rsidRPr="00684BF3">
        <w:rPr>
          <w:rStyle w:val="StyleUnderline"/>
        </w:rPr>
        <w:t>it might make it harder for them to get what they want</w:t>
      </w:r>
      <w:r w:rsidRPr="00684BF3">
        <w:rPr>
          <w:sz w:val="16"/>
        </w:rPr>
        <w:t xml:space="preserve">.” In other words, </w:t>
      </w:r>
      <w:r w:rsidRPr="00684BF3">
        <w:rPr>
          <w:rStyle w:val="StyleUnderline"/>
        </w:rPr>
        <w:t xml:space="preserve">even as challenging agencies becomes easier, </w:t>
      </w:r>
      <w:r w:rsidRPr="00684BF3">
        <w:rPr>
          <w:rStyle w:val="Emphasis"/>
        </w:rPr>
        <w:t>agencies</w:t>
      </w:r>
      <w:r w:rsidRPr="00684BF3">
        <w:rPr>
          <w:rStyle w:val="StyleUnderline"/>
        </w:rPr>
        <w:t xml:space="preserve"> could </w:t>
      </w:r>
      <w:r w:rsidRPr="00684BF3">
        <w:rPr>
          <w:rStyle w:val="Emphasis"/>
        </w:rPr>
        <w:t>become slower and more cautious</w:t>
      </w:r>
      <w:r w:rsidRPr="00684BF3">
        <w:rPr>
          <w:rStyle w:val="StyleUnderline"/>
        </w:rPr>
        <w:t xml:space="preserve"> in ways that regulated businesses</w:t>
      </w:r>
      <w:r w:rsidRPr="00684BF3">
        <w:rPr>
          <w:sz w:val="16"/>
        </w:rPr>
        <w:t xml:space="preserve"> may </w:t>
      </w:r>
      <w:r w:rsidRPr="00684BF3">
        <w:rPr>
          <w:rStyle w:val="StyleUnderline"/>
        </w:rPr>
        <w:t>find frustrating</w:t>
      </w:r>
      <w:r w:rsidRPr="00684BF3">
        <w:rPr>
          <w:sz w:val="16"/>
        </w:rPr>
        <w:t xml:space="preserve">. Furthermore, </w:t>
      </w:r>
      <w:r w:rsidRPr="00684BF3">
        <w:rPr>
          <w:rStyle w:val="StyleUnderline"/>
        </w:rPr>
        <w:t xml:space="preserve">the </w:t>
      </w:r>
      <w:r w:rsidRPr="00684BF3">
        <w:rPr>
          <w:rStyle w:val="Emphasis"/>
        </w:rPr>
        <w:t>rollback in admin</w:t>
      </w:r>
      <w:r w:rsidRPr="00684BF3">
        <w:rPr>
          <w:rStyle w:val="StyleUnderline"/>
        </w:rPr>
        <w:t xml:space="preserve">istrative </w:t>
      </w:r>
      <w:r w:rsidRPr="00684BF3">
        <w:rPr>
          <w:rStyle w:val="Emphasis"/>
        </w:rPr>
        <w:t>power could</w:t>
      </w:r>
      <w:r w:rsidRPr="00684BF3">
        <w:rPr>
          <w:rStyle w:val="StyleUnderline"/>
        </w:rPr>
        <w:t xml:space="preserve"> </w:t>
      </w:r>
      <w:r w:rsidRPr="00684BF3">
        <w:rPr>
          <w:sz w:val="16"/>
        </w:rPr>
        <w:t xml:space="preserve">ultimately </w:t>
      </w:r>
      <w:r w:rsidRPr="00684BF3">
        <w:rPr>
          <w:rStyle w:val="Emphasis"/>
        </w:rPr>
        <w:t>result in</w:t>
      </w:r>
      <w:r w:rsidRPr="00684BF3">
        <w:rPr>
          <w:rStyle w:val="StyleUnderline"/>
        </w:rPr>
        <w:t xml:space="preserve"> greater </w:t>
      </w:r>
      <w:r w:rsidRPr="00684BF3">
        <w:rPr>
          <w:rStyle w:val="Emphasis"/>
        </w:rPr>
        <w:t>regulatory uncertainty</w:t>
      </w:r>
      <w:r w:rsidRPr="00684BF3">
        <w:rPr>
          <w:sz w:val="16"/>
        </w:rPr>
        <w:t>.</w:t>
      </w:r>
    </w:p>
    <w:p w14:paraId="121F1EF1" w14:textId="77777777" w:rsidR="003242AF" w:rsidRPr="00C80CAB" w:rsidRDefault="003242AF" w:rsidP="003242AF">
      <w:pPr>
        <w:pStyle w:val="Heading4"/>
        <w:rPr>
          <w:szCs w:val="26"/>
        </w:rPr>
      </w:pPr>
      <w:r w:rsidRPr="003242AF">
        <w:rPr>
          <w:i/>
          <w:iCs w:val="0"/>
          <w:szCs w:val="26"/>
        </w:rPr>
        <w:t>Chevron</w:t>
      </w:r>
      <w:r w:rsidRPr="00C80CAB">
        <w:rPr>
          <w:szCs w:val="26"/>
        </w:rPr>
        <w:t xml:space="preserve"> is </w:t>
      </w:r>
      <w:r>
        <w:rPr>
          <w:szCs w:val="26"/>
        </w:rPr>
        <w:t>dying.</w:t>
      </w:r>
    </w:p>
    <w:p w14:paraId="4EF2B826" w14:textId="77777777" w:rsidR="003242AF" w:rsidRPr="00684BF3" w:rsidRDefault="003242AF" w:rsidP="003242AF">
      <w:r w:rsidRPr="00C80CAB">
        <w:rPr>
          <w:rStyle w:val="Heading4Char"/>
          <w:szCs w:val="26"/>
        </w:rPr>
        <w:t>McGinnis 20</w:t>
      </w:r>
      <w:r w:rsidRPr="00684BF3">
        <w:t xml:space="preserve"> – (John O. McGinnis is the George C. Dix Professor in Constitutional Law at Northwestern University, graduate of Harvard College, Balliol College, Oxford, and Harvard Law School; “The Chevron Doctrine’s Shrinking Domain”; Law &amp; Liberty; D.A. June 27</w:t>
      </w:r>
      <w:r w:rsidRPr="00684BF3">
        <w:rPr>
          <w:vertAlign w:val="superscript"/>
        </w:rPr>
        <w:t>th</w:t>
      </w:r>
      <w:r w:rsidRPr="00684BF3">
        <w:t xml:space="preserve"> 2020, [Published April 23</w:t>
      </w:r>
      <w:r w:rsidRPr="00684BF3">
        <w:rPr>
          <w:vertAlign w:val="superscript"/>
        </w:rPr>
        <w:t>rd</w:t>
      </w:r>
      <w:r w:rsidRPr="00684BF3">
        <w:t xml:space="preserve"> 2020]; </w:t>
      </w:r>
      <w:hyperlink r:id="rId144" w:history="1">
        <w:r w:rsidRPr="00684BF3">
          <w:rPr>
            <w:rStyle w:val="Hyperlink"/>
          </w:rPr>
          <w:t>https://lawliberty.org/the-chevron-doctrines-shrinking-domain/</w:t>
        </w:r>
      </w:hyperlink>
      <w:r w:rsidRPr="00684BF3">
        <w:t>) //LFS—JCM</w:t>
      </w:r>
    </w:p>
    <w:p w14:paraId="508F7746" w14:textId="77777777" w:rsidR="003242AF" w:rsidRPr="00684BF3" w:rsidRDefault="003242AF" w:rsidP="003242AF">
      <w:pPr>
        <w:rPr>
          <w:sz w:val="16"/>
        </w:rPr>
      </w:pPr>
      <w:r w:rsidRPr="00684BF3">
        <w:t>[TITLE]:</w:t>
      </w:r>
      <w:r w:rsidRPr="00684BF3">
        <w:rPr>
          <w:sz w:val="16"/>
        </w:rPr>
        <w:t xml:space="preserve"> The </w:t>
      </w:r>
      <w:r w:rsidRPr="00456038">
        <w:rPr>
          <w:rStyle w:val="StyleUnderline"/>
          <w:highlight w:val="cyan"/>
        </w:rPr>
        <w:t>Chevron</w:t>
      </w:r>
      <w:r w:rsidRPr="00684BF3">
        <w:rPr>
          <w:sz w:val="16"/>
        </w:rPr>
        <w:t> Doctrine</w:t>
      </w:r>
      <w:r w:rsidRPr="00456038">
        <w:rPr>
          <w:rStyle w:val="StyleUnderline"/>
          <w:highlight w:val="cyan"/>
        </w:rPr>
        <w:t>’s</w:t>
      </w:r>
      <w:r w:rsidRPr="00684BF3">
        <w:rPr>
          <w:rStyle w:val="StyleUnderline"/>
        </w:rPr>
        <w:t xml:space="preserve"> </w:t>
      </w:r>
      <w:r w:rsidRPr="00456038">
        <w:rPr>
          <w:rStyle w:val="Emphasis"/>
          <w:highlight w:val="cyan"/>
        </w:rPr>
        <w:t>Shrinking</w:t>
      </w:r>
      <w:r w:rsidRPr="00684BF3">
        <w:rPr>
          <w:rStyle w:val="StyleUnderline"/>
        </w:rPr>
        <w:t xml:space="preserve"> Domain</w:t>
      </w:r>
    </w:p>
    <w:p w14:paraId="105D080B" w14:textId="7EA66962" w:rsidR="00B51F6B" w:rsidRDefault="003242AF" w:rsidP="00B51F6B">
      <w:pPr>
        <w:rPr>
          <w:rStyle w:val="StyleUnderline"/>
        </w:rPr>
      </w:pPr>
      <w:r w:rsidRPr="00684BF3">
        <w:rPr>
          <w:sz w:val="16"/>
        </w:rPr>
        <w:t>Today, </w:t>
      </w:r>
      <w:r w:rsidRPr="00684BF3">
        <w:rPr>
          <w:rStyle w:val="Emphasis"/>
        </w:rPr>
        <w:t xml:space="preserve">Chevron is </w:t>
      </w:r>
      <w:r w:rsidRPr="00456038">
        <w:rPr>
          <w:rStyle w:val="Emphasis"/>
          <w:highlight w:val="cyan"/>
        </w:rPr>
        <w:t>under fire</w:t>
      </w:r>
      <w:r w:rsidRPr="00456038">
        <w:rPr>
          <w:sz w:val="16"/>
          <w:highlight w:val="cyan"/>
        </w:rPr>
        <w:t>.</w:t>
      </w:r>
      <w:r w:rsidRPr="00684BF3">
        <w:rPr>
          <w:sz w:val="16"/>
        </w:rPr>
        <w:t xml:space="preserve"> It has not been overruled nor do I think it is likely to be. But </w:t>
      </w:r>
      <w:r w:rsidRPr="00456038">
        <w:rPr>
          <w:rStyle w:val="StyleUnderline"/>
          <w:highlight w:val="cyan"/>
        </w:rPr>
        <w:t>its domain</w:t>
      </w:r>
      <w:r w:rsidRPr="00684BF3">
        <w:rPr>
          <w:rStyle w:val="StyleUnderline"/>
        </w:rPr>
        <w:t xml:space="preserve"> is shrinking and </w:t>
      </w:r>
      <w:r w:rsidRPr="00456038">
        <w:rPr>
          <w:rStyle w:val="Emphasis"/>
          <w:highlight w:val="cyan"/>
        </w:rPr>
        <w:t>will continue</w:t>
      </w:r>
      <w:r w:rsidRPr="00456038">
        <w:rPr>
          <w:rStyle w:val="StyleUnderline"/>
          <w:highlight w:val="cyan"/>
        </w:rPr>
        <w:t xml:space="preserve"> to get </w:t>
      </w:r>
      <w:r w:rsidRPr="00456038">
        <w:rPr>
          <w:rStyle w:val="Emphasis"/>
          <w:highlight w:val="cyan"/>
        </w:rPr>
        <w:t>smaller</w:t>
      </w:r>
      <w:r w:rsidRPr="00684BF3">
        <w:rPr>
          <w:sz w:val="16"/>
        </w:rPr>
        <w:t xml:space="preserve">. If President </w:t>
      </w:r>
      <w:r w:rsidRPr="00456038">
        <w:rPr>
          <w:rStyle w:val="StyleUnderline"/>
          <w:highlight w:val="cyan"/>
        </w:rPr>
        <w:t>Trump</w:t>
      </w:r>
      <w:r w:rsidRPr="00684BF3">
        <w:rPr>
          <w:sz w:val="16"/>
        </w:rPr>
        <w:t xml:space="preserve"> </w:t>
      </w:r>
      <w:r w:rsidRPr="00684BF3">
        <w:rPr>
          <w:rStyle w:val="StyleUnderline"/>
        </w:rPr>
        <w:t>gets another term</w:t>
      </w:r>
      <w:r w:rsidRPr="00684BF3">
        <w:rPr>
          <w:sz w:val="16"/>
        </w:rPr>
        <w:t xml:space="preserve">, it may well </w:t>
      </w:r>
      <w:r w:rsidRPr="00456038">
        <w:rPr>
          <w:rStyle w:val="StyleUnderline"/>
          <w:highlight w:val="cyan"/>
        </w:rPr>
        <w:t>resemble the Cheshire cat</w:t>
      </w:r>
      <w:r w:rsidRPr="00684BF3">
        <w:rPr>
          <w:sz w:val="16"/>
        </w:rPr>
        <w:t>—</w:t>
      </w:r>
      <w:r w:rsidRPr="00456038">
        <w:rPr>
          <w:rStyle w:val="StyleUnderline"/>
          <w:highlight w:val="cyan"/>
        </w:rPr>
        <w:t>a</w:t>
      </w:r>
      <w:r w:rsidRPr="00684BF3">
        <w:rPr>
          <w:sz w:val="16"/>
        </w:rPr>
        <w:t xml:space="preserve"> still-powerful </w:t>
      </w:r>
      <w:r w:rsidRPr="00456038">
        <w:rPr>
          <w:rStyle w:val="StyleUnderline"/>
          <w:highlight w:val="cyan"/>
        </w:rPr>
        <w:t>symbol for</w:t>
      </w:r>
      <w:r w:rsidRPr="00684BF3">
        <w:rPr>
          <w:rStyle w:val="StyleUnderline"/>
        </w:rPr>
        <w:t xml:space="preserve"> a body of </w:t>
      </w:r>
      <w:r w:rsidRPr="00456038">
        <w:rPr>
          <w:rStyle w:val="StyleUnderline"/>
          <w:highlight w:val="cyan"/>
        </w:rPr>
        <w:t xml:space="preserve">law </w:t>
      </w:r>
      <w:r w:rsidRPr="00456038">
        <w:rPr>
          <w:rStyle w:val="Emphasis"/>
          <w:highlight w:val="cyan"/>
        </w:rPr>
        <w:t>without</w:t>
      </w:r>
      <w:r w:rsidRPr="00684BF3">
        <w:rPr>
          <w:sz w:val="16"/>
        </w:rPr>
        <w:t xml:space="preserve"> much </w:t>
      </w:r>
      <w:r w:rsidRPr="00456038">
        <w:rPr>
          <w:rStyle w:val="Emphasis"/>
          <w:highlight w:val="cyan"/>
        </w:rPr>
        <w:t>doctrinal substance</w:t>
      </w:r>
      <w:r w:rsidRPr="00684BF3">
        <w:rPr>
          <w:sz w:val="16"/>
        </w:rPr>
        <w:t xml:space="preserve">. Just as Chevron was an iconic decision marking the continuing rise of the power of the administrative state, </w:t>
      </w:r>
      <w:r w:rsidRPr="00684BF3">
        <w:rPr>
          <w:rStyle w:val="StyleUnderline"/>
        </w:rPr>
        <w:t>its relative decline in</w:t>
      </w:r>
      <w:r w:rsidRPr="00684BF3">
        <w:rPr>
          <w:sz w:val="16"/>
        </w:rPr>
        <w:t xml:space="preserve"> importance </w:t>
      </w:r>
      <w:r w:rsidRPr="00684BF3">
        <w:rPr>
          <w:rStyle w:val="StyleUnderline"/>
        </w:rPr>
        <w:t xml:space="preserve">captures the three reasons that </w:t>
      </w:r>
      <w:r w:rsidRPr="00456038">
        <w:rPr>
          <w:rStyle w:val="StyleUnderline"/>
          <w:highlight w:val="cyan"/>
        </w:rPr>
        <w:t xml:space="preserve">the </w:t>
      </w:r>
      <w:r w:rsidRPr="00456038">
        <w:rPr>
          <w:rStyle w:val="Emphasis"/>
          <w:highlight w:val="cyan"/>
        </w:rPr>
        <w:t>administrative state</w:t>
      </w:r>
      <w:r w:rsidRPr="00456038">
        <w:rPr>
          <w:rStyle w:val="StyleUnderline"/>
          <w:highlight w:val="cyan"/>
        </w:rPr>
        <w:t xml:space="preserve"> is </w:t>
      </w:r>
      <w:r w:rsidRPr="00456038">
        <w:rPr>
          <w:rStyle w:val="Emphasis"/>
          <w:highlight w:val="cyan"/>
        </w:rPr>
        <w:t>being cut</w:t>
      </w:r>
      <w:r w:rsidRPr="00684BF3">
        <w:rPr>
          <w:rStyle w:val="Emphasis"/>
        </w:rPr>
        <w:t xml:space="preserve"> </w:t>
      </w:r>
      <w:r w:rsidRPr="00456038">
        <w:rPr>
          <w:rStyle w:val="Emphasis"/>
          <w:highlight w:val="cyan"/>
        </w:rPr>
        <w:t>back</w:t>
      </w:r>
      <w:r w:rsidRPr="00684BF3">
        <w:rPr>
          <w:sz w:val="16"/>
        </w:rPr>
        <w:t xml:space="preserve">. Thus, this essay will use Chevron to introduce these three factors—the </w:t>
      </w:r>
      <w:r w:rsidRPr="00684BF3">
        <w:rPr>
          <w:rStyle w:val="StyleUnderline"/>
        </w:rPr>
        <w:t xml:space="preserve">return of </w:t>
      </w:r>
      <w:r w:rsidRPr="00456038">
        <w:rPr>
          <w:rStyle w:val="Emphasis"/>
          <w:highlight w:val="cyan"/>
        </w:rPr>
        <w:t>originalism</w:t>
      </w:r>
      <w:r w:rsidRPr="00684BF3">
        <w:rPr>
          <w:rStyle w:val="StyleUnderline"/>
        </w:rPr>
        <w:t xml:space="preserve">, the rise of </w:t>
      </w:r>
      <w:r w:rsidRPr="00456038">
        <w:rPr>
          <w:rStyle w:val="Emphasis"/>
          <w:highlight w:val="cyan"/>
        </w:rPr>
        <w:t>textualism</w:t>
      </w:r>
      <w:r w:rsidRPr="00684BF3">
        <w:rPr>
          <w:rStyle w:val="StyleUnderline"/>
        </w:rPr>
        <w:t xml:space="preserve">, </w:t>
      </w:r>
      <w:r w:rsidRPr="00456038">
        <w:rPr>
          <w:rStyle w:val="StyleUnderline"/>
          <w:highlight w:val="cyan"/>
        </w:rPr>
        <w:t>and</w:t>
      </w:r>
      <w:r w:rsidRPr="00684BF3">
        <w:rPr>
          <w:rStyle w:val="StyleUnderline"/>
        </w:rPr>
        <w:t xml:space="preserve"> the greater </w:t>
      </w:r>
      <w:r w:rsidRPr="00456038">
        <w:rPr>
          <w:rStyle w:val="Emphasis"/>
          <w:highlight w:val="cyan"/>
        </w:rPr>
        <w:t>distrust of</w:t>
      </w:r>
      <w:r w:rsidRPr="00456038">
        <w:rPr>
          <w:rStyle w:val="StyleUnderline"/>
          <w:highlight w:val="cyan"/>
        </w:rPr>
        <w:t xml:space="preserve"> unsupervised </w:t>
      </w:r>
      <w:r w:rsidRPr="00456038">
        <w:rPr>
          <w:rStyle w:val="Emphasis"/>
          <w:highlight w:val="cyan"/>
        </w:rPr>
        <w:t>expertise</w:t>
      </w:r>
      <w:r w:rsidRPr="00684BF3">
        <w:rPr>
          <w:sz w:val="16"/>
        </w:rPr>
        <w:t xml:space="preserve">—that are </w:t>
      </w:r>
      <w:r w:rsidRPr="00456038">
        <w:rPr>
          <w:rStyle w:val="StyleUnderline"/>
          <w:highlight w:val="cyan"/>
        </w:rPr>
        <w:t xml:space="preserve">transforming </w:t>
      </w:r>
      <w:r w:rsidRPr="00456038">
        <w:rPr>
          <w:rStyle w:val="Emphasis"/>
          <w:highlight w:val="cyan"/>
        </w:rPr>
        <w:t>admin</w:t>
      </w:r>
      <w:r w:rsidRPr="00456038">
        <w:rPr>
          <w:rStyle w:val="StyleUnderline"/>
          <w:highlight w:val="cyan"/>
        </w:rPr>
        <w:t xml:space="preserve">istrative </w:t>
      </w:r>
      <w:r w:rsidRPr="00456038">
        <w:rPr>
          <w:rStyle w:val="Emphasis"/>
          <w:highlight w:val="cyan"/>
        </w:rPr>
        <w:t>law</w:t>
      </w:r>
      <w:r w:rsidRPr="00684BF3">
        <w:rPr>
          <w:sz w:val="16"/>
        </w:rPr>
        <w:t xml:space="preserve"> </w:t>
      </w:r>
      <w:r w:rsidRPr="00684BF3">
        <w:rPr>
          <w:rStyle w:val="StyleUnderline"/>
        </w:rPr>
        <w:t>and</w:t>
      </w:r>
      <w:r w:rsidRPr="00684BF3">
        <w:rPr>
          <w:sz w:val="16"/>
        </w:rPr>
        <w:t xml:space="preserve">, with it, </w:t>
      </w:r>
      <w:r w:rsidRPr="00684BF3">
        <w:rPr>
          <w:rStyle w:val="StyleUnderline"/>
        </w:rPr>
        <w:t>the administrative state.</w:t>
      </w:r>
    </w:p>
    <w:p w14:paraId="5125E0F1" w14:textId="2A25A8AB" w:rsidR="00B51F6B" w:rsidRPr="00B51F6B" w:rsidRDefault="00B51F6B" w:rsidP="00B51F6B">
      <w:pPr>
        <w:pStyle w:val="Heading4"/>
      </w:pPr>
      <w:r>
        <w:t xml:space="preserve">It now lives on </w:t>
      </w:r>
      <w:r>
        <w:rPr>
          <w:u w:val="single"/>
        </w:rPr>
        <w:t>zombified</w:t>
      </w:r>
      <w:r>
        <w:t xml:space="preserve"> – that’s effectively </w:t>
      </w:r>
      <w:r>
        <w:rPr>
          <w:u w:val="single"/>
        </w:rPr>
        <w:t>legislating from the bench</w:t>
      </w:r>
      <w:r>
        <w:t>.</w:t>
      </w:r>
    </w:p>
    <w:p w14:paraId="5C0A594C" w14:textId="77777777" w:rsidR="00B51F6B" w:rsidRPr="0000458A" w:rsidRDefault="00B51F6B" w:rsidP="00B51F6B">
      <w:r w:rsidRPr="0000458A">
        <w:rPr>
          <w:rStyle w:val="Heading4Char"/>
        </w:rPr>
        <w:t>Liu 15</w:t>
      </w:r>
      <w:r w:rsidRPr="0000458A">
        <w:t xml:space="preserve"> – (Cory R. Liu, Law Clerk, Hon. Danny J. Boggs, United States Court of Appeals for the Sixth Circuit; J.D., Harvard Law School, 2015; A.B., University of Chicago, 2012; “CHEVRON’S DOMAIN AND THE RULE OF LAW”; D.A. June 20</w:t>
      </w:r>
      <w:r w:rsidRPr="0000458A">
        <w:rPr>
          <w:vertAlign w:val="superscript"/>
        </w:rPr>
        <w:t>th</w:t>
      </w:r>
      <w:r w:rsidRPr="0000458A">
        <w:t xml:space="preserve"> 2020, [Published Spring 2016]; Texas Review of Law &amp; Politics, Vol. 20, Issue 2, pg. 405-410; ProQuest via UMich libraries) //LFS—JCM</w:t>
      </w:r>
    </w:p>
    <w:p w14:paraId="1410A782" w14:textId="77777777" w:rsidR="00B51F6B" w:rsidRPr="0000458A" w:rsidRDefault="00B51F6B" w:rsidP="00B51F6B">
      <w:pPr>
        <w:rPr>
          <w:sz w:val="16"/>
        </w:rPr>
      </w:pPr>
      <w:r w:rsidRPr="0000458A">
        <w:rPr>
          <w:sz w:val="16"/>
        </w:rPr>
        <w:t xml:space="preserve">Today, </w:t>
      </w:r>
      <w:r w:rsidRPr="00456038">
        <w:rPr>
          <w:rStyle w:val="StyleUnderline"/>
          <w:highlight w:val="cyan"/>
        </w:rPr>
        <w:t xml:space="preserve">the </w:t>
      </w:r>
      <w:r w:rsidRPr="00456038">
        <w:rPr>
          <w:rStyle w:val="Emphasis"/>
          <w:highlight w:val="cyan"/>
        </w:rPr>
        <w:t>attack on Chevron</w:t>
      </w:r>
      <w:r w:rsidRPr="00456038">
        <w:rPr>
          <w:rStyle w:val="StyleUnderline"/>
          <w:highlight w:val="cyan"/>
        </w:rPr>
        <w:t xml:space="preserve"> is </w:t>
      </w:r>
      <w:r w:rsidRPr="00456038">
        <w:rPr>
          <w:rStyle w:val="Emphasis"/>
          <w:highlight w:val="cyan"/>
        </w:rPr>
        <w:t>relentless</w:t>
      </w:r>
      <w:r w:rsidRPr="0000458A">
        <w:rPr>
          <w:sz w:val="16"/>
        </w:rPr>
        <w:t xml:space="preserve">. Several </w:t>
      </w:r>
      <w:r w:rsidRPr="0000458A">
        <w:rPr>
          <w:rStyle w:val="StyleUnderline"/>
        </w:rPr>
        <w:t>Justices have openly encouraged litigants to challenge the scope of Chevron's domain</w:t>
      </w:r>
      <w:r w:rsidRPr="0000458A">
        <w:rPr>
          <w:sz w:val="16"/>
        </w:rPr>
        <w:t xml:space="preserve">. In Whitman v. United States, Justices Scalia and Thomas endorsed the hybrid-statute argument espoused by Judge Sutton in Carter and Esquivel-Quintana.125 In Perez v. Mortgage Bankers Ass'n, 126 Justices </w:t>
      </w:r>
      <w:r w:rsidRPr="0000458A">
        <w:rPr>
          <w:rStyle w:val="Emphasis"/>
        </w:rPr>
        <w:t>Scalia</w:t>
      </w:r>
      <w:r w:rsidRPr="0000458A">
        <w:rPr>
          <w:rStyle w:val="StyleUnderline"/>
        </w:rPr>
        <w:t xml:space="preserve">, </w:t>
      </w:r>
      <w:r w:rsidRPr="00456038">
        <w:rPr>
          <w:rStyle w:val="Emphasis"/>
          <w:highlight w:val="cyan"/>
        </w:rPr>
        <w:t>Thomas</w:t>
      </w:r>
      <w:r w:rsidRPr="00456038">
        <w:rPr>
          <w:rStyle w:val="StyleUnderline"/>
          <w:highlight w:val="cyan"/>
        </w:rPr>
        <w:t xml:space="preserve">, and </w:t>
      </w:r>
      <w:r w:rsidRPr="00456038">
        <w:rPr>
          <w:rStyle w:val="Emphasis"/>
          <w:highlight w:val="cyan"/>
        </w:rPr>
        <w:t>Alito</w:t>
      </w:r>
      <w:r w:rsidRPr="00456038">
        <w:rPr>
          <w:rStyle w:val="StyleUnderline"/>
          <w:highlight w:val="cyan"/>
        </w:rPr>
        <w:t xml:space="preserve"> signaled their willingness to </w:t>
      </w:r>
      <w:r w:rsidRPr="00456038">
        <w:rPr>
          <w:rStyle w:val="Emphasis"/>
          <w:highlight w:val="cyan"/>
        </w:rPr>
        <w:t>eliminate deference</w:t>
      </w:r>
      <w:r w:rsidRPr="0000458A">
        <w:rPr>
          <w:rStyle w:val="StyleUnderline"/>
        </w:rPr>
        <w:t xml:space="preserve"> to agencies' interpretations of their own regulations</w:t>
      </w:r>
      <w:r w:rsidRPr="0000458A">
        <w:rPr>
          <w:sz w:val="16"/>
        </w:rPr>
        <w:t xml:space="preserve">,127 a position which Justice Thomas reiterated in United Student Aid Funds, Inc. v. Bible.128 And </w:t>
      </w:r>
      <w:r w:rsidRPr="0000458A">
        <w:rPr>
          <w:rStyle w:val="StyleUnderline"/>
        </w:rPr>
        <w:t xml:space="preserve">in </w:t>
      </w:r>
      <w:r w:rsidRPr="00456038">
        <w:rPr>
          <w:rStyle w:val="Emphasis"/>
          <w:highlight w:val="cyan"/>
        </w:rPr>
        <w:t>Michigan v. EPA</w:t>
      </w:r>
      <w:r w:rsidRPr="0000458A">
        <w:rPr>
          <w:rStyle w:val="StyleUnderline"/>
        </w:rPr>
        <w:t xml:space="preserve">, Justice </w:t>
      </w:r>
      <w:r w:rsidRPr="00456038">
        <w:rPr>
          <w:rStyle w:val="Emphasis"/>
          <w:highlight w:val="cyan"/>
        </w:rPr>
        <w:t>Thomas called for</w:t>
      </w:r>
      <w:r w:rsidRPr="00456038">
        <w:rPr>
          <w:rStyle w:val="StyleUnderline"/>
          <w:highlight w:val="cyan"/>
        </w:rPr>
        <w:t xml:space="preserve"> a total </w:t>
      </w:r>
      <w:r w:rsidRPr="00456038">
        <w:rPr>
          <w:rStyle w:val="Emphasis"/>
          <w:highlight w:val="cyan"/>
        </w:rPr>
        <w:t>abolition</w:t>
      </w:r>
      <w:r w:rsidRPr="0000458A">
        <w:rPr>
          <w:rStyle w:val="StyleUnderline"/>
        </w:rPr>
        <w:t xml:space="preserve"> of Chevron deference</w:t>
      </w:r>
      <w:r w:rsidRPr="0000458A">
        <w:rPr>
          <w:sz w:val="16"/>
        </w:rPr>
        <w:t xml:space="preserve">.129 </w:t>
      </w:r>
      <w:r w:rsidRPr="0000458A">
        <w:rPr>
          <w:rStyle w:val="StyleUnderline"/>
        </w:rPr>
        <w:t xml:space="preserve">These anti-Chevron positions may not gain the support of a majority of the Justices </w:t>
      </w:r>
      <w:r w:rsidRPr="0000458A">
        <w:rPr>
          <w:sz w:val="16"/>
        </w:rPr>
        <w:t xml:space="preserve">in the near future, </w:t>
      </w:r>
      <w:r w:rsidRPr="0000458A">
        <w:rPr>
          <w:rStyle w:val="StyleUnderline"/>
        </w:rPr>
        <w:t xml:space="preserve">but </w:t>
      </w:r>
      <w:r w:rsidRPr="00456038">
        <w:rPr>
          <w:rStyle w:val="StyleUnderline"/>
          <w:highlight w:val="cyan"/>
        </w:rPr>
        <w:t>they</w:t>
      </w:r>
      <w:r w:rsidRPr="0000458A">
        <w:rPr>
          <w:rStyle w:val="StyleUnderline"/>
        </w:rPr>
        <w:t xml:space="preserve"> do </w:t>
      </w:r>
      <w:r w:rsidRPr="00456038">
        <w:rPr>
          <w:rStyle w:val="Emphasis"/>
          <w:highlight w:val="cyan"/>
        </w:rPr>
        <w:t>indicate a shift in</w:t>
      </w:r>
      <w:r w:rsidRPr="0000458A">
        <w:rPr>
          <w:rStyle w:val="StyleUnderline"/>
        </w:rPr>
        <w:t xml:space="preserve"> </w:t>
      </w:r>
      <w:r w:rsidRPr="00456038">
        <w:rPr>
          <w:rStyle w:val="StyleUnderline"/>
          <w:highlight w:val="cyan"/>
        </w:rPr>
        <w:t>thinking among</w:t>
      </w:r>
      <w:r w:rsidRPr="0000458A">
        <w:rPr>
          <w:rStyle w:val="StyleUnderline"/>
        </w:rPr>
        <w:t xml:space="preserve"> the </w:t>
      </w:r>
      <w:r w:rsidRPr="00456038">
        <w:rPr>
          <w:rStyle w:val="Emphasis"/>
          <w:highlight w:val="cyan"/>
        </w:rPr>
        <w:t>conservative Justices</w:t>
      </w:r>
      <w:r w:rsidRPr="0000458A">
        <w:rPr>
          <w:rStyle w:val="StyleUnderline"/>
        </w:rPr>
        <w:t xml:space="preserve"> about the desirability of broad Chevron deference</w:t>
      </w:r>
      <w:r w:rsidRPr="0000458A">
        <w:rPr>
          <w:sz w:val="16"/>
        </w:rPr>
        <w:t xml:space="preserve">. Justice </w:t>
      </w:r>
      <w:r w:rsidRPr="0000458A">
        <w:rPr>
          <w:rStyle w:val="StyleUnderline"/>
        </w:rPr>
        <w:t>Scalia-who once championed an acrossthe-board presumption of Chevron's applicability</w:t>
      </w:r>
      <w:r w:rsidRPr="0000458A">
        <w:rPr>
          <w:sz w:val="16"/>
        </w:rPr>
        <w:t xml:space="preserve"> to promote the rule of law-</w:t>
      </w:r>
      <w:r w:rsidRPr="0000458A">
        <w:rPr>
          <w:rStyle w:val="StyleUnderline"/>
        </w:rPr>
        <w:t xml:space="preserve">appears to have </w:t>
      </w:r>
      <w:r w:rsidRPr="00456038">
        <w:rPr>
          <w:rStyle w:val="StyleUnderline"/>
          <w:highlight w:val="cyan"/>
        </w:rPr>
        <w:t>reconsidered</w:t>
      </w:r>
      <w:r w:rsidRPr="0000458A">
        <w:rPr>
          <w:rStyle w:val="StyleUnderline"/>
        </w:rPr>
        <w:t xml:space="preserve"> his support for deference</w:t>
      </w:r>
      <w:r w:rsidRPr="0000458A">
        <w:rPr>
          <w:sz w:val="16"/>
        </w:rPr>
        <w:t xml:space="preserve"> in his final years on the Court. Despite his vigorous denunciation of Chief Justice Roberts's dissent in City of Arlington, it may well be that Justice Scalia came to be persuaded of "</w:t>
      </w:r>
      <w:r w:rsidRPr="00456038">
        <w:rPr>
          <w:rStyle w:val="StyleUnderline"/>
          <w:highlight w:val="cyan"/>
        </w:rPr>
        <w:t xml:space="preserve">the </w:t>
      </w:r>
      <w:r w:rsidRPr="00456038">
        <w:rPr>
          <w:rStyle w:val="Emphasis"/>
          <w:highlight w:val="cyan"/>
        </w:rPr>
        <w:t>danger posed by</w:t>
      </w:r>
      <w:r w:rsidRPr="00456038">
        <w:rPr>
          <w:rStyle w:val="StyleUnderline"/>
          <w:highlight w:val="cyan"/>
        </w:rPr>
        <w:t xml:space="preserve"> the</w:t>
      </w:r>
      <w:r w:rsidRPr="0000458A">
        <w:rPr>
          <w:rStyle w:val="StyleUnderline"/>
        </w:rPr>
        <w:t xml:space="preserve"> growing power of </w:t>
      </w:r>
      <w:r w:rsidRPr="0000458A">
        <w:rPr>
          <w:rStyle w:val="Emphasis"/>
        </w:rPr>
        <w:t xml:space="preserve">the </w:t>
      </w:r>
      <w:r w:rsidRPr="00456038">
        <w:rPr>
          <w:rStyle w:val="Emphasis"/>
          <w:highlight w:val="cyan"/>
        </w:rPr>
        <w:t>administrative state</w:t>
      </w:r>
      <w:r w:rsidRPr="0000458A">
        <w:rPr>
          <w:rStyle w:val="StyleUnderline"/>
        </w:rPr>
        <w:t>.</w:t>
      </w:r>
      <w:r w:rsidRPr="0000458A">
        <w:rPr>
          <w:sz w:val="16"/>
        </w:rPr>
        <w:t>" 130</w:t>
      </w:r>
    </w:p>
    <w:p w14:paraId="5DF6D31B" w14:textId="77777777" w:rsidR="00B51F6B" w:rsidRPr="0000458A" w:rsidRDefault="00B51F6B" w:rsidP="00B51F6B">
      <w:pPr>
        <w:rPr>
          <w:sz w:val="16"/>
        </w:rPr>
      </w:pPr>
      <w:r w:rsidRPr="0000458A">
        <w:rPr>
          <w:sz w:val="16"/>
        </w:rPr>
        <w:t xml:space="preserve">As </w:t>
      </w:r>
      <w:r w:rsidRPr="0000458A">
        <w:rPr>
          <w:rStyle w:val="StyleUnderline"/>
        </w:rPr>
        <w:t xml:space="preserve">the </w:t>
      </w:r>
      <w:r w:rsidRPr="0000458A">
        <w:rPr>
          <w:rStyle w:val="Emphasis"/>
        </w:rPr>
        <w:t>conservative Justices</w:t>
      </w:r>
      <w:r w:rsidRPr="0000458A">
        <w:rPr>
          <w:rStyle w:val="StyleUnderline"/>
        </w:rPr>
        <w:t xml:space="preserve"> have become increasingly </w:t>
      </w:r>
      <w:r w:rsidRPr="0000458A">
        <w:rPr>
          <w:rStyle w:val="Emphasis"/>
        </w:rPr>
        <w:t>hostile to Chevron</w:t>
      </w:r>
      <w:r w:rsidRPr="0000458A">
        <w:rPr>
          <w:rStyle w:val="StyleUnderline"/>
        </w:rPr>
        <w:t xml:space="preserve"> deference</w:t>
      </w:r>
      <w:r w:rsidRPr="0000458A">
        <w:rPr>
          <w:sz w:val="16"/>
        </w:rPr>
        <w:t xml:space="preserve">, none of the liberal Justices have taken to championing Justice Scalia's across-the-board presumption. In light of Justice Breyer's totality-of-the-circumstances approach in Barnhart and Chief Justice Roberts's adoption of that approach in King, it now seems that </w:t>
      </w:r>
      <w:r w:rsidRPr="00456038">
        <w:rPr>
          <w:rStyle w:val="Emphasis"/>
          <w:highlight w:val="cyan"/>
        </w:rPr>
        <w:t>support on the Court</w:t>
      </w:r>
      <w:r w:rsidRPr="0000458A">
        <w:rPr>
          <w:rStyle w:val="StyleUnderline"/>
        </w:rPr>
        <w:t xml:space="preserve"> for an across-theboard presumption </w:t>
      </w:r>
      <w:r w:rsidRPr="00456038">
        <w:rPr>
          <w:rStyle w:val="Emphasis"/>
          <w:highlight w:val="cyan"/>
        </w:rPr>
        <w:t>is at an all-time low</w:t>
      </w:r>
      <w:r w:rsidRPr="0000458A">
        <w:rPr>
          <w:rStyle w:val="StyleUnderline"/>
        </w:rPr>
        <w:t>.</w:t>
      </w:r>
    </w:p>
    <w:p w14:paraId="48661C6B" w14:textId="01C4815D" w:rsidR="00B51F6B" w:rsidRPr="00B51F6B" w:rsidRDefault="00B51F6B" w:rsidP="003242AF">
      <w:pPr>
        <w:rPr>
          <w:rStyle w:val="StyleUnderline"/>
          <w:sz w:val="16"/>
          <w:u w:val="none"/>
        </w:rPr>
      </w:pPr>
      <w:r w:rsidRPr="0000458A">
        <w:rPr>
          <w:sz w:val="16"/>
        </w:rPr>
        <w:t xml:space="preserve">In the early years of Justice Scalia's career, he envisioned a rulebased approach to Chevron deference. But that vision can only be realized if courts consistently and uniformly adopt his approach. That scenario is unlikely ever to occur. Because Chevron is a judgemade doctrine, judges will always decide the scope of Chevron's domain. As history has shown, those </w:t>
      </w:r>
      <w:r w:rsidRPr="00456038">
        <w:rPr>
          <w:rStyle w:val="StyleUnderline"/>
          <w:highlight w:val="cyan"/>
        </w:rPr>
        <w:t xml:space="preserve">judges will </w:t>
      </w:r>
      <w:r w:rsidRPr="00456038">
        <w:rPr>
          <w:rStyle w:val="Emphasis"/>
          <w:highlight w:val="cyan"/>
        </w:rPr>
        <w:t>inevitably have differing opinions</w:t>
      </w:r>
      <w:r w:rsidRPr="0000458A">
        <w:rPr>
          <w:rStyle w:val="StyleUnderline"/>
        </w:rPr>
        <w:t>, oftentimes based on policy judgments</w:t>
      </w:r>
      <w:r w:rsidRPr="0000458A">
        <w:rPr>
          <w:sz w:val="16"/>
        </w:rPr>
        <w:t xml:space="preserve">. As a result, </w:t>
      </w:r>
      <w:r w:rsidRPr="0000458A">
        <w:rPr>
          <w:rStyle w:val="Emphasis"/>
        </w:rPr>
        <w:t xml:space="preserve">there </w:t>
      </w:r>
      <w:r w:rsidRPr="00456038">
        <w:rPr>
          <w:rStyle w:val="Emphasis"/>
          <w:highlight w:val="cyan"/>
        </w:rPr>
        <w:t>will always be uncertainty</w:t>
      </w:r>
      <w:r w:rsidRPr="0000458A">
        <w:rPr>
          <w:rStyle w:val="StyleUnderline"/>
        </w:rPr>
        <w:t xml:space="preserve"> and unpredictability about which cases are "beyond the Chevron pale."</w:t>
      </w:r>
      <w:r w:rsidRPr="0000458A">
        <w:rPr>
          <w:sz w:val="16"/>
        </w:rPr>
        <w:t xml:space="preserve">131 Despite Justice Scalia's best efforts, </w:t>
      </w:r>
      <w:r w:rsidRPr="00456038">
        <w:rPr>
          <w:rStyle w:val="Emphasis"/>
          <w:highlight w:val="cyan"/>
        </w:rPr>
        <w:t>Chevron</w:t>
      </w:r>
      <w:r w:rsidRPr="0000458A">
        <w:rPr>
          <w:rStyle w:val="StyleUnderline"/>
        </w:rPr>
        <w:t xml:space="preserve"> </w:t>
      </w:r>
      <w:r w:rsidRPr="00456038">
        <w:rPr>
          <w:rStyle w:val="StyleUnderline"/>
          <w:highlight w:val="cyan"/>
        </w:rPr>
        <w:t xml:space="preserve">has become a doctrine that </w:t>
      </w:r>
      <w:r w:rsidRPr="00456038">
        <w:rPr>
          <w:rStyle w:val="Emphasis"/>
          <w:highlight w:val="cyan"/>
        </w:rPr>
        <w:t>undermines the rule of law</w:t>
      </w:r>
      <w:r w:rsidRPr="00456038">
        <w:rPr>
          <w:sz w:val="16"/>
          <w:highlight w:val="cyan"/>
        </w:rPr>
        <w:t>.</w:t>
      </w:r>
    </w:p>
    <w:p w14:paraId="35C1DC95" w14:textId="30DE3F2C" w:rsidR="003242AF" w:rsidRPr="003242AF" w:rsidRDefault="003242AF" w:rsidP="003242AF">
      <w:pPr>
        <w:pStyle w:val="Heading4"/>
        <w:rPr>
          <w:szCs w:val="26"/>
        </w:rPr>
      </w:pPr>
      <w:r>
        <w:rPr>
          <w:i/>
          <w:iCs w:val="0"/>
          <w:szCs w:val="26"/>
        </w:rPr>
        <w:t>Chevron</w:t>
      </w:r>
      <w:r>
        <w:rPr>
          <w:szCs w:val="26"/>
        </w:rPr>
        <w:t xml:space="preserve"> avoidance thumps.</w:t>
      </w:r>
    </w:p>
    <w:p w14:paraId="6938079C" w14:textId="77777777" w:rsidR="003242AF" w:rsidRPr="00684BF3" w:rsidRDefault="003242AF" w:rsidP="003242AF">
      <w:r w:rsidRPr="00C80CAB">
        <w:rPr>
          <w:rStyle w:val="Heading4Char"/>
          <w:szCs w:val="26"/>
        </w:rPr>
        <w:t>Kagan 19</w:t>
      </w:r>
      <w:r w:rsidRPr="00684BF3">
        <w:t xml:space="preserve"> – (Michael Kagan, B.A. Northwestern University, J.D. University of Michigan Law School. Professor of Law, The University of Nevada, Las Vegas, William S. Boyd School of Law; “Chevron’s Liberty Exception”; Iowa Law Review; D.A. June 25</w:t>
      </w:r>
      <w:r w:rsidRPr="00684BF3">
        <w:rPr>
          <w:vertAlign w:val="superscript"/>
        </w:rPr>
        <w:t>th</w:t>
      </w:r>
      <w:r w:rsidRPr="00684BF3">
        <w:t xml:space="preserve"> 2020, [Published 2019]; </w:t>
      </w:r>
      <w:hyperlink r:id="rId145" w:history="1">
        <w:r w:rsidRPr="00684BF3">
          <w:rPr>
            <w:rStyle w:val="Hyperlink"/>
          </w:rPr>
          <w:t>https://ilr.law.uiowa.edu/print/volume-104-issue-2/new-article/</w:t>
        </w:r>
      </w:hyperlink>
      <w:r w:rsidRPr="00684BF3">
        <w:t>) //LFS—JCM</w:t>
      </w:r>
    </w:p>
    <w:p w14:paraId="2588D074" w14:textId="77777777" w:rsidR="003242AF" w:rsidRPr="00684BF3" w:rsidRDefault="003242AF" w:rsidP="003242AF">
      <w:pPr>
        <w:rPr>
          <w:rStyle w:val="StyleUnderline"/>
        </w:rPr>
      </w:pPr>
      <w:r w:rsidRPr="00684BF3">
        <w:rPr>
          <w:sz w:val="16"/>
        </w:rPr>
        <w:t xml:space="preserve">These two groups of cases are summarized below in Table 2. They illustrate the </w:t>
      </w:r>
      <w:r w:rsidRPr="00684BF3">
        <w:rPr>
          <w:rStyle w:val="StyleUnderline"/>
        </w:rPr>
        <w:t>two types of soft anti-Chevron decisions, those where Chevron is entirely ignored in the decision</w:t>
      </w:r>
      <w:r w:rsidRPr="00684BF3">
        <w:rPr>
          <w:sz w:val="16"/>
        </w:rPr>
        <w:t xml:space="preserve">, and those </w:t>
      </w:r>
      <w:r w:rsidRPr="00684BF3">
        <w:rPr>
          <w:rStyle w:val="StyleUnderline"/>
        </w:rPr>
        <w:t>where it is mentioned but seems irrelevant</w:t>
      </w:r>
      <w:r w:rsidRPr="00684BF3">
        <w:rPr>
          <w:sz w:val="16"/>
        </w:rPr>
        <w:t xml:space="preserve"> to the result. </w:t>
      </w:r>
      <w:r w:rsidRPr="00456038">
        <w:rPr>
          <w:rStyle w:val="StyleUnderline"/>
          <w:highlight w:val="cyan"/>
        </w:rPr>
        <w:t>The pattern</w:t>
      </w:r>
      <w:r w:rsidRPr="00684BF3">
        <w:rPr>
          <w:rStyle w:val="StyleUnderline"/>
        </w:rPr>
        <w:t xml:space="preserve"> here </w:t>
      </w:r>
      <w:r w:rsidRPr="00456038">
        <w:rPr>
          <w:rStyle w:val="StyleUnderline"/>
          <w:highlight w:val="cyan"/>
        </w:rPr>
        <w:t>is</w:t>
      </w:r>
      <w:r w:rsidRPr="00684BF3">
        <w:rPr>
          <w:rStyle w:val="StyleUnderline"/>
        </w:rPr>
        <w:t xml:space="preserve"> quite </w:t>
      </w:r>
      <w:r w:rsidRPr="00456038">
        <w:rPr>
          <w:rStyle w:val="StyleUnderline"/>
          <w:highlight w:val="cyan"/>
        </w:rPr>
        <w:t>strong</w:t>
      </w:r>
      <w:r w:rsidRPr="00684BF3">
        <w:rPr>
          <w:sz w:val="16"/>
        </w:rPr>
        <w:t xml:space="preserve">, especially when compared with the immigration cases that did not involve criminal grounds of removal, which I discussed in Section III.D. </w:t>
      </w:r>
      <w:r w:rsidRPr="00684BF3">
        <w:rPr>
          <w:rStyle w:val="StyleUnderline"/>
        </w:rPr>
        <w:t>Consistently, in case after case</w:t>
      </w:r>
      <w:r w:rsidRPr="00684BF3">
        <w:rPr>
          <w:sz w:val="16"/>
        </w:rPr>
        <w:t xml:space="preserve"> in this category, </w:t>
      </w:r>
      <w:r w:rsidRPr="00456038">
        <w:rPr>
          <w:rStyle w:val="StyleUnderline"/>
          <w:highlight w:val="cyan"/>
        </w:rPr>
        <w:t xml:space="preserve">the </w:t>
      </w:r>
      <w:r w:rsidRPr="00456038">
        <w:rPr>
          <w:rStyle w:val="Emphasis"/>
          <w:highlight w:val="cyan"/>
        </w:rPr>
        <w:t>Court does not defer</w:t>
      </w:r>
      <w:r w:rsidRPr="00456038">
        <w:rPr>
          <w:rStyle w:val="StyleUnderline"/>
          <w:highlight w:val="cyan"/>
        </w:rPr>
        <w:t xml:space="preserve"> to the</w:t>
      </w:r>
      <w:r w:rsidRPr="00684BF3">
        <w:rPr>
          <w:rStyle w:val="StyleUnderline"/>
        </w:rPr>
        <w:t xml:space="preserve"> </w:t>
      </w:r>
      <w:r w:rsidRPr="00456038">
        <w:rPr>
          <w:rStyle w:val="Emphasis"/>
          <w:highlight w:val="cyan"/>
        </w:rPr>
        <w:t>A</w:t>
      </w:r>
      <w:r w:rsidRPr="00684BF3">
        <w:rPr>
          <w:rStyle w:val="StyleUnderline"/>
        </w:rPr>
        <w:t xml:space="preserve">ttorney </w:t>
      </w:r>
      <w:r w:rsidRPr="00456038">
        <w:rPr>
          <w:rStyle w:val="Emphasis"/>
          <w:highlight w:val="cyan"/>
        </w:rPr>
        <w:t>G</w:t>
      </w:r>
      <w:r w:rsidRPr="00684BF3">
        <w:rPr>
          <w:rStyle w:val="StyleUnderline"/>
        </w:rPr>
        <w:t>eneral (</w:t>
      </w:r>
      <w:r w:rsidRPr="00456038">
        <w:rPr>
          <w:rStyle w:val="StyleUnderline"/>
          <w:highlight w:val="cyan"/>
        </w:rPr>
        <w:t xml:space="preserve">or the </w:t>
      </w:r>
      <w:r w:rsidRPr="00456038">
        <w:rPr>
          <w:rStyle w:val="Emphasis"/>
          <w:highlight w:val="cyan"/>
        </w:rPr>
        <w:t>BIA</w:t>
      </w:r>
      <w:r w:rsidRPr="00684BF3">
        <w:rPr>
          <w:rStyle w:val="StyleUnderline"/>
        </w:rPr>
        <w:t>)</w:t>
      </w:r>
      <w:r w:rsidRPr="00684BF3">
        <w:rPr>
          <w:sz w:val="16"/>
        </w:rPr>
        <w:t xml:space="preserve">. </w:t>
      </w:r>
      <w:r w:rsidRPr="00456038">
        <w:rPr>
          <w:rStyle w:val="StyleUnderline"/>
          <w:highlight w:val="cyan"/>
        </w:rPr>
        <w:t>It would always be possible to quibble about Chevron’s non-application</w:t>
      </w:r>
      <w:r w:rsidRPr="00684BF3">
        <w:rPr>
          <w:sz w:val="16"/>
        </w:rPr>
        <w:t xml:space="preserve"> in an individual instance. For instance, perhaps sometimes the statute really is clear. The “without remuneration” exception for marijuana distribution in Moncrieffe might be such an example. But </w:t>
      </w:r>
      <w:r w:rsidRPr="00684BF3">
        <w:rPr>
          <w:rStyle w:val="StyleUnderline"/>
        </w:rPr>
        <w:t>if the Court cared about Chevron in these cases</w:t>
      </w:r>
      <w:r w:rsidRPr="00684BF3">
        <w:rPr>
          <w:sz w:val="16"/>
        </w:rPr>
        <w:t xml:space="preserve">, </w:t>
      </w:r>
      <w:r w:rsidRPr="00684BF3">
        <w:rPr>
          <w:rStyle w:val="StyleUnderline"/>
        </w:rPr>
        <w:t>it could simply categorize this is a Step One decision</w:t>
      </w:r>
      <w:r w:rsidRPr="00684BF3">
        <w:rPr>
          <w:sz w:val="16"/>
        </w:rPr>
        <w:t xml:space="preserve">. In other cases the statutory language is decidedly ambiguous, if the concept of ambiguity is to have any coherency. To borrow Chief Justice Roberts’ famous statement that </w:t>
      </w:r>
      <w:r w:rsidRPr="00456038">
        <w:rPr>
          <w:rStyle w:val="StyleUnderline"/>
          <w:highlight w:val="cyan"/>
        </w:rPr>
        <w:t>to be a judge is to</w:t>
      </w:r>
      <w:r w:rsidRPr="00684BF3">
        <w:rPr>
          <w:rStyle w:val="StyleUnderline"/>
        </w:rPr>
        <w:t xml:space="preserve"> simply “</w:t>
      </w:r>
      <w:r w:rsidRPr="00456038">
        <w:rPr>
          <w:rStyle w:val="StyleUnderline"/>
          <w:highlight w:val="cyan"/>
        </w:rPr>
        <w:t>call balls and strikes</w:t>
      </w:r>
      <w:r w:rsidRPr="00684BF3">
        <w:rPr>
          <w:rStyle w:val="StyleUnderline"/>
        </w:rPr>
        <w:t>,” </w:t>
      </w:r>
      <w:r w:rsidRPr="00456038">
        <w:rPr>
          <w:rStyle w:val="StyleUnderline"/>
          <w:highlight w:val="cyan"/>
        </w:rPr>
        <w:t xml:space="preserve">these are </w:t>
      </w:r>
      <w:r w:rsidRPr="00456038">
        <w:rPr>
          <w:rStyle w:val="Emphasis"/>
          <w:highlight w:val="cyan"/>
        </w:rPr>
        <w:t>cases</w:t>
      </w:r>
      <w:r w:rsidRPr="00684BF3">
        <w:rPr>
          <w:rStyle w:val="StyleUnderline"/>
        </w:rPr>
        <w:t xml:space="preserve"> generally </w:t>
      </w:r>
      <w:r w:rsidRPr="00456038">
        <w:rPr>
          <w:rStyle w:val="Emphasis"/>
          <w:highlight w:val="cyan"/>
        </w:rPr>
        <w:t>right down the</w:t>
      </w:r>
      <w:r w:rsidRPr="00456038">
        <w:rPr>
          <w:rStyle w:val="StyleUnderline"/>
          <w:highlight w:val="cyan"/>
        </w:rPr>
        <w:t xml:space="preserve"> center of the </w:t>
      </w:r>
      <w:r w:rsidRPr="00456038">
        <w:rPr>
          <w:rStyle w:val="Emphasis"/>
          <w:highlight w:val="cyan"/>
        </w:rPr>
        <w:t>Chevron</w:t>
      </w:r>
      <w:r w:rsidRPr="00684BF3">
        <w:rPr>
          <w:rStyle w:val="Emphasis"/>
        </w:rPr>
        <w:t xml:space="preserve"> strike </w:t>
      </w:r>
      <w:r w:rsidRPr="00456038">
        <w:rPr>
          <w:rStyle w:val="Emphasis"/>
          <w:highlight w:val="cyan"/>
        </w:rPr>
        <w:t>zone</w:t>
      </w:r>
      <w:r w:rsidRPr="00684BF3">
        <w:rPr>
          <w:sz w:val="16"/>
        </w:rPr>
        <w:t xml:space="preserve">. </w:t>
      </w:r>
      <w:r w:rsidRPr="00456038">
        <w:rPr>
          <w:rStyle w:val="StyleUnderline"/>
          <w:highlight w:val="cyan"/>
        </w:rPr>
        <w:t>And yet</w:t>
      </w:r>
      <w:r w:rsidRPr="00684BF3">
        <w:rPr>
          <w:rStyle w:val="StyleUnderline"/>
        </w:rPr>
        <w:t xml:space="preserve"> in those cases, </w:t>
      </w:r>
      <w:r w:rsidRPr="00456038">
        <w:rPr>
          <w:rStyle w:val="Emphasis"/>
          <w:highlight w:val="cyan"/>
        </w:rPr>
        <w:t>Chevron does not impact the</w:t>
      </w:r>
      <w:r w:rsidRPr="00684BF3">
        <w:rPr>
          <w:rStyle w:val="Emphasis"/>
        </w:rPr>
        <w:t xml:space="preserve"> Courts’ </w:t>
      </w:r>
      <w:r w:rsidRPr="00456038">
        <w:rPr>
          <w:rStyle w:val="Emphasis"/>
          <w:highlight w:val="cyan"/>
        </w:rPr>
        <w:t>ruling</w:t>
      </w:r>
      <w:r w:rsidRPr="00684BF3">
        <w:rPr>
          <w:rStyle w:val="StyleUnderline"/>
        </w:rPr>
        <w:t xml:space="preserve">, </w:t>
      </w:r>
      <w:r w:rsidRPr="00456038">
        <w:rPr>
          <w:rStyle w:val="StyleUnderline"/>
          <w:highlight w:val="cyan"/>
        </w:rPr>
        <w:t>and is</w:t>
      </w:r>
      <w:r w:rsidRPr="00684BF3">
        <w:rPr>
          <w:rStyle w:val="StyleUnderline"/>
        </w:rPr>
        <w:t xml:space="preserve"> typically </w:t>
      </w:r>
      <w:r w:rsidRPr="00456038">
        <w:rPr>
          <w:rStyle w:val="Emphasis"/>
          <w:highlight w:val="cyan"/>
        </w:rPr>
        <w:t>not even mentioned</w:t>
      </w:r>
      <w:r w:rsidRPr="00684BF3">
        <w:rPr>
          <w:rStyle w:val="StyleUnderline"/>
        </w:rPr>
        <w:t xml:space="preserve"> by the Court.</w:t>
      </w:r>
    </w:p>
    <w:p w14:paraId="0CB1B162" w14:textId="77777777" w:rsidR="003242AF" w:rsidRPr="00684BF3" w:rsidRDefault="003242AF" w:rsidP="003242AF">
      <w:r w:rsidRPr="00684BF3">
        <w:rPr>
          <w:noProof/>
        </w:rPr>
        <w:drawing>
          <wp:inline distT="0" distB="0" distL="0" distR="0" wp14:anchorId="3CA62CC3" wp14:editId="4E101785">
            <wp:extent cx="3851031" cy="5697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872365" cy="5728782"/>
                    </a:xfrm>
                    <a:prstGeom prst="rect">
                      <a:avLst/>
                    </a:prstGeom>
                  </pic:spPr>
                </pic:pic>
              </a:graphicData>
            </a:graphic>
          </wp:inline>
        </w:drawing>
      </w:r>
    </w:p>
    <w:p w14:paraId="17EEBBC5" w14:textId="77777777" w:rsidR="003242AF" w:rsidRPr="00684BF3" w:rsidRDefault="003242AF" w:rsidP="003242AF">
      <w:pPr>
        <w:rPr>
          <w:sz w:val="16"/>
        </w:rPr>
      </w:pPr>
      <w:r w:rsidRPr="00684BF3">
        <w:rPr>
          <w:sz w:val="16"/>
        </w:rPr>
        <w:t xml:space="preserve">While </w:t>
      </w:r>
      <w:r w:rsidRPr="00684BF3">
        <w:rPr>
          <w:rStyle w:val="StyleUnderline"/>
        </w:rPr>
        <w:t xml:space="preserve">in these cases </w:t>
      </w:r>
      <w:r w:rsidRPr="00456038">
        <w:rPr>
          <w:rStyle w:val="StyleUnderline"/>
          <w:highlight w:val="cyan"/>
        </w:rPr>
        <w:t xml:space="preserve">the </w:t>
      </w:r>
      <w:r w:rsidRPr="00456038">
        <w:rPr>
          <w:rStyle w:val="Emphasis"/>
          <w:highlight w:val="cyan"/>
        </w:rPr>
        <w:t>Court is consistent in not deferring</w:t>
      </w:r>
      <w:r w:rsidRPr="00456038">
        <w:rPr>
          <w:rStyle w:val="StyleUnderline"/>
          <w:highlight w:val="cyan"/>
        </w:rPr>
        <w:t xml:space="preserve"> to the agency</w:t>
      </w:r>
      <w:r w:rsidRPr="00684BF3">
        <w:rPr>
          <w:rStyle w:val="StyleUnderline"/>
        </w:rPr>
        <w:t>, the government still often wins</w:t>
      </w:r>
      <w:r w:rsidRPr="00684BF3">
        <w:rPr>
          <w:sz w:val="16"/>
        </w:rPr>
        <w:t xml:space="preserve">. </w:t>
      </w:r>
      <w:r w:rsidRPr="00684BF3">
        <w:rPr>
          <w:rStyle w:val="StyleUnderline"/>
        </w:rPr>
        <w:t>This is consistent with an assertion of judicial supremacy</w:t>
      </w:r>
      <w:r w:rsidRPr="00684BF3">
        <w:rPr>
          <w:sz w:val="16"/>
        </w:rPr>
        <w:t xml:space="preserve"> on questions of law, but </w:t>
      </w:r>
      <w:r w:rsidRPr="00684BF3">
        <w:rPr>
          <w:rStyle w:val="StyleUnderline"/>
        </w:rPr>
        <w:t>it does not</w:t>
      </w:r>
      <w:r w:rsidRPr="00684BF3">
        <w:rPr>
          <w:sz w:val="16"/>
        </w:rPr>
        <w:t xml:space="preserve"> necessarily </w:t>
      </w:r>
      <w:r w:rsidRPr="00684BF3">
        <w:rPr>
          <w:rStyle w:val="StyleUnderline"/>
        </w:rPr>
        <w:t>favor a particular policy outcome</w:t>
      </w:r>
      <w:r w:rsidRPr="00684BF3">
        <w:rPr>
          <w:sz w:val="16"/>
        </w:rPr>
        <w:t xml:space="preserve"> (deportation or non-deportation) over another. </w:t>
      </w:r>
      <w:r w:rsidRPr="00684BF3">
        <w:rPr>
          <w:rStyle w:val="StyleUnderline"/>
        </w:rPr>
        <w:t>The lack of a pattern</w:t>
      </w:r>
      <w:r w:rsidRPr="00684BF3">
        <w:rPr>
          <w:sz w:val="16"/>
        </w:rPr>
        <w:t xml:space="preserve"> as to the result, as contrasted with the clear pattern of non-deference, </w:t>
      </w:r>
      <w:r w:rsidRPr="00684BF3">
        <w:rPr>
          <w:rStyle w:val="StyleUnderline"/>
        </w:rPr>
        <w:t>is relevant to a currently open question over whether criminal grounds of removal should be interpreted according to the rule of lenity</w:t>
      </w:r>
      <w:r w:rsidRPr="00684BF3">
        <w:rPr>
          <w:sz w:val="16"/>
        </w:rPr>
        <w:t>. This is explored in more detail in Section IV.D. But for present purposes, the necessary next step is to describe the pattern so as to then identify potential doctrinal rules that might explain it.</w:t>
      </w:r>
    </w:p>
    <w:p w14:paraId="274FA6E1" w14:textId="5F34BC5D" w:rsidR="003242AF" w:rsidRDefault="003242AF" w:rsidP="003242AF">
      <w:pPr>
        <w:pStyle w:val="Heading4"/>
      </w:pPr>
      <w:r w:rsidRPr="003242AF">
        <w:t xml:space="preserve">So does </w:t>
      </w:r>
      <w:r>
        <w:t>textualism.</w:t>
      </w:r>
    </w:p>
    <w:p w14:paraId="4C3C3D8E" w14:textId="77777777" w:rsidR="003242AF" w:rsidRPr="00684BF3" w:rsidRDefault="003242AF" w:rsidP="003242AF">
      <w:r w:rsidRPr="00C80CAB">
        <w:rPr>
          <w:rStyle w:val="Heading4Char"/>
          <w:szCs w:val="26"/>
        </w:rPr>
        <w:t>McGinnis 20</w:t>
      </w:r>
      <w:r w:rsidRPr="00684BF3">
        <w:t xml:space="preserve"> – (John O. McGinnis is the George C. Dix Professor in Constitutional Law at Northwestern University, graduate of Harvard College, Balliol College, Oxford, and Harvard Law School; “The Chevron Doctrine’s Shrinking Domain”; Law &amp; Liberty; D.A. June 27</w:t>
      </w:r>
      <w:r w:rsidRPr="00684BF3">
        <w:rPr>
          <w:vertAlign w:val="superscript"/>
        </w:rPr>
        <w:t>th</w:t>
      </w:r>
      <w:r w:rsidRPr="00684BF3">
        <w:t xml:space="preserve"> 2020, [Published April 23</w:t>
      </w:r>
      <w:r w:rsidRPr="00684BF3">
        <w:rPr>
          <w:vertAlign w:val="superscript"/>
        </w:rPr>
        <w:t>rd</w:t>
      </w:r>
      <w:r w:rsidRPr="00684BF3">
        <w:t xml:space="preserve"> 2020]; </w:t>
      </w:r>
      <w:hyperlink r:id="rId147" w:history="1">
        <w:r w:rsidRPr="00684BF3">
          <w:rPr>
            <w:rStyle w:val="Hyperlink"/>
          </w:rPr>
          <w:t>https://lawliberty.org/the-chevron-doctrines-shrinking-domain/</w:t>
        </w:r>
      </w:hyperlink>
      <w:r w:rsidRPr="00684BF3">
        <w:t>) //LFS—JCM</w:t>
      </w:r>
    </w:p>
    <w:p w14:paraId="3E124422" w14:textId="77777777" w:rsidR="003242AF" w:rsidRPr="00684BF3" w:rsidRDefault="003242AF" w:rsidP="003242AF">
      <w:pPr>
        <w:rPr>
          <w:sz w:val="16"/>
        </w:rPr>
      </w:pPr>
      <w:r w:rsidRPr="00684BF3">
        <w:rPr>
          <w:rStyle w:val="StyleUnderline"/>
        </w:rPr>
        <w:t>The</w:t>
      </w:r>
      <w:r w:rsidRPr="00684BF3">
        <w:rPr>
          <w:sz w:val="16"/>
        </w:rPr>
        <w:t xml:space="preserve"> </w:t>
      </w:r>
      <w:r w:rsidRPr="00684BF3">
        <w:rPr>
          <w:rStyle w:val="Emphasis"/>
        </w:rPr>
        <w:t>Rise</w:t>
      </w:r>
      <w:r w:rsidRPr="00684BF3">
        <w:rPr>
          <w:rStyle w:val="StyleUnderline"/>
        </w:rPr>
        <w:t xml:space="preserve"> of </w:t>
      </w:r>
      <w:r w:rsidRPr="00684BF3">
        <w:rPr>
          <w:rStyle w:val="Emphasis"/>
        </w:rPr>
        <w:t>Textualism</w:t>
      </w:r>
    </w:p>
    <w:p w14:paraId="5DCC9422" w14:textId="77777777" w:rsidR="003242AF" w:rsidRPr="00684BF3" w:rsidRDefault="003242AF" w:rsidP="003242AF">
      <w:pPr>
        <w:rPr>
          <w:sz w:val="16"/>
        </w:rPr>
      </w:pPr>
      <w:r w:rsidRPr="00684BF3">
        <w:rPr>
          <w:rStyle w:val="StyleUnderline"/>
        </w:rPr>
        <w:t>Textualism is</w:t>
      </w:r>
      <w:r w:rsidRPr="00684BF3">
        <w:rPr>
          <w:sz w:val="16"/>
        </w:rPr>
        <w:t xml:space="preserve"> also playing a part in </w:t>
      </w:r>
      <w:r w:rsidRPr="00684BF3">
        <w:rPr>
          <w:rStyle w:val="Emphasis"/>
        </w:rPr>
        <w:t>shrinking Chevron</w:t>
      </w:r>
      <w:r w:rsidRPr="00684BF3">
        <w:rPr>
          <w:sz w:val="16"/>
        </w:rPr>
        <w:t xml:space="preserve">. The </w:t>
      </w:r>
      <w:r w:rsidRPr="00684BF3">
        <w:rPr>
          <w:rStyle w:val="StyleUnderline"/>
        </w:rPr>
        <w:t>doctrine seems to assume</w:t>
      </w:r>
      <w:r w:rsidRPr="00684BF3">
        <w:rPr>
          <w:sz w:val="16"/>
        </w:rPr>
        <w:t xml:space="preserve"> an intentional </w:t>
      </w:r>
      <w:r w:rsidRPr="00684BF3">
        <w:rPr>
          <w:rStyle w:val="StyleUnderline"/>
        </w:rPr>
        <w:t>method of interpretation</w:t>
      </w:r>
      <w:r w:rsidRPr="00684BF3">
        <w:rPr>
          <w:sz w:val="16"/>
        </w:rPr>
        <w:t xml:space="preserve"> of statutes. </w:t>
      </w:r>
      <w:r w:rsidRPr="00684BF3">
        <w:rPr>
          <w:rStyle w:val="StyleUnderline"/>
        </w:rPr>
        <w:t>In Chevron</w:t>
      </w:r>
      <w:r w:rsidRPr="00684BF3">
        <w:rPr>
          <w:sz w:val="16"/>
        </w:rPr>
        <w:t xml:space="preserve">, Justice John Paul </w:t>
      </w:r>
      <w:r w:rsidRPr="00684BF3">
        <w:rPr>
          <w:rStyle w:val="StyleUnderline"/>
        </w:rPr>
        <w:t>Stevens stated that an agency is bound by</w:t>
      </w:r>
      <w:r w:rsidRPr="00684BF3">
        <w:rPr>
          <w:sz w:val="16"/>
        </w:rPr>
        <w:t xml:space="preserve"> “a clear </w:t>
      </w:r>
      <w:r w:rsidRPr="00684BF3">
        <w:rPr>
          <w:rStyle w:val="StyleUnderline"/>
        </w:rPr>
        <w:t>intent of Congress</w:t>
      </w:r>
      <w:r w:rsidRPr="00684BF3">
        <w:rPr>
          <w:sz w:val="16"/>
        </w:rPr>
        <w:t>,” but “</w:t>
      </w:r>
      <w:r w:rsidRPr="00684BF3">
        <w:rPr>
          <w:rStyle w:val="StyleUnderline"/>
        </w:rPr>
        <w:t>otherwise can provide its</w:t>
      </w:r>
      <w:r w:rsidRPr="00684BF3">
        <w:rPr>
          <w:sz w:val="16"/>
        </w:rPr>
        <w:t xml:space="preserve"> own reasonable </w:t>
      </w:r>
      <w:r w:rsidRPr="00684BF3">
        <w:rPr>
          <w:rStyle w:val="StyleUnderline"/>
        </w:rPr>
        <w:t>interpretation</w:t>
      </w:r>
      <w:r w:rsidRPr="00684BF3">
        <w:rPr>
          <w:sz w:val="16"/>
        </w:rPr>
        <w:t xml:space="preserve">.” But </w:t>
      </w:r>
      <w:r w:rsidRPr="00684BF3">
        <w:rPr>
          <w:rStyle w:val="StyleUnderline"/>
        </w:rPr>
        <w:t>if textualism is used</w:t>
      </w:r>
      <w:r w:rsidRPr="00684BF3">
        <w:rPr>
          <w:sz w:val="16"/>
        </w:rPr>
        <w:t xml:space="preserve"> as the method of statutory interpretation, </w:t>
      </w:r>
      <w:r w:rsidRPr="00684BF3">
        <w:rPr>
          <w:rStyle w:val="StyleUnderline"/>
        </w:rPr>
        <w:t>the question becomes not whether Congress had any</w:t>
      </w:r>
      <w:r w:rsidRPr="00684BF3">
        <w:rPr>
          <w:sz w:val="16"/>
        </w:rPr>
        <w:t xml:space="preserve"> conscious </w:t>
      </w:r>
      <w:r w:rsidRPr="00684BF3">
        <w:rPr>
          <w:rStyle w:val="StyleUnderline"/>
        </w:rPr>
        <w:t>intent</w:t>
      </w:r>
      <w:r w:rsidRPr="00684BF3">
        <w:rPr>
          <w:sz w:val="16"/>
        </w:rPr>
        <w:t xml:space="preserve"> on a particular issue, </w:t>
      </w:r>
      <w:r w:rsidRPr="00684BF3">
        <w:rPr>
          <w:rStyle w:val="StyleUnderline"/>
        </w:rPr>
        <w:t>but rather whether the text speaks</w:t>
      </w:r>
      <w:r w:rsidRPr="00684BF3">
        <w:rPr>
          <w:sz w:val="16"/>
        </w:rPr>
        <w:t xml:space="preserve"> to the issue. </w:t>
      </w:r>
      <w:r w:rsidRPr="00684BF3">
        <w:rPr>
          <w:rStyle w:val="StyleUnderline"/>
        </w:rPr>
        <w:t>That</w:t>
      </w:r>
      <w:r w:rsidRPr="00684BF3">
        <w:rPr>
          <w:sz w:val="16"/>
        </w:rPr>
        <w:t xml:space="preserve"> more encompassing inquiry </w:t>
      </w:r>
      <w:r w:rsidRPr="00684BF3">
        <w:rPr>
          <w:rStyle w:val="StyleUnderline"/>
        </w:rPr>
        <w:t xml:space="preserve">can </w:t>
      </w:r>
      <w:r w:rsidRPr="00684BF3">
        <w:rPr>
          <w:rStyle w:val="Emphasis"/>
        </w:rPr>
        <w:t>reduce</w:t>
      </w:r>
      <w:r w:rsidRPr="00684BF3">
        <w:rPr>
          <w:rStyle w:val="StyleUnderline"/>
        </w:rPr>
        <w:t xml:space="preserve"> the </w:t>
      </w:r>
      <w:r w:rsidRPr="00684BF3">
        <w:rPr>
          <w:rStyle w:val="Emphasis"/>
        </w:rPr>
        <w:t>scope for</w:t>
      </w:r>
      <w:r w:rsidRPr="00684BF3">
        <w:rPr>
          <w:rStyle w:val="StyleUnderline"/>
        </w:rPr>
        <w:t xml:space="preserve"> agency </w:t>
      </w:r>
      <w:r w:rsidRPr="00684BF3">
        <w:rPr>
          <w:rStyle w:val="Emphasis"/>
        </w:rPr>
        <w:t>power under</w:t>
      </w:r>
      <w:r w:rsidRPr="00684BF3">
        <w:rPr>
          <w:rStyle w:val="StyleUnderline"/>
        </w:rPr>
        <w:t> Chevron </w:t>
      </w:r>
      <w:r w:rsidRPr="00684BF3">
        <w:rPr>
          <w:rStyle w:val="Emphasis"/>
        </w:rPr>
        <w:t xml:space="preserve">Step Two by </w:t>
      </w:r>
      <w:r w:rsidRPr="00684BF3">
        <w:rPr>
          <w:rStyle w:val="StyleUnderline"/>
        </w:rPr>
        <w:t xml:space="preserve">having the judiciary </w:t>
      </w:r>
      <w:r w:rsidRPr="00684BF3">
        <w:rPr>
          <w:rStyle w:val="Emphasis"/>
        </w:rPr>
        <w:t>settle</w:t>
      </w:r>
      <w:r w:rsidRPr="00684BF3">
        <w:rPr>
          <w:sz w:val="16"/>
        </w:rPr>
        <w:t xml:space="preserve"> more matters </w:t>
      </w:r>
      <w:r w:rsidRPr="00684BF3">
        <w:rPr>
          <w:rStyle w:val="Emphasis"/>
        </w:rPr>
        <w:t>under</w:t>
      </w:r>
      <w:r w:rsidRPr="00684BF3">
        <w:rPr>
          <w:sz w:val="16"/>
        </w:rPr>
        <w:t> Chevron </w:t>
      </w:r>
      <w:r w:rsidRPr="00684BF3">
        <w:rPr>
          <w:rStyle w:val="Emphasis"/>
        </w:rPr>
        <w:t>Step One</w:t>
      </w:r>
      <w:r w:rsidRPr="00684BF3">
        <w:rPr>
          <w:rStyle w:val="StyleUnderline"/>
        </w:rPr>
        <w:t>.</w:t>
      </w:r>
    </w:p>
    <w:p w14:paraId="0C5BB6A5" w14:textId="77777777" w:rsidR="003242AF" w:rsidRPr="00684BF3" w:rsidRDefault="003242AF" w:rsidP="003242AF">
      <w:pPr>
        <w:rPr>
          <w:sz w:val="16"/>
        </w:rPr>
      </w:pPr>
      <w:r w:rsidRPr="00684BF3">
        <w:rPr>
          <w:sz w:val="16"/>
        </w:rPr>
        <w:t xml:space="preserve">Justice </w:t>
      </w:r>
      <w:r w:rsidRPr="00684BF3">
        <w:rPr>
          <w:rStyle w:val="StyleUnderline"/>
        </w:rPr>
        <w:t>Scalia’s jurisprudence exemplifies this</w:t>
      </w:r>
      <w:r w:rsidRPr="00684BF3">
        <w:rPr>
          <w:sz w:val="16"/>
        </w:rPr>
        <w:t xml:space="preserve"> point. While </w:t>
      </w:r>
      <w:r w:rsidRPr="00684BF3">
        <w:rPr>
          <w:rStyle w:val="StyleUnderline"/>
        </w:rPr>
        <w:t>he was a defender of Chevron</w:t>
      </w:r>
      <w:r w:rsidRPr="00684BF3">
        <w:rPr>
          <w:sz w:val="16"/>
        </w:rPr>
        <w:t xml:space="preserve">, </w:t>
      </w:r>
      <w:r w:rsidRPr="00684BF3">
        <w:rPr>
          <w:rStyle w:val="StyleUnderline"/>
        </w:rPr>
        <w:t>he reached Step Two less than any other</w:t>
      </w:r>
      <w:r w:rsidRPr="00684BF3">
        <w:rPr>
          <w:sz w:val="16"/>
        </w:rPr>
        <w:t xml:space="preserve"> justice. </w:t>
      </w:r>
      <w:r w:rsidRPr="00684BF3">
        <w:rPr>
          <w:rStyle w:val="StyleUnderline"/>
        </w:rPr>
        <w:t>By using</w:t>
      </w:r>
      <w:r w:rsidRPr="00684BF3">
        <w:rPr>
          <w:sz w:val="16"/>
        </w:rPr>
        <w:t xml:space="preserve"> formal </w:t>
      </w:r>
      <w:r w:rsidRPr="00684BF3">
        <w:rPr>
          <w:rStyle w:val="StyleUnderline"/>
        </w:rPr>
        <w:t>methods of</w:t>
      </w:r>
      <w:r w:rsidRPr="00684BF3">
        <w:rPr>
          <w:sz w:val="16"/>
        </w:rPr>
        <w:t xml:space="preserve"> statutory </w:t>
      </w:r>
      <w:r w:rsidRPr="00684BF3">
        <w:rPr>
          <w:rStyle w:val="StyleUnderline"/>
        </w:rPr>
        <w:t>interpretation</w:t>
      </w:r>
      <w:r w:rsidRPr="00684BF3">
        <w:rPr>
          <w:sz w:val="16"/>
        </w:rPr>
        <w:t xml:space="preserve">, </w:t>
      </w:r>
      <w:r w:rsidRPr="00684BF3">
        <w:rPr>
          <w:rStyle w:val="StyleUnderline"/>
        </w:rPr>
        <w:t>he discovered</w:t>
      </w:r>
      <w:r w:rsidRPr="00684BF3">
        <w:rPr>
          <w:sz w:val="16"/>
        </w:rPr>
        <w:t xml:space="preserve"> clear </w:t>
      </w:r>
      <w:r w:rsidRPr="00684BF3">
        <w:rPr>
          <w:rStyle w:val="StyleUnderline"/>
        </w:rPr>
        <w:t>meanings in the text</w:t>
      </w:r>
      <w:r w:rsidRPr="00684BF3">
        <w:rPr>
          <w:sz w:val="16"/>
        </w:rPr>
        <w:t>. Indeed, his last book, </w:t>
      </w:r>
      <w:hyperlink r:id="rId148" w:tgtFrame="_blank" w:history="1">
        <w:r w:rsidRPr="00684BF3">
          <w:rPr>
            <w:rStyle w:val="Hyperlink"/>
            <w:sz w:val="16"/>
          </w:rPr>
          <w:t>Reading Law,</w:t>
        </w:r>
      </w:hyperlink>
      <w:r w:rsidRPr="00684BF3">
        <w:rPr>
          <w:sz w:val="16"/>
        </w:rPr>
        <w:t xml:space="preserve"> offers scores of clarifying canons for interpreting statutory text. The kind of </w:t>
      </w:r>
      <w:r w:rsidRPr="00684BF3">
        <w:rPr>
          <w:rStyle w:val="Emphasis"/>
        </w:rPr>
        <w:t>judges appointed by Trump</w:t>
      </w:r>
      <w:r w:rsidRPr="00684BF3">
        <w:rPr>
          <w:sz w:val="16"/>
        </w:rPr>
        <w:t xml:space="preserve"> thus may </w:t>
      </w:r>
      <w:r w:rsidRPr="00684BF3">
        <w:rPr>
          <w:rStyle w:val="Emphasis"/>
        </w:rPr>
        <w:t>complete a trend</w:t>
      </w:r>
      <w:r w:rsidRPr="00684BF3">
        <w:rPr>
          <w:sz w:val="16"/>
        </w:rPr>
        <w:t xml:space="preserve"> that </w:t>
      </w:r>
      <w:r w:rsidRPr="00684BF3">
        <w:rPr>
          <w:rStyle w:val="StyleUnderline"/>
        </w:rPr>
        <w:t>Scalia</w:t>
      </w:r>
      <w:r w:rsidRPr="00684BF3">
        <w:rPr>
          <w:sz w:val="16"/>
        </w:rPr>
        <w:t xml:space="preserve"> himself </w:t>
      </w:r>
      <w:r w:rsidRPr="00684BF3">
        <w:rPr>
          <w:rStyle w:val="StyleUnderline"/>
        </w:rPr>
        <w:t>initiated</w:t>
      </w:r>
      <w:r w:rsidRPr="00684BF3">
        <w:rPr>
          <w:sz w:val="16"/>
        </w:rPr>
        <w:t xml:space="preserve">: </w:t>
      </w:r>
      <w:r w:rsidRPr="00684BF3">
        <w:rPr>
          <w:rStyle w:val="Emphasis"/>
        </w:rPr>
        <w:t>reducing</w:t>
      </w:r>
      <w:r w:rsidRPr="00684BF3">
        <w:rPr>
          <w:rStyle w:val="StyleUnderline"/>
        </w:rPr>
        <w:t xml:space="preserve"> the significance of </w:t>
      </w:r>
      <w:r w:rsidRPr="00684BF3">
        <w:rPr>
          <w:rStyle w:val="Emphasis"/>
        </w:rPr>
        <w:t>Chevron</w:t>
      </w:r>
      <w:r w:rsidRPr="00684BF3">
        <w:rPr>
          <w:rStyle w:val="StyleUnderline"/>
        </w:rPr>
        <w:t xml:space="preserve"> by discovering </w:t>
      </w:r>
      <w:r w:rsidRPr="00684BF3">
        <w:rPr>
          <w:rStyle w:val="Emphasis"/>
        </w:rPr>
        <w:t>more meaning in statutes</w:t>
      </w:r>
      <w:r w:rsidRPr="00684BF3">
        <w:rPr>
          <w:rStyle w:val="StyleUnderline"/>
        </w:rPr>
        <w:t xml:space="preserve"> than Chevron assumed</w:t>
      </w:r>
      <w:r w:rsidRPr="00684BF3">
        <w:rPr>
          <w:sz w:val="16"/>
        </w:rPr>
        <w:t xml:space="preserve">. </w:t>
      </w:r>
      <w:r w:rsidRPr="00684BF3">
        <w:rPr>
          <w:rStyle w:val="StyleUnderline"/>
        </w:rPr>
        <w:t xml:space="preserve">They are likely to </w:t>
      </w:r>
      <w:r w:rsidRPr="00684BF3">
        <w:rPr>
          <w:rStyle w:val="Emphasis"/>
        </w:rPr>
        <w:t>extend this influence throughout</w:t>
      </w:r>
      <w:r w:rsidRPr="00684BF3">
        <w:rPr>
          <w:rStyle w:val="StyleUnderline"/>
        </w:rPr>
        <w:t xml:space="preserve"> </w:t>
      </w:r>
      <w:r w:rsidRPr="00684BF3">
        <w:rPr>
          <w:sz w:val="16"/>
        </w:rPr>
        <w:t xml:space="preserve">the </w:t>
      </w:r>
      <w:r w:rsidRPr="00684BF3">
        <w:rPr>
          <w:rStyle w:val="StyleUnderline"/>
        </w:rPr>
        <w:t>judiciary</w:t>
      </w:r>
      <w:r w:rsidRPr="00684BF3">
        <w:rPr>
          <w:sz w:val="16"/>
        </w:rPr>
        <w:t>.</w:t>
      </w:r>
    </w:p>
    <w:p w14:paraId="052B260A" w14:textId="46CAB36E" w:rsidR="003242AF" w:rsidRDefault="003242AF" w:rsidP="003242AF">
      <w:pPr>
        <w:rPr>
          <w:sz w:val="16"/>
        </w:rPr>
      </w:pPr>
      <w:r w:rsidRPr="00684BF3">
        <w:rPr>
          <w:rStyle w:val="Emphasis"/>
        </w:rPr>
        <w:t>Textualism</w:t>
      </w:r>
      <w:r w:rsidRPr="00684BF3">
        <w:rPr>
          <w:rStyle w:val="StyleUnderline"/>
        </w:rPr>
        <w:t xml:space="preserve"> is </w:t>
      </w:r>
      <w:r w:rsidRPr="00684BF3">
        <w:rPr>
          <w:rStyle w:val="Emphasis"/>
        </w:rPr>
        <w:t>reshaping</w:t>
      </w:r>
      <w:r w:rsidRPr="00684BF3">
        <w:rPr>
          <w:rStyle w:val="StyleUnderline"/>
        </w:rPr>
        <w:t xml:space="preserve"> </w:t>
      </w:r>
      <w:r w:rsidRPr="00684BF3">
        <w:rPr>
          <w:rStyle w:val="Emphasis"/>
        </w:rPr>
        <w:t>admin</w:t>
      </w:r>
      <w:r w:rsidRPr="00684BF3">
        <w:rPr>
          <w:rStyle w:val="StyleUnderline"/>
        </w:rPr>
        <w:t xml:space="preserve">istrative </w:t>
      </w:r>
      <w:r w:rsidRPr="00684BF3">
        <w:rPr>
          <w:rStyle w:val="Emphasis"/>
        </w:rPr>
        <w:t>law</w:t>
      </w:r>
      <w:r w:rsidRPr="00684BF3">
        <w:rPr>
          <w:sz w:val="16"/>
        </w:rPr>
        <w:t xml:space="preserve"> more generally. </w:t>
      </w:r>
      <w:r w:rsidRPr="00684BF3">
        <w:rPr>
          <w:rStyle w:val="StyleUnderline"/>
        </w:rPr>
        <w:t>In Kisor</w:t>
      </w:r>
      <w:r w:rsidRPr="00684BF3">
        <w:rPr>
          <w:sz w:val="16"/>
        </w:rPr>
        <w:t xml:space="preserve"> v. Wilkie, Justice </w:t>
      </w:r>
      <w:r w:rsidRPr="00684BF3">
        <w:rPr>
          <w:rStyle w:val="StyleUnderline"/>
        </w:rPr>
        <w:t>Kagan cut back</w:t>
      </w:r>
      <w:r w:rsidRPr="00684BF3">
        <w:rPr>
          <w:sz w:val="16"/>
        </w:rPr>
        <w:t xml:space="preserve"> substantially </w:t>
      </w:r>
      <w:r w:rsidRPr="00684BF3">
        <w:rPr>
          <w:rStyle w:val="StyleUnderline"/>
        </w:rPr>
        <w:t>on</w:t>
      </w:r>
      <w:r w:rsidRPr="00684BF3">
        <w:rPr>
          <w:sz w:val="16"/>
        </w:rPr>
        <w:t xml:space="preserve"> what is called </w:t>
      </w:r>
      <w:hyperlink r:id="rId149" w:tgtFrame="_blank" w:history="1">
        <w:r w:rsidRPr="00684BF3">
          <w:rPr>
            <w:rStyle w:val="StyleUnderline"/>
          </w:rPr>
          <w:t>Auer</w:t>
        </w:r>
      </w:hyperlink>
      <w:r w:rsidRPr="00684BF3">
        <w:rPr>
          <w:sz w:val="16"/>
        </w:rPr>
        <w:t xml:space="preserve"> deference—the deference that the judiciary is to give to an agency’s interpretation of its own regulations. She emphasized that </w:t>
      </w:r>
      <w:r w:rsidRPr="00684BF3">
        <w:rPr>
          <w:rStyle w:val="StyleUnderline"/>
        </w:rPr>
        <w:t>deference was due only to</w:t>
      </w:r>
      <w:r w:rsidRPr="00684BF3">
        <w:rPr>
          <w:sz w:val="16"/>
        </w:rPr>
        <w:t xml:space="preserve"> “genuinely </w:t>
      </w:r>
      <w:r w:rsidRPr="00684BF3">
        <w:rPr>
          <w:rStyle w:val="StyleUnderline"/>
        </w:rPr>
        <w:t>ambiguous [regulations],</w:t>
      </w:r>
      <w:r w:rsidRPr="00684BF3">
        <w:rPr>
          <w:sz w:val="16"/>
        </w:rPr>
        <w:t xml:space="preserve"> even after a court has resorted to all the standard tools of interpretation.” Thus, </w:t>
      </w:r>
      <w:r w:rsidRPr="00684BF3">
        <w:rPr>
          <w:rStyle w:val="StyleUnderline"/>
        </w:rPr>
        <w:t>Kagan</w:t>
      </w:r>
      <w:r w:rsidRPr="00684BF3">
        <w:rPr>
          <w:sz w:val="16"/>
        </w:rPr>
        <w:t xml:space="preserve"> effectively </w:t>
      </w:r>
      <w:r w:rsidRPr="00684BF3">
        <w:rPr>
          <w:rStyle w:val="StyleUnderline"/>
        </w:rPr>
        <w:t>endorsed a textual approach</w:t>
      </w:r>
      <w:r w:rsidRPr="00684BF3">
        <w:rPr>
          <w:sz w:val="16"/>
        </w:rPr>
        <w:t xml:space="preserve"> to determining ambiguity, including applying traditional canons of interpretation. It is significant that even the </w:t>
      </w:r>
      <w:r w:rsidRPr="00684BF3">
        <w:rPr>
          <w:rStyle w:val="Emphasis"/>
        </w:rPr>
        <w:t>more liberal justices are willing to cut back</w:t>
      </w:r>
      <w:r w:rsidRPr="00684BF3">
        <w:rPr>
          <w:sz w:val="16"/>
        </w:rPr>
        <w:t xml:space="preserve"> </w:t>
      </w:r>
      <w:r w:rsidRPr="00684BF3">
        <w:rPr>
          <w:rStyle w:val="StyleUnderline"/>
        </w:rPr>
        <w:t>on the extent of Auer deference</w:t>
      </w:r>
      <w:r w:rsidRPr="00684BF3">
        <w:rPr>
          <w:sz w:val="16"/>
        </w:rPr>
        <w:t xml:space="preserve"> and encourage the judiciary to first engage in a searching textual analysis of these regulations before giving any deference to the agency. </w:t>
      </w:r>
      <w:r w:rsidRPr="00684BF3">
        <w:rPr>
          <w:rStyle w:val="Emphasis"/>
        </w:rPr>
        <w:t>Gorsuch</w:t>
      </w:r>
      <w:r w:rsidRPr="00684BF3">
        <w:rPr>
          <w:rStyle w:val="StyleUnderline"/>
        </w:rPr>
        <w:t>, writing for</w:t>
      </w:r>
      <w:r w:rsidRPr="00684BF3">
        <w:rPr>
          <w:sz w:val="16"/>
        </w:rPr>
        <w:t xml:space="preserve"> Justices </w:t>
      </w:r>
      <w:r w:rsidRPr="00684BF3">
        <w:rPr>
          <w:rStyle w:val="Emphasis"/>
        </w:rPr>
        <w:t>Thomas</w:t>
      </w:r>
      <w:r w:rsidRPr="00684BF3">
        <w:rPr>
          <w:rStyle w:val="StyleUnderline"/>
        </w:rPr>
        <w:t xml:space="preserve">, </w:t>
      </w:r>
      <w:r w:rsidRPr="00684BF3">
        <w:rPr>
          <w:rStyle w:val="Emphasis"/>
        </w:rPr>
        <w:t>Alito</w:t>
      </w:r>
      <w:r w:rsidRPr="00684BF3">
        <w:rPr>
          <w:rStyle w:val="StyleUnderline"/>
        </w:rPr>
        <w:t xml:space="preserve">, and </w:t>
      </w:r>
      <w:r w:rsidRPr="00684BF3">
        <w:rPr>
          <w:rStyle w:val="Emphasis"/>
        </w:rPr>
        <w:t>Kavanaugh</w:t>
      </w:r>
      <w:r w:rsidRPr="00684BF3">
        <w:rPr>
          <w:sz w:val="16"/>
        </w:rPr>
        <w:t xml:space="preserve">, </w:t>
      </w:r>
      <w:r w:rsidRPr="00684BF3">
        <w:rPr>
          <w:rStyle w:val="Emphasis"/>
        </w:rPr>
        <w:t>would have gotten rid of any fixed domain of deference for agency interpretation</w:t>
      </w:r>
      <w:r w:rsidRPr="00684BF3">
        <w:rPr>
          <w:sz w:val="16"/>
        </w:rPr>
        <w:t xml:space="preserve"> of its own regulations.</w:t>
      </w:r>
    </w:p>
    <w:p w14:paraId="15075572" w14:textId="49D2A713" w:rsidR="003242AF" w:rsidRPr="00C80CAB" w:rsidRDefault="003242AF" w:rsidP="003242AF">
      <w:pPr>
        <w:pStyle w:val="Heading4"/>
        <w:rPr>
          <w:szCs w:val="26"/>
        </w:rPr>
      </w:pPr>
      <w:r>
        <w:rPr>
          <w:szCs w:val="26"/>
        </w:rPr>
        <w:t xml:space="preserve">And </w:t>
      </w:r>
      <w:r w:rsidRPr="00C80CAB">
        <w:rPr>
          <w:szCs w:val="26"/>
        </w:rPr>
        <w:t>originalism</w:t>
      </w:r>
      <w:r>
        <w:rPr>
          <w:szCs w:val="26"/>
        </w:rPr>
        <w:t>.</w:t>
      </w:r>
    </w:p>
    <w:p w14:paraId="5565A94A" w14:textId="77777777" w:rsidR="003242AF" w:rsidRPr="00684BF3" w:rsidRDefault="003242AF" w:rsidP="003242AF">
      <w:r w:rsidRPr="00C80CAB">
        <w:rPr>
          <w:rStyle w:val="Heading4Char"/>
          <w:szCs w:val="26"/>
        </w:rPr>
        <w:t>McGinnis 20</w:t>
      </w:r>
      <w:r w:rsidRPr="00684BF3">
        <w:t xml:space="preserve"> – (John O. McGinnis is the George C. Dix Professor in Constitutional Law at Northwestern University, graduate of Harvard College, Balliol College, Oxford, and Harvard Law School; “The Chevron Doctrine’s Shrinking Domain”; Law &amp; Liberty; D.A. June 27</w:t>
      </w:r>
      <w:r w:rsidRPr="00684BF3">
        <w:rPr>
          <w:vertAlign w:val="superscript"/>
        </w:rPr>
        <w:t>th</w:t>
      </w:r>
      <w:r w:rsidRPr="00684BF3">
        <w:t xml:space="preserve"> 2020, [Published April 23</w:t>
      </w:r>
      <w:r w:rsidRPr="00684BF3">
        <w:rPr>
          <w:vertAlign w:val="superscript"/>
        </w:rPr>
        <w:t>rd</w:t>
      </w:r>
      <w:r w:rsidRPr="00684BF3">
        <w:t xml:space="preserve"> 2020]; </w:t>
      </w:r>
      <w:hyperlink r:id="rId150" w:history="1">
        <w:r w:rsidRPr="00684BF3">
          <w:rPr>
            <w:rStyle w:val="Hyperlink"/>
          </w:rPr>
          <w:t>https://lawliberty.org/the-chevron-doctrines-shrinking-domain/</w:t>
        </w:r>
      </w:hyperlink>
      <w:r w:rsidRPr="00684BF3">
        <w:t>) //LFS—JCM</w:t>
      </w:r>
    </w:p>
    <w:p w14:paraId="381C6289" w14:textId="77777777" w:rsidR="003242AF" w:rsidRPr="00684BF3" w:rsidRDefault="003242AF" w:rsidP="003242AF">
      <w:pPr>
        <w:rPr>
          <w:sz w:val="16"/>
        </w:rPr>
      </w:pPr>
      <w:r w:rsidRPr="00684BF3">
        <w:rPr>
          <w:sz w:val="16"/>
        </w:rPr>
        <w:t xml:space="preserve">The </w:t>
      </w:r>
      <w:r w:rsidRPr="00684BF3">
        <w:rPr>
          <w:rStyle w:val="Emphasis"/>
        </w:rPr>
        <w:t>Return of Originalism</w:t>
      </w:r>
    </w:p>
    <w:p w14:paraId="33FCF5C4" w14:textId="77777777" w:rsidR="003242AF" w:rsidRPr="00684BF3" w:rsidRDefault="003242AF" w:rsidP="003242AF">
      <w:pPr>
        <w:rPr>
          <w:sz w:val="16"/>
        </w:rPr>
      </w:pPr>
      <w:r w:rsidRPr="00684BF3">
        <w:rPr>
          <w:sz w:val="16"/>
        </w:rPr>
        <w:t xml:space="preserve">The most important influence is the rise of originalism, because </w:t>
      </w:r>
      <w:r w:rsidRPr="00684BF3">
        <w:rPr>
          <w:rStyle w:val="StyleUnderline"/>
        </w:rPr>
        <w:t>important elements of the administrative state, including </w:t>
      </w:r>
      <w:r w:rsidRPr="00684BF3">
        <w:rPr>
          <w:rStyle w:val="Emphasis"/>
        </w:rPr>
        <w:t>Chevron</w:t>
      </w:r>
      <w:r w:rsidRPr="00684BF3">
        <w:rPr>
          <w:sz w:val="16"/>
        </w:rPr>
        <w:t xml:space="preserve">, </w:t>
      </w:r>
      <w:r w:rsidRPr="00684BF3">
        <w:rPr>
          <w:rStyle w:val="StyleUnderline"/>
        </w:rPr>
        <w:t xml:space="preserve">are </w:t>
      </w:r>
      <w:r w:rsidRPr="00684BF3">
        <w:rPr>
          <w:rStyle w:val="Emphasis"/>
        </w:rPr>
        <w:t>in tension with</w:t>
      </w:r>
      <w:r w:rsidRPr="00684BF3">
        <w:rPr>
          <w:rStyle w:val="StyleUnderline"/>
        </w:rPr>
        <w:t xml:space="preserve"> the original </w:t>
      </w:r>
      <w:r w:rsidRPr="00684BF3">
        <w:rPr>
          <w:rStyle w:val="Emphasis"/>
        </w:rPr>
        <w:t>Constitution’s</w:t>
      </w:r>
      <w:r w:rsidRPr="00684BF3">
        <w:rPr>
          <w:rStyle w:val="StyleUnderline"/>
        </w:rPr>
        <w:t xml:space="preserve"> </w:t>
      </w:r>
      <w:r w:rsidRPr="00684BF3">
        <w:rPr>
          <w:rStyle w:val="Emphasis"/>
        </w:rPr>
        <w:t>s</w:t>
      </w:r>
      <w:r w:rsidRPr="00684BF3">
        <w:rPr>
          <w:rStyle w:val="StyleUnderline"/>
        </w:rPr>
        <w:t xml:space="preserve">eparation </w:t>
      </w:r>
      <w:r w:rsidRPr="00684BF3">
        <w:rPr>
          <w:rStyle w:val="Emphasis"/>
        </w:rPr>
        <w:t>o</w:t>
      </w:r>
      <w:r w:rsidRPr="00684BF3">
        <w:rPr>
          <w:rStyle w:val="StyleUnderline"/>
        </w:rPr>
        <w:t xml:space="preserve">f </w:t>
      </w:r>
      <w:r w:rsidRPr="00684BF3">
        <w:rPr>
          <w:rStyle w:val="Emphasis"/>
        </w:rPr>
        <w:t>p</w:t>
      </w:r>
      <w:r w:rsidRPr="00684BF3">
        <w:rPr>
          <w:rStyle w:val="StyleUnderline"/>
        </w:rPr>
        <w:t>owers</w:t>
      </w:r>
      <w:r w:rsidRPr="00684BF3">
        <w:rPr>
          <w:sz w:val="16"/>
        </w:rPr>
        <w:t xml:space="preserve">. For instance, </w:t>
      </w:r>
      <w:r w:rsidRPr="00684BF3">
        <w:rPr>
          <w:rStyle w:val="StyleUnderline"/>
        </w:rPr>
        <w:t>given that the Constitution grants Congress legislative authority</w:t>
      </w:r>
      <w:r w:rsidRPr="00684BF3">
        <w:rPr>
          <w:sz w:val="16"/>
        </w:rPr>
        <w:t xml:space="preserve">, it </w:t>
      </w:r>
      <w:r w:rsidRPr="00684BF3">
        <w:rPr>
          <w:rStyle w:val="StyleUnderline"/>
        </w:rPr>
        <w:t xml:space="preserve">seems </w:t>
      </w:r>
      <w:r w:rsidRPr="00684BF3">
        <w:rPr>
          <w:rStyle w:val="Emphasis"/>
        </w:rPr>
        <w:t>anomalous</w:t>
      </w:r>
      <w:r w:rsidRPr="00684BF3">
        <w:rPr>
          <w:rStyle w:val="StyleUnderline"/>
        </w:rPr>
        <w:t xml:space="preserve"> </w:t>
      </w:r>
      <w:r w:rsidRPr="00684BF3">
        <w:rPr>
          <w:sz w:val="16"/>
        </w:rPr>
        <w:t xml:space="preserve">that </w:t>
      </w:r>
      <w:r w:rsidRPr="00684BF3">
        <w:rPr>
          <w:rStyle w:val="StyleUnderline"/>
        </w:rPr>
        <w:t xml:space="preserve">the </w:t>
      </w:r>
      <w:r w:rsidRPr="00684BF3">
        <w:rPr>
          <w:rStyle w:val="Emphasis"/>
        </w:rPr>
        <w:t>executive can wield</w:t>
      </w:r>
      <w:r w:rsidRPr="00684BF3">
        <w:rPr>
          <w:rStyle w:val="StyleUnderline"/>
        </w:rPr>
        <w:t xml:space="preserve"> these </w:t>
      </w:r>
      <w:r w:rsidRPr="00684BF3">
        <w:rPr>
          <w:rStyle w:val="Emphasis"/>
        </w:rPr>
        <w:t>powers</w:t>
      </w:r>
      <w:r w:rsidRPr="00684BF3">
        <w:rPr>
          <w:sz w:val="16"/>
        </w:rPr>
        <w:t xml:space="preserve"> and </w:t>
      </w:r>
      <w:r w:rsidRPr="00684BF3">
        <w:rPr>
          <w:rStyle w:val="StyleUnderline"/>
        </w:rPr>
        <w:t>make</w:t>
      </w:r>
      <w:r w:rsidRPr="00684BF3">
        <w:rPr>
          <w:sz w:val="16"/>
        </w:rPr>
        <w:t xml:space="preserve"> its own </w:t>
      </w:r>
      <w:r w:rsidRPr="00684BF3">
        <w:rPr>
          <w:rStyle w:val="Emphasis"/>
        </w:rPr>
        <w:t>determination of what is legal</w:t>
      </w:r>
      <w:r w:rsidRPr="00684BF3">
        <w:rPr>
          <w:sz w:val="16"/>
        </w:rPr>
        <w:t xml:space="preserve"> </w:t>
      </w:r>
      <w:r w:rsidRPr="00684BF3">
        <w:rPr>
          <w:rStyle w:val="StyleUnderline"/>
        </w:rPr>
        <w:t>through statutory interpretation</w:t>
      </w:r>
      <w:r w:rsidRPr="00684BF3">
        <w:rPr>
          <w:sz w:val="16"/>
        </w:rPr>
        <w:t xml:space="preserve">. To be sure, the question of where the legislative power ends and the executive power begins is a difficult one, but that does not mean that a line cannot be drawn. For instance, Chief Justice John </w:t>
      </w:r>
      <w:r w:rsidRPr="00684BF3">
        <w:rPr>
          <w:rStyle w:val="StyleUnderline"/>
        </w:rPr>
        <w:t>Marshall captured an important distinction</w:t>
      </w:r>
      <w:r w:rsidRPr="00684BF3">
        <w:rPr>
          <w:sz w:val="16"/>
        </w:rPr>
        <w:t xml:space="preserve"> in the Founding era when </w:t>
      </w:r>
      <w:r w:rsidRPr="00684BF3">
        <w:rPr>
          <w:rStyle w:val="StyleUnderline"/>
        </w:rPr>
        <w:t>he suggested</w:t>
      </w:r>
      <w:r w:rsidRPr="00684BF3">
        <w:rPr>
          <w:sz w:val="16"/>
        </w:rPr>
        <w:t xml:space="preserve"> that </w:t>
      </w:r>
      <w:r w:rsidRPr="00684BF3">
        <w:rPr>
          <w:rStyle w:val="StyleUnderline"/>
        </w:rPr>
        <w:t>Congress must legislate on important subjects</w:t>
      </w:r>
      <w:r w:rsidRPr="00684BF3">
        <w:rPr>
          <w:sz w:val="16"/>
        </w:rPr>
        <w:t xml:space="preserve"> when they affect private rights </w:t>
      </w:r>
      <w:r w:rsidRPr="00684BF3">
        <w:rPr>
          <w:rStyle w:val="StyleUnderline"/>
        </w:rPr>
        <w:t>even if the executive could</w:t>
      </w:r>
      <w:r w:rsidRPr="00684BF3">
        <w:rPr>
          <w:sz w:val="16"/>
        </w:rPr>
        <w:t xml:space="preserve"> be left to </w:t>
      </w:r>
      <w:r w:rsidRPr="00684BF3">
        <w:rPr>
          <w:rStyle w:val="StyleUnderline"/>
        </w:rPr>
        <w:t>fill in</w:t>
      </w:r>
      <w:r w:rsidRPr="00684BF3">
        <w:rPr>
          <w:sz w:val="16"/>
        </w:rPr>
        <w:t xml:space="preserve"> the details.</w:t>
      </w:r>
    </w:p>
    <w:p w14:paraId="0A6D2B6F" w14:textId="77777777" w:rsidR="003242AF" w:rsidRPr="00684BF3" w:rsidRDefault="003242AF" w:rsidP="003242AF">
      <w:pPr>
        <w:rPr>
          <w:sz w:val="16"/>
        </w:rPr>
      </w:pPr>
      <w:r w:rsidRPr="00684BF3">
        <w:rPr>
          <w:rStyle w:val="StyleUnderline"/>
        </w:rPr>
        <w:t>Chevron</w:t>
      </w:r>
      <w:r w:rsidRPr="00684BF3">
        <w:rPr>
          <w:sz w:val="16"/>
        </w:rPr>
        <w:t xml:space="preserve"> thus potentially </w:t>
      </w:r>
      <w:r w:rsidRPr="00684BF3">
        <w:rPr>
          <w:rStyle w:val="StyleUnderline"/>
        </w:rPr>
        <w:t>ran afoul of the nondelegation doctrine by allowing</w:t>
      </w:r>
      <w:r w:rsidRPr="00684BF3">
        <w:rPr>
          <w:sz w:val="16"/>
        </w:rPr>
        <w:t xml:space="preserve"> the </w:t>
      </w:r>
      <w:r w:rsidRPr="00684BF3">
        <w:rPr>
          <w:rStyle w:val="StyleUnderline"/>
        </w:rPr>
        <w:t>agencies to make major decisions</w:t>
      </w:r>
      <w:r w:rsidRPr="00684BF3">
        <w:rPr>
          <w:sz w:val="16"/>
        </w:rPr>
        <w:t xml:space="preserve"> </w:t>
      </w:r>
      <w:r w:rsidRPr="00684BF3">
        <w:rPr>
          <w:rStyle w:val="StyleUnderline"/>
        </w:rPr>
        <w:t>about</w:t>
      </w:r>
      <w:r w:rsidRPr="00684BF3">
        <w:rPr>
          <w:sz w:val="16"/>
        </w:rPr>
        <w:t xml:space="preserve"> what </w:t>
      </w:r>
      <w:r w:rsidRPr="00684BF3">
        <w:rPr>
          <w:rStyle w:val="StyleUnderline"/>
        </w:rPr>
        <w:t>the law</w:t>
      </w:r>
      <w:r w:rsidRPr="00684BF3">
        <w:rPr>
          <w:sz w:val="16"/>
        </w:rPr>
        <w:t xml:space="preserve"> meant, not just fill in the details of intricate statutes. But </w:t>
      </w:r>
      <w:r w:rsidRPr="00684BF3">
        <w:rPr>
          <w:rStyle w:val="StyleUnderline"/>
        </w:rPr>
        <w:t>in</w:t>
      </w:r>
      <w:r w:rsidRPr="00684BF3">
        <w:rPr>
          <w:sz w:val="16"/>
        </w:rPr>
        <w:t xml:space="preserve"> the recent case of </w:t>
      </w:r>
      <w:hyperlink r:id="rId151" w:tgtFrame="_blank" w:history="1">
        <w:r w:rsidRPr="00684BF3">
          <w:rPr>
            <w:rStyle w:val="StyleUnderline"/>
            <w:sz w:val="16"/>
          </w:rPr>
          <w:t>King</w:t>
        </w:r>
        <w:r w:rsidRPr="00684BF3">
          <w:rPr>
            <w:rStyle w:val="Hyperlink"/>
            <w:sz w:val="16"/>
          </w:rPr>
          <w:t xml:space="preserve"> v. Burwell,</w:t>
        </w:r>
      </w:hyperlink>
      <w:r w:rsidRPr="00684BF3">
        <w:rPr>
          <w:sz w:val="16"/>
        </w:rPr>
        <w:t xml:space="preserve"> Chief Justice </w:t>
      </w:r>
      <w:r w:rsidRPr="00684BF3">
        <w:rPr>
          <w:rStyle w:val="Emphasis"/>
        </w:rPr>
        <w:t>Roberts</w:t>
      </w:r>
      <w:r w:rsidRPr="00684BF3">
        <w:rPr>
          <w:rStyle w:val="StyleUnderline"/>
        </w:rPr>
        <w:t xml:space="preserve"> made clear</w:t>
      </w:r>
      <w:r w:rsidRPr="00684BF3">
        <w:rPr>
          <w:sz w:val="16"/>
        </w:rPr>
        <w:t xml:space="preserve"> in a majority opinion </w:t>
      </w:r>
      <w:r w:rsidRPr="00684BF3">
        <w:rPr>
          <w:rStyle w:val="StyleUnderline"/>
        </w:rPr>
        <w:t>that</w:t>
      </w:r>
      <w:r w:rsidRPr="00684BF3">
        <w:rPr>
          <w:sz w:val="16"/>
        </w:rPr>
        <w:t xml:space="preserve"> the </w:t>
      </w:r>
      <w:r w:rsidRPr="00684BF3">
        <w:rPr>
          <w:rStyle w:val="Emphasis"/>
        </w:rPr>
        <w:t>Chevron</w:t>
      </w:r>
      <w:r w:rsidRPr="00684BF3">
        <w:rPr>
          <w:sz w:val="16"/>
        </w:rPr>
        <w:t xml:space="preserve"> doctrine </w:t>
      </w:r>
      <w:r w:rsidRPr="00684BF3">
        <w:rPr>
          <w:rStyle w:val="Emphasis"/>
        </w:rPr>
        <w:t>would not apply to major questions</w:t>
      </w:r>
      <w:r w:rsidRPr="00684BF3">
        <w:rPr>
          <w:sz w:val="16"/>
        </w:rPr>
        <w:t xml:space="preserve">, such as the one in that case (whether Affordable Care Act tax credits should be provided to those purchasing insurance under federal as well as state exchanges). </w:t>
      </w:r>
      <w:r w:rsidRPr="00684BF3">
        <w:rPr>
          <w:rStyle w:val="StyleUnderline"/>
        </w:rPr>
        <w:t>While Roberts suggested</w:t>
      </w:r>
      <w:r w:rsidRPr="00684BF3">
        <w:rPr>
          <w:sz w:val="16"/>
        </w:rPr>
        <w:t xml:space="preserve"> that </w:t>
      </w:r>
      <w:r w:rsidRPr="00684BF3">
        <w:rPr>
          <w:rStyle w:val="StyleUnderline"/>
        </w:rPr>
        <w:t>Congress would not want Chevron to apply to</w:t>
      </w:r>
      <w:r w:rsidRPr="00684BF3">
        <w:rPr>
          <w:sz w:val="16"/>
        </w:rPr>
        <w:t xml:space="preserve"> such </w:t>
      </w:r>
      <w:r w:rsidRPr="00684BF3">
        <w:rPr>
          <w:rStyle w:val="StyleUnderline"/>
        </w:rPr>
        <w:t>major questions</w:t>
      </w:r>
      <w:r w:rsidRPr="00684BF3">
        <w:rPr>
          <w:sz w:val="16"/>
        </w:rPr>
        <w:t xml:space="preserve">, </w:t>
      </w:r>
      <w:r w:rsidRPr="00684BF3">
        <w:rPr>
          <w:rStyle w:val="StyleUnderline"/>
        </w:rPr>
        <w:t>the</w:t>
      </w:r>
      <w:r w:rsidRPr="00684BF3">
        <w:rPr>
          <w:sz w:val="16"/>
        </w:rPr>
        <w:t xml:space="preserve"> more </w:t>
      </w:r>
      <w:r w:rsidRPr="00684BF3">
        <w:rPr>
          <w:rStyle w:val="StyleUnderline"/>
        </w:rPr>
        <w:t>persuasive basis of the decision is the nondelegation doctrine</w:t>
      </w:r>
      <w:r w:rsidRPr="00684BF3">
        <w:rPr>
          <w:sz w:val="16"/>
        </w:rPr>
        <w:t>. Applied to major questions, Chevron, as originally decided, sustains a huge delegation of legislative power to the agency, permitting it to interpret a central element of a statute.</w:t>
      </w:r>
    </w:p>
    <w:p w14:paraId="69524AAA" w14:textId="74858A12" w:rsidR="003242AF" w:rsidRDefault="003242AF" w:rsidP="003242AF">
      <w:pPr>
        <w:rPr>
          <w:sz w:val="16"/>
        </w:rPr>
      </w:pPr>
      <w:r w:rsidRPr="00684BF3">
        <w:rPr>
          <w:rStyle w:val="StyleUnderline"/>
        </w:rPr>
        <w:t>The</w:t>
      </w:r>
      <w:r w:rsidRPr="00684BF3">
        <w:rPr>
          <w:sz w:val="16"/>
        </w:rPr>
        <w:t xml:space="preserve"> renewed </w:t>
      </w:r>
      <w:r w:rsidRPr="00684BF3">
        <w:rPr>
          <w:rStyle w:val="StyleUnderline"/>
        </w:rPr>
        <w:t>influence of originalism</w:t>
      </w:r>
      <w:r w:rsidRPr="00684BF3">
        <w:rPr>
          <w:sz w:val="16"/>
        </w:rPr>
        <w:t xml:space="preserve"> on nondelegation issues </w:t>
      </w:r>
      <w:r w:rsidRPr="00684BF3">
        <w:rPr>
          <w:rStyle w:val="StyleUnderline"/>
        </w:rPr>
        <w:t>is</w:t>
      </w:r>
      <w:r w:rsidRPr="00684BF3">
        <w:rPr>
          <w:sz w:val="16"/>
        </w:rPr>
        <w:t xml:space="preserve"> even </w:t>
      </w:r>
      <w:r w:rsidRPr="00684BF3">
        <w:rPr>
          <w:rStyle w:val="StyleUnderline"/>
        </w:rPr>
        <w:t>clear</w:t>
      </w:r>
      <w:r w:rsidRPr="00684BF3">
        <w:rPr>
          <w:sz w:val="16"/>
        </w:rPr>
        <w:t xml:space="preserve">er </w:t>
      </w:r>
      <w:r w:rsidRPr="00684BF3">
        <w:rPr>
          <w:rStyle w:val="Emphasis"/>
        </w:rPr>
        <w:t>beyond Chevron</w:t>
      </w:r>
      <w:r w:rsidRPr="00684BF3">
        <w:rPr>
          <w:sz w:val="16"/>
        </w:rPr>
        <w:t xml:space="preserve"> cases. For instance, </w:t>
      </w:r>
      <w:r w:rsidRPr="00684BF3">
        <w:rPr>
          <w:rStyle w:val="StyleUnderline"/>
        </w:rPr>
        <w:t>in</w:t>
      </w:r>
      <w:r w:rsidRPr="00684BF3">
        <w:rPr>
          <w:sz w:val="16"/>
        </w:rPr>
        <w:t xml:space="preserve"> United States v. </w:t>
      </w:r>
      <w:r w:rsidRPr="00684BF3">
        <w:rPr>
          <w:rStyle w:val="Emphasis"/>
        </w:rPr>
        <w:t>Gundy</w:t>
      </w:r>
      <w:r w:rsidRPr="00684BF3">
        <w:rPr>
          <w:sz w:val="16"/>
        </w:rPr>
        <w:t xml:space="preserve">, Justice Neal </w:t>
      </w:r>
      <w:r w:rsidRPr="00684BF3">
        <w:rPr>
          <w:rStyle w:val="Emphasis"/>
        </w:rPr>
        <w:t>Gorsuch objected</w:t>
      </w:r>
      <w:r w:rsidRPr="00684BF3">
        <w:rPr>
          <w:sz w:val="16"/>
        </w:rPr>
        <w:t xml:space="preserve">, </w:t>
      </w:r>
      <w:r w:rsidRPr="00684BF3">
        <w:rPr>
          <w:rStyle w:val="StyleUnderline"/>
        </w:rPr>
        <w:t>on originalist grounds</w:t>
      </w:r>
      <w:r w:rsidRPr="00684BF3">
        <w:rPr>
          <w:sz w:val="16"/>
        </w:rPr>
        <w:t xml:space="preserve">, </w:t>
      </w:r>
      <w:r w:rsidRPr="00684BF3">
        <w:rPr>
          <w:rStyle w:val="StyleUnderline"/>
        </w:rPr>
        <w:t>to the decision</w:t>
      </w:r>
      <w:r w:rsidRPr="00684BF3">
        <w:rPr>
          <w:sz w:val="16"/>
        </w:rPr>
        <w:t xml:space="preserve"> by the plurality of the Court </w:t>
      </w:r>
      <w:r w:rsidRPr="00684BF3">
        <w:rPr>
          <w:rStyle w:val="StyleUnderline"/>
        </w:rPr>
        <w:t xml:space="preserve">allowing Congress to </w:t>
      </w:r>
      <w:r w:rsidRPr="00684BF3">
        <w:rPr>
          <w:rStyle w:val="Emphasis"/>
        </w:rPr>
        <w:t>delegate to</w:t>
      </w:r>
      <w:r w:rsidRPr="00684BF3">
        <w:rPr>
          <w:rStyle w:val="StyleUnderline"/>
        </w:rPr>
        <w:t xml:space="preserve"> the </w:t>
      </w:r>
      <w:r w:rsidRPr="00684BF3">
        <w:rPr>
          <w:rStyle w:val="Emphasis"/>
        </w:rPr>
        <w:t>A</w:t>
      </w:r>
      <w:r w:rsidRPr="00684BF3">
        <w:rPr>
          <w:rStyle w:val="StyleUnderline"/>
        </w:rPr>
        <w:t xml:space="preserve">ttorney </w:t>
      </w:r>
      <w:r w:rsidRPr="00684BF3">
        <w:rPr>
          <w:rStyle w:val="Emphasis"/>
        </w:rPr>
        <w:t>G</w:t>
      </w:r>
      <w:r w:rsidRPr="00684BF3">
        <w:rPr>
          <w:rStyle w:val="StyleUnderline"/>
        </w:rPr>
        <w:t>eneral</w:t>
      </w:r>
      <w:r w:rsidRPr="00684BF3">
        <w:rPr>
          <w:sz w:val="16"/>
        </w:rPr>
        <w:t xml:space="preserve"> the determination of which sex offenders convicted before the enactment of a sex-offender registration statute would nevertheless have to register after its enactment, because </w:t>
      </w:r>
      <w:r w:rsidRPr="00684BF3">
        <w:rPr>
          <w:rStyle w:val="StyleUnderline"/>
        </w:rPr>
        <w:t>the statute provided no substantial limits</w:t>
      </w:r>
      <w:r w:rsidRPr="00684BF3">
        <w:rPr>
          <w:sz w:val="16"/>
        </w:rPr>
        <w:t xml:space="preserve"> on his discretion. And although Gorsuch’s opinion was a dissent, Justice Samuel </w:t>
      </w:r>
      <w:r w:rsidRPr="00684BF3">
        <w:rPr>
          <w:rStyle w:val="Emphasis"/>
        </w:rPr>
        <w:t>Alito</w:t>
      </w:r>
      <w:r w:rsidRPr="00684BF3">
        <w:rPr>
          <w:sz w:val="16"/>
        </w:rPr>
        <w:t xml:space="preserve">, who gave the decisive vote for the majority, </w:t>
      </w:r>
      <w:r w:rsidRPr="00684BF3">
        <w:rPr>
          <w:rStyle w:val="StyleUnderline"/>
        </w:rPr>
        <w:t xml:space="preserve">wrote in a </w:t>
      </w:r>
      <w:r w:rsidRPr="00684BF3">
        <w:rPr>
          <w:rStyle w:val="Emphasis"/>
        </w:rPr>
        <w:t>concur</w:t>
      </w:r>
      <w:r w:rsidRPr="00684BF3">
        <w:rPr>
          <w:rStyle w:val="StyleUnderline"/>
        </w:rPr>
        <w:t>rence</w:t>
      </w:r>
      <w:r w:rsidRPr="00684BF3">
        <w:rPr>
          <w:sz w:val="16"/>
        </w:rPr>
        <w:t xml:space="preserve"> that </w:t>
      </w:r>
      <w:r w:rsidRPr="00684BF3">
        <w:rPr>
          <w:rStyle w:val="StyleUnderline"/>
        </w:rPr>
        <w:t>he</w:t>
      </w:r>
      <w:r w:rsidRPr="00684BF3">
        <w:rPr>
          <w:sz w:val="16"/>
        </w:rPr>
        <w:t xml:space="preserve"> too </w:t>
      </w:r>
      <w:r w:rsidRPr="00684BF3">
        <w:rPr>
          <w:rStyle w:val="StyleUnderline"/>
        </w:rPr>
        <w:t>would</w:t>
      </w:r>
      <w:r w:rsidRPr="00684BF3">
        <w:rPr>
          <w:sz w:val="16"/>
        </w:rPr>
        <w:t xml:space="preserve"> be willing to </w:t>
      </w:r>
      <w:r w:rsidRPr="00684BF3">
        <w:rPr>
          <w:rStyle w:val="StyleUnderline"/>
        </w:rPr>
        <w:t>reconsider the delegation doctrine</w:t>
      </w:r>
      <w:r w:rsidRPr="00684BF3">
        <w:rPr>
          <w:sz w:val="16"/>
        </w:rPr>
        <w:t xml:space="preserve"> in a more appropriate case. Justice Bret </w:t>
      </w:r>
      <w:r w:rsidRPr="00684BF3">
        <w:rPr>
          <w:rStyle w:val="Emphasis"/>
        </w:rPr>
        <w:t>Kavanaugh</w:t>
      </w:r>
      <w:r w:rsidRPr="00684BF3">
        <w:rPr>
          <w:sz w:val="16"/>
        </w:rPr>
        <w:t xml:space="preserve"> did not participate in Gundy, but has since </w:t>
      </w:r>
      <w:r w:rsidRPr="00684BF3">
        <w:rPr>
          <w:rStyle w:val="StyleUnderline"/>
        </w:rPr>
        <w:t>indicated</w:t>
      </w:r>
      <w:r w:rsidRPr="00684BF3">
        <w:rPr>
          <w:sz w:val="16"/>
        </w:rPr>
        <w:t xml:space="preserve"> that </w:t>
      </w:r>
      <w:r w:rsidRPr="00684BF3">
        <w:rPr>
          <w:rStyle w:val="StyleUnderline"/>
        </w:rPr>
        <w:t>he</w:t>
      </w:r>
      <w:r w:rsidRPr="00684BF3">
        <w:rPr>
          <w:sz w:val="16"/>
        </w:rPr>
        <w:t xml:space="preserve"> too </w:t>
      </w:r>
      <w:r w:rsidRPr="00684BF3">
        <w:rPr>
          <w:rStyle w:val="StyleUnderline"/>
        </w:rPr>
        <w:t xml:space="preserve">is </w:t>
      </w:r>
      <w:r w:rsidRPr="00684BF3">
        <w:rPr>
          <w:rStyle w:val="Emphasis"/>
        </w:rPr>
        <w:t>open to reexamining</w:t>
      </w:r>
      <w:r w:rsidRPr="00684BF3">
        <w:rPr>
          <w:rStyle w:val="StyleUnderline"/>
        </w:rPr>
        <w:t xml:space="preserve"> the doctrine that is fundamental to the</w:t>
      </w:r>
      <w:r w:rsidRPr="00684BF3">
        <w:rPr>
          <w:sz w:val="16"/>
        </w:rPr>
        <w:t xml:space="preserve"> discretionary power of the </w:t>
      </w:r>
      <w:r w:rsidRPr="00684BF3">
        <w:rPr>
          <w:rStyle w:val="Emphasis"/>
        </w:rPr>
        <w:t>administrative state</w:t>
      </w:r>
      <w:r w:rsidRPr="00684BF3">
        <w:rPr>
          <w:sz w:val="16"/>
        </w:rPr>
        <w:t>.</w:t>
      </w:r>
    </w:p>
    <w:p w14:paraId="4A69985C" w14:textId="15122592" w:rsidR="00CB3F1F" w:rsidRDefault="00CB3F1F" w:rsidP="00CB3F1F">
      <w:pPr>
        <w:pStyle w:val="Heading4"/>
      </w:pPr>
      <w:r w:rsidRPr="00CB3F1F">
        <w:rPr>
          <w:i/>
          <w:iCs w:val="0"/>
        </w:rPr>
        <w:t>Smith v. Berryhill</w:t>
      </w:r>
      <w:r>
        <w:t xml:space="preserve"> thumps.</w:t>
      </w:r>
    </w:p>
    <w:p w14:paraId="5006D4E4" w14:textId="77777777" w:rsidR="00CB3F1F" w:rsidRPr="005C0316" w:rsidRDefault="00CB3F1F" w:rsidP="00CB3F1F">
      <w:r w:rsidRPr="005C0316">
        <w:rPr>
          <w:b/>
          <w:bCs/>
          <w:sz w:val="26"/>
          <w:szCs w:val="26"/>
        </w:rPr>
        <w:t>Sapper and Nightengale 19</w:t>
      </w:r>
      <w:r>
        <w:t xml:space="preserve"> - </w:t>
      </w:r>
      <w:r w:rsidRPr="005C0316">
        <w:t>Senior Counsel in the Washington, D.C. office of Ogletree Deakins, where he practices administrative and regulatory la</w:t>
      </w:r>
      <w:r>
        <w:t xml:space="preserve">w, </w:t>
      </w:r>
      <w:r w:rsidRPr="005C0316">
        <w:t>advises and represents management on workplace safety and health issues before federal enforcement agencies</w:t>
      </w:r>
      <w:r>
        <w:t>, (Arthur G., Gwendolyn K., “</w:t>
      </w:r>
      <w:r w:rsidRPr="005C0316">
        <w:t>Supreme Court Places Another Limitation on Chevron Deference</w:t>
      </w:r>
      <w:r>
        <w:t xml:space="preserve">,” </w:t>
      </w:r>
      <w:r>
        <w:rPr>
          <w:i/>
          <w:iCs/>
        </w:rPr>
        <w:t>The National Law Review</w:t>
      </w:r>
      <w:r>
        <w:t xml:space="preserve">, 5-31-19, </w:t>
      </w:r>
      <w:hyperlink r:id="rId152" w:history="1">
        <w:r w:rsidRPr="00DC67D3">
          <w:rPr>
            <w:rStyle w:val="Hyperlink"/>
          </w:rPr>
          <w:t>https://www.natlawreview.com/article/supreme-court-places-another-limitation-chevron-deference</w:t>
        </w:r>
      </w:hyperlink>
      <w:r>
        <w:t>, Accessed 7-5-20, LASA-AH)</w:t>
      </w:r>
    </w:p>
    <w:p w14:paraId="31221601" w14:textId="77777777" w:rsidR="00CB3F1F" w:rsidRPr="005C0316" w:rsidRDefault="00CB3F1F" w:rsidP="00CB3F1F">
      <w:pPr>
        <w:rPr>
          <w:u w:val="single"/>
        </w:rPr>
      </w:pPr>
      <w:r>
        <w:t xml:space="preserve">The </w:t>
      </w:r>
      <w:r w:rsidRPr="005C0316">
        <w:rPr>
          <w:u w:val="single"/>
        </w:rPr>
        <w:t xml:space="preserve">justices of the Supreme Court of the United States have again </w:t>
      </w:r>
      <w:r w:rsidRPr="005C0316">
        <w:rPr>
          <w:rStyle w:val="Emphasis"/>
        </w:rPr>
        <w:t>limited the reach of Chevron deference</w:t>
      </w:r>
      <w:r>
        <w:t xml:space="preserve">. On May 28, 2019, the </w:t>
      </w:r>
      <w:r w:rsidRPr="005C0316">
        <w:rPr>
          <w:u w:val="single"/>
        </w:rPr>
        <w:t xml:space="preserve">Court in Smith v. Berryhill carved another exception into what has lately proven to be its least-favored precedent. It held that Chevron deference </w:t>
      </w:r>
      <w:r w:rsidRPr="005C0316">
        <w:rPr>
          <w:rStyle w:val="Emphasis"/>
        </w:rPr>
        <w:t>does not apply</w:t>
      </w:r>
      <w:r w:rsidRPr="005C0316">
        <w:rPr>
          <w:u w:val="single"/>
        </w:rPr>
        <w:t xml:space="preserve"> to the scope of judicial review.</w:t>
      </w:r>
    </w:p>
    <w:p w14:paraId="03B302C7" w14:textId="77777777" w:rsidR="00CB3F1F" w:rsidRDefault="00CB3F1F" w:rsidP="00CB3F1F">
      <w:r>
        <w:t>Background</w:t>
      </w:r>
    </w:p>
    <w:p w14:paraId="057E3AAD" w14:textId="77777777" w:rsidR="00CB3F1F" w:rsidRPr="005C0316" w:rsidRDefault="00CB3F1F" w:rsidP="00CB3F1F">
      <w:pPr>
        <w:rPr>
          <w:u w:val="single"/>
        </w:rPr>
      </w:pPr>
      <w:r>
        <w:t xml:space="preserve">Under § 405(g) of the Social Security Act, judicial review is available for “any final decision of the Commissioner of Social Security made after a hearing.” </w:t>
      </w:r>
      <w:r w:rsidRPr="005C0316">
        <w:rPr>
          <w:u w:val="single"/>
        </w:rPr>
        <w:t>After a hearing, an administrative law judge denied Social Security benefits to the petitioner. The Social Security Administration’s (SSA) final decisionmaker, the Appeals Council, dismissed the petitioner’s appeal on timeliness grounds.</w:t>
      </w:r>
    </w:p>
    <w:p w14:paraId="569DC308" w14:textId="77777777" w:rsidR="00CB3F1F" w:rsidRDefault="00CB3F1F" w:rsidP="00CB3F1F">
      <w:r>
        <w:t xml:space="preserve">The petitioner appealed that dismissal to the U.S. District Court for the Eastern District of Kentucky, which ruled that it lacked jurisdiction to hear the appeal. </w:t>
      </w:r>
      <w:r w:rsidRPr="005C0316">
        <w:rPr>
          <w:u w:val="single"/>
        </w:rPr>
        <w:t>The Sixth Circuit affirmed on the ground that “an Appeals Council decision to refrain from considering an untimely petition for review is not a ‘final decision’ subject to judicial review in federal court</w:t>
      </w:r>
      <w:r>
        <w:t>.” The Supreme Court granted certiorari to resolve a conflict among the circuits on whether a dismissal by the Appeals Council was reviewable as a final decision made after a hearing.</w:t>
      </w:r>
    </w:p>
    <w:p w14:paraId="7D4FEEFB" w14:textId="77777777" w:rsidR="00CB3F1F" w:rsidRPr="005C0316" w:rsidRDefault="00CB3F1F" w:rsidP="00CB3F1F">
      <w:pPr>
        <w:rPr>
          <w:u w:val="single"/>
        </w:rPr>
      </w:pPr>
      <w:r>
        <w:t xml:space="preserve">Before the Supreme Court, </w:t>
      </w:r>
      <w:r w:rsidRPr="005C0316">
        <w:rPr>
          <w:u w:val="single"/>
        </w:rPr>
        <w:t>it was argued that § 405(g) was ambiguous and that the SSA’s longstanding interpretation was entitled to deference under Chevron U.S.A. Inc. v. Natural Resources Defense Council, 467 U.S. 837 (1984)</w:t>
      </w:r>
      <w:r>
        <w:t xml:space="preserve">. The </w:t>
      </w:r>
      <w:r w:rsidRPr="005C0316">
        <w:rPr>
          <w:u w:val="single"/>
        </w:rPr>
        <w:t>Chevron doctrine requires federal courts to defer to an agency’s interpretation of a statute if (1) the statute is ambiguous and (2) the agency interpretation is reasonable.</w:t>
      </w:r>
    </w:p>
    <w:p w14:paraId="7E9014A8" w14:textId="77777777" w:rsidR="00CB3F1F" w:rsidRDefault="00CB3F1F" w:rsidP="00CB3F1F">
      <w:r>
        <w:t>The Supreme Court’s Decision</w:t>
      </w:r>
    </w:p>
    <w:p w14:paraId="78756C6F" w14:textId="77777777" w:rsidR="00CB3F1F" w:rsidRDefault="00CB3F1F" w:rsidP="00CB3F1F">
      <w:r w:rsidRPr="005C0316">
        <w:rPr>
          <w:u w:val="single"/>
        </w:rPr>
        <w:t xml:space="preserve">The Supreme Court held that </w:t>
      </w:r>
      <w:r w:rsidRPr="005C0316">
        <w:rPr>
          <w:rStyle w:val="Emphasis"/>
        </w:rPr>
        <w:t>Chevron was inapplicable</w:t>
      </w:r>
      <w:r w:rsidRPr="005C0316">
        <w:rPr>
          <w:u w:val="single"/>
        </w:rPr>
        <w:t>.</w:t>
      </w:r>
      <w:r>
        <w:t xml:space="preserve"> It explained that </w:t>
      </w:r>
      <w:r w:rsidRPr="005C0316">
        <w:rPr>
          <w:u w:val="single"/>
        </w:rPr>
        <w:t>Chevron deference “‘is premised on the theory that a statute’s ambiguity constitutes an implicit delegation from Congress to the agency to fill in the statutory gaps</w:t>
      </w:r>
      <w:r>
        <w:t>.’ . . .  The scope of judicial review . . .  is hardly the kind of question that the Court presumes that Congress implicitly delegated to an agency.” In concluding that “</w:t>
      </w:r>
      <w:r w:rsidRPr="005C0316">
        <w:rPr>
          <w:u w:val="single"/>
        </w:rPr>
        <w:t>Congress did not delegate to the SSA the power to determine ‘the scope of the judicial power vested by’ §405(g) or to determine conclusively when its dictates are satisfied</w:t>
      </w:r>
      <w:r>
        <w:t>,’” it cited Adams Fruit Co. v. Barrett, 494 U.S. 638, 649–650 (1990), where it declined to defer to an agency’s view of whether a statute foreclosed a private right of action.</w:t>
      </w:r>
    </w:p>
    <w:p w14:paraId="420EBCB1" w14:textId="225ECEA2" w:rsidR="00CB3F1F" w:rsidRDefault="00805A42" w:rsidP="00805A42">
      <w:pPr>
        <w:pStyle w:val="Heading4"/>
      </w:pPr>
      <w:r>
        <w:t>So does the MQD.</w:t>
      </w:r>
    </w:p>
    <w:p w14:paraId="6FD0B698" w14:textId="77777777" w:rsidR="00805A42" w:rsidRPr="00A131BC" w:rsidRDefault="00805A42" w:rsidP="00805A42">
      <w:r w:rsidRPr="00A131BC">
        <w:rPr>
          <w:b/>
          <w:bCs/>
          <w:sz w:val="26"/>
          <w:szCs w:val="26"/>
        </w:rPr>
        <w:t>Brannon and Cole 18</w:t>
      </w:r>
      <w:r>
        <w:t xml:space="preserve"> - </w:t>
      </w:r>
      <w:r w:rsidRPr="004C2AAA">
        <w:t>a legislative attorney with the American Law Division of the Congressional Researc</w:t>
      </w:r>
      <w:r>
        <w:t xml:space="preserve">h, legislative attorney with the Congressional Research Service, (Valerie C., Jared P., “Deference and its Discontents: Will the Supreme Court Overrule Chevron?,” </w:t>
      </w:r>
      <w:r>
        <w:rPr>
          <w:i/>
          <w:iCs/>
        </w:rPr>
        <w:t>Congressional Research Service</w:t>
      </w:r>
      <w:r>
        <w:t xml:space="preserve">, 10-11-18, </w:t>
      </w:r>
      <w:hyperlink r:id="rId153" w:history="1">
        <w:r w:rsidRPr="00F9106D">
          <w:rPr>
            <w:rStyle w:val="Hyperlink"/>
          </w:rPr>
          <w:t>https://fas.org/sgp/crs/misc/LSB10204.pdf</w:t>
        </w:r>
      </w:hyperlink>
      <w:r>
        <w:t>, Accessed 6-25-20, LASA-AH)</w:t>
      </w:r>
    </w:p>
    <w:p w14:paraId="2A29D49A" w14:textId="48C7F4DD" w:rsidR="00805A42" w:rsidRDefault="00805A42" w:rsidP="00805A42">
      <w:r>
        <w:t xml:space="preserve">Second, </w:t>
      </w:r>
      <w:r w:rsidRPr="004C2AAA">
        <w:rPr>
          <w:u w:val="single"/>
        </w:rPr>
        <w:t xml:space="preserve">some scholars have stated that </w:t>
      </w:r>
      <w:r w:rsidRPr="004C2AAA">
        <w:rPr>
          <w:rStyle w:val="Emphasis"/>
        </w:rPr>
        <w:t>Chevron’s scope has been narrowed</w:t>
      </w:r>
      <w:r w:rsidRPr="004C2AAA">
        <w:rPr>
          <w:u w:val="single"/>
        </w:rPr>
        <w:t xml:space="preserve"> through application of the</w:t>
      </w:r>
      <w:r>
        <w:rPr>
          <w:u w:val="single"/>
        </w:rPr>
        <w:t xml:space="preserve"> </w:t>
      </w:r>
      <w:r w:rsidRPr="004C2AAA">
        <w:rPr>
          <w:u w:val="single"/>
        </w:rPr>
        <w:t>major questions doctrine (sometimes known as the major rules doctrine)</w:t>
      </w:r>
      <w:r>
        <w:t xml:space="preserve">. </w:t>
      </w:r>
      <w:r w:rsidRPr="004C2AAA">
        <w:rPr>
          <w:u w:val="single"/>
        </w:rPr>
        <w:t>The major questions doctrine</w:t>
      </w:r>
      <w:r>
        <w:t xml:space="preserve">, while never endorsed by name by the Supreme Court, has </w:t>
      </w:r>
      <w:r w:rsidRPr="004C2AAA">
        <w:rPr>
          <w:u w:val="single"/>
        </w:rPr>
        <w:t>been distilled from a number of cases in which</w:t>
      </w:r>
      <w:r>
        <w:rPr>
          <w:u w:val="single"/>
        </w:rPr>
        <w:t xml:space="preserve"> </w:t>
      </w:r>
      <w:r w:rsidRPr="004C2AAA">
        <w:rPr>
          <w:u w:val="single"/>
        </w:rPr>
        <w:t>the Supreme Court suggested that it would not defer to an agency’s interpretation under Chevron because</w:t>
      </w:r>
      <w:r>
        <w:rPr>
          <w:u w:val="single"/>
        </w:rPr>
        <w:t xml:space="preserve"> </w:t>
      </w:r>
      <w:r w:rsidRPr="004C2AAA">
        <w:rPr>
          <w:u w:val="single"/>
        </w:rPr>
        <w:t xml:space="preserve">the </w:t>
      </w:r>
      <w:r w:rsidRPr="004C2AAA">
        <w:t>disputed</w:t>
      </w:r>
      <w:r w:rsidRPr="004C2AAA">
        <w:rPr>
          <w:u w:val="single"/>
        </w:rPr>
        <w:t xml:space="preserve"> interpretation involved a question of “such economic and political magnitude” that it is</w:t>
      </w:r>
      <w:r>
        <w:rPr>
          <w:u w:val="single"/>
        </w:rPr>
        <w:t xml:space="preserve"> </w:t>
      </w:r>
      <w:r w:rsidRPr="004C2AAA">
        <w:rPr>
          <w:u w:val="single"/>
        </w:rPr>
        <w:t>unlikely</w:t>
      </w:r>
      <w:r>
        <w:t xml:space="preserve"> that </w:t>
      </w:r>
      <w:r w:rsidRPr="004C2AAA">
        <w:rPr>
          <w:u w:val="single"/>
        </w:rPr>
        <w:t xml:space="preserve">Congress would have implicitly delegated </w:t>
      </w:r>
      <w:r>
        <w:t xml:space="preserve">the </w:t>
      </w:r>
      <w:r w:rsidRPr="004C2AAA">
        <w:rPr>
          <w:u w:val="single"/>
        </w:rPr>
        <w:t>authority to resolve that question</w:t>
      </w:r>
      <w:r>
        <w:t xml:space="preserve"> to the relevant agency. Most recently, in his 2015 opinion for the Court in King v. Burwell, Chief Justice </w:t>
      </w:r>
      <w:r w:rsidRPr="004C2AAA">
        <w:rPr>
          <w:u w:val="single"/>
        </w:rPr>
        <w:t>Roberts</w:t>
      </w:r>
      <w:r>
        <w:rPr>
          <w:u w:val="single"/>
        </w:rPr>
        <w:t xml:space="preserve"> </w:t>
      </w:r>
      <w:r w:rsidRPr="004C2AAA">
        <w:rPr>
          <w:u w:val="single"/>
        </w:rPr>
        <w:t>concluded that the Chevron framework was inapplicable to the IRS’s proffered interpretation of certain</w:t>
      </w:r>
      <w:r>
        <w:rPr>
          <w:u w:val="single"/>
        </w:rPr>
        <w:t xml:space="preserve"> </w:t>
      </w:r>
      <w:r w:rsidRPr="004C2AAA">
        <w:rPr>
          <w:u w:val="single"/>
        </w:rPr>
        <w:t>provisions of the Patient Protection and Affordable Care Act</w:t>
      </w:r>
      <w:r>
        <w:t>. In the view of the Court</w:t>
      </w:r>
      <w:r w:rsidRPr="004C2AAA">
        <w:rPr>
          <w:u w:val="single"/>
        </w:rPr>
        <w:t>, the question of</w:t>
      </w:r>
      <w:r>
        <w:rPr>
          <w:u w:val="single"/>
        </w:rPr>
        <w:t xml:space="preserve"> </w:t>
      </w:r>
      <w:r w:rsidRPr="004C2AAA">
        <w:rPr>
          <w:u w:val="single"/>
        </w:rPr>
        <w:t>whether certain tax credits were available for health care plans procured on federal health care exchanges</w:t>
      </w:r>
      <w:r>
        <w:rPr>
          <w:u w:val="single"/>
        </w:rPr>
        <w:t xml:space="preserve"> </w:t>
      </w:r>
      <w:r w:rsidRPr="004C2AAA">
        <w:rPr>
          <w:u w:val="single"/>
        </w:rPr>
        <w:t>was “a question of deep ‘economic and political significance’</w:t>
      </w:r>
      <w:r>
        <w:t xml:space="preserve"> that [was] central to this statutory scheme; had Congress wished to assign that question to an agency, it surely would have done so expressly.” Instead, </w:t>
      </w:r>
      <w:r w:rsidRPr="004C2AAA">
        <w:rPr>
          <w:u w:val="single"/>
        </w:rPr>
        <w:t>the Court analyzed the statute independently</w:t>
      </w:r>
      <w:r>
        <w:t xml:space="preserve"> </w:t>
      </w:r>
      <w:r w:rsidRPr="004C2AAA">
        <w:rPr>
          <w:rStyle w:val="Emphasis"/>
        </w:rPr>
        <w:t>without any deference to the agency’s position.</w:t>
      </w:r>
      <w:r>
        <w:t xml:space="preserve"> Thus, </w:t>
      </w:r>
      <w:r w:rsidRPr="004C2AAA">
        <w:rPr>
          <w:u w:val="single"/>
        </w:rPr>
        <w:t>when the major questions doctrine is invoked, it displaces Chevron deference</w:t>
      </w:r>
      <w:r>
        <w:t>. But the precise scope of this major questions doctrine remains unsettled and there is scholarly dispute regarding its wisdom.</w:t>
      </w:r>
    </w:p>
    <w:p w14:paraId="2040EC12" w14:textId="49B46329" w:rsidR="0095149D" w:rsidRPr="0095149D" w:rsidRDefault="0095149D" w:rsidP="0095149D">
      <w:pPr>
        <w:pStyle w:val="Heading4"/>
      </w:pPr>
      <w:r>
        <w:t xml:space="preserve">It has </w:t>
      </w:r>
      <w:r>
        <w:rPr>
          <w:u w:val="single"/>
        </w:rPr>
        <w:t>completely failed</w:t>
      </w:r>
      <w:r>
        <w:t>.</w:t>
      </w:r>
    </w:p>
    <w:p w14:paraId="75AD3D49" w14:textId="77777777" w:rsidR="0095149D" w:rsidRDefault="0095149D" w:rsidP="0095149D">
      <w:r>
        <w:rPr>
          <w:rStyle w:val="Style13ptBold"/>
        </w:rPr>
        <w:t>Beerman 10</w:t>
      </w:r>
      <w:r>
        <w:rPr>
          <w:rStyle w:val="Style13ptBold"/>
          <w:b w:val="0"/>
          <w:bCs w:val="0"/>
        </w:rPr>
        <w:t xml:space="preserve"> —</w:t>
      </w:r>
      <w:r w:rsidRPr="00796B82">
        <w:t xml:space="preserve"> Jack M. Beermann is a Professor of Law and Harry Elwood Warren Scholar at Boston University, and he has a BA from the University of Wisconsin and JD from the University of Chicago</w:t>
      </w:r>
      <w:r>
        <w:t xml:space="preserve">. (“End the Failed Chevron Experiment Now: How Chevron Has Failed and Why it Can and Should Be Overruled” Connecticut Law Review, vol.  42, number 3, February 2010. </w:t>
      </w:r>
      <w:hyperlink r:id="rId154" w:history="1">
        <w:r w:rsidRPr="0079159C">
          <w:rPr>
            <w:rStyle w:val="Hyperlink"/>
          </w:rPr>
          <w:t>https://scholarship.law.bu.edu/cgi/viewcontent.cgi?article=1519&amp;context=faculty_scholarship)//JLPark</w:t>
        </w:r>
      </w:hyperlink>
    </w:p>
    <w:p w14:paraId="1215160E" w14:textId="77777777" w:rsidR="0095149D" w:rsidRPr="00C15F94" w:rsidRDefault="0095149D" w:rsidP="0095149D">
      <w:pPr>
        <w:rPr>
          <w:sz w:val="14"/>
          <w:szCs w:val="14"/>
        </w:rPr>
      </w:pPr>
      <w:r w:rsidRPr="00C15F94">
        <w:rPr>
          <w:sz w:val="14"/>
          <w:szCs w:val="14"/>
        </w:rPr>
        <w:t>I. INTRODUCTION</w:t>
      </w:r>
    </w:p>
    <w:p w14:paraId="4DFBC65D" w14:textId="77777777" w:rsidR="0095149D" w:rsidRPr="00C15F94" w:rsidRDefault="0095149D" w:rsidP="0095149D">
      <w:pPr>
        <w:rPr>
          <w:rStyle w:val="Style13ptBold"/>
          <w:b w:val="0"/>
          <w:bCs w:val="0"/>
          <w:sz w:val="14"/>
          <w:szCs w:val="14"/>
        </w:rPr>
      </w:pPr>
      <w:r w:rsidRPr="00C15F94">
        <w:rPr>
          <w:sz w:val="14"/>
          <w:szCs w:val="14"/>
        </w:rPr>
        <w:t>In Chevron U.S.A., Inc. v. NRDC, 1 decided in 1984, the Supreme Court announced a startling new two-step approach to judicial review of statutory interpretation by administrative agencies, requiring courts to defer to agency interpretations of ambiguous statutes.2 Chevron stated that a statute is unambiguous only if Congress has directly spoken to the precise question at issue, which, if applied as written, means that a high proportion of statutes are likely to be found ambiguous. Once a statute is found to be ambiguous, Chevron requires the reviewing court to approve any reasonable or permissible construction.3 This standard appears to be very deferential to agency interpretation. While the Court itself might not have intended to make great changes in administrative law,4 Chevron quickly became the iconic representation of a completely new way of reviewing agency interpretive decisions.5</w:t>
      </w:r>
    </w:p>
    <w:p w14:paraId="4EF5CF3A" w14:textId="77777777" w:rsidR="0095149D" w:rsidRPr="00C15F94" w:rsidRDefault="0095149D" w:rsidP="0095149D">
      <w:pPr>
        <w:rPr>
          <w:rStyle w:val="Style13ptBold"/>
          <w:b w:val="0"/>
          <w:bCs w:val="0"/>
          <w:sz w:val="14"/>
        </w:rPr>
      </w:pPr>
      <w:r w:rsidRPr="00C15F94">
        <w:rPr>
          <w:sz w:val="14"/>
        </w:rPr>
        <w:t xml:space="preserve">Chevron is the most famous Supreme Court decision in the history of administrative law, and it also seems to be administrative law’s most highly analyzed doctrine.6 It does not take much study, however, to reveal one basic fact about </w:t>
      </w:r>
      <w:r w:rsidRPr="00376F08">
        <w:rPr>
          <w:rStyle w:val="StyleUnderline"/>
        </w:rPr>
        <w:t>the Chevron doctrine</w:t>
      </w:r>
      <w:r w:rsidRPr="00C15F94">
        <w:rPr>
          <w:sz w:val="14"/>
        </w:rPr>
        <w:t xml:space="preserve">: as a legal doctrine, it </w:t>
      </w:r>
      <w:r w:rsidRPr="00376F08">
        <w:rPr>
          <w:rStyle w:val="StyleUnderline"/>
        </w:rPr>
        <w:t xml:space="preserve">has proven to be a </w:t>
      </w:r>
      <w:r w:rsidRPr="00376F08">
        <w:rPr>
          <w:rStyle w:val="Emphasis"/>
        </w:rPr>
        <w:t>complete and total failure</w:t>
      </w:r>
      <w:r w:rsidRPr="00376F08">
        <w:rPr>
          <w:rStyle w:val="StyleUnderline"/>
        </w:rPr>
        <w:t xml:space="preserve">, and thus the Supreme Court should overrule it </w:t>
      </w:r>
      <w:r w:rsidRPr="00C15F94">
        <w:rPr>
          <w:sz w:val="14"/>
        </w:rPr>
        <w:t>at the first possible opportunity.</w:t>
      </w:r>
    </w:p>
    <w:p w14:paraId="471BBE0F" w14:textId="77777777" w:rsidR="0095149D" w:rsidRPr="00C15F94" w:rsidRDefault="0095149D" w:rsidP="0095149D">
      <w:pPr>
        <w:rPr>
          <w:rStyle w:val="Style13ptBold"/>
          <w:b w:val="0"/>
          <w:bCs w:val="0"/>
          <w:sz w:val="14"/>
          <w:szCs w:val="14"/>
        </w:rPr>
      </w:pPr>
      <w:r w:rsidRPr="00C15F94">
        <w:rPr>
          <w:sz w:val="14"/>
          <w:szCs w:val="14"/>
        </w:rPr>
        <w:t>This Article explains in detail how and why the Chevron doctrine has failed, and it also shows that it may and should be overruled. Part II addresses the “should”—why Chevron should be overruled; Part III addresses the “may”—why overruling Chevron would be consistent with the Supreme Court’s principles of stare decisis; and Part IV of this Article presents an alternative framework for judicial review of agency statutory interpretation decisions that does not share Chevron’s fatal defects.</w:t>
      </w:r>
    </w:p>
    <w:p w14:paraId="0E572510" w14:textId="77777777" w:rsidR="0095149D" w:rsidRPr="00C15F94" w:rsidRDefault="0095149D" w:rsidP="0095149D">
      <w:pPr>
        <w:rPr>
          <w:sz w:val="14"/>
          <w:szCs w:val="14"/>
        </w:rPr>
      </w:pPr>
      <w:r w:rsidRPr="00C15F94">
        <w:rPr>
          <w:sz w:val="14"/>
          <w:szCs w:val="14"/>
        </w:rPr>
        <w:t>In short, Chevron should be overruled for the following overlapping sets of reasons:7</w:t>
      </w:r>
    </w:p>
    <w:p w14:paraId="40358199" w14:textId="77777777" w:rsidR="0095149D" w:rsidRPr="00C15F94" w:rsidRDefault="0095149D" w:rsidP="0095149D">
      <w:pPr>
        <w:ind w:left="360"/>
        <w:rPr>
          <w:rStyle w:val="Style13ptBold"/>
          <w:b w:val="0"/>
          <w:bCs w:val="0"/>
          <w:sz w:val="14"/>
        </w:rPr>
      </w:pPr>
      <w:r w:rsidRPr="00C15F94">
        <w:rPr>
          <w:sz w:val="14"/>
        </w:rPr>
        <w:t xml:space="preserve">7 This Article does not claim that </w:t>
      </w:r>
      <w:r w:rsidRPr="00376F08">
        <w:rPr>
          <w:rStyle w:val="StyleUnderline"/>
        </w:rPr>
        <w:t xml:space="preserve">the reasons given herein are the only reasons why Chevron should be overruled. There </w:t>
      </w:r>
      <w:r w:rsidRPr="00C15F94">
        <w:rPr>
          <w:sz w:val="14"/>
        </w:rPr>
        <w:t xml:space="preserve">may </w:t>
      </w:r>
      <w:r w:rsidRPr="00376F08">
        <w:rPr>
          <w:rStyle w:val="StyleUnderline"/>
        </w:rPr>
        <w:t>be additional reasons why it would be better to abandon</w:t>
      </w:r>
      <w:r w:rsidRPr="00C15F94">
        <w:rPr>
          <w:sz w:val="14"/>
        </w:rPr>
        <w:t xml:space="preserve"> or significantly reform the </w:t>
      </w:r>
      <w:r w:rsidRPr="00376F08">
        <w:rPr>
          <w:rStyle w:val="StyleUnderline"/>
        </w:rPr>
        <w:t>Chevron</w:t>
      </w:r>
      <w:r w:rsidRPr="00C15F94">
        <w:rPr>
          <w:sz w:val="14"/>
        </w:rPr>
        <w:t xml:space="preserve"> framework. See Elizabeth V. Foote, Statutory Interpretation or Public Administration: How Chevron Misconceives the Function of Agencies and Why It Matters, 59 ADMIN. L. REV. 673, 675, 678 (2007) (arguing that the APA framework for judicial review works better than the Chevron framework because agencies are primarily engaged in policy-based public administration, rather than statutory interpretation).</w:t>
      </w:r>
    </w:p>
    <w:p w14:paraId="5FB9998E" w14:textId="77777777" w:rsidR="0095149D" w:rsidRPr="00C15F94" w:rsidRDefault="0095149D" w:rsidP="0095149D">
      <w:pPr>
        <w:rPr>
          <w:rStyle w:val="Style13ptBold"/>
          <w:b w:val="0"/>
          <w:bCs w:val="0"/>
          <w:sz w:val="14"/>
        </w:rPr>
      </w:pPr>
      <w:r w:rsidRPr="00C15F94">
        <w:rPr>
          <w:sz w:val="14"/>
        </w:rPr>
        <w:t xml:space="preserve">1. </w:t>
      </w:r>
      <w:r w:rsidRPr="00376F08">
        <w:rPr>
          <w:rStyle w:val="StyleUnderline"/>
        </w:rPr>
        <w:t>Chevron is contrary to the statute that governs judicial review of statutory interpretation</w:t>
      </w:r>
      <w:r w:rsidRPr="00C15F94">
        <w:rPr>
          <w:sz w:val="14"/>
        </w:rPr>
        <w:t xml:space="preserve">, 5 U.S.C. § 706, </w:t>
      </w:r>
      <w:r w:rsidRPr="00376F08">
        <w:rPr>
          <w:rStyle w:val="StyleUnderline"/>
        </w:rPr>
        <w:t>so much</w:t>
      </w:r>
      <w:r w:rsidRPr="00C15F94">
        <w:rPr>
          <w:sz w:val="14"/>
        </w:rPr>
        <w:t xml:space="preserve"> so </w:t>
      </w:r>
      <w:r w:rsidRPr="00376F08">
        <w:rPr>
          <w:rStyle w:val="StyleUnderline"/>
        </w:rPr>
        <w:t>that the Court</w:t>
      </w:r>
      <w:r w:rsidRPr="00C15F94">
        <w:rPr>
          <w:sz w:val="14"/>
        </w:rPr>
        <w:t xml:space="preserve"> actually </w:t>
      </w:r>
      <w:r w:rsidRPr="00376F08">
        <w:rPr>
          <w:rStyle w:val="StyleUnderline"/>
        </w:rPr>
        <w:t>found it necessary to rephrase the statutory standard</w:t>
      </w:r>
      <w:r w:rsidRPr="00C15F94">
        <w:rPr>
          <w:sz w:val="14"/>
        </w:rPr>
        <w:t xml:space="preserve"> in the opinion to make the statute appear more deferential than the language passed by Congress.</w:t>
      </w:r>
    </w:p>
    <w:p w14:paraId="6E44C7A8" w14:textId="77777777" w:rsidR="0095149D" w:rsidRPr="00C15F94" w:rsidRDefault="0095149D" w:rsidP="0095149D">
      <w:pPr>
        <w:rPr>
          <w:rStyle w:val="Style13ptBold"/>
          <w:b w:val="0"/>
          <w:bCs w:val="0"/>
          <w:sz w:val="14"/>
        </w:rPr>
      </w:pPr>
      <w:r w:rsidRPr="00C15F94">
        <w:rPr>
          <w:sz w:val="14"/>
        </w:rPr>
        <w:t xml:space="preserve">2. </w:t>
      </w:r>
      <w:r w:rsidRPr="00376F08">
        <w:rPr>
          <w:rStyle w:val="StyleUnderline"/>
        </w:rPr>
        <w:t>Chevron has no adequate theoretical foundation. It was built on a faulty premise concerning congressional intent</w:t>
      </w:r>
      <w:r w:rsidRPr="00C15F94">
        <w:rPr>
          <w:sz w:val="14"/>
        </w:rPr>
        <w:t xml:space="preserve"> and was (and is) contrary to established traditions concerning the distribution of authority in statutory interpretation cases, at least as embodied in many of the cases decided after the passage of the Administrative Procedure Act (“APA”).</w:t>
      </w:r>
    </w:p>
    <w:p w14:paraId="5FAC6786" w14:textId="77777777" w:rsidR="0095149D" w:rsidRPr="00C15F94" w:rsidRDefault="0095149D" w:rsidP="0095149D">
      <w:pPr>
        <w:rPr>
          <w:rStyle w:val="Style13ptBold"/>
          <w:b w:val="0"/>
          <w:bCs w:val="0"/>
          <w:sz w:val="14"/>
        </w:rPr>
      </w:pPr>
      <w:r w:rsidRPr="00C15F94">
        <w:rPr>
          <w:sz w:val="14"/>
        </w:rPr>
        <w:t xml:space="preserve">3. </w:t>
      </w:r>
      <w:r w:rsidRPr="00376F08">
        <w:rPr>
          <w:rStyle w:val="StyleUnderline"/>
        </w:rPr>
        <w:t>The Chevron opinion was poorly constructed and unclear on basic issues such as the proper role of interpretation, legislative history, and policy arguments</w:t>
      </w:r>
      <w:r w:rsidRPr="00C15F94">
        <w:rPr>
          <w:sz w:val="14"/>
        </w:rPr>
        <w:t>. It is still not clear whether Chevron concerns review of statutory interpretation or review of policy decisions.</w:t>
      </w:r>
    </w:p>
    <w:p w14:paraId="740C644E" w14:textId="77777777" w:rsidR="0095149D" w:rsidRPr="00C15F94" w:rsidRDefault="0095149D" w:rsidP="0095149D">
      <w:pPr>
        <w:rPr>
          <w:sz w:val="14"/>
        </w:rPr>
      </w:pPr>
      <w:r w:rsidRPr="00C15F94">
        <w:rPr>
          <w:sz w:val="14"/>
        </w:rPr>
        <w:t xml:space="preserve">4. A short time after establishing the Chevron doctrine, the Court created a new version of Step One, which allows the reviewing court to employ the “traditional tools of statutory interpretation” to determine whether Congress’s intent is clear.8 This threw the doctrine into disarray and spawned three competing versions of Step One, leading to conflicting lines of cases. Currently, </w:t>
      </w:r>
      <w:r w:rsidRPr="00376F08">
        <w:rPr>
          <w:rStyle w:val="StyleUnderline"/>
        </w:rPr>
        <w:t>the application of the Chevron doctrine is highly unpredictable</w:t>
      </w:r>
      <w:r w:rsidRPr="00C15F94">
        <w:rPr>
          <w:sz w:val="14"/>
        </w:rPr>
        <w:t>, and the decision itself is cited for opposing propositions.</w:t>
      </w:r>
    </w:p>
    <w:p w14:paraId="1A71025E" w14:textId="77777777" w:rsidR="0095149D" w:rsidRPr="00C15F94" w:rsidRDefault="0095149D" w:rsidP="0095149D">
      <w:pPr>
        <w:rPr>
          <w:rStyle w:val="Style13ptBold"/>
          <w:b w:val="0"/>
          <w:bCs w:val="0"/>
          <w:sz w:val="14"/>
        </w:rPr>
      </w:pPr>
      <w:r w:rsidRPr="00C15F94">
        <w:rPr>
          <w:sz w:val="14"/>
        </w:rPr>
        <w:t xml:space="preserve">5. For a variety of reasons, </w:t>
      </w:r>
      <w:r w:rsidRPr="00376F08">
        <w:rPr>
          <w:rStyle w:val="StyleUnderline"/>
        </w:rPr>
        <w:t>Chevron</w:t>
      </w:r>
      <w:r w:rsidRPr="00C15F94">
        <w:rPr>
          <w:sz w:val="14"/>
        </w:rPr>
        <w:t xml:space="preserve"> apparently </w:t>
      </w:r>
      <w:r w:rsidRPr="00376F08">
        <w:rPr>
          <w:rStyle w:val="StyleUnderline"/>
        </w:rPr>
        <w:t>has not had the desired effect of significantly increasing deference to agencies</w:t>
      </w:r>
      <w:r w:rsidRPr="00C15F94">
        <w:rPr>
          <w:sz w:val="14"/>
        </w:rPr>
        <w:t xml:space="preserve">. The reasons for this failure are not altogether clear, but include, first, that </w:t>
      </w:r>
      <w:r w:rsidRPr="00376F08">
        <w:rPr>
          <w:rStyle w:val="StyleUnderline"/>
        </w:rPr>
        <w:t>Chevron is so pliable that courts applying it can still reach any desired result</w:t>
      </w:r>
      <w:r w:rsidRPr="00C15F94">
        <w:rPr>
          <w:sz w:val="14"/>
        </w:rPr>
        <w:t xml:space="preserve">; second, that </w:t>
      </w:r>
      <w:r w:rsidRPr="00376F08">
        <w:rPr>
          <w:rStyle w:val="StyleUnderline"/>
        </w:rPr>
        <w:t>agencies may have become more adventurous in their statutory interpretation, leading to increased likelihood of rejection on judicial review</w:t>
      </w:r>
      <w:r w:rsidRPr="00C15F94">
        <w:rPr>
          <w:sz w:val="14"/>
        </w:rPr>
        <w:t xml:space="preserve">;9 and third, that </w:t>
      </w:r>
      <w:r w:rsidRPr="00376F08">
        <w:rPr>
          <w:rStyle w:val="StyleUnderline"/>
        </w:rPr>
        <w:t>judges may be simply unwilling to defer to interpretations</w:t>
      </w:r>
      <w:r w:rsidRPr="00C15F94">
        <w:rPr>
          <w:sz w:val="14"/>
        </w:rPr>
        <w:t xml:space="preserve"> with which they disagree.</w:t>
      </w:r>
    </w:p>
    <w:p w14:paraId="7C7497B4" w14:textId="77777777" w:rsidR="0095149D" w:rsidRPr="00C15F94" w:rsidRDefault="0095149D" w:rsidP="0095149D">
      <w:pPr>
        <w:rPr>
          <w:rStyle w:val="Style13ptBold"/>
          <w:b w:val="0"/>
          <w:bCs w:val="0"/>
          <w:sz w:val="14"/>
        </w:rPr>
      </w:pPr>
      <w:r w:rsidRPr="00C15F94">
        <w:rPr>
          <w:sz w:val="14"/>
        </w:rPr>
        <w:t xml:space="preserve">6. </w:t>
      </w:r>
      <w:r w:rsidRPr="00376F08">
        <w:rPr>
          <w:rStyle w:val="StyleUnderline"/>
        </w:rPr>
        <w:t>The Supreme Court does not</w:t>
      </w:r>
      <w:r w:rsidRPr="00C15F94">
        <w:rPr>
          <w:sz w:val="14"/>
        </w:rPr>
        <w:t xml:space="preserve"> even </w:t>
      </w:r>
      <w:r w:rsidRPr="00376F08">
        <w:rPr>
          <w:rStyle w:val="StyleUnderline"/>
        </w:rPr>
        <w:t>cite Chevron in a high proportion of</w:t>
      </w:r>
      <w:r w:rsidRPr="00C15F94">
        <w:rPr>
          <w:sz w:val="14"/>
        </w:rPr>
        <w:t xml:space="preserve"> the </w:t>
      </w:r>
      <w:r w:rsidRPr="00376F08">
        <w:rPr>
          <w:rStyle w:val="StyleUnderline"/>
        </w:rPr>
        <w:t>cases in which it</w:t>
      </w:r>
      <w:r w:rsidRPr="00C15F94">
        <w:rPr>
          <w:sz w:val="14"/>
        </w:rPr>
        <w:t xml:space="preserve"> arguably applies. Something is amiss when the Court does not find it necessary to employ the test that it created to govern a class of cases.</w:t>
      </w:r>
    </w:p>
    <w:p w14:paraId="1FECC024" w14:textId="77777777" w:rsidR="0095149D" w:rsidRPr="00C15F94" w:rsidRDefault="0095149D" w:rsidP="0095149D">
      <w:pPr>
        <w:rPr>
          <w:rStyle w:val="Style13ptBold"/>
          <w:b w:val="0"/>
          <w:bCs w:val="0"/>
          <w:sz w:val="14"/>
        </w:rPr>
      </w:pPr>
      <w:r w:rsidRPr="00C15F94">
        <w:rPr>
          <w:sz w:val="14"/>
        </w:rPr>
        <w:t xml:space="preserve">7. </w:t>
      </w:r>
      <w:r w:rsidRPr="00C15F94">
        <w:rPr>
          <w:rStyle w:val="StyleUnderline"/>
        </w:rPr>
        <w:t>The Chevron decision created uncertainty about when it applies</w:t>
      </w:r>
      <w:r w:rsidRPr="00C15F94">
        <w:rPr>
          <w:sz w:val="14"/>
        </w:rPr>
        <w:t xml:space="preserve">, </w:t>
      </w:r>
      <w:r w:rsidRPr="00C15F94">
        <w:rPr>
          <w:rStyle w:val="StyleUnderline"/>
        </w:rPr>
        <w:t>making it necessary for the Court to construct a doctrine to determine just that</w:t>
      </w:r>
      <w:r w:rsidRPr="00C15F94">
        <w:rPr>
          <w:sz w:val="14"/>
        </w:rPr>
        <w:t xml:space="preserve">. This doctrine, </w:t>
      </w:r>
      <w:r w:rsidRPr="00C15F94">
        <w:rPr>
          <w:rStyle w:val="StyleUnderline"/>
        </w:rPr>
        <w:t>referred to as Chevron Step Zero, is</w:t>
      </w:r>
      <w:r w:rsidRPr="00C15F94">
        <w:rPr>
          <w:sz w:val="14"/>
        </w:rPr>
        <w:t xml:space="preserve"> even </w:t>
      </w:r>
      <w:r w:rsidRPr="00C15F94">
        <w:rPr>
          <w:rStyle w:val="StyleUnderline"/>
        </w:rPr>
        <w:t xml:space="preserve">more uncertain than </w:t>
      </w:r>
      <w:r w:rsidRPr="00C15F94">
        <w:rPr>
          <w:sz w:val="14"/>
        </w:rPr>
        <w:t>the</w:t>
      </w:r>
      <w:r w:rsidRPr="00C15F94">
        <w:rPr>
          <w:rStyle w:val="StyleUnderline"/>
        </w:rPr>
        <w:t xml:space="preserve"> Chevron</w:t>
      </w:r>
      <w:r w:rsidRPr="00C15F94">
        <w:rPr>
          <w:sz w:val="14"/>
        </w:rPr>
        <w:t xml:space="preserve"> doctrine </w:t>
      </w:r>
      <w:r w:rsidRPr="00C15F94">
        <w:rPr>
          <w:rStyle w:val="StyleUnderline"/>
        </w:rPr>
        <w:t>itself</w:t>
      </w:r>
      <w:r w:rsidRPr="00C15F94">
        <w:rPr>
          <w:sz w:val="14"/>
        </w:rPr>
        <w:t>.</w:t>
      </w:r>
    </w:p>
    <w:p w14:paraId="5893E058" w14:textId="77777777" w:rsidR="0095149D" w:rsidRPr="00C15F94" w:rsidRDefault="0095149D" w:rsidP="0095149D">
      <w:pPr>
        <w:rPr>
          <w:rStyle w:val="StyleUnderline"/>
        </w:rPr>
      </w:pPr>
      <w:r w:rsidRPr="00C15F94">
        <w:rPr>
          <w:sz w:val="14"/>
        </w:rPr>
        <w:t xml:space="preserve">8. All of the </w:t>
      </w:r>
      <w:r w:rsidRPr="00C15F94">
        <w:rPr>
          <w:rStyle w:val="StyleUnderline"/>
        </w:rPr>
        <w:t>uncertainty</w:t>
      </w:r>
      <w:r w:rsidRPr="00C15F94">
        <w:rPr>
          <w:sz w:val="14"/>
        </w:rPr>
        <w:t xml:space="preserve">, noted above, </w:t>
      </w:r>
      <w:r w:rsidRPr="00C15F94">
        <w:rPr>
          <w:rStyle w:val="StyleUnderline"/>
        </w:rPr>
        <w:t xml:space="preserve">surrounding the application of Chevron and when it applies </w:t>
      </w:r>
      <w:r w:rsidRPr="00C15F94">
        <w:rPr>
          <w:sz w:val="14"/>
        </w:rPr>
        <w:t>has</w:t>
      </w:r>
      <w:r w:rsidRPr="00C15F94">
        <w:rPr>
          <w:rStyle w:val="StyleUnderline"/>
        </w:rPr>
        <w:t xml:space="preserve"> forced</w:t>
      </w:r>
      <w:r w:rsidRPr="00C15F94">
        <w:rPr>
          <w:sz w:val="14"/>
        </w:rPr>
        <w:t xml:space="preserve"> the </w:t>
      </w:r>
      <w:r w:rsidRPr="00C15F94">
        <w:rPr>
          <w:rStyle w:val="StyleUnderline"/>
        </w:rPr>
        <w:t>Justices and parties to expend inordinate resources arguing over</w:t>
      </w:r>
      <w:r w:rsidRPr="00C15F94">
        <w:rPr>
          <w:sz w:val="14"/>
        </w:rPr>
        <w:t xml:space="preserve"> the </w:t>
      </w:r>
      <w:r w:rsidRPr="00C15F94">
        <w:rPr>
          <w:rStyle w:val="StyleUnderline"/>
        </w:rPr>
        <w:t>Chevron</w:t>
      </w:r>
      <w:r w:rsidRPr="00C15F94">
        <w:rPr>
          <w:sz w:val="14"/>
        </w:rPr>
        <w:t xml:space="preserve"> doctrine </w:t>
      </w:r>
      <w:r w:rsidRPr="00C15F94">
        <w:rPr>
          <w:rStyle w:val="StyleUnderline"/>
        </w:rPr>
        <w:t>instead of what they should be arguing about</w:t>
      </w:r>
      <w:r w:rsidRPr="00C15F94">
        <w:rPr>
          <w:sz w:val="14"/>
        </w:rPr>
        <w:t xml:space="preserve">, Congress’s intent and the rationality of agency policy in the particular case. In short, </w:t>
      </w:r>
      <w:r w:rsidRPr="00C15F94">
        <w:rPr>
          <w:rStyle w:val="StyleUnderline"/>
        </w:rPr>
        <w:t>the litigation costs surrounding Chevron appear to outweigh any benefits the doctrine may have created.</w:t>
      </w:r>
    </w:p>
    <w:p w14:paraId="3C1283CF" w14:textId="77777777" w:rsidR="0095149D" w:rsidRPr="00C15F94" w:rsidRDefault="0095149D" w:rsidP="0095149D">
      <w:pPr>
        <w:rPr>
          <w:sz w:val="14"/>
        </w:rPr>
      </w:pPr>
      <w:r w:rsidRPr="00C15F94">
        <w:rPr>
          <w:sz w:val="14"/>
        </w:rPr>
        <w:t xml:space="preserve">9. </w:t>
      </w:r>
      <w:r w:rsidRPr="00C15F94">
        <w:rPr>
          <w:rStyle w:val="StyleUnderline"/>
        </w:rPr>
        <w:t>Chevron encourages irresponsible agency and judicial behavior</w:t>
      </w:r>
      <w:r w:rsidRPr="00C15F94">
        <w:rPr>
          <w:sz w:val="14"/>
        </w:rPr>
        <w:t xml:space="preserve">. </w:t>
      </w:r>
      <w:r w:rsidRPr="00C15F94">
        <w:rPr>
          <w:rStyle w:val="StyleUnderline"/>
        </w:rPr>
        <w:t>Agencies expecting</w:t>
      </w:r>
      <w:r w:rsidRPr="00C15F94">
        <w:rPr>
          <w:sz w:val="14"/>
        </w:rPr>
        <w:t xml:space="preserve"> that their interpretive decisions will be reviewed under a deferential version of </w:t>
      </w:r>
      <w:r w:rsidRPr="00C15F94">
        <w:rPr>
          <w:rStyle w:val="StyleUnderline"/>
        </w:rPr>
        <w:t>Chevron</w:t>
      </w:r>
      <w:r w:rsidRPr="00C15F94">
        <w:rPr>
          <w:sz w:val="14"/>
        </w:rPr>
        <w:t xml:space="preserve"> are free to </w:t>
      </w:r>
      <w:r w:rsidRPr="00C15F94">
        <w:rPr>
          <w:rStyle w:val="StyleUnderline"/>
        </w:rPr>
        <w:t>disregard congressional intent and impose their own policy views</w:t>
      </w:r>
      <w:r w:rsidRPr="00C15F94">
        <w:rPr>
          <w:sz w:val="14"/>
        </w:rPr>
        <w:t xml:space="preserve"> even when it is possible to have at least a good sense of how Congress would have wanted the agency to act. Reviewing courts can brush off serious challenges to agency decisions by invoking Chevron without engaging whether the agency is thwarting imperfectly expressed congressional intent.</w:t>
      </w:r>
    </w:p>
    <w:p w14:paraId="2D576EFF" w14:textId="77777777" w:rsidR="0095149D" w:rsidRPr="00C15F94" w:rsidRDefault="0095149D" w:rsidP="0095149D">
      <w:pPr>
        <w:rPr>
          <w:sz w:val="14"/>
        </w:rPr>
      </w:pPr>
      <w:r w:rsidRPr="00C15F94">
        <w:rPr>
          <w:sz w:val="14"/>
        </w:rPr>
        <w:t xml:space="preserve">10. Consensus on </w:t>
      </w:r>
      <w:r w:rsidRPr="00C15F94">
        <w:rPr>
          <w:rStyle w:val="StyleUnderline"/>
        </w:rPr>
        <w:t xml:space="preserve">the proper understanding and application of </w:t>
      </w:r>
      <w:r w:rsidRPr="00C15F94">
        <w:rPr>
          <w:sz w:val="14"/>
        </w:rPr>
        <w:t xml:space="preserve">the </w:t>
      </w:r>
      <w:r w:rsidRPr="00C15F94">
        <w:rPr>
          <w:rStyle w:val="StyleUnderline"/>
        </w:rPr>
        <w:t>Chevron</w:t>
      </w:r>
      <w:r w:rsidRPr="00C15F94">
        <w:rPr>
          <w:sz w:val="14"/>
        </w:rPr>
        <w:t xml:space="preserve"> framework </w:t>
      </w:r>
      <w:r w:rsidRPr="00C15F94">
        <w:rPr>
          <w:rStyle w:val="StyleUnderline"/>
        </w:rPr>
        <w:t>is unlikely in</w:t>
      </w:r>
      <w:r w:rsidRPr="00C15F94">
        <w:rPr>
          <w:sz w:val="14"/>
        </w:rPr>
        <w:t xml:space="preserve"> the foreseeable </w:t>
      </w:r>
      <w:r w:rsidRPr="00C15F94">
        <w:rPr>
          <w:rStyle w:val="StyleUnderline"/>
        </w:rPr>
        <w:t>future</w:t>
      </w:r>
      <w:r w:rsidRPr="00C15F94">
        <w:rPr>
          <w:sz w:val="14"/>
        </w:rPr>
        <w:t xml:space="preserve">. In addition to the reasons for the indeterminacy of the Chevron doctrine discussed above, the unlikelihood of this changing is evidenced by the facts that, despite appearances, </w:t>
      </w:r>
      <w:r w:rsidRPr="00C15F94">
        <w:rPr>
          <w:rStyle w:val="StyleUnderline"/>
        </w:rPr>
        <w:t>there is no stable constituency on the Court for Chevron</w:t>
      </w:r>
      <w:r w:rsidRPr="00C15F94">
        <w:rPr>
          <w:sz w:val="14"/>
        </w:rPr>
        <w:t xml:space="preserve"> deference and the scholarly commentary on Chevron has not come to consensus on basic issues surrounding Chevron. In short, </w:t>
      </w:r>
      <w:r w:rsidRPr="00C15F94">
        <w:rPr>
          <w:rStyle w:val="StyleUnderline"/>
        </w:rPr>
        <w:t>after twenty-five years</w:t>
      </w:r>
      <w:r w:rsidRPr="00C15F94">
        <w:rPr>
          <w:sz w:val="14"/>
        </w:rPr>
        <w:t xml:space="preserve"> of instability, </w:t>
      </w:r>
      <w:r w:rsidRPr="00C15F94">
        <w:rPr>
          <w:rStyle w:val="StyleUnderline"/>
        </w:rPr>
        <w:t>there is no reason to believe</w:t>
      </w:r>
      <w:r w:rsidRPr="00C15F94">
        <w:rPr>
          <w:sz w:val="14"/>
        </w:rPr>
        <w:t xml:space="preserve"> that the </w:t>
      </w:r>
      <w:r w:rsidRPr="00C15F94">
        <w:rPr>
          <w:rStyle w:val="StyleUnderline"/>
        </w:rPr>
        <w:t>Chevron</w:t>
      </w:r>
      <w:r w:rsidRPr="00C15F94">
        <w:rPr>
          <w:sz w:val="14"/>
        </w:rPr>
        <w:t xml:space="preserve"> framework is likely to become a stable decisionmaking process.</w:t>
      </w:r>
    </w:p>
    <w:p w14:paraId="0E49FB77" w14:textId="77777777" w:rsidR="0095149D" w:rsidRPr="00C15F94" w:rsidRDefault="0095149D" w:rsidP="0095149D">
      <w:pPr>
        <w:rPr>
          <w:sz w:val="14"/>
        </w:rPr>
      </w:pPr>
      <w:r w:rsidRPr="00C15F94">
        <w:rPr>
          <w:sz w:val="14"/>
        </w:rPr>
        <w:t xml:space="preserve">Chevron’s multiple meanings make analysis of Chevron very difficult. In fact, </w:t>
      </w:r>
      <w:r w:rsidRPr="00C15F94">
        <w:rPr>
          <w:rStyle w:val="StyleUnderline"/>
        </w:rPr>
        <w:t>a number of</w:t>
      </w:r>
      <w:r w:rsidRPr="00C15F94">
        <w:rPr>
          <w:sz w:val="14"/>
        </w:rPr>
        <w:t xml:space="preserve"> the </w:t>
      </w:r>
      <w:r w:rsidRPr="00C15F94">
        <w:rPr>
          <w:rStyle w:val="StyleUnderline"/>
        </w:rPr>
        <w:t>criticisms raised</w:t>
      </w:r>
      <w:r w:rsidRPr="00C15F94">
        <w:rPr>
          <w:sz w:val="14"/>
        </w:rPr>
        <w:t xml:space="preserve"> in this Article </w:t>
      </w:r>
      <w:r w:rsidRPr="00C15F94">
        <w:rPr>
          <w:rStyle w:val="StyleUnderline"/>
        </w:rPr>
        <w:t>may</w:t>
      </w:r>
      <w:r w:rsidRPr="00C15F94">
        <w:rPr>
          <w:sz w:val="14"/>
        </w:rPr>
        <w:t xml:space="preserve"> appear to be in </w:t>
      </w:r>
      <w:r w:rsidRPr="00C15F94">
        <w:rPr>
          <w:rStyle w:val="StyleUnderline"/>
        </w:rPr>
        <w:t>conflict with each other</w:t>
      </w:r>
      <w:r w:rsidRPr="00C15F94">
        <w:rPr>
          <w:sz w:val="14"/>
        </w:rPr>
        <w:t>. Some of the criticisms apply only when the reviewing court applies the original highly deferential version of Chevron under which Step One is very narrow and Step Two has virtually no teeth.</w:t>
      </w:r>
    </w:p>
    <w:p w14:paraId="4740BB01" w14:textId="77777777" w:rsidR="0095149D" w:rsidRPr="00C15F94" w:rsidRDefault="0095149D" w:rsidP="0095149D">
      <w:pPr>
        <w:rPr>
          <w:sz w:val="14"/>
          <w:szCs w:val="14"/>
        </w:rPr>
      </w:pPr>
      <w:r w:rsidRPr="00C15F94">
        <w:rPr>
          <w:sz w:val="14"/>
          <w:szCs w:val="14"/>
        </w:rPr>
        <w:t>Other criticisms apply to later versions of Chevron under which Step One has become very broad, with many cases resolved on the basis of clear congressional intent that does not meet the original standard of Congress having “directly spoken to the precise question at issue.” Still other criticisms apply simply because the Court has not provided a methodology for choosing among the various versions of the Chevron framework and behaves as if Chevron has a single, clear meaning</w:t>
      </w:r>
    </w:p>
    <w:p w14:paraId="1952E6BD" w14:textId="77777777" w:rsidR="0095149D" w:rsidRPr="00C15F94" w:rsidRDefault="0095149D" w:rsidP="0095149D">
      <w:pPr>
        <w:rPr>
          <w:sz w:val="14"/>
        </w:rPr>
      </w:pPr>
      <w:r w:rsidRPr="00C15F94">
        <w:rPr>
          <w:rStyle w:val="StyleUnderline"/>
        </w:rPr>
        <w:t>Multiple versions of Chevron can mislead agencies and courts</w:t>
      </w:r>
      <w:r w:rsidRPr="00C15F94">
        <w:rPr>
          <w:sz w:val="14"/>
        </w:rPr>
        <w:t>. People often see what they want to see. Lower courts and agencies may seize on highly deferential versions of Chevron—courts to clear the docket and agencies to test the limits of statutory authority. Both may then be surprised when the Supreme Court employs a less deferential understanding of Chevron Step One to overrule an agency’s statutory construction that had been approved on review by a lower court.</w:t>
      </w:r>
    </w:p>
    <w:p w14:paraId="1C6A9E2E" w14:textId="77777777" w:rsidR="0095149D" w:rsidRPr="00C15F94" w:rsidRDefault="0095149D" w:rsidP="0095149D">
      <w:pPr>
        <w:rPr>
          <w:sz w:val="14"/>
        </w:rPr>
      </w:pPr>
      <w:r w:rsidRPr="00C15F94">
        <w:rPr>
          <w:rStyle w:val="StyleUnderline"/>
        </w:rPr>
        <w:t>Overruling Chevron would</w:t>
      </w:r>
      <w:r w:rsidRPr="00C15F94">
        <w:rPr>
          <w:sz w:val="14"/>
        </w:rPr>
        <w:t xml:space="preserve"> also </w:t>
      </w:r>
      <w:r w:rsidRPr="00C15F94">
        <w:rPr>
          <w:rStyle w:val="StyleUnderline"/>
        </w:rPr>
        <w:t>be consistent with the reasoning the Court</w:t>
      </w:r>
      <w:r w:rsidRPr="00C15F94">
        <w:rPr>
          <w:sz w:val="14"/>
        </w:rPr>
        <w:t xml:space="preserve"> has </w:t>
      </w:r>
      <w:r w:rsidRPr="00C15F94">
        <w:rPr>
          <w:rStyle w:val="StyleUnderline"/>
        </w:rPr>
        <w:t>used</w:t>
      </w:r>
      <w:r w:rsidRPr="00C15F94">
        <w:rPr>
          <w:sz w:val="14"/>
        </w:rPr>
        <w:t xml:space="preserve"> in recent cases in support of the permissibility of overruling precedent within traditions of stare decisis.10 </w:t>
      </w:r>
      <w:r w:rsidRPr="00C15F94">
        <w:rPr>
          <w:rStyle w:val="StyleUnderline"/>
        </w:rPr>
        <w:t>First, overruling Chevron would not upset settled expectations</w:t>
      </w:r>
      <w:r w:rsidRPr="00C15F94">
        <w:rPr>
          <w:sz w:val="14"/>
        </w:rPr>
        <w:t xml:space="preserve">.11 This is especially true given that </w:t>
      </w:r>
      <w:r w:rsidRPr="00C15F94">
        <w:rPr>
          <w:rStyle w:val="Emphasis"/>
        </w:rPr>
        <w:t>the application of Chevron is so unpredictable</w:t>
      </w:r>
      <w:r w:rsidRPr="00C15F94">
        <w:rPr>
          <w:sz w:val="14"/>
        </w:rPr>
        <w:t xml:space="preserve">. No one rationally orders their affairs in reliance on Chevron deference. </w:t>
      </w:r>
      <w:r w:rsidRPr="00C15F94">
        <w:rPr>
          <w:rStyle w:val="StyleUnderline"/>
        </w:rPr>
        <w:t>Second, Chevron is a judgemade rule that did not purport to be based on statutory interpretation</w:t>
      </w:r>
      <w:r w:rsidRPr="00C15F94">
        <w:rPr>
          <w:sz w:val="14"/>
        </w:rPr>
        <w:t xml:space="preserve"> that Congress might have relied upon in shaping the law.12 Third, experience with Chevron since it was decided shows that it is a failure.13 In other words, overruling Chevron would not merely be the result of changed views, but rather would be informed by experience that could not have been available at the time Chevron was decided. These factors confirm that overruling Chevron would be consistent with the principles that govern whether it is permissible for a court to overrule its precedent.</w:t>
      </w:r>
    </w:p>
    <w:p w14:paraId="70A8ADA2" w14:textId="4E05BE98" w:rsidR="0095149D" w:rsidRPr="0095149D" w:rsidRDefault="0095149D" w:rsidP="0095149D">
      <w:pPr>
        <w:pStyle w:val="Heading4"/>
      </w:pPr>
      <w:r>
        <w:t xml:space="preserve">Judges have planted the </w:t>
      </w:r>
      <w:r>
        <w:rPr>
          <w:u w:val="single"/>
        </w:rPr>
        <w:t>seeds</w:t>
      </w:r>
      <w:r>
        <w:t xml:space="preserve"> of its destruction.</w:t>
      </w:r>
    </w:p>
    <w:p w14:paraId="121A0A41" w14:textId="77777777" w:rsidR="0095149D" w:rsidRDefault="0095149D" w:rsidP="0095149D">
      <w:r>
        <w:rPr>
          <w:rStyle w:val="Style13ptBold"/>
        </w:rPr>
        <w:t>Beerman 10</w:t>
      </w:r>
      <w:r>
        <w:rPr>
          <w:rStyle w:val="Style13ptBold"/>
          <w:b w:val="0"/>
          <w:bCs w:val="0"/>
        </w:rPr>
        <w:t xml:space="preserve"> —</w:t>
      </w:r>
      <w:r w:rsidRPr="00796B82">
        <w:t xml:space="preserve"> Jack M. Beermann is a Professor of Law and Harry Elwood Warren Scholar at Boston University, and he has a BA from the University of Wisconsin and JD from the University of Chicago</w:t>
      </w:r>
      <w:r>
        <w:t xml:space="preserve">. (“End the Failed Chevron Experiment Now: How Chevron Has Failed and Why it Can and Should Be Overruled” Connecticut Law Review, vol.  42, number 3, February 2010. </w:t>
      </w:r>
      <w:hyperlink r:id="rId155" w:history="1">
        <w:r w:rsidRPr="0079159C">
          <w:rPr>
            <w:rStyle w:val="Hyperlink"/>
          </w:rPr>
          <w:t>https://scholarship.law.bu.edu/cgi/viewcontent.cgi?article=1519&amp;context=faculty_scholarship)//JLPark</w:t>
        </w:r>
      </w:hyperlink>
    </w:p>
    <w:p w14:paraId="0C081065" w14:textId="77777777" w:rsidR="0095149D" w:rsidRPr="00F317D4" w:rsidRDefault="0095149D" w:rsidP="0095149D">
      <w:pPr>
        <w:rPr>
          <w:sz w:val="14"/>
        </w:rPr>
      </w:pPr>
      <w:r w:rsidRPr="00F317D4">
        <w:rPr>
          <w:sz w:val="14"/>
        </w:rPr>
        <w:t xml:space="preserve">Perhaps </w:t>
      </w:r>
      <w:r w:rsidRPr="00F317D4">
        <w:rPr>
          <w:rStyle w:val="StyleUnderline"/>
        </w:rPr>
        <w:t>the greatest problem</w:t>
      </w:r>
      <w:r w:rsidRPr="00F317D4">
        <w:rPr>
          <w:sz w:val="14"/>
        </w:rPr>
        <w:t xml:space="preserve"> in the application </w:t>
      </w:r>
      <w:r w:rsidRPr="00F317D4">
        <w:rPr>
          <w:rStyle w:val="StyleUnderline"/>
        </w:rPr>
        <w:t>of</w:t>
      </w:r>
      <w:r w:rsidRPr="00F317D4">
        <w:rPr>
          <w:sz w:val="14"/>
        </w:rPr>
        <w:t xml:space="preserve"> the </w:t>
      </w:r>
      <w:r w:rsidRPr="00F317D4">
        <w:rPr>
          <w:rStyle w:val="StyleUnderline"/>
        </w:rPr>
        <w:t>Chevron</w:t>
      </w:r>
      <w:r w:rsidRPr="00F317D4">
        <w:rPr>
          <w:sz w:val="14"/>
        </w:rPr>
        <w:t xml:space="preserve"> doctrine </w:t>
      </w:r>
      <w:r w:rsidRPr="00F317D4">
        <w:rPr>
          <w:rStyle w:val="StyleUnderline"/>
        </w:rPr>
        <w:t>is that the Court</w:t>
      </w:r>
      <w:r w:rsidRPr="00F317D4">
        <w:rPr>
          <w:sz w:val="14"/>
        </w:rPr>
        <w:t xml:space="preserve"> very quickly </w:t>
      </w:r>
      <w:r w:rsidRPr="00F317D4">
        <w:rPr>
          <w:rStyle w:val="StyleUnderline"/>
        </w:rPr>
        <w:t>abandoned the original</w:t>
      </w:r>
      <w:r w:rsidRPr="00F317D4">
        <w:rPr>
          <w:sz w:val="14"/>
        </w:rPr>
        <w:t xml:space="preserve">, apparently highly deferential, </w:t>
      </w:r>
      <w:r w:rsidRPr="00F317D4">
        <w:rPr>
          <w:rStyle w:val="StyleUnderline"/>
        </w:rPr>
        <w:t>version of the doctrine and replaced it with multiple versions that</w:t>
      </w:r>
      <w:r w:rsidRPr="00F317D4">
        <w:rPr>
          <w:sz w:val="14"/>
        </w:rPr>
        <w:t xml:space="preserve">, if followed, </w:t>
      </w:r>
      <w:r w:rsidRPr="00F317D4">
        <w:rPr>
          <w:rStyle w:val="StyleUnderline"/>
        </w:rPr>
        <w:t>can lead to different results</w:t>
      </w:r>
      <w:r w:rsidRPr="00F317D4">
        <w:rPr>
          <w:sz w:val="14"/>
        </w:rPr>
        <w:t xml:space="preserve">. The </w:t>
      </w:r>
      <w:r w:rsidRPr="00F317D4">
        <w:rPr>
          <w:rStyle w:val="StyleUnderline"/>
        </w:rPr>
        <w:t>Chevron</w:t>
      </w:r>
      <w:r w:rsidRPr="00F317D4">
        <w:rPr>
          <w:sz w:val="14"/>
        </w:rPr>
        <w:t xml:space="preserve"> doctrine </w:t>
      </w:r>
      <w:r w:rsidRPr="00F317D4">
        <w:rPr>
          <w:rStyle w:val="StyleUnderline"/>
        </w:rPr>
        <w:t>has</w:t>
      </w:r>
      <w:r w:rsidRPr="00F317D4">
        <w:rPr>
          <w:sz w:val="14"/>
        </w:rPr>
        <w:t xml:space="preserve"> basically </w:t>
      </w:r>
      <w:r w:rsidRPr="00F317D4">
        <w:rPr>
          <w:rStyle w:val="StyleUnderline"/>
        </w:rPr>
        <w:t>disappeared and lacks the content necessary to remain a viable decision procedure</w:t>
      </w:r>
      <w:r w:rsidRPr="00F317D4">
        <w:rPr>
          <w:sz w:val="14"/>
        </w:rPr>
        <w:t xml:space="preserve">.148 I call </w:t>
      </w:r>
      <w:r w:rsidRPr="00F317D4">
        <w:rPr>
          <w:rStyle w:val="StyleUnderline"/>
        </w:rPr>
        <w:t>the various versions of Chevron that</w:t>
      </w:r>
      <w:r w:rsidRPr="00F317D4">
        <w:rPr>
          <w:sz w:val="14"/>
        </w:rPr>
        <w:t xml:space="preserve"> currently </w:t>
      </w:r>
      <w:r w:rsidRPr="00F317D4">
        <w:rPr>
          <w:rStyle w:val="StyleUnderline"/>
        </w:rPr>
        <w:t>exist</w:t>
      </w:r>
      <w:r w:rsidRPr="00F317D4">
        <w:rPr>
          <w:sz w:val="14"/>
        </w:rPr>
        <w:t xml:space="preserve"> “</w:t>
      </w:r>
      <w:r w:rsidRPr="00F317D4">
        <w:rPr>
          <w:rStyle w:val="StyleUnderline"/>
        </w:rPr>
        <w:t>original directly spoken</w:t>
      </w:r>
      <w:r w:rsidRPr="00F317D4">
        <w:rPr>
          <w:sz w:val="14"/>
        </w:rPr>
        <w:t xml:space="preserve"> Chevron,” “</w:t>
      </w:r>
      <w:r w:rsidRPr="00F317D4">
        <w:rPr>
          <w:rStyle w:val="StyleUnderline"/>
        </w:rPr>
        <w:t>traditional tools</w:t>
      </w:r>
      <w:r w:rsidRPr="00F317D4">
        <w:rPr>
          <w:sz w:val="14"/>
        </w:rPr>
        <w:t xml:space="preserve"> Chevron,” “</w:t>
      </w:r>
      <w:r w:rsidRPr="00F317D4">
        <w:rPr>
          <w:rStyle w:val="StyleUnderline"/>
        </w:rPr>
        <w:t>plain meaning</w:t>
      </w:r>
      <w:r w:rsidRPr="00F317D4">
        <w:rPr>
          <w:sz w:val="14"/>
        </w:rPr>
        <w:t xml:space="preserve"> Chevron,” </w:t>
      </w:r>
      <w:r w:rsidRPr="00F317D4">
        <w:rPr>
          <w:rStyle w:val="StyleUnderline"/>
        </w:rPr>
        <w:t>and</w:t>
      </w:r>
      <w:r w:rsidRPr="00F317D4">
        <w:rPr>
          <w:sz w:val="14"/>
        </w:rPr>
        <w:t xml:space="preserve"> “</w:t>
      </w:r>
      <w:r w:rsidRPr="00F317D4">
        <w:rPr>
          <w:rStyle w:val="StyleUnderline"/>
        </w:rPr>
        <w:t>extraordinary cases</w:t>
      </w:r>
      <w:r w:rsidRPr="00F317D4">
        <w:rPr>
          <w:sz w:val="14"/>
        </w:rPr>
        <w:t xml:space="preserve"> Chevron.” </w:t>
      </w:r>
      <w:r w:rsidRPr="00F317D4">
        <w:rPr>
          <w:rStyle w:val="StyleUnderline"/>
        </w:rPr>
        <w:t>Each of these versions</w:t>
      </w:r>
      <w:r w:rsidRPr="00F317D4">
        <w:rPr>
          <w:sz w:val="14"/>
        </w:rPr>
        <w:t xml:space="preserve"> of Chevron </w:t>
      </w:r>
      <w:r w:rsidRPr="00F317D4">
        <w:rPr>
          <w:rStyle w:val="StyleUnderline"/>
        </w:rPr>
        <w:t>is currently applied by the Supreme Court</w:t>
      </w:r>
      <w:r w:rsidRPr="00F317D4">
        <w:rPr>
          <w:sz w:val="14"/>
        </w:rPr>
        <w:t>, except perhaps original directly spoken Chevron, which may rarely, if ever, be applied.149 What has occurred is that the results of judicial review of agency statutory interpretation before and after Chevron, especially at the Supreme Court, are virtually indistinguishable, meaning that the effort to increase deference to agencies and clarity in the law has failed.</w:t>
      </w:r>
    </w:p>
    <w:p w14:paraId="2C69AFAF" w14:textId="77777777" w:rsidR="0095149D" w:rsidRPr="00D6636C" w:rsidRDefault="0095149D" w:rsidP="0095149D">
      <w:pPr>
        <w:rPr>
          <w:sz w:val="14"/>
          <w:szCs w:val="14"/>
        </w:rPr>
      </w:pPr>
      <w:r w:rsidRPr="00D6636C">
        <w:rPr>
          <w:sz w:val="14"/>
          <w:szCs w:val="14"/>
        </w:rPr>
        <w:t>“Original directly spoken to” Chevron is the version of Chevron most clearly stated in the Chevron opinion itself. Under this doctrine, a case would be resolved under Chevron Step One only if “Congress has directly spoken to the precise question at issue.”150 In Chevron itself, this would have meant that for the case to have been resolved in Step One, Congress would have had to have addressed the exact issue of whether the definition of “stationary source” could include treating an entire plant with numerous air pollution emitting installations as a single stationary source. This version of Chevron Step One is very narrow, which means that under it, deference to agencies would increase substantially as more cases made it past Step One and into the highly deferential Step Two. It is also relatively clear and easy to apply—only the most direct evidence of intent on the specific subject would result in a decision under Step One, and the vast majority of cases would easily end up in Step Two. For example, the statutory analysis in the Chevron opinion is only four paragraphs long and, with footnotes, only about four hundred words. It does not decide the meaning of “stationary source” but merely concludes that the statute does not specifically answer the question in the case.</w:t>
      </w:r>
    </w:p>
    <w:p w14:paraId="6D85A0DE" w14:textId="77777777" w:rsidR="0095149D" w:rsidRPr="00D6636C" w:rsidRDefault="0095149D" w:rsidP="0095149D">
      <w:pPr>
        <w:rPr>
          <w:sz w:val="14"/>
          <w:szCs w:val="14"/>
        </w:rPr>
      </w:pPr>
      <w:r w:rsidRPr="00D6636C">
        <w:rPr>
          <w:sz w:val="14"/>
          <w:szCs w:val="14"/>
        </w:rPr>
        <w:t>Whether one agrees or disagrees with the original Chevron, had it remained the law it would have dramatically changed review of agency statutory interpretation and it would have substantially simplified the process of such review. Courts would have been required to defer to agency interpretations except in the most rare case of agency defiance of a precise statutory directive.</w:t>
      </w:r>
    </w:p>
    <w:p w14:paraId="3A794BC0" w14:textId="77777777" w:rsidR="0095149D" w:rsidRPr="00D6636C" w:rsidRDefault="0095149D" w:rsidP="0095149D">
      <w:pPr>
        <w:rPr>
          <w:sz w:val="14"/>
        </w:rPr>
      </w:pPr>
      <w:r w:rsidRPr="00D6636C">
        <w:rPr>
          <w:rStyle w:val="Emphasis"/>
        </w:rPr>
        <w:t>The seeds of the destruction</w:t>
      </w:r>
      <w:r w:rsidRPr="00D6636C">
        <w:rPr>
          <w:rStyle w:val="StyleUnderline"/>
        </w:rPr>
        <w:t xml:space="preserve"> of original directly spoken Chevron were sown in a footnote in Justice Stevens’s </w:t>
      </w:r>
      <w:r w:rsidRPr="00D6636C">
        <w:rPr>
          <w:sz w:val="14"/>
        </w:rPr>
        <w:t xml:space="preserve">Chevron </w:t>
      </w:r>
      <w:r w:rsidRPr="00D6636C">
        <w:rPr>
          <w:rStyle w:val="StyleUnderline"/>
        </w:rPr>
        <w:t>opinion</w:t>
      </w:r>
      <w:r w:rsidRPr="00D6636C">
        <w:rPr>
          <w:sz w:val="14"/>
        </w:rPr>
        <w:t xml:space="preserve"> itself which stated:</w:t>
      </w:r>
    </w:p>
    <w:p w14:paraId="5A5BDC31" w14:textId="77777777" w:rsidR="0095149D" w:rsidRPr="00D6636C" w:rsidRDefault="0095149D" w:rsidP="0095149D">
      <w:pPr>
        <w:ind w:left="360"/>
        <w:rPr>
          <w:sz w:val="14"/>
        </w:rPr>
      </w:pPr>
      <w:r w:rsidRPr="00D6636C">
        <w:rPr>
          <w:rStyle w:val="StyleUnderline"/>
        </w:rPr>
        <w:t>The judiciary is the final authority on issues of statutory construction and must reject administrative constructions which are contrary to clear congressional intent</w:t>
      </w:r>
      <w:r w:rsidRPr="00D6636C">
        <w:rPr>
          <w:sz w:val="14"/>
        </w:rPr>
        <w:t>. If a court, employing traditional tools of statutory construction, ascertains that Congress had an intention on the precise question at issue, that intention is the law, and must be given effect.151</w:t>
      </w:r>
    </w:p>
    <w:p w14:paraId="111B1CAB" w14:textId="77777777" w:rsidR="0095149D" w:rsidRPr="00D6636C" w:rsidRDefault="0095149D" w:rsidP="0095149D">
      <w:pPr>
        <w:rPr>
          <w:sz w:val="14"/>
        </w:rPr>
      </w:pPr>
      <w:r w:rsidRPr="00D6636C">
        <w:rPr>
          <w:rStyle w:val="StyleUnderline"/>
        </w:rPr>
        <w:t>This language allows for a potentially broader Step One</w:t>
      </w:r>
      <w:r w:rsidRPr="00D6636C">
        <w:rPr>
          <w:sz w:val="14"/>
        </w:rPr>
        <w:t>—rather than require that Congress have “directly spoken” to the precise question, it requires that Congress “had an intention” on the “precise” question. The key to whether this footnote amounts to a major expansion of the scope of Chevron Step One may lie in the word “precise,” and as we shall see, the word “precise” has since disappeared from the traditional tools lexicon, severely reducing the scope of deferential Chevron Step Two.</w:t>
      </w:r>
    </w:p>
    <w:p w14:paraId="58278FEE" w14:textId="77777777" w:rsidR="0095149D" w:rsidRPr="00D6636C" w:rsidRDefault="0095149D" w:rsidP="0095149D">
      <w:pPr>
        <w:rPr>
          <w:sz w:val="14"/>
        </w:rPr>
      </w:pPr>
      <w:r w:rsidRPr="00D6636C">
        <w:rPr>
          <w:sz w:val="14"/>
        </w:rPr>
        <w:t xml:space="preserve">Shortly </w:t>
      </w:r>
      <w:r w:rsidRPr="00D6636C">
        <w:rPr>
          <w:rStyle w:val="StyleUnderline"/>
        </w:rPr>
        <w:t>after Chevron was decided</w:t>
      </w:r>
      <w:r w:rsidRPr="00D6636C">
        <w:rPr>
          <w:sz w:val="14"/>
        </w:rPr>
        <w:t xml:space="preserve">, in another opinion by Justice Stevens, </w:t>
      </w:r>
      <w:r w:rsidRPr="00D6636C">
        <w:rPr>
          <w:rStyle w:val="StyleUnderline"/>
        </w:rPr>
        <w:t>the Court seized on</w:t>
      </w:r>
      <w:r w:rsidRPr="00D6636C">
        <w:rPr>
          <w:sz w:val="14"/>
        </w:rPr>
        <w:t xml:space="preserve"> this “</w:t>
      </w:r>
      <w:r w:rsidRPr="00D6636C">
        <w:rPr>
          <w:rStyle w:val="StyleUnderline"/>
        </w:rPr>
        <w:t>traditional tools</w:t>
      </w:r>
      <w:r w:rsidRPr="00D6636C">
        <w:rPr>
          <w:sz w:val="14"/>
        </w:rPr>
        <w:t xml:space="preserve">” </w:t>
      </w:r>
      <w:r w:rsidRPr="00D6636C">
        <w:rPr>
          <w:rStyle w:val="StyleUnderline"/>
        </w:rPr>
        <w:t>language</w:t>
      </w:r>
      <w:r w:rsidRPr="00D6636C">
        <w:rPr>
          <w:sz w:val="14"/>
        </w:rPr>
        <w:t xml:space="preserve"> and began its discussion, this time in text rather than in a footnote, of the standard of review as follows: “The question whether Congress intended the two standards to be identical is a pure question of statutory construction for the courts to decide. Employing traditional tools of statutory construction, we have concluded that Congress did not intend the two standards to be identical.”15 </w:t>
      </w:r>
      <w:r w:rsidRPr="00D6636C">
        <w:rPr>
          <w:rStyle w:val="StyleUnderline"/>
        </w:rPr>
        <w:t xml:space="preserve">This has evolved into </w:t>
      </w:r>
      <w:r w:rsidRPr="00D6636C">
        <w:rPr>
          <w:sz w:val="14"/>
        </w:rPr>
        <w:t>what this Article refers to as “</w:t>
      </w:r>
      <w:r w:rsidRPr="00D6636C">
        <w:rPr>
          <w:rStyle w:val="StyleUnderline"/>
        </w:rPr>
        <w:t>traditional tools Chevron</w:t>
      </w:r>
      <w:r w:rsidRPr="00D6636C">
        <w:rPr>
          <w:sz w:val="14"/>
        </w:rPr>
        <w:t>,” i</w:t>
      </w:r>
      <w:r w:rsidRPr="00D6636C">
        <w:rPr>
          <w:rStyle w:val="StyleUnderline"/>
        </w:rPr>
        <w:t>n which the Court uses statutory construction devices that pre-date Chevron to determine Congress’s meaning in Chevron Step One.</w:t>
      </w:r>
    </w:p>
    <w:p w14:paraId="00C98611" w14:textId="77777777" w:rsidR="0095149D" w:rsidRPr="00D6636C" w:rsidRDefault="0095149D" w:rsidP="0095149D">
      <w:pPr>
        <w:rPr>
          <w:sz w:val="12"/>
          <w:szCs w:val="12"/>
        </w:rPr>
      </w:pPr>
      <w:r w:rsidRPr="00D6636C">
        <w:rPr>
          <w:sz w:val="12"/>
          <w:szCs w:val="12"/>
        </w:rPr>
        <w:t>The best example of traditional tools Chevron is the Court’s opinion in Dole v. United Steelworkers of America, Inc.153 In that case, the Court began its discussion of the standard of review for statutory questions as follows: “On a pure question of statutory construction, our first job is to try to determine congressional intent, using traditional tools of statutory construction.”154 The word “precise” does not appear in the majority opinion, so that the determination of congressional intent at Step One appears to have evolved into a pre- or non-Chevron practice for determining congressional intent. The factors the Court has considered under traditional tools Chevron include statutory text, statutory object and structure, canons of interpretation, relationship with other statutes, consistency of agency interpretation, and legislative history. A court using these tools for discovering Congress’s intent is much more likely to decide the case in Step One than under original directly spoken Chevron. Because deference to agency views occurs only in Chevron Step Two, expanded Step One entails reduced deference. Perhaps the icing on the cake was that the majority opinion did not cite Chevron itself until the very end of the opinion, and then only for the anti-deference point that “[i]f the intent of Congress is clear, that is the end of the matter.”155</w:t>
      </w:r>
    </w:p>
    <w:p w14:paraId="4E28DD2B" w14:textId="77777777" w:rsidR="0095149D" w:rsidRPr="00D6636C" w:rsidRDefault="0095149D" w:rsidP="0095149D">
      <w:pPr>
        <w:rPr>
          <w:sz w:val="12"/>
          <w:szCs w:val="12"/>
        </w:rPr>
      </w:pPr>
      <w:r w:rsidRPr="00D6636C">
        <w:rPr>
          <w:sz w:val="12"/>
          <w:szCs w:val="12"/>
        </w:rPr>
        <w:t>Justice Stevens has also used the characterization of an issue as a “pure question of statutory construction” to argue that Chevron deference should not apply at all since pure questions of statutory construction are for the courts. For example, very recently in Negusie v. Holder, 156 Justice Stevens, in dissent, argued that the question in the case is a “pure question of statutory construction for the courts to decide.”157 Thus, rather than remand the case to the agency for a proper construction of the statute as the majority had done, he would have had the Court construe the statute and remand the case to the agency only for an application of the statute to the particular facts.158</w:t>
      </w:r>
    </w:p>
    <w:p w14:paraId="10B98DCC" w14:textId="77777777" w:rsidR="0095149D" w:rsidRPr="00D6636C" w:rsidRDefault="0095149D" w:rsidP="0095149D">
      <w:pPr>
        <w:rPr>
          <w:sz w:val="14"/>
        </w:rPr>
      </w:pPr>
      <w:r w:rsidRPr="00D6636C">
        <w:rPr>
          <w:sz w:val="14"/>
        </w:rPr>
        <w:t xml:space="preserve">As is easy to imagine, </w:t>
      </w:r>
      <w:r w:rsidRPr="00D6636C">
        <w:rPr>
          <w:rStyle w:val="StyleUnderline"/>
        </w:rPr>
        <w:t>the proponents of Chevron deference have not been happy with the expansive traditional tools version of Step One</w:t>
      </w:r>
      <w:r w:rsidRPr="00D6636C">
        <w:rPr>
          <w:sz w:val="14"/>
        </w:rPr>
        <w:t xml:space="preserve">. They correctly understand it to seriously undermine deference to agencies on questions of statutory interpretation. Justice </w:t>
      </w:r>
      <w:r w:rsidRPr="00D6636C">
        <w:rPr>
          <w:rStyle w:val="StyleUnderline"/>
        </w:rPr>
        <w:t>Scalia</w:t>
      </w:r>
      <w:r w:rsidRPr="00D6636C">
        <w:rPr>
          <w:sz w:val="14"/>
        </w:rPr>
        <w:t xml:space="preserve">, </w:t>
      </w:r>
      <w:r w:rsidRPr="00D6636C">
        <w:rPr>
          <w:rStyle w:val="StyleUnderline"/>
        </w:rPr>
        <w:t>joined by</w:t>
      </w:r>
      <w:r w:rsidRPr="00D6636C">
        <w:rPr>
          <w:sz w:val="14"/>
        </w:rPr>
        <w:t xml:space="preserve"> Chief Justice </w:t>
      </w:r>
      <w:r w:rsidRPr="00D6636C">
        <w:rPr>
          <w:rStyle w:val="StyleUnderline"/>
        </w:rPr>
        <w:t>Rehnquist and</w:t>
      </w:r>
      <w:r w:rsidRPr="00D6636C">
        <w:rPr>
          <w:sz w:val="14"/>
        </w:rPr>
        <w:t xml:space="preserve"> Justice </w:t>
      </w:r>
      <w:r w:rsidRPr="00D6636C">
        <w:rPr>
          <w:rStyle w:val="StyleUnderline"/>
        </w:rPr>
        <w:t>O’Connor</w:t>
      </w:r>
      <w:r w:rsidRPr="00D6636C">
        <w:rPr>
          <w:sz w:val="14"/>
        </w:rPr>
        <w:t xml:space="preserve">, </w:t>
      </w:r>
      <w:r w:rsidRPr="00D6636C">
        <w:rPr>
          <w:rStyle w:val="StyleUnderline"/>
        </w:rPr>
        <w:t>wrote</w:t>
      </w:r>
      <w:r w:rsidRPr="00D6636C">
        <w:rPr>
          <w:sz w:val="14"/>
        </w:rPr>
        <w:t xml:space="preserve"> in a concurring opinion in one traditional tools decision:</w:t>
      </w:r>
    </w:p>
    <w:p w14:paraId="39817B84" w14:textId="77777777" w:rsidR="0095149D" w:rsidRPr="00D6636C" w:rsidRDefault="0095149D" w:rsidP="0095149D">
      <w:pPr>
        <w:ind w:left="360"/>
        <w:rPr>
          <w:sz w:val="14"/>
        </w:rPr>
      </w:pPr>
      <w:r w:rsidRPr="00D6636C">
        <w:rPr>
          <w:rStyle w:val="StyleUnderline"/>
        </w:rPr>
        <w:t>I join the Court’s opinion</w:t>
      </w:r>
      <w:r w:rsidRPr="00D6636C">
        <w:rPr>
          <w:sz w:val="14"/>
        </w:rPr>
        <w:t xml:space="preserve">, and </w:t>
      </w:r>
      <w:r w:rsidRPr="00D6636C">
        <w:rPr>
          <w:rStyle w:val="StyleUnderline"/>
        </w:rPr>
        <w:t>write separately only to note that our decision demonstrates the continuing and unchanged vitality of the test for judicial review of agency determinations of law set forth in [Chevron</w:t>
      </w:r>
      <w:r w:rsidRPr="00D6636C">
        <w:rPr>
          <w:sz w:val="14"/>
        </w:rPr>
        <w:t>]. Some courts have mistakenly concluded otherwise, on the basis of dicta in INS v. Cardoza-Fonseca.159</w:t>
      </w:r>
    </w:p>
    <w:p w14:paraId="376C3778" w14:textId="77777777" w:rsidR="0095149D" w:rsidRPr="00D6636C" w:rsidRDefault="0095149D" w:rsidP="0095149D">
      <w:pPr>
        <w:rPr>
          <w:sz w:val="14"/>
        </w:rPr>
      </w:pPr>
      <w:r w:rsidRPr="00D6636C">
        <w:rPr>
          <w:sz w:val="14"/>
        </w:rPr>
        <w:t xml:space="preserve">Even Justice </w:t>
      </w:r>
      <w:r w:rsidRPr="00D6636C">
        <w:rPr>
          <w:rStyle w:val="StyleUnderline"/>
        </w:rPr>
        <w:t>Scalia</w:t>
      </w:r>
      <w:r w:rsidRPr="00D6636C">
        <w:rPr>
          <w:sz w:val="14"/>
        </w:rPr>
        <w:t>, however</w:t>
      </w:r>
      <w:r w:rsidRPr="00D6636C">
        <w:rPr>
          <w:rStyle w:val="StyleUnderline"/>
        </w:rPr>
        <w:t>, has not confined himself to original directly spoken Chevron</w:t>
      </w:r>
      <w:r w:rsidRPr="00D6636C">
        <w:rPr>
          <w:sz w:val="14"/>
        </w:rPr>
        <w:t xml:space="preserve"> when deciding cases in Chevron Step One. Instead, </w:t>
      </w:r>
      <w:r w:rsidRPr="00D6636C">
        <w:rPr>
          <w:rStyle w:val="StyleUnderline"/>
        </w:rPr>
        <w:t>he</w:t>
      </w:r>
      <w:r w:rsidRPr="00D6636C">
        <w:rPr>
          <w:sz w:val="14"/>
        </w:rPr>
        <w:t xml:space="preserve"> has </w:t>
      </w:r>
      <w:r w:rsidRPr="00D6636C">
        <w:rPr>
          <w:rStyle w:val="StyleUnderline"/>
        </w:rPr>
        <w:t>applied what this Article refers to as “plain meaning Chevron</w:t>
      </w:r>
      <w:r w:rsidRPr="00D6636C">
        <w:rPr>
          <w:sz w:val="14"/>
        </w:rPr>
        <w:t>” in which the Court decides a case in Chevron Step One using only one of the traditional tools of statutory interpretation, namely the plain meaning rule. This is in keeping with Justice Scalia’s self-assessment that he is more likely than other judges to find clear statutory meaning. 160</w:t>
      </w:r>
    </w:p>
    <w:p w14:paraId="4D98B921" w14:textId="77777777" w:rsidR="0095149D" w:rsidRPr="00D6636C" w:rsidRDefault="0095149D" w:rsidP="0095149D">
      <w:pPr>
        <w:rPr>
          <w:rStyle w:val="StyleUnderline"/>
        </w:rPr>
      </w:pPr>
      <w:r w:rsidRPr="00D6636C">
        <w:rPr>
          <w:sz w:val="14"/>
        </w:rPr>
        <w:t xml:space="preserve">The best example of Justice Scalia’s application of “plain meaning” Chevron Step One is his opinion for the Court in MCI v. AT&amp;T. 161 The issue in that case was whether the FCC had the power to prohibit nondominant long distance telephone carriers (i.e., everyone but AT&amp;T) from filing tariffs with the FCC. The Telecommunications Act gives the FCC the power to “modify” its provisions, and the FCC claimed that de-tariffing nondominant carriers was a modification of the Act’s tariff provisions.162 Justice Scalia’s opinion rejecting the FCC’s reading of the statute relied primarily on the plain meaning of the word “modify,” which he found to mean moderate, not fundamental, change.163 He also found that tariff filing was the heart of the regulatory scheme, so that de-tariffing any carrier was more than a moderate change. Justice Scalia derived the meaning of “modify” from dictionaries, and the opinion rejected a single dictionary that included a “fundamental change” as a meaning of modify.164 The opinion’s discussion of the meaning of “modify” did not refer to any other tool of statutory interpretation, such as legislative history,165 statutory structure and purpose, or canons of construction, and in fact it rejected using the underlying policy of the provision, stating “our estimations, and the Commission’s estimations, of desirable policy cannot alter the meaning of the federal Communications Act of 1934.”166 </w:t>
      </w:r>
      <w:r w:rsidRPr="00D6636C">
        <w:rPr>
          <w:rStyle w:val="StyleUnderline"/>
        </w:rPr>
        <w:t>This variant of Chevron Step One is broader than original directly spoken Chevron because it does not require that Congress have answered the precise question</w:t>
      </w:r>
      <w:r w:rsidRPr="00D6636C">
        <w:rPr>
          <w:sz w:val="14"/>
        </w:rPr>
        <w:t xml:space="preserve"> in so many words, </w:t>
      </w:r>
      <w:r w:rsidRPr="00D6636C">
        <w:rPr>
          <w:rStyle w:val="StyleUnderline"/>
        </w:rPr>
        <w:t>but it is narrower than traditional tools Chevron because it confines the search for congressional intent to the plain meaning of the statutory language.</w:t>
      </w:r>
    </w:p>
    <w:p w14:paraId="77030C37" w14:textId="77777777" w:rsidR="0095149D" w:rsidRPr="00D6636C" w:rsidRDefault="0095149D" w:rsidP="0095149D">
      <w:pPr>
        <w:rPr>
          <w:sz w:val="14"/>
          <w:szCs w:val="14"/>
        </w:rPr>
      </w:pPr>
      <w:r w:rsidRPr="00D6636C">
        <w:rPr>
          <w:rStyle w:val="StyleUnderline"/>
        </w:rPr>
        <w:t>The final Chevron variant is “extraordinary cases Chevron</w:t>
      </w:r>
      <w:r w:rsidRPr="00D6636C">
        <w:rPr>
          <w:sz w:val="14"/>
        </w:rPr>
        <w:t xml:space="preserve">,” </w:t>
      </w:r>
      <w:r w:rsidRPr="00D6636C">
        <w:rPr>
          <w:rStyle w:val="StyleUnderline"/>
        </w:rPr>
        <w:t>in which the reviewing court finds clear congressional intent outside the Chevron framework in extraordinary cases. The cases are extraordinary because of the importance of the issue, at least as related to the regulatory scheme</w:t>
      </w:r>
      <w:r w:rsidRPr="00D6636C">
        <w:rPr>
          <w:sz w:val="14"/>
        </w:rPr>
        <w:t xml:space="preserve">. The best example of extraordinary cases Chevron is the Court’s decision that the Food and Drug Administration (“FDA”) lacks the power to regulate the marketing of tobacco products under the Federal Food, Drug and Cosmetic Act.167 Although Congress had not directly spoken to the precise question at issue (whether the FDA had jurisdiction to regulate tobacco marketing) and the plain meaning of the statute seemed to support jurisdiction (cigarettes and other tobacco products were within the plain meaning of drugs and drug delivery devices), the Court found that the FDA lacked jurisdiction because of the unique legal history surrounding tobacco which indicated that Congress did not intend the general language of the Act to grant the FDA jurisdiction over tobacco.168 </w:t>
      </w:r>
      <w:r w:rsidRPr="00D6636C">
        <w:rPr>
          <w:sz w:val="14"/>
          <w:szCs w:val="14"/>
        </w:rPr>
        <w:t>The Court observed:</w:t>
      </w:r>
    </w:p>
    <w:p w14:paraId="4AF88308" w14:textId="77777777" w:rsidR="0095149D" w:rsidRPr="00D6636C" w:rsidRDefault="0095149D" w:rsidP="0095149D">
      <w:pPr>
        <w:ind w:left="360"/>
        <w:rPr>
          <w:sz w:val="14"/>
          <w:szCs w:val="14"/>
        </w:rPr>
      </w:pPr>
      <w:r w:rsidRPr="00D6636C">
        <w:rPr>
          <w:sz w:val="14"/>
          <w:szCs w:val="14"/>
        </w:rPr>
        <w:t>This is hardly an ordinary case. . . . Owing to its unique place in American history and society, tobacco has its own unique political history. Congress, for better or for worse, has created a distinct regulatory scheme for tobacco products, squarely rejected proposals to give the FDA jurisdiction over tobacco, and repeatedly acted to preclude any agency from exercising significant policymaking authority in the area. Given this history and the breadth of the authority that the FDA has asserted, we are obliged to defer not to the agency’s expansive construction of the statute, but to Congress’ [sic] consistent judgment to deny the FDA this power.169</w:t>
      </w:r>
    </w:p>
    <w:p w14:paraId="3AC796DC" w14:textId="77777777" w:rsidR="0095149D" w:rsidRDefault="0095149D" w:rsidP="0095149D">
      <w:r>
        <w:t xml:space="preserve">In a sense, </w:t>
      </w:r>
      <w:r w:rsidRPr="00D6636C">
        <w:rPr>
          <w:rStyle w:val="StyleUnderline"/>
        </w:rPr>
        <w:t>the extraordinary cases version of Chevron is a device for deciding the case in Step One when ordinary statutory interpretation principles point toward a meaning contrary to the Court’s view of Congress’s true intent</w:t>
      </w:r>
      <w:r>
        <w:t>.170</w:t>
      </w:r>
    </w:p>
    <w:p w14:paraId="15F33E4E" w14:textId="77777777" w:rsidR="0095149D" w:rsidRPr="00D6636C" w:rsidRDefault="0095149D" w:rsidP="0095149D">
      <w:pPr>
        <w:rPr>
          <w:sz w:val="14"/>
        </w:rPr>
      </w:pPr>
      <w:r w:rsidRPr="00D6636C">
        <w:rPr>
          <w:rStyle w:val="StyleUnderline"/>
          <w:b/>
          <w:bCs/>
        </w:rPr>
        <w:t xml:space="preserve">The existence of these </w:t>
      </w:r>
      <w:r w:rsidRPr="00D6636C">
        <w:rPr>
          <w:rStyle w:val="Emphasis"/>
        </w:rPr>
        <w:t>four variants of Chevron epitomizes</w:t>
      </w:r>
      <w:r w:rsidRPr="00D6636C">
        <w:rPr>
          <w:rStyle w:val="StyleUnderline"/>
        </w:rPr>
        <w:t xml:space="preserve"> what is wrong with the doctrine and why it should be abandoned. The range of possible reasons for deciding a case in Chevron</w:t>
      </w:r>
      <w:r w:rsidRPr="00D6636C">
        <w:rPr>
          <w:sz w:val="14"/>
        </w:rPr>
        <w:t xml:space="preserve"> Step One </w:t>
      </w:r>
      <w:r w:rsidRPr="00D6636C">
        <w:rPr>
          <w:rStyle w:val="StyleUnderline"/>
        </w:rPr>
        <w:t>is so broad that almost any case can be so decided</w:t>
      </w:r>
      <w:r w:rsidRPr="00D6636C">
        <w:rPr>
          <w:sz w:val="14"/>
        </w:rPr>
        <w:t xml:space="preserve">, which means there is no deference to the agency. Further, </w:t>
      </w:r>
      <w:r w:rsidRPr="00D6636C">
        <w:rPr>
          <w:rStyle w:val="StyleUnderline"/>
        </w:rPr>
        <w:t xml:space="preserve">the Court can choose to ignore traditional indications of congressional </w:t>
      </w:r>
      <w:r w:rsidRPr="00D6636C">
        <w:rPr>
          <w:sz w:val="14"/>
        </w:rPr>
        <w:t xml:space="preserve">intent and decide based </w:t>
      </w:r>
      <w:r w:rsidRPr="00D6636C">
        <w:rPr>
          <w:rStyle w:val="StyleUnderline"/>
        </w:rPr>
        <w:t>on</w:t>
      </w:r>
      <w:r w:rsidRPr="00D6636C">
        <w:rPr>
          <w:sz w:val="14"/>
        </w:rPr>
        <w:t xml:space="preserve"> either </w:t>
      </w:r>
      <w:r w:rsidRPr="00D6636C">
        <w:rPr>
          <w:rStyle w:val="StyleUnderline"/>
        </w:rPr>
        <w:t xml:space="preserve">whether Congress has directly addressed the </w:t>
      </w:r>
      <w:r w:rsidRPr="00D6636C">
        <w:rPr>
          <w:sz w:val="14"/>
        </w:rPr>
        <w:t xml:space="preserve">precise </w:t>
      </w:r>
      <w:r w:rsidRPr="00D6636C">
        <w:rPr>
          <w:rStyle w:val="StyleUnderline"/>
        </w:rPr>
        <w:t>issue or on whether the case is extraordinary</w:t>
      </w:r>
      <w:r w:rsidRPr="00D6636C">
        <w:rPr>
          <w:sz w:val="14"/>
        </w:rPr>
        <w:t xml:space="preserve"> and should be decided on a sui generis evaluation of likely congressional intent. In such cases, the Chevron framework itself has dissolved into the mist.</w:t>
      </w:r>
    </w:p>
    <w:p w14:paraId="2FA9FBA5" w14:textId="77777777" w:rsidR="0095149D" w:rsidRPr="00D6636C" w:rsidRDefault="0095149D" w:rsidP="0095149D">
      <w:pPr>
        <w:rPr>
          <w:sz w:val="14"/>
        </w:rPr>
      </w:pPr>
      <w:r w:rsidRPr="00D6636C">
        <w:rPr>
          <w:sz w:val="14"/>
        </w:rPr>
        <w:t xml:space="preserve">Further, </w:t>
      </w:r>
      <w:r w:rsidRPr="00D6636C">
        <w:rPr>
          <w:rStyle w:val="StyleUnderline"/>
        </w:rPr>
        <w:t>the variants are so different from each other that</w:t>
      </w:r>
      <w:r w:rsidRPr="00D6636C">
        <w:rPr>
          <w:sz w:val="14"/>
        </w:rPr>
        <w:t xml:space="preserve"> from a lawyer’s perspective, </w:t>
      </w:r>
      <w:r w:rsidRPr="00D6636C">
        <w:rPr>
          <w:rStyle w:val="Emphasis"/>
        </w:rPr>
        <w:t>Chevron has become a moving target</w:t>
      </w:r>
      <w:r w:rsidRPr="00D6636C">
        <w:rPr>
          <w:sz w:val="14"/>
        </w:rPr>
        <w:t>. Should a lawyer arguing a case address whether Congress has directly spoken to the precise issue in question, whether Congress’s intent can be discerned using traditional tools or the plain meaning rule, or whether the particular case is so extraordinary that it should be taken out of the methodology altogether? Apparently, a competent lawyer should address all of these possibilities, unless somehow it becomes easy to predict which variant a court will apply in a particular case.</w:t>
      </w:r>
    </w:p>
    <w:p w14:paraId="567F3D5F" w14:textId="5F33E379" w:rsidR="0095149D" w:rsidRPr="0095149D" w:rsidRDefault="0095149D" w:rsidP="0095149D">
      <w:pPr>
        <w:pStyle w:val="Heading4"/>
      </w:pPr>
      <w:r>
        <w:t xml:space="preserve">Step 2 makes the doctrine a </w:t>
      </w:r>
      <w:r>
        <w:rPr>
          <w:u w:val="single"/>
        </w:rPr>
        <w:t>mess</w:t>
      </w:r>
      <w:r>
        <w:t>.</w:t>
      </w:r>
    </w:p>
    <w:p w14:paraId="6A623D66" w14:textId="77777777" w:rsidR="0095149D" w:rsidRDefault="0095149D" w:rsidP="0095149D">
      <w:r>
        <w:rPr>
          <w:rStyle w:val="Style13ptBold"/>
        </w:rPr>
        <w:t>Beerman 10</w:t>
      </w:r>
      <w:r>
        <w:rPr>
          <w:rStyle w:val="Style13ptBold"/>
          <w:b w:val="0"/>
          <w:bCs w:val="0"/>
        </w:rPr>
        <w:t xml:space="preserve"> —</w:t>
      </w:r>
      <w:r w:rsidRPr="00796B82">
        <w:t xml:space="preserve"> Jack M. Beermann is a Professor of Law and Harry Elwood Warren Scholar at Boston University, and he has a BA from the University of Wisconsin and JD from the University of Chicago</w:t>
      </w:r>
      <w:r>
        <w:t xml:space="preserve">. (“End the Failed Chevron Experiment Now: How Chevron Has Failed and Why it Can and Should Be Overruled” Connecticut Law Review, vol.  42, number 3, February 2010. </w:t>
      </w:r>
      <w:hyperlink r:id="rId156" w:history="1">
        <w:r w:rsidRPr="0079159C">
          <w:rPr>
            <w:rStyle w:val="Hyperlink"/>
          </w:rPr>
          <w:t>https://scholarship.law.bu.edu/cgi/viewcontent.cgi?article=1519&amp;context=faculty_scholarship)//JLPark</w:t>
        </w:r>
      </w:hyperlink>
    </w:p>
    <w:p w14:paraId="55DA74BB" w14:textId="77777777" w:rsidR="0095149D" w:rsidRPr="00E12918" w:rsidRDefault="0095149D" w:rsidP="0095149D">
      <w:pPr>
        <w:rPr>
          <w:sz w:val="14"/>
          <w:szCs w:val="14"/>
        </w:rPr>
      </w:pPr>
      <w:r w:rsidRPr="00E12918">
        <w:rPr>
          <w:sz w:val="14"/>
          <w:szCs w:val="14"/>
        </w:rPr>
        <w:t>The Chevron opinion itself, and the doctrine that has grown out of it, is a failure because it does not provide clear answers to the issues it raised and thus led to great uncertainty and diversity of understanding and application. Many of these problems with Chevron have been adverted to above and are reviewed here only briefly.</w:t>
      </w:r>
    </w:p>
    <w:p w14:paraId="38BCFB62" w14:textId="77777777" w:rsidR="0095149D" w:rsidRPr="00E12918" w:rsidRDefault="0095149D" w:rsidP="0095149D">
      <w:pPr>
        <w:rPr>
          <w:sz w:val="14"/>
        </w:rPr>
      </w:pPr>
      <w:r w:rsidRPr="00E12918">
        <w:rPr>
          <w:rStyle w:val="StyleUnderline"/>
        </w:rPr>
        <w:t>The</w:t>
      </w:r>
      <w:r w:rsidRPr="00E12918">
        <w:rPr>
          <w:sz w:val="14"/>
        </w:rPr>
        <w:t xml:space="preserve"> first </w:t>
      </w:r>
      <w:r w:rsidRPr="00E12918">
        <w:rPr>
          <w:rStyle w:val="StyleUnderline"/>
        </w:rPr>
        <w:t>problem</w:t>
      </w:r>
      <w:r w:rsidRPr="00E12918">
        <w:rPr>
          <w:sz w:val="14"/>
        </w:rPr>
        <w:t xml:space="preserve"> discussed in this subsection </w:t>
      </w:r>
      <w:r w:rsidRPr="00E12918">
        <w:rPr>
          <w:rStyle w:val="StyleUnderline"/>
        </w:rPr>
        <w:t>is the mess</w:t>
      </w:r>
      <w:r w:rsidRPr="00E12918">
        <w:rPr>
          <w:sz w:val="14"/>
        </w:rPr>
        <w:t xml:space="preserve"> the Court created </w:t>
      </w:r>
      <w:r w:rsidRPr="00E12918">
        <w:rPr>
          <w:rStyle w:val="StyleUnderline"/>
        </w:rPr>
        <w:t>with Chevron Step Two</w:t>
      </w:r>
      <w:r w:rsidRPr="00E12918">
        <w:rPr>
          <w:sz w:val="14"/>
        </w:rPr>
        <w:t xml:space="preserve">. As previously discussed, </w:t>
      </w:r>
      <w:r w:rsidRPr="00E12918">
        <w:rPr>
          <w:rStyle w:val="StyleUnderline"/>
        </w:rPr>
        <w:t>there is a lack of factual basis for the Court’s assertion that whenever Congress is unclear, it intends to delegate interpretive power to the administering agency</w:t>
      </w:r>
      <w:r w:rsidRPr="00E12918">
        <w:rPr>
          <w:sz w:val="14"/>
        </w:rPr>
        <w:t xml:space="preserve">.121 This subsection discusses </w:t>
      </w:r>
      <w:r w:rsidRPr="00E12918">
        <w:rPr>
          <w:rStyle w:val="StyleUnderline"/>
        </w:rPr>
        <w:t>another problem, the lack of clarity of the Court’s explication and application of Chevron Step Two. In constructing Step Two of Chevron</w:t>
      </w:r>
      <w:r w:rsidRPr="00E12918">
        <w:rPr>
          <w:sz w:val="14"/>
        </w:rPr>
        <w:t xml:space="preserve">, under which reviewing courts defer to agency interpretations of ambiguous statutes, </w:t>
      </w:r>
      <w:r w:rsidRPr="00E12918">
        <w:rPr>
          <w:rStyle w:val="StyleUnderline"/>
        </w:rPr>
        <w:t>the Court distinguished between explicit and implicit delegations of interpretive power to agencies</w:t>
      </w:r>
      <w:r w:rsidRPr="00E12918">
        <w:rPr>
          <w:sz w:val="14"/>
        </w:rPr>
        <w:t>. The Court first stated that whenever Congress has not directly spoken to the precise question at issue, the statute is therefore silent or ambiguous on “the specific issue, [and] the question for the court is whether the agency’s answer is based on a permissible construction of the statute.”122 Then the Court went on to distinguish between explicit gaps, where the agency interpretation is reviewed under the “arbitrary, capricious, or manifestly contrary to the statute” standard and implicit gaps, which are reviewed under the “reasonable interpretation” standard.123</w:t>
      </w:r>
    </w:p>
    <w:p w14:paraId="4504A316" w14:textId="77777777" w:rsidR="0095149D" w:rsidRPr="00E12918" w:rsidRDefault="0095149D" w:rsidP="0095149D">
      <w:pPr>
        <w:rPr>
          <w:sz w:val="14"/>
          <w:szCs w:val="14"/>
        </w:rPr>
      </w:pPr>
      <w:r w:rsidRPr="00E12918">
        <w:rPr>
          <w:sz w:val="14"/>
          <w:szCs w:val="14"/>
        </w:rPr>
        <w:t>The origins of the Chevron Step Two dichotomy turn out to be very interesting. There was, before Chevron, a tradition in administrative law to give less deference to agency interpretations of ambiguous statutes than to agency legal decisions under explicit grants of interpretive authority. As the Court explained in 1981:</w:t>
      </w:r>
    </w:p>
    <w:p w14:paraId="5DF15D94" w14:textId="77777777" w:rsidR="0095149D" w:rsidRPr="00E12918" w:rsidRDefault="0095149D" w:rsidP="0095149D">
      <w:pPr>
        <w:ind w:left="360"/>
        <w:rPr>
          <w:sz w:val="14"/>
          <w:szCs w:val="14"/>
        </w:rPr>
      </w:pPr>
      <w:r w:rsidRPr="00E12918">
        <w:rPr>
          <w:sz w:val="14"/>
          <w:szCs w:val="14"/>
        </w:rPr>
        <w:t>We consider Treasury Regulations valid if they “implement the congressional mandate in some reasonable manner.” In National Muffler Dealers Assn. v. United States, 440 U.S. 472, 477 (1979), we stated: “In determining whether a particular regulation carries out the congressional mandate in a proper manner, we look to see whether the regulation harmonizes with the plain language of the statute, its origin, and its purpose.” Harmony between statutory language and regulation is particularly significant in this case. Congress itself defined the word at issue—“wages”— and the Commissioner interpreted Congress’ definition only under his general authority to “prescribe all needful rules.” Because we therefore can measure the Commissioner’s interpretation against a specific provision in the Code, we owe the interpretation less deference than a regulation issued under a specific grant of authority to define a statutory term or prescribe a method of executing a statutory provision. Where the Commissioner acts under specific authority, our primary inquiry is whether the interpretation or method is within the delegation of authority.124</w:t>
      </w:r>
    </w:p>
    <w:p w14:paraId="0F9FE7C3" w14:textId="77777777" w:rsidR="0095149D" w:rsidRPr="00E12918" w:rsidRDefault="0095149D" w:rsidP="0095149D">
      <w:pPr>
        <w:rPr>
          <w:sz w:val="14"/>
        </w:rPr>
      </w:pPr>
      <w:r w:rsidRPr="00E12918">
        <w:rPr>
          <w:sz w:val="14"/>
        </w:rPr>
        <w:t xml:space="preserve">Thus, </w:t>
      </w:r>
      <w:r w:rsidRPr="00E12918">
        <w:rPr>
          <w:rStyle w:val="StyleUnderline"/>
        </w:rPr>
        <w:t>the pre-Chevron understanding was that agency interpretation of an ambiguous statute was reviewed for reasonableness</w:t>
      </w:r>
      <w:r w:rsidRPr="00E12918">
        <w:rPr>
          <w:sz w:val="14"/>
        </w:rPr>
        <w:t xml:space="preserve">—does the agency interpretation “implement the congressional mandate in a reasonable manner?” </w:t>
      </w:r>
      <w:r w:rsidRPr="00E12918">
        <w:rPr>
          <w:rStyle w:val="StyleUnderline"/>
        </w:rPr>
        <w:t>This was a less deferential standard of review than Chevron because it involved a careful look at statutory language, origins, purpose, and legislative history, and it did not presume that ambiguity meant that Congress intended to delegate lawmaking power to the agency</w:t>
      </w:r>
      <w:r w:rsidRPr="00E12918">
        <w:rPr>
          <w:sz w:val="14"/>
        </w:rPr>
        <w:t>. The final say on the correctness of interpretation of an ambiguous statute would lie with the reviewing court. With regard to an explicit delegation of interpretive authority, the agency’s interpretation would be reviewed under the more deferential inquiry of whether the interpretation “is within the delegation of authority.” In Chevron and another 1984 decision, the Court transformed this standard into the highly deferential “plainly” or “manifestly” contrary to the statute.125</w:t>
      </w:r>
    </w:p>
    <w:p w14:paraId="048AD406" w14:textId="77777777" w:rsidR="0095149D" w:rsidRPr="00E12918" w:rsidRDefault="0095149D" w:rsidP="0095149D">
      <w:pPr>
        <w:rPr>
          <w:sz w:val="14"/>
        </w:rPr>
      </w:pPr>
      <w:r w:rsidRPr="00E12918">
        <w:rPr>
          <w:sz w:val="14"/>
        </w:rPr>
        <w:t xml:space="preserve">With regard to the basis for the Court’s formulation of Step Two, recall that the APA appears to presume that legal questions would be resolved by courts, not agencies. Step Two should be based either on statutory text or pre-APA principles that might have been incorporated into the APA. </w:t>
      </w:r>
      <w:r w:rsidRPr="00E12918">
        <w:rPr>
          <w:rStyle w:val="StyleUnderline"/>
        </w:rPr>
        <w:t>The Court’s formulation of Step Two</w:t>
      </w:r>
      <w:r w:rsidRPr="00E12918">
        <w:rPr>
          <w:sz w:val="14"/>
        </w:rPr>
        <w:t xml:space="preserve">, however, </w:t>
      </w:r>
      <w:r w:rsidRPr="00E12918">
        <w:rPr>
          <w:rStyle w:val="StyleUnderline"/>
        </w:rPr>
        <w:t>seems to be inconsistent with the desire of the framers of the APA to rein in agencies. The Chevron Court cited cases</w:t>
      </w:r>
      <w:r w:rsidRPr="00E12918">
        <w:rPr>
          <w:sz w:val="14"/>
        </w:rPr>
        <w:t xml:space="preserve"> in support of both variants of Step Two, </w:t>
      </w:r>
      <w:r w:rsidRPr="00E12918">
        <w:rPr>
          <w:rStyle w:val="StyleUnderline"/>
        </w:rPr>
        <w:t>but the case law cited did not provide much support</w:t>
      </w:r>
      <w:r w:rsidRPr="00E12918">
        <w:rPr>
          <w:sz w:val="14"/>
        </w:rPr>
        <w:t>. As noted above, in a case involving an explicit delegation of power to an agency, a week before Chevron was decided, the Court used the phrase “plainly contrary to the statute” to describe when a reviewing court should overturn an agency interpretation.126 The other cases relied on in Chevron for the “manifestly contrary to the statute” language do not contain any similar phrase, and in fact are confusing on the status of agency interpretations under explicit delegations. For example, in 1981’s Schweiker v. Gray Panthers, the Court stated:</w:t>
      </w:r>
    </w:p>
    <w:p w14:paraId="5CF495C9" w14:textId="77777777" w:rsidR="0095149D" w:rsidRPr="00E12918" w:rsidRDefault="0095149D" w:rsidP="0095149D">
      <w:pPr>
        <w:ind w:left="360"/>
        <w:rPr>
          <w:sz w:val="14"/>
          <w:szCs w:val="14"/>
        </w:rPr>
      </w:pPr>
      <w:r w:rsidRPr="00E12918">
        <w:rPr>
          <w:sz w:val="14"/>
          <w:szCs w:val="14"/>
        </w:rPr>
        <w:t>In view of this explicit delegation of substantive authority, the Secretary’s definition . . . is “entitled to more than mere deference or weight.” Rather, the Secretary’s definition is entitled to “legislative effect” because, “[i]n a situation of this kind, Congress entrusts to the Secretary, rather than to the courts, the primary responsibility for interpreting the statutory term.” Although we do not abdicate review in these circumstances, our task is the limited one of ensuring that the Secretary did not “excee[d] his statutory authority” and that the regulation is not arbitrary or capricious.127</w:t>
      </w:r>
    </w:p>
    <w:p w14:paraId="2E233549" w14:textId="77777777" w:rsidR="0095149D" w:rsidRPr="00E12918" w:rsidRDefault="0095149D" w:rsidP="0095149D">
      <w:pPr>
        <w:rPr>
          <w:sz w:val="14"/>
        </w:rPr>
      </w:pPr>
      <w:r w:rsidRPr="00E12918">
        <w:rPr>
          <w:sz w:val="14"/>
        </w:rPr>
        <w:t xml:space="preserve">This pre-Chevron passage is notable for three separate ideas that are highly relevant under Chevron. First, </w:t>
      </w:r>
      <w:r w:rsidRPr="00E12918">
        <w:rPr>
          <w:rStyle w:val="StyleUnderline"/>
        </w:rPr>
        <w:t>the Court equates legislative intent to confer the status of law on agency interpretations with a high degree of deference to agency interpretations</w:t>
      </w:r>
      <w:r w:rsidRPr="00E12918">
        <w:rPr>
          <w:sz w:val="14"/>
        </w:rPr>
        <w:t xml:space="preserve">,128 although it does not provide much guidance on how deferential a court should be in determining whether the Secretary “exceeded his statutory authority.” Second, </w:t>
      </w:r>
      <w:r w:rsidRPr="00E12918">
        <w:rPr>
          <w:rStyle w:val="StyleUnderline"/>
        </w:rPr>
        <w:t>it is consistent with Chevron’s notion that in a case of explicit delegation</w:t>
      </w:r>
      <w:r w:rsidRPr="00E12918">
        <w:rPr>
          <w:sz w:val="14"/>
        </w:rPr>
        <w:t xml:space="preserve">, Congress assigned primary interpretive authority to the agency. Third, </w:t>
      </w:r>
      <w:r w:rsidRPr="00E12918">
        <w:rPr>
          <w:rStyle w:val="StyleUnderline"/>
        </w:rPr>
        <w:t>it states that even if the interpretation is found to be within the agency’s statutory authority, there should be an additional inquiry into whether the choice of interpretation is arbitrary or capricious</w:t>
      </w:r>
      <w:r w:rsidRPr="00E12918">
        <w:rPr>
          <w:sz w:val="14"/>
        </w:rPr>
        <w:t>. This third element has been urged by some, but it is not clear whether it is proper practice under Chevron.</w:t>
      </w:r>
    </w:p>
    <w:p w14:paraId="17BFEF43" w14:textId="77777777" w:rsidR="0095149D" w:rsidRPr="001E30E8" w:rsidRDefault="0095149D" w:rsidP="0095149D">
      <w:pPr>
        <w:rPr>
          <w:rStyle w:val="StyleUnderline"/>
        </w:rPr>
      </w:pPr>
      <w:r w:rsidRPr="001E30E8">
        <w:rPr>
          <w:sz w:val="14"/>
        </w:rPr>
        <w:t xml:space="preserve">In another decision relied upon in Chevron for the construction of Step Two, 1977’s Batterton v. Francis,129 the Court stated a standard of review similar to that of Gray Panthers, while accurately quoting the statutory language. “The regulation at issue in this case is therefore entitled to more than mere deference or weight. It can be set aside only if the Secretary exceeded his statutory authority or if the regulation is ‘arbitrary, capricious, an abuse of discretion, or otherwise not in accordance with law.’”130 The final case relied on in Chevron for the establishment of the “manifestly contrary to the statute” standard for reviewing explicit delegations, the pre-APA American Telephone &amp; Telegraph Co. v. United States, 131 does not support it at all, but is about deference to policy decisions. It does mention that the agency must remain within its statutory authority but it does not discuss further the standard the reviewing court should apply when determining whether an agency has done so.132 Thus, </w:t>
      </w:r>
      <w:r w:rsidRPr="001E30E8">
        <w:rPr>
          <w:rStyle w:val="StyleUnderline"/>
        </w:rPr>
        <w:t>at best there are hints of the explicit delegation branch of Chevron Step Two going back to 1977, but apparently not before</w:t>
      </w:r>
      <w:r w:rsidRPr="001E30E8">
        <w:rPr>
          <w:sz w:val="14"/>
        </w:rPr>
        <w:t xml:space="preserve">. </w:t>
      </w:r>
      <w:r w:rsidRPr="001E30E8">
        <w:rPr>
          <w:rStyle w:val="StyleUnderline"/>
        </w:rPr>
        <w:t>There is certainly no pre-Chevron support for treating ambiguous statutes as implicit delegations of interpretive authority to agencies.</w:t>
      </w:r>
    </w:p>
    <w:p w14:paraId="394AAA97" w14:textId="77777777" w:rsidR="0095149D" w:rsidRPr="001E30E8" w:rsidRDefault="0095149D" w:rsidP="0095149D">
      <w:pPr>
        <w:rPr>
          <w:sz w:val="14"/>
        </w:rPr>
      </w:pPr>
      <w:r w:rsidRPr="001E30E8">
        <w:rPr>
          <w:rStyle w:val="StyleUnderline"/>
        </w:rPr>
        <w:t>The “permissible” or “reasonable” construction standard for reviewing agency interpretations of ambiguous statutory provisions</w:t>
      </w:r>
      <w:r w:rsidRPr="001E30E8">
        <w:rPr>
          <w:sz w:val="14"/>
        </w:rPr>
        <w:t xml:space="preserve">, when the delegation of agency interpretive authority is implicit, appears to be more consistent with the general practice under the APA, although perhaps not in the highly deferential way that it has been understood since Chevron. Numerous cases that arose after the passage of the APA and before Chevron applied the reasonable construction or reasonable interpretation standard of review to agency interpretations of ambiguous statutes.133 These cases looked carefully at statutory text, purpose, and history, which may not be the case in post-Chevron Step Two decisions. In many cases, however, courts went even further and used the phrase “reasonable construction” or “reasonable interpretation” as a synonym for “correct construction.”134 This indicates that these phrases </w:t>
      </w:r>
      <w:r w:rsidRPr="001E30E8">
        <w:rPr>
          <w:rStyle w:val="StyleUnderline"/>
        </w:rPr>
        <w:t>did not have a settled meaning in the period before Chevron</w:t>
      </w:r>
      <w:r w:rsidRPr="001E30E8">
        <w:rPr>
          <w:sz w:val="14"/>
        </w:rPr>
        <w:t>.</w:t>
      </w:r>
    </w:p>
    <w:p w14:paraId="007F471D" w14:textId="77777777" w:rsidR="0095149D" w:rsidRPr="001E30E8" w:rsidRDefault="0095149D" w:rsidP="0095149D">
      <w:pPr>
        <w:rPr>
          <w:rStyle w:val="StyleUnderline"/>
        </w:rPr>
      </w:pPr>
      <w:r w:rsidRPr="001E30E8">
        <w:rPr>
          <w:sz w:val="14"/>
        </w:rPr>
        <w:t xml:space="preserve">The tradition, however, is less clear before the APA. Many pre-APA cases use the terms “reasonable interpretation” and “reasonable construction,” but in most contexts these phrases seem to mean the correct interpretation or the best interpretation in light of the circumstances.135 The Hearst case, for example, used the phrase “reasonable basis in law” to denote a deferential standard of review in cases involving the application of an ambiguous legal standard to a particular situation, which is different from a pure question of statutory interpretation.136 At least in the years immediately prior to the enactment of the APA, </w:t>
      </w:r>
      <w:r w:rsidRPr="001E30E8">
        <w:rPr>
          <w:rStyle w:val="StyleUnderline"/>
        </w:rPr>
        <w:t>there was no clear understanding that there should be deference to agency interpretations of ambiguous statutes under a reasonable interpretation standard.</w:t>
      </w:r>
    </w:p>
    <w:p w14:paraId="2DD7D85C" w14:textId="77777777" w:rsidR="0095149D" w:rsidRPr="001E30E8" w:rsidRDefault="0095149D" w:rsidP="0095149D">
      <w:pPr>
        <w:rPr>
          <w:sz w:val="12"/>
          <w:szCs w:val="12"/>
        </w:rPr>
      </w:pPr>
      <w:r w:rsidRPr="001E30E8">
        <w:rPr>
          <w:sz w:val="12"/>
          <w:szCs w:val="12"/>
        </w:rPr>
        <w:t>Since Chevron, the Court has applied the “reasonable construction” standard numerous times in cases involving ambiguous statutes.137 Express delegations of interpretive power are rarer, and therefore the Court has not had many occasions to apply the “manifestly contrary to the statute” standard to such delegations. Adding to the confusion, the Court has gone so far as to cast the “manifestly contrary” standard as the standard for reviewing all policy decisions made by agencies with rulemaking authority, not only decisions involving statutory interpretation.138 And in some instances, the Court has applied it in cases of ambiguity,139 which are supposed to be governed by the “reasonable or permissible construction” standard.</w:t>
      </w:r>
    </w:p>
    <w:p w14:paraId="4C941D6F" w14:textId="77777777" w:rsidR="0095149D" w:rsidRPr="001E30E8" w:rsidRDefault="0095149D" w:rsidP="0095149D">
      <w:pPr>
        <w:rPr>
          <w:sz w:val="12"/>
          <w:szCs w:val="12"/>
        </w:rPr>
      </w:pPr>
      <w:r w:rsidRPr="001E30E8">
        <w:rPr>
          <w:sz w:val="12"/>
          <w:szCs w:val="12"/>
        </w:rPr>
        <w:t>Perhaps this all indicates that the Court does not perceive any real differences among these situations or standards of review. It may also be due to the view expressed in some opinions that when Congress grants an agency rulemaking authority, all ambiguities become express delegations of interpretative power.140 This is certainly not consistent with the text or original understanding of Chevron, nor with the numerous pre-Chevron cases in which the reasonable or permissible construction standard is applied to agencies with rulemaking power. This means that there may be a third category not originally captured by Chevron—when an agency that has been granted the power to make legislative rules makes new law designed to implement a statutory provision, the “manifestly contrary to the statute” standard is applied to determine whether the agency has acted within statutory constraints.141 Whatever one thinks of these various permutations of Chevron Step Two, one thing seems clear—the Court has not succeeded in creating a clear and easy to administer standard of review for agency interpretations of law.142</w:t>
      </w:r>
    </w:p>
    <w:p w14:paraId="693A12C3" w14:textId="77777777" w:rsidR="0095149D" w:rsidRPr="001E30E8" w:rsidRDefault="0095149D" w:rsidP="0095149D">
      <w:pPr>
        <w:rPr>
          <w:sz w:val="14"/>
        </w:rPr>
      </w:pPr>
      <w:r w:rsidRPr="001E30E8">
        <w:rPr>
          <w:rStyle w:val="StyleUnderline"/>
        </w:rPr>
        <w:t xml:space="preserve">Another problem </w:t>
      </w:r>
      <w:r w:rsidRPr="001E30E8">
        <w:rPr>
          <w:sz w:val="14"/>
        </w:rPr>
        <w:t xml:space="preserve">with the Chevron doctrine </w:t>
      </w:r>
      <w:r w:rsidRPr="001E30E8">
        <w:rPr>
          <w:rStyle w:val="StyleUnderline"/>
        </w:rPr>
        <w:t>is that the Court is unclear about the relevance of legislative history and policy to judicial review of interpretive decisions</w:t>
      </w:r>
      <w:r w:rsidRPr="001E30E8">
        <w:rPr>
          <w:sz w:val="14"/>
        </w:rPr>
        <w:t xml:space="preserve">. The </w:t>
      </w:r>
      <w:r w:rsidRPr="001E30E8">
        <w:rPr>
          <w:rStyle w:val="StyleUnderline"/>
        </w:rPr>
        <w:t>Chevron</w:t>
      </w:r>
      <w:r w:rsidRPr="001E30E8">
        <w:rPr>
          <w:sz w:val="14"/>
        </w:rPr>
        <w:t xml:space="preserve"> opinion </w:t>
      </w:r>
      <w:r w:rsidRPr="001E30E8">
        <w:rPr>
          <w:rStyle w:val="StyleUnderline"/>
        </w:rPr>
        <w:t>contains two separate discussions</w:t>
      </w:r>
      <w:r w:rsidRPr="001E30E8">
        <w:rPr>
          <w:sz w:val="14"/>
        </w:rPr>
        <w:t xml:space="preserve"> of legislative history. The </w:t>
      </w:r>
      <w:r w:rsidRPr="001E30E8">
        <w:rPr>
          <w:rStyle w:val="StyleUnderline"/>
        </w:rPr>
        <w:t>first</w:t>
      </w:r>
      <w:r w:rsidRPr="001E30E8">
        <w:rPr>
          <w:sz w:val="14"/>
        </w:rPr>
        <w:t xml:space="preserve">, Part V of the Court’s opinion, </w:t>
      </w:r>
      <w:r w:rsidRPr="001E30E8">
        <w:rPr>
          <w:rStyle w:val="StyleUnderline"/>
        </w:rPr>
        <w:t>is a brief demonstration that the legislative history does not directly address the issue in the case</w:t>
      </w:r>
      <w:r w:rsidRPr="001E30E8">
        <w:rPr>
          <w:sz w:val="14"/>
        </w:rPr>
        <w:t xml:space="preserve">, namely whether Congress intended to foreclose the plant-wide definition of stationary source.143 </w:t>
      </w:r>
      <w:r w:rsidRPr="001E30E8">
        <w:rPr>
          <w:rStyle w:val="StyleUnderline"/>
        </w:rPr>
        <w:t>This discussion is consistent with “traditional tools Chevron,” given that legislative history is one of the traditional tools of statutory interpretation</w:t>
      </w:r>
      <w:r w:rsidRPr="001E30E8">
        <w:rPr>
          <w:sz w:val="14"/>
        </w:rPr>
        <w:t>. The</w:t>
      </w:r>
      <w:r w:rsidRPr="001E30E8">
        <w:rPr>
          <w:rStyle w:val="StyleUnderline"/>
        </w:rPr>
        <w:t xml:space="preserve"> second</w:t>
      </w:r>
      <w:r w:rsidRPr="001E30E8">
        <w:rPr>
          <w:sz w:val="14"/>
        </w:rPr>
        <w:t xml:space="preserve"> occurs in Part VII of the opinion in which the </w:t>
      </w:r>
      <w:r w:rsidRPr="001E30E8">
        <w:rPr>
          <w:rStyle w:val="StyleUnderline"/>
        </w:rPr>
        <w:t>Court refutes the NRDC’s arguments based on statutory text, legislative history, and policy</w:t>
      </w:r>
      <w:r w:rsidRPr="001E30E8">
        <w:rPr>
          <w:sz w:val="14"/>
        </w:rPr>
        <w:t xml:space="preserve">.144 This second </w:t>
      </w:r>
      <w:r w:rsidRPr="001E30E8">
        <w:rPr>
          <w:rStyle w:val="StyleUnderline"/>
        </w:rPr>
        <w:t>discussion repeats the conclusion that the legislative history is “unilluminating”</w:t>
      </w:r>
      <w:r w:rsidRPr="001E30E8">
        <w:rPr>
          <w:sz w:val="14"/>
        </w:rPr>
        <w:t xml:space="preserve"> and rejects the argument that because the EPA has changed its definition, its interpretation is not entitled to deference. Overall, the discussion of legislative history fits pretty well with a traditional tools version of Chevron Step One and, because legislative history does not seem relevant to whether an interpretation is manifestly contrary to the statute, a reasonable interpretation version of Chevron Step Two.</w:t>
      </w:r>
    </w:p>
    <w:p w14:paraId="73EEA67E" w14:textId="77777777" w:rsidR="0095149D" w:rsidRPr="001E30E8" w:rsidRDefault="0095149D" w:rsidP="0095149D">
      <w:pPr>
        <w:rPr>
          <w:sz w:val="14"/>
          <w:szCs w:val="14"/>
        </w:rPr>
      </w:pPr>
      <w:r w:rsidRPr="001E30E8">
        <w:rPr>
          <w:sz w:val="14"/>
          <w:szCs w:val="14"/>
        </w:rPr>
        <w:t>Chevron’s discussion of policy is more consistent with original, directly spoken Chevron than with subsequent, less deferential, iterations of the Chevron standard. The Court characterized NRDC’s policy arguments as an attempt to refight a policy battle that it lost at the agency level and in the states that implemented that decision, but that was never brought to Congress’s attention. The Court then stated that the policy arguments should be addressed to the agency and to Congress but not to the courts. The Court concluded strongly that, at least when a “regulatory scheme is technical and complex, [w]hen a challenge to an agency construction of a statutory provision . . . really centers on the wisdom of the agency’s policy, rather than whether it is a reasonable choice within a gap left open by Congress, the challenge must fail.”145 This is extremely deferential, since it seems to say that policy decisions made within a gap left by Congress will not even be reviewed under the arbitrary, capricious standard.</w:t>
      </w:r>
    </w:p>
    <w:p w14:paraId="3A09AD0F" w14:textId="66DC745C" w:rsidR="0095149D" w:rsidRDefault="0095149D" w:rsidP="00805A42">
      <w:pPr>
        <w:rPr>
          <w:sz w:val="14"/>
          <w:szCs w:val="14"/>
        </w:rPr>
      </w:pPr>
      <w:r w:rsidRPr="001E30E8">
        <w:rPr>
          <w:sz w:val="14"/>
          <w:szCs w:val="14"/>
        </w:rPr>
        <w:t>The possible abdication of review of the wisdom of agency interpretation raises the lingering issue of the relevance of the arbitrary or capricious standard. Does the Court mean to foreclose reversal of an agency choice even if, on a fair assessment of its wisdom, the Court would find it to be arbitrary or capricious? This seems to be contrary to the preChevron cases discussed above, and to some recent formulations of the Chevron standard, in which the Court specifically referred to the possibility that an agency policy choice under an explicit delegation might be rejected as arbitrary or capricious. This is extremely deferential, since it seems to say that policy decisions made within a gap left by Congress will not even be reviewed under the arbitrary, capricious standard. 146 Perhaps the problem is that if it is really an interpretation, and if it falls within the statutory bounds and goals established by Congress, then it cannot be arbitrary or capricious since, as the Court has recently stated, the wisdom of an agency policy is judged against the statutory provisions enacted by Congress.147 If Congress includes unwise choices within the range of interpretations that are permissible or not manifestly contrary to the statute, then the courts should approve the agency interpretation, perhaps with some advice to Congress.</w:t>
      </w:r>
    </w:p>
    <w:p w14:paraId="7DC46C8E" w14:textId="406D91F5" w:rsidR="006E578B" w:rsidRPr="00C80CAB" w:rsidRDefault="006E578B" w:rsidP="006E578B">
      <w:pPr>
        <w:pStyle w:val="Heading4"/>
        <w:rPr>
          <w:szCs w:val="26"/>
        </w:rPr>
      </w:pPr>
      <w:r>
        <w:rPr>
          <w:szCs w:val="26"/>
        </w:rPr>
        <w:t>2020 swings it.</w:t>
      </w:r>
    </w:p>
    <w:p w14:paraId="73856E0E" w14:textId="77777777" w:rsidR="006E578B" w:rsidRPr="00684BF3" w:rsidRDefault="006E578B" w:rsidP="006E578B">
      <w:r w:rsidRPr="00C80CAB">
        <w:rPr>
          <w:rStyle w:val="Heading4Char"/>
          <w:szCs w:val="26"/>
        </w:rPr>
        <w:t>Berman 20</w:t>
      </w:r>
      <w:r w:rsidRPr="00684BF3">
        <w:t xml:space="preserve"> – (Amanda Berman, a counsel in the Environment &amp; Natural Resources and Litigation groups; “Administrative Law – The Supreme Court and the President Rein in the ‘Administrative State’”; crowell moring; D.A. June 28</w:t>
      </w:r>
      <w:r w:rsidRPr="00684BF3">
        <w:rPr>
          <w:vertAlign w:val="superscript"/>
        </w:rPr>
        <w:t>th</w:t>
      </w:r>
      <w:r w:rsidRPr="00684BF3">
        <w:t xml:space="preserve"> 2020, [Published February 26</w:t>
      </w:r>
      <w:r w:rsidRPr="00684BF3">
        <w:rPr>
          <w:vertAlign w:val="superscript"/>
        </w:rPr>
        <w:t>th</w:t>
      </w:r>
      <w:r w:rsidRPr="00684BF3">
        <w:t xml:space="preserve"> 2020]; </w:t>
      </w:r>
      <w:hyperlink r:id="rId157" w:history="1">
        <w:r w:rsidRPr="00684BF3">
          <w:rPr>
            <w:rStyle w:val="Hyperlink"/>
          </w:rPr>
          <w:t>https://www.crowell.com/NewsEvents/Publications/Articles/Administrative-Law-The-Supreme-Court-and-the-President-Rein-in-the-Administrative-State</w:t>
        </w:r>
      </w:hyperlink>
      <w:r w:rsidRPr="00684BF3">
        <w:t>) //LFS—JCM</w:t>
      </w:r>
    </w:p>
    <w:p w14:paraId="3268E921" w14:textId="46854D5A" w:rsidR="006E578B" w:rsidRPr="006E578B" w:rsidRDefault="006E578B" w:rsidP="00805A42">
      <w:pPr>
        <w:rPr>
          <w:sz w:val="16"/>
        </w:rPr>
      </w:pPr>
      <w:r w:rsidRPr="00684BF3">
        <w:rPr>
          <w:rStyle w:val="StyleUnderline"/>
        </w:rPr>
        <w:t>The</w:t>
      </w:r>
      <w:r w:rsidRPr="00684BF3">
        <w:rPr>
          <w:sz w:val="16"/>
        </w:rPr>
        <w:t xml:space="preserve"> Supreme </w:t>
      </w:r>
      <w:r w:rsidRPr="00684BF3">
        <w:rPr>
          <w:rStyle w:val="StyleUnderline"/>
        </w:rPr>
        <w:t xml:space="preserve">Court has been taking </w:t>
      </w:r>
      <w:r w:rsidRPr="00684BF3">
        <w:rPr>
          <w:rStyle w:val="Emphasis"/>
        </w:rPr>
        <w:t>baby steps</w:t>
      </w:r>
      <w:r w:rsidRPr="00684BF3">
        <w:rPr>
          <w:rStyle w:val="StyleUnderline"/>
        </w:rPr>
        <w:t xml:space="preserve"> toward </w:t>
      </w:r>
      <w:r w:rsidRPr="00684BF3">
        <w:rPr>
          <w:rStyle w:val="Emphasis"/>
        </w:rPr>
        <w:t>rolling back admin</w:t>
      </w:r>
      <w:r w:rsidRPr="00684BF3">
        <w:rPr>
          <w:rStyle w:val="StyleUnderline"/>
        </w:rPr>
        <w:t xml:space="preserve">istrative </w:t>
      </w:r>
      <w:r w:rsidRPr="00684BF3">
        <w:rPr>
          <w:rStyle w:val="Emphasis"/>
        </w:rPr>
        <w:t>power</w:t>
      </w:r>
      <w:r w:rsidRPr="00684BF3">
        <w:rPr>
          <w:sz w:val="16"/>
        </w:rPr>
        <w:t xml:space="preserve">, but </w:t>
      </w:r>
      <w:r w:rsidRPr="00684BF3">
        <w:rPr>
          <w:rStyle w:val="StyleUnderline"/>
        </w:rPr>
        <w:t xml:space="preserve">it could well </w:t>
      </w:r>
      <w:r w:rsidRPr="00684BF3">
        <w:rPr>
          <w:rStyle w:val="Emphasis"/>
        </w:rPr>
        <w:t>take a giant leap</w:t>
      </w:r>
      <w:r w:rsidRPr="00684BF3">
        <w:rPr>
          <w:rStyle w:val="StyleUnderline"/>
        </w:rPr>
        <w:t xml:space="preserve"> over the </w:t>
      </w:r>
      <w:r w:rsidRPr="00684BF3">
        <w:rPr>
          <w:rStyle w:val="Emphasis"/>
        </w:rPr>
        <w:t>next</w:t>
      </w:r>
      <w:r w:rsidRPr="00684BF3">
        <w:rPr>
          <w:rStyle w:val="StyleUnderline"/>
        </w:rPr>
        <w:t xml:space="preserve"> couple of </w:t>
      </w:r>
      <w:r w:rsidRPr="00684BF3">
        <w:rPr>
          <w:rStyle w:val="Emphasis"/>
        </w:rPr>
        <w:t>years</w:t>
      </w:r>
      <w:r w:rsidRPr="00684BF3">
        <w:rPr>
          <w:sz w:val="16"/>
        </w:rPr>
        <w:t xml:space="preserve">. The leap could happen </w:t>
      </w:r>
      <w:r w:rsidRPr="00684BF3">
        <w:rPr>
          <w:rStyle w:val="StyleUnderline"/>
        </w:rPr>
        <w:t xml:space="preserve">if the </w:t>
      </w:r>
      <w:r w:rsidRPr="00684BF3">
        <w:rPr>
          <w:rStyle w:val="Emphasis"/>
        </w:rPr>
        <w:t>Court loses a liberal justice</w:t>
      </w:r>
      <w:r w:rsidRPr="00684BF3">
        <w:rPr>
          <w:rStyle w:val="StyleUnderline"/>
        </w:rPr>
        <w:t xml:space="preserve"> while</w:t>
      </w:r>
      <w:r w:rsidRPr="00684BF3">
        <w:rPr>
          <w:sz w:val="16"/>
        </w:rPr>
        <w:t xml:space="preserve"> the </w:t>
      </w:r>
      <w:r w:rsidRPr="00684BF3">
        <w:rPr>
          <w:rStyle w:val="StyleUnderline"/>
        </w:rPr>
        <w:t>Trump</w:t>
      </w:r>
      <w:r w:rsidRPr="00684BF3">
        <w:rPr>
          <w:sz w:val="16"/>
        </w:rPr>
        <w:t xml:space="preserve"> administration </w:t>
      </w:r>
      <w:r w:rsidRPr="00684BF3">
        <w:rPr>
          <w:rStyle w:val="StyleUnderline"/>
        </w:rPr>
        <w:t>is in power</w:t>
      </w:r>
      <w:r w:rsidRPr="00684BF3">
        <w:rPr>
          <w:sz w:val="16"/>
        </w:rPr>
        <w:t xml:space="preserve">. But </w:t>
      </w:r>
      <w:r w:rsidRPr="00684BF3">
        <w:rPr>
          <w:rStyle w:val="StyleUnderline"/>
        </w:rPr>
        <w:t xml:space="preserve">it </w:t>
      </w:r>
      <w:r w:rsidRPr="00684BF3">
        <w:rPr>
          <w:rStyle w:val="Emphasis"/>
        </w:rPr>
        <w:t>could also happen</w:t>
      </w:r>
      <w:r w:rsidRPr="00684BF3">
        <w:rPr>
          <w:rStyle w:val="StyleUnderline"/>
        </w:rPr>
        <w:t xml:space="preserve"> if the </w:t>
      </w:r>
      <w:r w:rsidRPr="00684BF3">
        <w:rPr>
          <w:rStyle w:val="Emphasis"/>
        </w:rPr>
        <w:t>Dem</w:t>
      </w:r>
      <w:r w:rsidRPr="00684BF3">
        <w:rPr>
          <w:rStyle w:val="StyleUnderline"/>
        </w:rPr>
        <w:t>ocrat</w:t>
      </w:r>
      <w:r w:rsidRPr="00684BF3">
        <w:rPr>
          <w:rStyle w:val="Emphasis"/>
        </w:rPr>
        <w:t>s</w:t>
      </w:r>
      <w:r w:rsidRPr="00684BF3">
        <w:rPr>
          <w:rStyle w:val="StyleUnderline"/>
        </w:rPr>
        <w:t xml:space="preserve"> </w:t>
      </w:r>
      <w:r w:rsidRPr="00684BF3">
        <w:rPr>
          <w:rStyle w:val="Emphasis"/>
        </w:rPr>
        <w:t>regain</w:t>
      </w:r>
      <w:r w:rsidRPr="00684BF3">
        <w:rPr>
          <w:rStyle w:val="StyleUnderline"/>
        </w:rPr>
        <w:t xml:space="preserve"> the </w:t>
      </w:r>
      <w:r w:rsidRPr="00684BF3">
        <w:rPr>
          <w:rStyle w:val="Emphasis"/>
        </w:rPr>
        <w:t>presidency</w:t>
      </w:r>
      <w:r w:rsidRPr="00684BF3">
        <w:rPr>
          <w:sz w:val="16"/>
        </w:rPr>
        <w:t xml:space="preserve"> or both houses of Congress, Berman believes. </w:t>
      </w:r>
      <w:r w:rsidRPr="00684BF3">
        <w:rPr>
          <w:rStyle w:val="StyleUnderline"/>
        </w:rPr>
        <w:t xml:space="preserve">A </w:t>
      </w:r>
      <w:r w:rsidRPr="00684BF3">
        <w:rPr>
          <w:rStyle w:val="Emphasis"/>
        </w:rPr>
        <w:t>conservative Court</w:t>
      </w:r>
      <w:r w:rsidRPr="00684BF3">
        <w:rPr>
          <w:rStyle w:val="StyleUnderline"/>
        </w:rPr>
        <w:t xml:space="preserve"> could </w:t>
      </w:r>
      <w:r w:rsidRPr="00684BF3">
        <w:rPr>
          <w:sz w:val="16"/>
        </w:rPr>
        <w:t xml:space="preserve">then </w:t>
      </w:r>
      <w:r w:rsidRPr="00684BF3">
        <w:rPr>
          <w:rStyle w:val="StyleUnderline"/>
        </w:rPr>
        <w:t xml:space="preserve">feel compelled to </w:t>
      </w:r>
      <w:r w:rsidRPr="00684BF3">
        <w:rPr>
          <w:rStyle w:val="Emphasis"/>
        </w:rPr>
        <w:t>reassert itself</w:t>
      </w:r>
      <w:r w:rsidRPr="00684BF3">
        <w:rPr>
          <w:rStyle w:val="StyleUnderline"/>
        </w:rPr>
        <w:t xml:space="preserve"> as a crucial check</w:t>
      </w:r>
      <w:r w:rsidRPr="00684BF3">
        <w:rPr>
          <w:sz w:val="16"/>
        </w:rPr>
        <w:t xml:space="preserve"> on the balance of power, </w:t>
      </w:r>
      <w:r w:rsidRPr="00684BF3">
        <w:rPr>
          <w:rStyle w:val="StyleUnderline"/>
        </w:rPr>
        <w:t>reining in the executive and legislative branches as they</w:t>
      </w:r>
      <w:r w:rsidRPr="00684BF3">
        <w:rPr>
          <w:sz w:val="16"/>
        </w:rPr>
        <w:t xml:space="preserve"> attempt to </w:t>
      </w:r>
      <w:r w:rsidRPr="00684BF3">
        <w:rPr>
          <w:rStyle w:val="StyleUnderline"/>
        </w:rPr>
        <w:t>make large</w:t>
      </w:r>
      <w:r w:rsidRPr="00684BF3">
        <w:rPr>
          <w:sz w:val="16"/>
        </w:rPr>
        <w:t xml:space="preserve">-scale </w:t>
      </w:r>
      <w:r w:rsidRPr="00684BF3">
        <w:rPr>
          <w:rStyle w:val="StyleUnderline"/>
        </w:rPr>
        <w:t>changes to environmental, health care, and other laws</w:t>
      </w:r>
      <w:r w:rsidRPr="00684BF3">
        <w:rPr>
          <w:sz w:val="16"/>
        </w:rPr>
        <w:t xml:space="preserve">. </w:t>
      </w:r>
      <w:r w:rsidRPr="00684BF3">
        <w:rPr>
          <w:rStyle w:val="StyleUnderline"/>
        </w:rPr>
        <w:t>In those circumstances</w:t>
      </w:r>
      <w:r w:rsidRPr="00684BF3">
        <w:rPr>
          <w:sz w:val="16"/>
        </w:rPr>
        <w:t xml:space="preserve">, Chief Justice John </w:t>
      </w:r>
      <w:r w:rsidRPr="00684BF3">
        <w:rPr>
          <w:rStyle w:val="Emphasis"/>
        </w:rPr>
        <w:t>Roberts</w:t>
      </w:r>
      <w:r w:rsidRPr="00684BF3">
        <w:rPr>
          <w:sz w:val="16"/>
        </w:rPr>
        <w:t>—who of late has been a force for restraint, seeking to avoid decisions that might be viewed as political—</w:t>
      </w:r>
      <w:r w:rsidRPr="00684BF3">
        <w:rPr>
          <w:rStyle w:val="StyleUnderline"/>
        </w:rPr>
        <w:t xml:space="preserve">could permanently </w:t>
      </w:r>
      <w:r w:rsidRPr="00684BF3">
        <w:rPr>
          <w:rStyle w:val="Emphasis"/>
        </w:rPr>
        <w:t>rejoin the conservative wing</w:t>
      </w:r>
      <w:r w:rsidRPr="00684BF3">
        <w:rPr>
          <w:rStyle w:val="StyleUnderline"/>
        </w:rPr>
        <w:t xml:space="preserve"> of the Court</w:t>
      </w:r>
      <w:r w:rsidRPr="00684BF3">
        <w:rPr>
          <w:sz w:val="16"/>
        </w:rPr>
        <w:t xml:space="preserve">. </w:t>
      </w:r>
      <w:r w:rsidRPr="00684BF3">
        <w:rPr>
          <w:rStyle w:val="StyleUnderline"/>
        </w:rPr>
        <w:t>An emboldened Court</w:t>
      </w:r>
      <w:r w:rsidRPr="00684BF3">
        <w:rPr>
          <w:sz w:val="16"/>
        </w:rPr>
        <w:t xml:space="preserve"> might then </w:t>
      </w:r>
      <w:r w:rsidRPr="00684BF3">
        <w:rPr>
          <w:rStyle w:val="Emphasis"/>
        </w:rPr>
        <w:t>reverse</w:t>
      </w:r>
      <w:r w:rsidRPr="00684BF3">
        <w:rPr>
          <w:rStyle w:val="StyleUnderline"/>
        </w:rPr>
        <w:t xml:space="preserve"> the </w:t>
      </w:r>
      <w:r w:rsidRPr="00684BF3">
        <w:rPr>
          <w:rStyle w:val="Emphasis"/>
        </w:rPr>
        <w:t>non-delegation</w:t>
      </w:r>
      <w:r w:rsidRPr="00684BF3">
        <w:rPr>
          <w:rStyle w:val="StyleUnderline"/>
        </w:rPr>
        <w:t xml:space="preserve"> doctrine </w:t>
      </w:r>
      <w:r w:rsidRPr="00684BF3">
        <w:rPr>
          <w:rStyle w:val="Emphasis"/>
        </w:rPr>
        <w:t>and</w:t>
      </w:r>
      <w:r w:rsidRPr="00684BF3">
        <w:rPr>
          <w:sz w:val="16"/>
        </w:rPr>
        <w:t xml:space="preserve"> possibly </w:t>
      </w:r>
      <w:r w:rsidRPr="00684BF3">
        <w:rPr>
          <w:rStyle w:val="StyleUnderline"/>
        </w:rPr>
        <w:t xml:space="preserve">the </w:t>
      </w:r>
      <w:r w:rsidRPr="00684BF3">
        <w:rPr>
          <w:rStyle w:val="Emphasis"/>
        </w:rPr>
        <w:t>Chevron</w:t>
      </w:r>
      <w:r w:rsidRPr="00684BF3">
        <w:rPr>
          <w:rStyle w:val="StyleUnderline"/>
        </w:rPr>
        <w:t xml:space="preserve"> doctrine</w:t>
      </w:r>
      <w:r w:rsidRPr="00684BF3">
        <w:rPr>
          <w:sz w:val="16"/>
        </w:rPr>
        <w:t xml:space="preserve">, </w:t>
      </w:r>
      <w:r w:rsidRPr="00684BF3">
        <w:rPr>
          <w:rStyle w:val="StyleUnderline"/>
        </w:rPr>
        <w:t>under which courts</w:t>
      </w:r>
      <w:r w:rsidRPr="00684BF3">
        <w:rPr>
          <w:sz w:val="16"/>
        </w:rPr>
        <w:t xml:space="preserve"> tend to </w:t>
      </w:r>
      <w:r w:rsidRPr="00684BF3">
        <w:rPr>
          <w:rStyle w:val="StyleUnderline"/>
        </w:rPr>
        <w:t>give agencies deference</w:t>
      </w:r>
      <w:r w:rsidRPr="00684BF3">
        <w:rPr>
          <w:sz w:val="16"/>
        </w:rPr>
        <w:t xml:space="preserve"> on statutes they are administering. (Auer, by contrast, refers to an agency’s interpretations of its own regulations.)</w:t>
      </w:r>
    </w:p>
    <w:p w14:paraId="7A1C3D90" w14:textId="74D1E191" w:rsidR="0024151A" w:rsidRDefault="0024151A" w:rsidP="0024151A">
      <w:pPr>
        <w:pStyle w:val="Heading3"/>
      </w:pPr>
      <w:r>
        <w:t xml:space="preserve">2AC – </w:t>
      </w:r>
      <w:r w:rsidR="00D10287">
        <w:t>Link – AT:</w:t>
      </w:r>
      <w:r w:rsidR="00C72E89">
        <w:t xml:space="preserve"> </w:t>
      </w:r>
      <w:r>
        <w:t>Spillover</w:t>
      </w:r>
    </w:p>
    <w:p w14:paraId="56D744FB" w14:textId="46E1D61B" w:rsidR="003242AF" w:rsidRPr="003242AF" w:rsidRDefault="003242AF" w:rsidP="003242AF">
      <w:pPr>
        <w:pStyle w:val="Heading4"/>
        <w:rPr>
          <w:szCs w:val="26"/>
        </w:rPr>
      </w:pPr>
      <w:r>
        <w:rPr>
          <w:szCs w:val="26"/>
        </w:rPr>
        <w:t xml:space="preserve">There’s </w:t>
      </w:r>
      <w:r>
        <w:rPr>
          <w:szCs w:val="26"/>
          <w:u w:val="single"/>
        </w:rPr>
        <w:t>no spillover</w:t>
      </w:r>
      <w:r>
        <w:rPr>
          <w:szCs w:val="26"/>
        </w:rPr>
        <w:t>.</w:t>
      </w:r>
    </w:p>
    <w:p w14:paraId="1B7E3A9C" w14:textId="77777777" w:rsidR="003242AF" w:rsidRPr="00684BF3" w:rsidRDefault="003242AF" w:rsidP="003242AF">
      <w:r w:rsidRPr="00C80CAB">
        <w:rPr>
          <w:rStyle w:val="Heading4Char"/>
          <w:szCs w:val="26"/>
        </w:rPr>
        <w:t>Bednar &amp; Hickman 17</w:t>
      </w:r>
      <w:r w:rsidRPr="00684BF3">
        <w:t xml:space="preserve"> – (Nicholas R. Bednar, J.D., University of Minnesota Law School; B.A., University of Minnesota; Kristin E. Hickman, Distinguished McKnight University Professor and Harlan Albert Rogers Professor in Law, University of Minnesota Law School; “Chevron’s Inevitability”; The George Washington Law Review; D.A. June 25</w:t>
      </w:r>
      <w:r w:rsidRPr="00684BF3">
        <w:rPr>
          <w:vertAlign w:val="superscript"/>
        </w:rPr>
        <w:t>th</w:t>
      </w:r>
      <w:r w:rsidRPr="00684BF3">
        <w:t xml:space="preserve"> 2020, [Published September 2017]; Vol. 85, No. 5, pg. 1426-1427; </w:t>
      </w:r>
      <w:hyperlink r:id="rId158" w:history="1">
        <w:r w:rsidRPr="00684BF3">
          <w:rPr>
            <w:rStyle w:val="Hyperlink"/>
          </w:rPr>
          <w:t>https://www.gwlr.org/wp-content/uploads/2018/01/85-Geo.-Wash.-L.-Rev.-1392.pdf</w:t>
        </w:r>
      </w:hyperlink>
      <w:r w:rsidRPr="00684BF3">
        <w:t>) //LFS—JCM</w:t>
      </w:r>
    </w:p>
    <w:p w14:paraId="549B3BF3" w14:textId="77777777" w:rsidR="003242AF" w:rsidRPr="00684BF3" w:rsidRDefault="003242AF" w:rsidP="003242AF">
      <w:pPr>
        <w:rPr>
          <w:sz w:val="16"/>
        </w:rPr>
      </w:pPr>
      <w:r w:rsidRPr="00684BF3">
        <w:rPr>
          <w:sz w:val="16"/>
        </w:rPr>
        <w:t xml:space="preserve">Meanwhile, </w:t>
      </w:r>
      <w:r w:rsidRPr="00684BF3">
        <w:rPr>
          <w:rStyle w:val="Emphasis"/>
        </w:rPr>
        <w:t>conflicting</w:t>
      </w:r>
      <w:r w:rsidRPr="00684BF3">
        <w:rPr>
          <w:rStyle w:val="StyleUnderline"/>
        </w:rPr>
        <w:t xml:space="preserve"> Supreme Court </w:t>
      </w:r>
      <w:r w:rsidRPr="00684BF3">
        <w:rPr>
          <w:rStyle w:val="Emphasis"/>
        </w:rPr>
        <w:t>precedents</w:t>
      </w:r>
      <w:r w:rsidRPr="00684BF3">
        <w:rPr>
          <w:rStyle w:val="StyleUnderline"/>
        </w:rPr>
        <w:t xml:space="preserve"> have left an ongoing debate over whether “</w:t>
      </w:r>
      <w:r w:rsidRPr="00684BF3">
        <w:rPr>
          <w:rStyle w:val="Emphasis"/>
        </w:rPr>
        <w:t>Chevron</w:t>
      </w:r>
      <w:r w:rsidRPr="00684BF3">
        <w:rPr>
          <w:rStyle w:val="StyleUnderline"/>
        </w:rPr>
        <w:t xml:space="preserve"> still </w:t>
      </w:r>
      <w:r w:rsidRPr="00684BF3">
        <w:rPr>
          <w:rStyle w:val="Emphasis"/>
        </w:rPr>
        <w:t>leaves some place for</w:t>
      </w:r>
      <w:r w:rsidRPr="00684BF3">
        <w:rPr>
          <w:rStyle w:val="StyleUnderline"/>
        </w:rPr>
        <w:t xml:space="preserve"> the rule of </w:t>
      </w:r>
      <w:r w:rsidRPr="00684BF3">
        <w:rPr>
          <w:rStyle w:val="Emphasis"/>
        </w:rPr>
        <w:t>lenity</w:t>
      </w:r>
      <w:r w:rsidRPr="00684BF3">
        <w:rPr>
          <w:rStyle w:val="StyleUnderline"/>
        </w:rPr>
        <w:t>,”</w:t>
      </w:r>
      <w:r w:rsidRPr="00684BF3">
        <w:rPr>
          <w:sz w:val="16"/>
        </w:rPr>
        <w:t xml:space="preserve"> particularly, although not exclusively, </w:t>
      </w:r>
      <w:r w:rsidRPr="00684BF3">
        <w:rPr>
          <w:rStyle w:val="StyleUnderline"/>
        </w:rPr>
        <w:t>when a regulatory statute provides for</w:t>
      </w:r>
      <w:r w:rsidRPr="00684BF3">
        <w:rPr>
          <w:sz w:val="16"/>
        </w:rPr>
        <w:t xml:space="preserve"> both </w:t>
      </w:r>
      <w:r w:rsidRPr="00684BF3">
        <w:rPr>
          <w:rStyle w:val="Emphasis"/>
        </w:rPr>
        <w:t>civil and criminal</w:t>
      </w:r>
      <w:r w:rsidRPr="00684BF3">
        <w:rPr>
          <w:rStyle w:val="StyleUnderline"/>
        </w:rPr>
        <w:t xml:space="preserve"> enforcement</w:t>
      </w:r>
      <w:r w:rsidRPr="00684BF3">
        <w:rPr>
          <w:sz w:val="16"/>
        </w:rPr>
        <w:t xml:space="preserve">.255 In 1995, in Babbitt v. Sweet Home Chapter of Communities for a Great Oregon, 256 </w:t>
      </w:r>
      <w:r w:rsidRPr="00684BF3">
        <w:rPr>
          <w:rStyle w:val="StyleUnderline"/>
        </w:rPr>
        <w:t xml:space="preserve">the </w:t>
      </w:r>
      <w:r w:rsidRPr="00684BF3">
        <w:rPr>
          <w:rStyle w:val="Emphasis"/>
        </w:rPr>
        <w:t>Court suggested</w:t>
      </w:r>
      <w:r w:rsidRPr="00684BF3">
        <w:rPr>
          <w:rStyle w:val="StyleUnderline"/>
        </w:rPr>
        <w:t xml:space="preserve"> that </w:t>
      </w:r>
      <w:r w:rsidRPr="00684BF3">
        <w:rPr>
          <w:rStyle w:val="Emphasis"/>
        </w:rPr>
        <w:t>Chevron</w:t>
      </w:r>
      <w:r w:rsidRPr="00684BF3">
        <w:rPr>
          <w:rStyle w:val="StyleUnderline"/>
        </w:rPr>
        <w:t xml:space="preserve"> deference </w:t>
      </w:r>
      <w:r w:rsidRPr="00684BF3">
        <w:rPr>
          <w:rStyle w:val="Emphasis"/>
        </w:rPr>
        <w:t>trumps</w:t>
      </w:r>
      <w:r w:rsidRPr="00684BF3">
        <w:rPr>
          <w:rStyle w:val="StyleUnderline"/>
        </w:rPr>
        <w:t xml:space="preserve"> the rule of </w:t>
      </w:r>
      <w:r w:rsidRPr="00684BF3">
        <w:rPr>
          <w:rStyle w:val="Emphasis"/>
        </w:rPr>
        <w:t>lenity</w:t>
      </w:r>
      <w:r w:rsidRPr="00684BF3">
        <w:rPr>
          <w:rStyle w:val="StyleUnderline"/>
        </w:rPr>
        <w:t>,</w:t>
      </w:r>
      <w:r w:rsidRPr="00684BF3">
        <w:rPr>
          <w:sz w:val="16"/>
        </w:rPr>
        <w:t xml:space="preserve"> at least </w:t>
      </w:r>
      <w:r w:rsidRPr="00684BF3">
        <w:rPr>
          <w:rStyle w:val="StyleUnderline"/>
        </w:rPr>
        <w:t>when considering</w:t>
      </w:r>
      <w:r w:rsidRPr="00684BF3">
        <w:rPr>
          <w:sz w:val="16"/>
        </w:rPr>
        <w:t xml:space="preserve"> notice-and-comment </w:t>
      </w:r>
      <w:r w:rsidRPr="00684BF3">
        <w:rPr>
          <w:rStyle w:val="StyleUnderline"/>
        </w:rPr>
        <w:t>regulations</w:t>
      </w:r>
      <w:r w:rsidRPr="00684BF3">
        <w:rPr>
          <w:sz w:val="16"/>
        </w:rPr>
        <w:t>.257 “</w:t>
      </w:r>
      <w:r w:rsidRPr="00684BF3">
        <w:rPr>
          <w:rStyle w:val="StyleUnderline"/>
        </w:rPr>
        <w:t>We</w:t>
      </w:r>
      <w:r w:rsidRPr="00684BF3">
        <w:rPr>
          <w:sz w:val="16"/>
        </w:rPr>
        <w:t xml:space="preserve"> ha</w:t>
      </w:r>
      <w:r w:rsidRPr="00684BF3">
        <w:rPr>
          <w:rStyle w:val="StyleUnderline"/>
        </w:rPr>
        <w:t>ve</w:t>
      </w:r>
      <w:r w:rsidRPr="00684BF3">
        <w:rPr>
          <w:sz w:val="16"/>
        </w:rPr>
        <w:t xml:space="preserve"> </w:t>
      </w:r>
      <w:r w:rsidRPr="00684BF3">
        <w:rPr>
          <w:rStyle w:val="Emphasis"/>
        </w:rPr>
        <w:t>never suggested</w:t>
      </w:r>
      <w:r w:rsidRPr="00684BF3">
        <w:rPr>
          <w:sz w:val="16"/>
        </w:rPr>
        <w:t xml:space="preserve"> that </w:t>
      </w:r>
      <w:r w:rsidRPr="00684BF3">
        <w:rPr>
          <w:rStyle w:val="StyleUnderline"/>
        </w:rPr>
        <w:t xml:space="preserve">the rule of </w:t>
      </w:r>
      <w:r w:rsidRPr="00684BF3">
        <w:rPr>
          <w:rStyle w:val="Emphasis"/>
        </w:rPr>
        <w:t>lenity should provide</w:t>
      </w:r>
      <w:r w:rsidRPr="00684BF3">
        <w:rPr>
          <w:rStyle w:val="StyleUnderline"/>
        </w:rPr>
        <w:t xml:space="preserve"> the </w:t>
      </w:r>
      <w:r w:rsidRPr="00684BF3">
        <w:rPr>
          <w:rStyle w:val="Emphasis"/>
        </w:rPr>
        <w:t xml:space="preserve">standard for </w:t>
      </w:r>
      <w:r w:rsidRPr="00684BF3">
        <w:rPr>
          <w:sz w:val="16"/>
        </w:rPr>
        <w:t xml:space="preserve">reviewing facial </w:t>
      </w:r>
      <w:r w:rsidRPr="00684BF3">
        <w:rPr>
          <w:rStyle w:val="StyleUnderline"/>
        </w:rPr>
        <w:t xml:space="preserve">challenges to </w:t>
      </w:r>
      <w:r w:rsidRPr="00684BF3">
        <w:rPr>
          <w:rStyle w:val="Emphasis"/>
        </w:rPr>
        <w:t>administrative regulations</w:t>
      </w:r>
      <w:r w:rsidRPr="00684BF3">
        <w:rPr>
          <w:sz w:val="16"/>
        </w:rPr>
        <w:t xml:space="preserve"> </w:t>
      </w:r>
      <w:r w:rsidRPr="00684BF3">
        <w:rPr>
          <w:rStyle w:val="StyleUnderline"/>
        </w:rPr>
        <w:t>when</w:t>
      </w:r>
      <w:r w:rsidRPr="00684BF3">
        <w:rPr>
          <w:sz w:val="16"/>
        </w:rPr>
        <w:t xml:space="preserve">ever </w:t>
      </w:r>
      <w:r w:rsidRPr="00684BF3">
        <w:rPr>
          <w:rStyle w:val="StyleUnderline"/>
        </w:rPr>
        <w:t>the governing statute authorizes criminal enforcement</w:t>
      </w:r>
      <w:r w:rsidRPr="00684BF3">
        <w:rPr>
          <w:sz w:val="16"/>
        </w:rPr>
        <w:t xml:space="preserve">,” said the Court.258 </w:t>
      </w:r>
      <w:r w:rsidRPr="00684BF3">
        <w:rPr>
          <w:rStyle w:val="Emphasis"/>
        </w:rPr>
        <w:t>Some courts</w:t>
      </w:r>
      <w:r w:rsidRPr="00684BF3">
        <w:rPr>
          <w:rStyle w:val="StyleUnderline"/>
        </w:rPr>
        <w:t xml:space="preserve"> have </w:t>
      </w:r>
      <w:r w:rsidRPr="00684BF3">
        <w:rPr>
          <w:rStyle w:val="Emphasis"/>
        </w:rPr>
        <w:t>expressed</w:t>
      </w:r>
      <w:r w:rsidRPr="00684BF3">
        <w:rPr>
          <w:rStyle w:val="StyleUnderline"/>
        </w:rPr>
        <w:t xml:space="preserve"> concern that </w:t>
      </w:r>
      <w:r w:rsidRPr="00684BF3">
        <w:rPr>
          <w:rStyle w:val="Emphasis"/>
        </w:rPr>
        <w:t>lenity and Chevron</w:t>
      </w:r>
      <w:r w:rsidRPr="00684BF3">
        <w:rPr>
          <w:rStyle w:val="StyleUnderline"/>
        </w:rPr>
        <w:t xml:space="preserve"> are simply </w:t>
      </w:r>
      <w:r w:rsidRPr="00684BF3">
        <w:rPr>
          <w:rStyle w:val="Emphasis"/>
        </w:rPr>
        <w:t>incompatible</w:t>
      </w:r>
      <w:r w:rsidRPr="00684BF3">
        <w:rPr>
          <w:sz w:val="16"/>
        </w:rPr>
        <w:t>—</w:t>
      </w:r>
      <w:r w:rsidRPr="00684BF3">
        <w:rPr>
          <w:rStyle w:val="StyleUnderline"/>
        </w:rPr>
        <w:t xml:space="preserve">that allowing for </w:t>
      </w:r>
      <w:r w:rsidRPr="00684BF3">
        <w:rPr>
          <w:rStyle w:val="Emphasis"/>
        </w:rPr>
        <w:t>lenity</w:t>
      </w:r>
      <w:r w:rsidRPr="00684BF3">
        <w:rPr>
          <w:sz w:val="16"/>
        </w:rPr>
        <w:t xml:space="preserve"> in reviewing a particular statute </w:t>
      </w:r>
      <w:r w:rsidRPr="00684BF3">
        <w:rPr>
          <w:rStyle w:val="StyleUnderline"/>
        </w:rPr>
        <w:t xml:space="preserve">would </w:t>
      </w:r>
      <w:r w:rsidRPr="00684BF3">
        <w:rPr>
          <w:rStyle w:val="Emphasis"/>
        </w:rPr>
        <w:t>obviate Chevron</w:t>
      </w:r>
      <w:r w:rsidRPr="00684BF3">
        <w:rPr>
          <w:sz w:val="16"/>
        </w:rPr>
        <w:t xml:space="preserve"> for that context.</w:t>
      </w:r>
      <w:r w:rsidRPr="00684BF3">
        <w:rPr>
          <w:rStyle w:val="StyleUnderline"/>
        </w:rPr>
        <w:t>259</w:t>
      </w:r>
    </w:p>
    <w:p w14:paraId="6257CBD7" w14:textId="77777777" w:rsidR="003242AF" w:rsidRPr="00684BF3" w:rsidRDefault="003242AF" w:rsidP="003242AF">
      <w:pPr>
        <w:rPr>
          <w:b/>
          <w:bCs/>
        </w:rPr>
      </w:pPr>
      <w:r w:rsidRPr="00684BF3">
        <w:rPr>
          <w:b/>
          <w:bCs/>
        </w:rPr>
        <w:t>&lt;&lt;&lt;INSERT FOOTNOTE 259—STRAW PERSON QUOTE&gt;&gt;&gt;</w:t>
      </w:r>
    </w:p>
    <w:p w14:paraId="5D33ECE4" w14:textId="77777777" w:rsidR="003242AF" w:rsidRPr="00684BF3" w:rsidRDefault="003242AF" w:rsidP="003242AF">
      <w:pPr>
        <w:rPr>
          <w:sz w:val="16"/>
        </w:rPr>
      </w:pPr>
      <w:r w:rsidRPr="00684BF3">
        <w:rPr>
          <w:sz w:val="16"/>
        </w:rPr>
        <w:t>See, e.g., Ruiz-Almanzar v. Ridge, 485 F.3d 193, 198 (2d Cir. 2007) (“</w:t>
      </w:r>
      <w:r w:rsidRPr="00684BF3">
        <w:rPr>
          <w:rStyle w:val="StyleUnderline"/>
        </w:rPr>
        <w:t xml:space="preserve">It </w:t>
      </w:r>
      <w:r w:rsidRPr="00684BF3">
        <w:rPr>
          <w:rStyle w:val="Emphasis"/>
        </w:rPr>
        <w:t>cannot be the case</w:t>
      </w:r>
      <w:r w:rsidRPr="00684BF3">
        <w:rPr>
          <w:sz w:val="16"/>
        </w:rPr>
        <w:t xml:space="preserve"> . . . </w:t>
      </w:r>
      <w:r w:rsidRPr="00684BF3">
        <w:rPr>
          <w:rStyle w:val="StyleUnderline"/>
        </w:rPr>
        <w:t xml:space="preserve">that the doctrine of </w:t>
      </w:r>
      <w:r w:rsidRPr="00684BF3">
        <w:rPr>
          <w:rStyle w:val="Emphasis"/>
        </w:rPr>
        <w:t>lenity</w:t>
      </w:r>
      <w:r w:rsidRPr="00684BF3">
        <w:rPr>
          <w:rStyle w:val="StyleUnderline"/>
        </w:rPr>
        <w:t xml:space="preserve"> must be </w:t>
      </w:r>
      <w:r w:rsidRPr="00684BF3">
        <w:rPr>
          <w:rStyle w:val="Emphasis"/>
        </w:rPr>
        <w:t>applied</w:t>
      </w:r>
      <w:r w:rsidRPr="00684BF3">
        <w:rPr>
          <w:rStyle w:val="StyleUnderline"/>
        </w:rPr>
        <w:t xml:space="preserve"> whenever there is an </w:t>
      </w:r>
      <w:r w:rsidRPr="00684BF3">
        <w:rPr>
          <w:rStyle w:val="Emphasis"/>
        </w:rPr>
        <w:t>ambiguity</w:t>
      </w:r>
      <w:r w:rsidRPr="00684BF3">
        <w:rPr>
          <w:sz w:val="16"/>
        </w:rPr>
        <w:t xml:space="preserve"> in an immigration statute because, </w:t>
      </w:r>
      <w:r w:rsidRPr="00684BF3">
        <w:rPr>
          <w:rStyle w:val="StyleUnderline"/>
        </w:rPr>
        <w:t>if that were true</w:t>
      </w:r>
      <w:r w:rsidRPr="00684BF3">
        <w:rPr>
          <w:sz w:val="16"/>
        </w:rPr>
        <w:t xml:space="preserve">, </w:t>
      </w:r>
      <w:r w:rsidRPr="00684BF3">
        <w:rPr>
          <w:rStyle w:val="StyleUnderline"/>
        </w:rPr>
        <w:t xml:space="preserve">it would </w:t>
      </w:r>
      <w:r w:rsidRPr="00684BF3">
        <w:rPr>
          <w:rStyle w:val="Emphasis"/>
        </w:rPr>
        <w:t>supplant</w:t>
      </w:r>
      <w:r w:rsidRPr="00684BF3">
        <w:rPr>
          <w:rStyle w:val="StyleUnderline"/>
        </w:rPr>
        <w:t xml:space="preserve"> the application of </w:t>
      </w:r>
      <w:r w:rsidRPr="00684BF3">
        <w:rPr>
          <w:rStyle w:val="Emphasis"/>
        </w:rPr>
        <w:t>Chevron</w:t>
      </w:r>
      <w:r w:rsidRPr="00684BF3">
        <w:rPr>
          <w:sz w:val="16"/>
        </w:rPr>
        <w:t xml:space="preserve"> in the immigration context.”).</w:t>
      </w:r>
    </w:p>
    <w:p w14:paraId="2C13D559" w14:textId="77777777" w:rsidR="003242AF" w:rsidRPr="00684BF3" w:rsidRDefault="003242AF" w:rsidP="003242AF">
      <w:pPr>
        <w:rPr>
          <w:b/>
          <w:bCs/>
        </w:rPr>
      </w:pPr>
      <w:r w:rsidRPr="00684BF3">
        <w:rPr>
          <w:b/>
          <w:bCs/>
        </w:rPr>
        <w:t>&lt;&lt;&lt;END FOOTNOTE 259&gt;&gt;&gt;</w:t>
      </w:r>
    </w:p>
    <w:p w14:paraId="58C9F560" w14:textId="0B47B35E" w:rsidR="003242AF" w:rsidRDefault="003242AF" w:rsidP="003242AF">
      <w:pPr>
        <w:rPr>
          <w:sz w:val="16"/>
        </w:rPr>
      </w:pPr>
      <w:r w:rsidRPr="00684BF3">
        <w:rPr>
          <w:rStyle w:val="Emphasis"/>
          <w:sz w:val="28"/>
          <w:szCs w:val="28"/>
        </w:rPr>
        <w:t>But</w:t>
      </w:r>
      <w:r w:rsidRPr="00684BF3">
        <w:rPr>
          <w:sz w:val="16"/>
        </w:rPr>
        <w:t xml:space="preserve"> </w:t>
      </w:r>
      <w:r w:rsidRPr="00684BF3">
        <w:rPr>
          <w:rStyle w:val="StyleUnderline"/>
        </w:rPr>
        <w:t>the</w:t>
      </w:r>
      <w:r w:rsidRPr="00684BF3">
        <w:rPr>
          <w:sz w:val="16"/>
        </w:rPr>
        <w:t xml:space="preserve"> </w:t>
      </w:r>
      <w:r w:rsidRPr="00684BF3">
        <w:rPr>
          <w:rStyle w:val="StyleUnderline"/>
        </w:rPr>
        <w:t>Supreme Court has</w:t>
      </w:r>
      <w:r w:rsidRPr="00684BF3">
        <w:rPr>
          <w:sz w:val="16"/>
        </w:rPr>
        <w:t xml:space="preserve"> occasionally </w:t>
      </w:r>
      <w:r w:rsidRPr="00684BF3">
        <w:rPr>
          <w:rStyle w:val="StyleUnderline"/>
        </w:rPr>
        <w:t xml:space="preserve">applied the rule of </w:t>
      </w:r>
      <w:r w:rsidRPr="00684BF3">
        <w:rPr>
          <w:rStyle w:val="Emphasis"/>
        </w:rPr>
        <w:t>lenity</w:t>
      </w:r>
      <w:r w:rsidRPr="00684BF3">
        <w:rPr>
          <w:rStyle w:val="StyleUnderline"/>
        </w:rPr>
        <w:t xml:space="preserve"> in </w:t>
      </w:r>
      <w:r w:rsidRPr="00684BF3">
        <w:rPr>
          <w:rStyle w:val="Emphasis"/>
        </w:rPr>
        <w:t>noncriminal contexts</w:t>
      </w:r>
      <w:r w:rsidRPr="00684BF3">
        <w:rPr>
          <w:rStyle w:val="StyleUnderline"/>
        </w:rPr>
        <w:t xml:space="preserve"> where the statute had </w:t>
      </w:r>
      <w:r w:rsidRPr="00684BF3">
        <w:rPr>
          <w:rStyle w:val="Emphasis"/>
        </w:rPr>
        <w:t>both criminal and noncriminal</w:t>
      </w:r>
      <w:r w:rsidRPr="00684BF3">
        <w:rPr>
          <w:rStyle w:val="StyleUnderline"/>
        </w:rPr>
        <w:t xml:space="preserve"> applications</w:t>
      </w:r>
      <w:r w:rsidRPr="00684BF3">
        <w:rPr>
          <w:sz w:val="16"/>
        </w:rPr>
        <w:t xml:space="preserve">, albeit </w:t>
      </w:r>
      <w:r w:rsidRPr="00684BF3">
        <w:rPr>
          <w:rStyle w:val="StyleUnderline"/>
        </w:rPr>
        <w:t>with no mention of Chevron.</w:t>
      </w:r>
      <w:r w:rsidRPr="00684BF3">
        <w:rPr>
          <w:sz w:val="16"/>
        </w:rPr>
        <w:t xml:space="preserve"> 260 Judge Jeffrey </w:t>
      </w:r>
      <w:r w:rsidRPr="00684BF3">
        <w:rPr>
          <w:rStyle w:val="Emphasis"/>
        </w:rPr>
        <w:t>Sutton</w:t>
      </w:r>
      <w:r w:rsidRPr="00684BF3">
        <w:rPr>
          <w:sz w:val="16"/>
        </w:rPr>
        <w:t xml:space="preserve"> of the Sixth Circuit has articulated at some length </w:t>
      </w:r>
      <w:r w:rsidRPr="00684BF3">
        <w:rPr>
          <w:rStyle w:val="StyleUnderline"/>
        </w:rPr>
        <w:t xml:space="preserve">the case for applying the </w:t>
      </w:r>
      <w:r w:rsidRPr="00684BF3">
        <w:rPr>
          <w:rStyle w:val="Emphasis"/>
        </w:rPr>
        <w:t xml:space="preserve">rule of lenity </w:t>
      </w:r>
      <w:r w:rsidRPr="00684BF3">
        <w:rPr>
          <w:rStyle w:val="StyleUnderline"/>
        </w:rPr>
        <w:t xml:space="preserve">rather than </w:t>
      </w:r>
      <w:r w:rsidRPr="00684BF3">
        <w:rPr>
          <w:rStyle w:val="Emphasis"/>
        </w:rPr>
        <w:t>Chevron</w:t>
      </w:r>
      <w:r w:rsidRPr="00684BF3">
        <w:rPr>
          <w:rStyle w:val="StyleUnderline"/>
        </w:rPr>
        <w:t xml:space="preserve"> when an agency interpretation might later support criminal prosecution.</w:t>
      </w:r>
      <w:r w:rsidRPr="00684BF3">
        <w:rPr>
          <w:sz w:val="16"/>
        </w:rPr>
        <w:t xml:space="preserve">261 In 2014, </w:t>
      </w:r>
      <w:r w:rsidRPr="00684BF3">
        <w:rPr>
          <w:rStyle w:val="StyleUnderline"/>
        </w:rPr>
        <w:t>in</w:t>
      </w:r>
      <w:r w:rsidRPr="00684BF3">
        <w:rPr>
          <w:sz w:val="16"/>
        </w:rPr>
        <w:t xml:space="preserve"> a statement accompanying the Court’s denial of certiorari in </w:t>
      </w:r>
      <w:r w:rsidRPr="00684BF3">
        <w:rPr>
          <w:rStyle w:val="Emphasis"/>
        </w:rPr>
        <w:t>Whitman</w:t>
      </w:r>
      <w:r w:rsidRPr="00684BF3">
        <w:rPr>
          <w:sz w:val="16"/>
        </w:rPr>
        <w:t xml:space="preserve"> v. United States, 262 Justice </w:t>
      </w:r>
      <w:r w:rsidRPr="00684BF3">
        <w:rPr>
          <w:rStyle w:val="Emphasis"/>
        </w:rPr>
        <w:t>Scalia</w:t>
      </w:r>
      <w:r w:rsidRPr="00684BF3">
        <w:rPr>
          <w:rStyle w:val="StyleUnderline"/>
        </w:rPr>
        <w:t xml:space="preserve"> called for the Court to consider whether courts</w:t>
      </w:r>
      <w:r w:rsidRPr="00684BF3">
        <w:rPr>
          <w:sz w:val="16"/>
        </w:rPr>
        <w:t xml:space="preserve"> “</w:t>
      </w:r>
      <w:r w:rsidRPr="00684BF3">
        <w:rPr>
          <w:rStyle w:val="Emphasis"/>
        </w:rPr>
        <w:t>owe deference</w:t>
      </w:r>
      <w:r w:rsidRPr="00684BF3">
        <w:rPr>
          <w:rStyle w:val="StyleUnderline"/>
        </w:rPr>
        <w:t xml:space="preserve"> to an executive agency’s interpretation of a law that contemplates</w:t>
      </w:r>
      <w:r w:rsidRPr="00684BF3">
        <w:rPr>
          <w:sz w:val="16"/>
        </w:rPr>
        <w:t xml:space="preserve"> both </w:t>
      </w:r>
      <w:r w:rsidRPr="00684BF3">
        <w:rPr>
          <w:rStyle w:val="Emphasis"/>
        </w:rPr>
        <w:t>criminal and administrative enforcement</w:t>
      </w:r>
      <w:r w:rsidRPr="00684BF3">
        <w:rPr>
          <w:sz w:val="16"/>
        </w:rPr>
        <w:t xml:space="preserve">,” and suggested further that </w:t>
      </w:r>
      <w:r w:rsidRPr="00684BF3">
        <w:rPr>
          <w:rStyle w:val="StyleUnderline"/>
        </w:rPr>
        <w:t>“[u]ndoubtedly Congress may make it a crime to violate a regulation</w:t>
      </w:r>
      <w:r w:rsidRPr="00684BF3">
        <w:rPr>
          <w:sz w:val="16"/>
        </w:rPr>
        <w:t xml:space="preserve">, but </w:t>
      </w:r>
      <w:r w:rsidRPr="00684BF3">
        <w:rPr>
          <w:rStyle w:val="StyleUnderline"/>
        </w:rPr>
        <w:t>it is quite a different matter for Congress to give agencies</w:t>
      </w:r>
      <w:r w:rsidRPr="00684BF3">
        <w:rPr>
          <w:sz w:val="16"/>
        </w:rPr>
        <w:t>—let alone for us to presume that Congress gave agencies—</w:t>
      </w:r>
      <w:r w:rsidRPr="00684BF3">
        <w:rPr>
          <w:rStyle w:val="StyleUnderline"/>
        </w:rPr>
        <w:t xml:space="preserve">power to </w:t>
      </w:r>
      <w:r w:rsidRPr="00684BF3">
        <w:rPr>
          <w:rStyle w:val="Emphasis"/>
        </w:rPr>
        <w:t>resolve ambiguities</w:t>
      </w:r>
      <w:r w:rsidRPr="00684BF3">
        <w:rPr>
          <w:rStyle w:val="StyleUnderline"/>
        </w:rPr>
        <w:t xml:space="preserve"> in criminal legislation</w:t>
      </w:r>
      <w:r w:rsidRPr="00684BF3">
        <w:rPr>
          <w:sz w:val="16"/>
        </w:rPr>
        <w:t>.”263</w:t>
      </w:r>
    </w:p>
    <w:p w14:paraId="47AFBCA3" w14:textId="6E638A3D" w:rsidR="00EA1317" w:rsidRPr="00EA1317" w:rsidRDefault="00EA1317" w:rsidP="00EA1317">
      <w:pPr>
        <w:pStyle w:val="Heading3"/>
      </w:pPr>
      <w:r>
        <w:t xml:space="preserve">1AR – </w:t>
      </w:r>
      <w:r w:rsidR="00D10287">
        <w:t>Link – AT:</w:t>
      </w:r>
      <w:r w:rsidR="00C72E89">
        <w:t xml:space="preserve"> </w:t>
      </w:r>
      <w:r w:rsidRPr="00EA1317">
        <w:t>Spillover</w:t>
      </w:r>
    </w:p>
    <w:p w14:paraId="0C22D33C" w14:textId="77777777" w:rsidR="003242AF" w:rsidRPr="00220A46" w:rsidRDefault="003242AF" w:rsidP="003242AF">
      <w:pPr>
        <w:pStyle w:val="Heading4"/>
      </w:pPr>
      <w:r>
        <w:t xml:space="preserve">This </w:t>
      </w:r>
      <w:r>
        <w:rPr>
          <w:u w:val="single"/>
        </w:rPr>
        <w:t>doesn’t</w:t>
      </w:r>
      <w:r>
        <w:t xml:space="preserve"> kill Chevron deference.</w:t>
      </w:r>
    </w:p>
    <w:p w14:paraId="2F0E63F6" w14:textId="77777777" w:rsidR="003242AF" w:rsidRPr="00220A46" w:rsidRDefault="003242AF" w:rsidP="003242AF">
      <w:r w:rsidRPr="00220A46">
        <w:rPr>
          <w:rStyle w:val="Style13ptBold"/>
        </w:rPr>
        <w:t>Hahn 17</w:t>
      </w:r>
      <w:r>
        <w:t xml:space="preserve"> – David Hahn, JD Candidate in 2019 at the University of Minnesota. [Silent and Ambiguous: The Supreme Court Dodges Chevron and Lenity in Esquivel-Quintana v. Sessions, https://minnesotalawreview.org/2017/11/29/silent-and-ambiguous/]//BPS</w:t>
      </w:r>
    </w:p>
    <w:p w14:paraId="561DB2ED" w14:textId="77777777" w:rsidR="003242AF" w:rsidRPr="00220A46" w:rsidRDefault="003242AF" w:rsidP="003242AF">
      <w:pPr>
        <w:rPr>
          <w:sz w:val="16"/>
        </w:rPr>
      </w:pPr>
      <w:r w:rsidRPr="00220A46">
        <w:rPr>
          <w:sz w:val="16"/>
        </w:rPr>
        <w:t xml:space="preserve">If certiorari is granted, the result is anyone’s guess. </w:t>
      </w:r>
      <w:r w:rsidRPr="00220A46">
        <w:rPr>
          <w:rStyle w:val="StyleUnderline"/>
        </w:rPr>
        <w:t xml:space="preserve">There is </w:t>
      </w:r>
      <w:r w:rsidRPr="00220A46">
        <w:rPr>
          <w:rStyle w:val="Emphasis"/>
        </w:rPr>
        <w:t>considerable variation</w:t>
      </w:r>
      <w:r w:rsidRPr="00220A46">
        <w:rPr>
          <w:rStyle w:val="StyleUnderline"/>
        </w:rPr>
        <w:t xml:space="preserve"> in the Justices’ views of Chevron,</w:t>
      </w:r>
      <w:r w:rsidRPr="00220A46">
        <w:rPr>
          <w:sz w:val="16"/>
        </w:rPr>
        <w:t xml:space="preserve">[63] </w:t>
      </w:r>
      <w:r w:rsidRPr="00220A46">
        <w:rPr>
          <w:rStyle w:val="StyleUnderline"/>
        </w:rPr>
        <w:t xml:space="preserve">which may make it </w:t>
      </w:r>
      <w:r w:rsidRPr="00220A46">
        <w:rPr>
          <w:rStyle w:val="Emphasis"/>
        </w:rPr>
        <w:t>difficult</w:t>
      </w:r>
      <w:r w:rsidRPr="00220A46">
        <w:rPr>
          <w:rStyle w:val="StyleUnderline"/>
        </w:rPr>
        <w:t xml:space="preserve"> to build </w:t>
      </w:r>
      <w:r w:rsidRPr="00220A46">
        <w:rPr>
          <w:rStyle w:val="Emphasis"/>
        </w:rPr>
        <w:t>a consensus</w:t>
      </w:r>
      <w:r w:rsidRPr="00220A46">
        <w:rPr>
          <w:rStyle w:val="StyleUnderline"/>
        </w:rPr>
        <w:t xml:space="preserve"> on the Court</w:t>
      </w:r>
      <w:r w:rsidRPr="00220A46">
        <w:rPr>
          <w:sz w:val="16"/>
        </w:rPr>
        <w:t xml:space="preserve">. The middle approach laid out above could be an acceptable compromise. But </w:t>
      </w:r>
      <w:r w:rsidRPr="00220A46">
        <w:rPr>
          <w:rStyle w:val="Emphasis"/>
        </w:rPr>
        <w:t>even if</w:t>
      </w:r>
      <w:r w:rsidRPr="00220A46">
        <w:rPr>
          <w:rStyle w:val="StyleUnderline"/>
        </w:rPr>
        <w:t xml:space="preserve"> the Court </w:t>
      </w:r>
      <w:r w:rsidRPr="00220A46">
        <w:rPr>
          <w:rStyle w:val="Emphasis"/>
        </w:rPr>
        <w:t>decisively declares</w:t>
      </w:r>
      <w:r w:rsidRPr="00220A46">
        <w:rPr>
          <w:sz w:val="16"/>
        </w:rPr>
        <w:t xml:space="preserve"> that lenity </w:t>
      </w:r>
      <w:r w:rsidRPr="00220A46">
        <w:rPr>
          <w:rStyle w:val="StyleUnderline"/>
        </w:rPr>
        <w:t xml:space="preserve">trumps Chevron for </w:t>
      </w:r>
      <w:r w:rsidRPr="00220A46">
        <w:rPr>
          <w:rStyle w:val="Emphasis"/>
        </w:rPr>
        <w:t>all hybrid statutes</w:t>
      </w:r>
      <w:r w:rsidRPr="00220A46">
        <w:rPr>
          <w:rStyle w:val="StyleUnderline"/>
        </w:rPr>
        <w:t xml:space="preserve">, Chevron’s proponents can </w:t>
      </w:r>
      <w:r w:rsidRPr="00220A46">
        <w:rPr>
          <w:rStyle w:val="Emphasis"/>
        </w:rPr>
        <w:t>rest easy</w:t>
      </w:r>
      <w:r w:rsidRPr="00220A46">
        <w:rPr>
          <w:rStyle w:val="StyleUnderline"/>
        </w:rPr>
        <w:t xml:space="preserve">. Despite calls for its demise, Chevron is </w:t>
      </w:r>
      <w:r w:rsidRPr="00220A46">
        <w:rPr>
          <w:rStyle w:val="Emphasis"/>
        </w:rPr>
        <w:t>going nowhere</w:t>
      </w:r>
      <w:r w:rsidRPr="00220A46">
        <w:rPr>
          <w:sz w:val="16"/>
        </w:rPr>
        <w:t>.[64]</w:t>
      </w:r>
    </w:p>
    <w:p w14:paraId="3BE48C63" w14:textId="77777777" w:rsidR="00EA1317" w:rsidRDefault="00EA1317" w:rsidP="00EA1317">
      <w:pPr>
        <w:pStyle w:val="Heading4"/>
      </w:pPr>
      <w:r>
        <w:t>This exception makes sense.</w:t>
      </w:r>
    </w:p>
    <w:p w14:paraId="49EA7D44" w14:textId="77777777" w:rsidR="00EA1317" w:rsidRDefault="00EA1317" w:rsidP="00EA1317">
      <w:r w:rsidRPr="004501D6">
        <w:rPr>
          <w:rStyle w:val="Style13ptBold"/>
        </w:rPr>
        <w:t>Sutton 16</w:t>
      </w:r>
      <w:r>
        <w:t xml:space="preserve"> – </w:t>
      </w:r>
      <w:r w:rsidRPr="00045D11">
        <w:t>Jeff Sutton, a renowned Circuit Judge of the United States Court of Appeals for the Sixth Circuit.</w:t>
      </w:r>
      <w:r>
        <w:t xml:space="preserve"> [Esquivel-Quintana v. Lynch, United States Court of Appeals for The Sixth Circuit, No. 15-3101, https://www.opn.ca6.uscourts.gov/opinions.pdf/16a0012p-06.pdf]//BPS</w:t>
      </w:r>
    </w:p>
    <w:p w14:paraId="43D48899" w14:textId="77777777" w:rsidR="00EA1317" w:rsidRPr="006642FA" w:rsidRDefault="00EA1317" w:rsidP="00EA1317">
      <w:pPr>
        <w:rPr>
          <w:sz w:val="16"/>
        </w:rPr>
      </w:pPr>
      <w:r w:rsidRPr="006642FA">
        <w:rPr>
          <w:sz w:val="16"/>
        </w:rPr>
        <w:t xml:space="preserve">One last point. </w:t>
      </w:r>
      <w:r w:rsidRPr="001D1548">
        <w:rPr>
          <w:rStyle w:val="StyleUnderline"/>
        </w:rPr>
        <w:t xml:space="preserve">An exception to Chevron for </w:t>
      </w:r>
      <w:r w:rsidRPr="001D1548">
        <w:rPr>
          <w:rStyle w:val="Emphasis"/>
        </w:rPr>
        <w:t>dual-role statutes</w:t>
      </w:r>
      <w:r w:rsidRPr="001D1548">
        <w:rPr>
          <w:rStyle w:val="StyleUnderline"/>
        </w:rPr>
        <w:t xml:space="preserve"> would not be </w:t>
      </w:r>
      <w:r w:rsidRPr="001D1548">
        <w:rPr>
          <w:rStyle w:val="Emphasis"/>
        </w:rPr>
        <w:t>the least bit unusual</w:t>
      </w:r>
      <w:r w:rsidRPr="001D1548">
        <w:rPr>
          <w:rStyle w:val="StyleUnderline"/>
        </w:rPr>
        <w:t>. Deference</w:t>
      </w:r>
      <w:r w:rsidRPr="006642FA">
        <w:rPr>
          <w:sz w:val="16"/>
        </w:rPr>
        <w:t xml:space="preserve"> under that rule </w:t>
      </w:r>
      <w:r w:rsidRPr="001D1548">
        <w:rPr>
          <w:rStyle w:val="StyleUnderline"/>
        </w:rPr>
        <w:t xml:space="preserve">is </w:t>
      </w:r>
      <w:r w:rsidRPr="001D1548">
        <w:rPr>
          <w:rStyle w:val="Emphasis"/>
        </w:rPr>
        <w:t>categorically unavailable</w:t>
      </w:r>
      <w:r w:rsidRPr="001D1548">
        <w:rPr>
          <w:rStyle w:val="StyleUnderline"/>
        </w:rPr>
        <w:t>, the</w:t>
      </w:r>
      <w:r w:rsidRPr="006642FA">
        <w:rPr>
          <w:sz w:val="16"/>
        </w:rPr>
        <w:t xml:space="preserve"> Supreme </w:t>
      </w:r>
      <w:r w:rsidRPr="001D1548">
        <w:rPr>
          <w:rStyle w:val="StyleUnderline"/>
        </w:rPr>
        <w:t>Court</w:t>
      </w:r>
      <w:r w:rsidRPr="006642FA">
        <w:rPr>
          <w:sz w:val="16"/>
        </w:rPr>
        <w:t xml:space="preserve"> has </w:t>
      </w:r>
      <w:r w:rsidRPr="001D1548">
        <w:rPr>
          <w:rStyle w:val="StyleUnderline"/>
        </w:rPr>
        <w:t xml:space="preserve">held, in </w:t>
      </w:r>
      <w:r w:rsidRPr="001D1548">
        <w:rPr>
          <w:rStyle w:val="Emphasis"/>
        </w:rPr>
        <w:t>many settings</w:t>
      </w:r>
      <w:r w:rsidRPr="001D1548">
        <w:rPr>
          <w:rStyle w:val="StyleUnderline"/>
        </w:rPr>
        <w:t>: (1) agency interpretations of statutes the agency is not “charged with administering,”</w:t>
      </w:r>
      <w:r w:rsidRPr="006642FA">
        <w:rPr>
          <w:sz w:val="16"/>
        </w:rPr>
        <w:t xml:space="preserve"> Metro. Stevedore Co. v. Rambo, 521 U.S. 121, 137 n.9 (1997); </w:t>
      </w:r>
      <w:r w:rsidRPr="001D1548">
        <w:rPr>
          <w:rStyle w:val="StyleUnderline"/>
        </w:rPr>
        <w:t>(2) agency interpretations of “</w:t>
      </w:r>
      <w:r w:rsidRPr="001D1548">
        <w:rPr>
          <w:rStyle w:val="Emphasis"/>
        </w:rPr>
        <w:t>the scope of the judicial power</w:t>
      </w:r>
      <w:r w:rsidRPr="001D1548">
        <w:rPr>
          <w:rStyle w:val="StyleUnderline"/>
        </w:rPr>
        <w:t xml:space="preserve"> vested by [a] statute,” such as the availability of a private right of action</w:t>
      </w:r>
      <w:r w:rsidRPr="006642FA">
        <w:rPr>
          <w:sz w:val="16"/>
        </w:rPr>
        <w:t xml:space="preserve">, Adams Fruit Co. v. Barrett, 494 U.S. 638, 649–50 (1990); see Alexander v. Sandoval, 532 U.S. 275, 288–91 (2001); </w:t>
      </w:r>
      <w:r w:rsidRPr="006642FA">
        <w:rPr>
          <w:rStyle w:val="StyleUnderline"/>
        </w:rPr>
        <w:t>(3) agency interpretations that result from procedures</w:t>
      </w:r>
      <w:r w:rsidRPr="006642FA">
        <w:rPr>
          <w:sz w:val="16"/>
        </w:rPr>
        <w:t xml:space="preserve"> that were </w:t>
      </w:r>
      <w:r w:rsidRPr="006642FA">
        <w:rPr>
          <w:rStyle w:val="StyleUnderline"/>
        </w:rPr>
        <w:t xml:space="preserve">not “in the exercise” of the agency’s authority “to make rules carrying </w:t>
      </w:r>
      <w:r w:rsidRPr="006642FA">
        <w:rPr>
          <w:rStyle w:val="Emphasis"/>
        </w:rPr>
        <w:t>the force of law</w:t>
      </w:r>
      <w:r w:rsidRPr="006642FA">
        <w:rPr>
          <w:rStyle w:val="StyleUnderline"/>
        </w:rPr>
        <w:t>,”</w:t>
      </w:r>
      <w:r w:rsidRPr="006642FA">
        <w:rPr>
          <w:sz w:val="16"/>
        </w:rPr>
        <w:t xml:space="preserve"> United States v. Mead Corp., 533 U.S. 218, 226–27 (2001); </w:t>
      </w:r>
      <w:r w:rsidRPr="006642FA">
        <w:rPr>
          <w:rStyle w:val="StyleUnderline"/>
        </w:rPr>
        <w:t>(4) agency interpretations with respect to “</w:t>
      </w:r>
      <w:r w:rsidRPr="006642FA">
        <w:rPr>
          <w:rStyle w:val="Emphasis"/>
        </w:rPr>
        <w:t>extraordinary cases</w:t>
      </w:r>
      <w:r w:rsidRPr="006642FA">
        <w:rPr>
          <w:rStyle w:val="StyleUnderline"/>
        </w:rPr>
        <w:t xml:space="preserve">” where it is </w:t>
      </w:r>
      <w:r w:rsidRPr="006642FA">
        <w:rPr>
          <w:rStyle w:val="Emphasis"/>
        </w:rPr>
        <w:t>unlikely</w:t>
      </w:r>
      <w:r w:rsidRPr="006642FA">
        <w:rPr>
          <w:rStyle w:val="StyleUnderline"/>
        </w:rPr>
        <w:t xml:space="preserve"> Congress “intended . . . </w:t>
      </w:r>
      <w:r w:rsidRPr="006642FA">
        <w:rPr>
          <w:rStyle w:val="Emphasis"/>
        </w:rPr>
        <w:t>an implicit delegation</w:t>
      </w:r>
      <w:r w:rsidRPr="006642FA">
        <w:rPr>
          <w:rStyle w:val="StyleUnderline"/>
        </w:rPr>
        <w:t>” to the agency</w:t>
      </w:r>
      <w:r w:rsidRPr="006642FA">
        <w:rPr>
          <w:sz w:val="16"/>
        </w:rPr>
        <w:t xml:space="preserve">, King v. Burwell, 135 S. Ct. 2480, 2488–89 (2015); </w:t>
      </w:r>
      <w:r w:rsidRPr="006642FA">
        <w:rPr>
          <w:rStyle w:val="StyleUnderline"/>
        </w:rPr>
        <w:t>and (5) agency interpretations of criminal statutes</w:t>
      </w:r>
      <w:r w:rsidRPr="006642FA">
        <w:rPr>
          <w:sz w:val="16"/>
        </w:rPr>
        <w:t xml:space="preserve">, Abramski, 134 S. Ct. at 2274. </w:t>
      </w:r>
      <w:r w:rsidRPr="006642FA">
        <w:rPr>
          <w:rStyle w:val="StyleUnderline"/>
        </w:rPr>
        <w:t xml:space="preserve">An exception for statutes with civil and criminal consequences </w:t>
      </w:r>
      <w:r w:rsidRPr="006642FA">
        <w:rPr>
          <w:rStyle w:val="Emphasis"/>
        </w:rPr>
        <w:t>fits easily</w:t>
      </w:r>
      <w:r w:rsidRPr="006642FA">
        <w:rPr>
          <w:rStyle w:val="StyleUnderline"/>
        </w:rPr>
        <w:t xml:space="preserve"> alongside </w:t>
      </w:r>
      <w:r w:rsidRPr="006642FA">
        <w:rPr>
          <w:rStyle w:val="Emphasis"/>
        </w:rPr>
        <w:t>these exceptions</w:t>
      </w:r>
      <w:r w:rsidRPr="006642FA">
        <w:rPr>
          <w:rStyle w:val="StyleUnderline"/>
        </w:rPr>
        <w:t xml:space="preserve"> and </w:t>
      </w:r>
      <w:r w:rsidRPr="006642FA">
        <w:rPr>
          <w:rStyle w:val="Emphasis"/>
        </w:rPr>
        <w:t>originates</w:t>
      </w:r>
      <w:r w:rsidRPr="006642FA">
        <w:rPr>
          <w:rStyle w:val="StyleUnderline"/>
        </w:rPr>
        <w:t xml:space="preserve"> from </w:t>
      </w:r>
      <w:r w:rsidRPr="006642FA">
        <w:rPr>
          <w:rStyle w:val="Emphasis"/>
        </w:rPr>
        <w:t>the same place</w:t>
      </w:r>
      <w:r w:rsidRPr="006642FA">
        <w:rPr>
          <w:rStyle w:val="StyleUnderline"/>
        </w:rPr>
        <w:t xml:space="preserve"> as </w:t>
      </w:r>
      <w:r w:rsidRPr="006642FA">
        <w:rPr>
          <w:rStyle w:val="Emphasis"/>
        </w:rPr>
        <w:t>the last one</w:t>
      </w:r>
      <w:r w:rsidRPr="006642FA">
        <w:rPr>
          <w:sz w:val="16"/>
        </w:rPr>
        <w:t xml:space="preserve">. Indeed, </w:t>
      </w:r>
      <w:r w:rsidRPr="006642FA">
        <w:rPr>
          <w:rStyle w:val="StyleUnderline"/>
        </w:rPr>
        <w:t xml:space="preserve">it is </w:t>
      </w:r>
      <w:r w:rsidRPr="006642FA">
        <w:rPr>
          <w:rStyle w:val="Emphasis"/>
        </w:rPr>
        <w:t>exceedingly difficult</w:t>
      </w:r>
      <w:r w:rsidRPr="006642FA">
        <w:rPr>
          <w:rStyle w:val="StyleUnderline"/>
        </w:rPr>
        <w:t xml:space="preserve"> to understand how Chevron could prevail in </w:t>
      </w:r>
      <w:r w:rsidRPr="006642FA">
        <w:rPr>
          <w:rStyle w:val="Emphasis"/>
        </w:rPr>
        <w:t>a dual-statute case</w:t>
      </w:r>
      <w:r w:rsidRPr="006642FA">
        <w:rPr>
          <w:sz w:val="16"/>
        </w:rPr>
        <w:t xml:space="preserve">. Since the founding, it has been the job of Article III courts, not Article II executive-branch agencies, to have the final say over what criminal laws mean. I would honor that imperative here and reject the idea that Congress can end-run this principle by giving a criminal statute a civil application. </w:t>
      </w:r>
    </w:p>
    <w:p w14:paraId="3298106A" w14:textId="26809E4F" w:rsidR="009B74AC" w:rsidRPr="009B74AC" w:rsidRDefault="009B74AC" w:rsidP="009B74AC">
      <w:pPr>
        <w:pStyle w:val="Heading4"/>
      </w:pPr>
      <w:r>
        <w:t xml:space="preserve">This link is </w:t>
      </w:r>
      <w:r>
        <w:rPr>
          <w:u w:val="single"/>
        </w:rPr>
        <w:t>thumped</w:t>
      </w:r>
      <w:r>
        <w:t>.</w:t>
      </w:r>
    </w:p>
    <w:p w14:paraId="2539C8EC" w14:textId="77777777" w:rsidR="009B74AC" w:rsidRPr="00291E1E" w:rsidRDefault="009B74AC" w:rsidP="009B74AC">
      <w:r w:rsidRPr="00291E1E">
        <w:rPr>
          <w:rStyle w:val="Style13ptBold"/>
        </w:rPr>
        <w:t>Greenfield 6.</w:t>
      </w:r>
      <w:r w:rsidRPr="00291E1E">
        <w:t xml:space="preserve"> </w:t>
      </w:r>
      <w:r w:rsidRPr="00291E1E">
        <w:rPr>
          <w:sz w:val="16"/>
          <w:szCs w:val="16"/>
        </w:rPr>
        <w:t xml:space="preserve">Dr. Elliot Greenfield; associate @ Debevoise &amp; Plimpton LLP, Ph.D. from UC Berkley, J.D. from NYU Law, and B.A. from Wesleyan University. (2006, "A Lenity Exception to Chevron Deference." Baylor Law Review, vol. 58, no. 1, 2006, p. 1-62. HeinOnline)//pacc </w:t>
      </w:r>
    </w:p>
    <w:p w14:paraId="34DDBBE9" w14:textId="77777777" w:rsidR="009B74AC" w:rsidRPr="00291E1E" w:rsidRDefault="009B74AC" w:rsidP="009B74AC">
      <w:r w:rsidRPr="00291E1E">
        <w:rPr>
          <w:sz w:val="14"/>
          <w:szCs w:val="14"/>
        </w:rPr>
        <w:t>a. Chevron Inapplicable</w:t>
      </w:r>
    </w:p>
    <w:p w14:paraId="397E99A2" w14:textId="77777777" w:rsidR="009B74AC" w:rsidRDefault="009B74AC" w:rsidP="009B74AC">
      <w:pPr>
        <w:rPr>
          <w:sz w:val="14"/>
        </w:rPr>
      </w:pPr>
      <w:r w:rsidRPr="00291E1E">
        <w:rPr>
          <w:u w:val="single"/>
        </w:rPr>
        <w:t>The Sixth Circuit</w:t>
      </w:r>
      <w:r w:rsidRPr="00291E1E">
        <w:rPr>
          <w:sz w:val="14"/>
        </w:rPr>
        <w:t xml:space="preserve"> has </w:t>
      </w:r>
      <w:r w:rsidRPr="00291E1E">
        <w:rPr>
          <w:u w:val="single"/>
        </w:rPr>
        <w:t>held</w:t>
      </w:r>
      <w:r w:rsidRPr="00291E1E">
        <w:rPr>
          <w:sz w:val="14"/>
        </w:rPr>
        <w:t xml:space="preserve"> that </w:t>
      </w:r>
      <w:r w:rsidRPr="00291E1E">
        <w:rPr>
          <w:u w:val="single"/>
        </w:rPr>
        <w:t xml:space="preserve">the rule of </w:t>
      </w:r>
      <w:r w:rsidRPr="00291E1E">
        <w:rPr>
          <w:rStyle w:val="Emphasis"/>
        </w:rPr>
        <w:t>lenity displaces Chevron</w:t>
      </w:r>
      <w:r w:rsidRPr="00291E1E">
        <w:rPr>
          <w:u w:val="single"/>
        </w:rPr>
        <w:t xml:space="preserve"> in</w:t>
      </w:r>
      <w:r w:rsidRPr="00291E1E">
        <w:rPr>
          <w:sz w:val="14"/>
        </w:rPr>
        <w:t xml:space="preserve"> the </w:t>
      </w:r>
      <w:r w:rsidRPr="00291E1E">
        <w:rPr>
          <w:u w:val="single"/>
        </w:rPr>
        <w:t>criminal realm</w:t>
      </w:r>
      <w:r w:rsidRPr="00291E1E">
        <w:rPr>
          <w:sz w:val="14"/>
        </w:rPr>
        <w:t xml:space="preserve">. 255 </w:t>
      </w:r>
      <w:r w:rsidRPr="00291E1E">
        <w:rPr>
          <w:u w:val="single"/>
        </w:rPr>
        <w:t xml:space="preserve">In </w:t>
      </w:r>
      <w:r w:rsidRPr="00291E1E">
        <w:rPr>
          <w:rStyle w:val="Emphasis"/>
        </w:rPr>
        <w:t>Dolfi v. Pontesso</w:t>
      </w:r>
      <w:r w:rsidRPr="00291E1E">
        <w:rPr>
          <w:u w:val="single"/>
        </w:rPr>
        <w:t xml:space="preserve">, the court addressed </w:t>
      </w:r>
      <w:r w:rsidRPr="00291E1E">
        <w:rPr>
          <w:sz w:val="14"/>
        </w:rPr>
        <w:t>the issue in the context of parole violations.256 This case addressed a complex statutory interpretation question involving the federal parole system.257 According to 21 U.S.C. § 841(c), a person who violates his "special parole" may be reincarcerated for a new term of imprisonment which, unlike traditional parole, "shall not be diminished by the time which was spent on special parole., 258 The issue before the court was "</w:t>
      </w:r>
      <w:r w:rsidRPr="00291E1E">
        <w:rPr>
          <w:u w:val="single"/>
        </w:rPr>
        <w:t>whether the Parole Commission</w:t>
      </w:r>
      <w:r w:rsidRPr="00291E1E">
        <w:rPr>
          <w:sz w:val="14"/>
        </w:rPr>
        <w:t xml:space="preserve">, should it choose to reparole a federal prisoner after revoking his original special parole term, </w:t>
      </w:r>
      <w:r w:rsidRPr="00291E1E">
        <w:rPr>
          <w:u w:val="single"/>
        </w:rPr>
        <w:t>can</w:t>
      </w:r>
      <w:r w:rsidRPr="00291E1E">
        <w:rPr>
          <w:sz w:val="14"/>
        </w:rPr>
        <w:t xml:space="preserve"> reimpose a successive term of special parole and thereby </w:t>
      </w:r>
      <w:r w:rsidRPr="00291E1E">
        <w:rPr>
          <w:u w:val="single"/>
        </w:rPr>
        <w:t>prevent the parolee from receiving credit for</w:t>
      </w:r>
      <w:r w:rsidRPr="00291E1E">
        <w:rPr>
          <w:sz w:val="14"/>
        </w:rPr>
        <w:t xml:space="preserve"> any street </w:t>
      </w:r>
      <w:r w:rsidRPr="00291E1E">
        <w:rPr>
          <w:u w:val="single"/>
        </w:rPr>
        <w:t>time</w:t>
      </w:r>
      <w:r w:rsidRPr="00291E1E">
        <w:rPr>
          <w:sz w:val="14"/>
        </w:rPr>
        <w:t xml:space="preserve"> he subsequently serves </w:t>
      </w:r>
      <w:r w:rsidRPr="00291E1E">
        <w:rPr>
          <w:u w:val="single"/>
        </w:rPr>
        <w:t>on reparole</w:t>
      </w:r>
      <w:r w:rsidRPr="00291E1E">
        <w:rPr>
          <w:sz w:val="14"/>
        </w:rPr>
        <w:t>.”259 The statute is silent with respect to this question.26 °</w:t>
      </w:r>
    </w:p>
    <w:p w14:paraId="48D8BA56" w14:textId="77777777" w:rsidR="009B74AC" w:rsidRPr="00E1630E" w:rsidRDefault="009B74AC" w:rsidP="009B74AC">
      <w:pPr>
        <w:rPr>
          <w:sz w:val="14"/>
        </w:rPr>
      </w:pPr>
      <w:r w:rsidRPr="00E1630E">
        <w:rPr>
          <w:b/>
          <w:bCs/>
          <w:u w:val="single"/>
        </w:rPr>
        <w:t>Footnote 256:</w:t>
      </w:r>
      <w:r w:rsidRPr="00E1630E">
        <w:rPr>
          <w:sz w:val="14"/>
        </w:rPr>
        <w:t xml:space="preserve"> Id. The Sentencing Reform Act replaced special parole with "supervised release," but special parole still applies to the prisoners sentenced for drug crimes committed before November 1, 1987. Id. at 697. </w:t>
      </w:r>
      <w:r w:rsidRPr="00E1630E">
        <w:rPr>
          <w:u w:val="single"/>
        </w:rPr>
        <w:t>Although statutes governing punishment do not define criminal behavior, the</w:t>
      </w:r>
      <w:r w:rsidRPr="00E1630E">
        <w:rPr>
          <w:sz w:val="14"/>
        </w:rPr>
        <w:t xml:space="preserve"> Supreme </w:t>
      </w:r>
      <w:r w:rsidRPr="00E1630E">
        <w:rPr>
          <w:u w:val="single"/>
        </w:rPr>
        <w:t>Court</w:t>
      </w:r>
      <w:r w:rsidRPr="00E1630E">
        <w:rPr>
          <w:sz w:val="14"/>
        </w:rPr>
        <w:t xml:space="preserve"> has </w:t>
      </w:r>
      <w:r w:rsidRPr="00E1630E">
        <w:rPr>
          <w:u w:val="single"/>
        </w:rPr>
        <w:t>held</w:t>
      </w:r>
      <w:r w:rsidRPr="00E1630E">
        <w:rPr>
          <w:sz w:val="14"/>
        </w:rPr>
        <w:t xml:space="preserve"> that the rule of </w:t>
      </w:r>
      <w:r w:rsidRPr="00E1630E">
        <w:rPr>
          <w:u w:val="single"/>
        </w:rPr>
        <w:t>lenity "applies not only to interp</w:t>
      </w:r>
      <w:r w:rsidRPr="00E1630E">
        <w:rPr>
          <w:sz w:val="14"/>
        </w:rPr>
        <w:t>retation</w:t>
      </w:r>
      <w:r w:rsidRPr="00E1630E">
        <w:rPr>
          <w:u w:val="single"/>
        </w:rPr>
        <w:t>s</w:t>
      </w:r>
      <w:r w:rsidRPr="00E1630E">
        <w:rPr>
          <w:sz w:val="14"/>
        </w:rPr>
        <w:t xml:space="preserve"> of the substantive ambit </w:t>
      </w:r>
      <w:r w:rsidRPr="00E1630E">
        <w:rPr>
          <w:u w:val="single"/>
        </w:rPr>
        <w:t xml:space="preserve">of </w:t>
      </w:r>
      <w:r w:rsidRPr="00E1630E">
        <w:rPr>
          <w:rStyle w:val="Emphasis"/>
        </w:rPr>
        <w:t>criminal prohibitions</w:t>
      </w:r>
      <w:r w:rsidRPr="00E1630E">
        <w:rPr>
          <w:u w:val="single"/>
        </w:rPr>
        <w:t>, but also to</w:t>
      </w:r>
      <w:r w:rsidRPr="00E1630E">
        <w:rPr>
          <w:sz w:val="14"/>
        </w:rPr>
        <w:t xml:space="preserve"> the </w:t>
      </w:r>
      <w:r w:rsidRPr="00E1630E">
        <w:rPr>
          <w:rStyle w:val="Emphasis"/>
        </w:rPr>
        <w:t>penalties</w:t>
      </w:r>
      <w:r w:rsidRPr="00E1630E">
        <w:rPr>
          <w:sz w:val="14"/>
        </w:rPr>
        <w:t xml:space="preserve"> they impose." Bifulco v. United States, 447 U.S. 381, 387 (1980), superseded by statute, Anti-Drug Abuse Act of 1988, Pub. L. No. 100-690, 102 Stat. 4377.</w:t>
      </w:r>
    </w:p>
    <w:p w14:paraId="3D7150F4" w14:textId="77777777" w:rsidR="009B74AC" w:rsidRPr="00291E1E" w:rsidRDefault="009B74AC" w:rsidP="009B74AC">
      <w:pPr>
        <w:rPr>
          <w:sz w:val="14"/>
        </w:rPr>
      </w:pPr>
      <w:r w:rsidRPr="00291E1E">
        <w:rPr>
          <w:u w:val="single"/>
        </w:rPr>
        <w:t>The court</w:t>
      </w:r>
      <w:r w:rsidRPr="00291E1E">
        <w:rPr>
          <w:sz w:val="14"/>
        </w:rPr>
        <w:t xml:space="preserve">, noting a circuit split on the issue, </w:t>
      </w:r>
      <w:r w:rsidRPr="00291E1E">
        <w:rPr>
          <w:u w:val="single"/>
        </w:rPr>
        <w:t>interpreted</w:t>
      </w:r>
      <w:r w:rsidRPr="00291E1E">
        <w:rPr>
          <w:sz w:val="14"/>
        </w:rPr>
        <w:t xml:space="preserve"> this statutory </w:t>
      </w:r>
      <w:r w:rsidRPr="00291E1E">
        <w:rPr>
          <w:u w:val="single"/>
        </w:rPr>
        <w:t>silence as denying</w:t>
      </w:r>
      <w:r w:rsidRPr="00291E1E">
        <w:rPr>
          <w:sz w:val="14"/>
        </w:rPr>
        <w:t xml:space="preserve"> such </w:t>
      </w:r>
      <w:r w:rsidRPr="00291E1E">
        <w:rPr>
          <w:u w:val="single"/>
        </w:rPr>
        <w:t>authority to the Parole Commission</w:t>
      </w:r>
      <w:r w:rsidRPr="00291E1E">
        <w:rPr>
          <w:sz w:val="14"/>
        </w:rPr>
        <w:t xml:space="preserve">.261 </w:t>
      </w:r>
      <w:r w:rsidRPr="00291E1E">
        <w:rPr>
          <w:u w:val="single"/>
        </w:rPr>
        <w:t>The court held</w:t>
      </w:r>
      <w:r w:rsidRPr="00291E1E">
        <w:rPr>
          <w:sz w:val="14"/>
        </w:rPr>
        <w:t xml:space="preserve"> that </w:t>
      </w:r>
      <w:r w:rsidRPr="00291E1E">
        <w:rPr>
          <w:rStyle w:val="Emphasis"/>
        </w:rPr>
        <w:t>the rule of lenity</w:t>
      </w:r>
      <w:r w:rsidRPr="00291E1E">
        <w:rPr>
          <w:u w:val="single"/>
        </w:rPr>
        <w:t xml:space="preserve"> required it to </w:t>
      </w:r>
      <w:r w:rsidRPr="00291E1E">
        <w:rPr>
          <w:rStyle w:val="Emphasis"/>
        </w:rPr>
        <w:t>reject</w:t>
      </w:r>
      <w:r w:rsidRPr="00291E1E">
        <w:rPr>
          <w:sz w:val="14"/>
        </w:rPr>
        <w:t xml:space="preserve"> the Government's argument that </w:t>
      </w:r>
      <w:r w:rsidRPr="00291E1E">
        <w:rPr>
          <w:rStyle w:val="Emphasis"/>
        </w:rPr>
        <w:t>Chevron</w:t>
      </w:r>
      <w:r w:rsidRPr="00291E1E">
        <w:rPr>
          <w:u w:val="single"/>
        </w:rPr>
        <w:t xml:space="preserve"> deference</w:t>
      </w:r>
      <w:r w:rsidRPr="00291E1E">
        <w:rPr>
          <w:sz w:val="14"/>
        </w:rPr>
        <w:t xml:space="preserve"> should be granted to the Parole Commission's interpretation, </w:t>
      </w:r>
      <w:r w:rsidRPr="00291E1E">
        <w:rPr>
          <w:u w:val="single"/>
        </w:rPr>
        <w:t>noting</w:t>
      </w:r>
      <w:r w:rsidRPr="00291E1E">
        <w:rPr>
          <w:sz w:val="14"/>
        </w:rPr>
        <w:t xml:space="preserve">: "The government has also overlooked a crucial distinction between criminal and civil statutes. Judicial </w:t>
      </w:r>
      <w:r w:rsidRPr="00291E1E">
        <w:rPr>
          <w:u w:val="single"/>
        </w:rPr>
        <w:t>deference under Chevron</w:t>
      </w:r>
      <w:r w:rsidRPr="00291E1E">
        <w:rPr>
          <w:sz w:val="14"/>
        </w:rPr>
        <w:t xml:space="preserve"> in the face of statutory ambiguity </w:t>
      </w:r>
      <w:r w:rsidRPr="00291E1E">
        <w:rPr>
          <w:u w:val="single"/>
        </w:rPr>
        <w:t xml:space="preserve">is </w:t>
      </w:r>
      <w:r w:rsidRPr="00291E1E">
        <w:rPr>
          <w:rStyle w:val="Emphasis"/>
        </w:rPr>
        <w:t>not</w:t>
      </w:r>
      <w:r w:rsidRPr="00291E1E">
        <w:rPr>
          <w:sz w:val="14"/>
        </w:rPr>
        <w:t xml:space="preserve"> normally </w:t>
      </w:r>
      <w:r w:rsidRPr="00291E1E">
        <w:rPr>
          <w:u w:val="single"/>
        </w:rPr>
        <w:t xml:space="preserve">followed in </w:t>
      </w:r>
      <w:r w:rsidRPr="00291E1E">
        <w:rPr>
          <w:rStyle w:val="Emphasis"/>
        </w:rPr>
        <w:t>criminal cases</w:t>
      </w:r>
      <w:r w:rsidRPr="00291E1E">
        <w:rPr>
          <w:sz w:val="14"/>
        </w:rPr>
        <w:t xml:space="preserve">. The rule of </w:t>
      </w:r>
      <w:r w:rsidRPr="00291E1E">
        <w:rPr>
          <w:u w:val="single"/>
        </w:rPr>
        <w:t xml:space="preserve">lenity requires a </w:t>
      </w:r>
      <w:r w:rsidRPr="00291E1E">
        <w:rPr>
          <w:rStyle w:val="Emphasis"/>
        </w:rPr>
        <w:t>stricter construction</w:t>
      </w:r>
      <w:r w:rsidRPr="00291E1E">
        <w:rPr>
          <w:sz w:val="14"/>
        </w:rPr>
        <w:t xml:space="preserve"> of 'ambiguity in a criminal statute,' not deference., 262</w:t>
      </w:r>
    </w:p>
    <w:p w14:paraId="3F3B8711" w14:textId="77777777" w:rsidR="009B74AC" w:rsidRPr="00291E1E" w:rsidRDefault="009B74AC" w:rsidP="009B74AC">
      <w:pPr>
        <w:rPr>
          <w:sz w:val="14"/>
        </w:rPr>
      </w:pPr>
      <w:r w:rsidRPr="00291E1E">
        <w:rPr>
          <w:sz w:val="14"/>
        </w:rPr>
        <w:t xml:space="preserve">Seven circuit courts had previously found the statute unambiguous, making both Chevron and lenity inapplicable. 263 </w:t>
      </w:r>
      <w:r w:rsidRPr="00291E1E">
        <w:rPr>
          <w:u w:val="single"/>
        </w:rPr>
        <w:t>One court noted</w:t>
      </w:r>
      <w:r w:rsidRPr="00291E1E">
        <w:rPr>
          <w:sz w:val="14"/>
        </w:rPr>
        <w:t xml:space="preserve"> in dicta that </w:t>
      </w:r>
      <w:r w:rsidRPr="00291E1E">
        <w:rPr>
          <w:u w:val="single"/>
        </w:rPr>
        <w:t>where</w:t>
      </w:r>
      <w:r w:rsidRPr="00291E1E">
        <w:rPr>
          <w:sz w:val="14"/>
        </w:rPr>
        <w:t xml:space="preserve"> the question at issue </w:t>
      </w:r>
      <w:r w:rsidRPr="00291E1E">
        <w:rPr>
          <w:u w:val="single"/>
        </w:rPr>
        <w:t>concerns</w:t>
      </w:r>
      <w:r w:rsidRPr="00291E1E">
        <w:rPr>
          <w:sz w:val="14"/>
        </w:rPr>
        <w:t xml:space="preserve"> the term of </w:t>
      </w:r>
      <w:r w:rsidRPr="00291E1E">
        <w:rPr>
          <w:rStyle w:val="Emphasis"/>
        </w:rPr>
        <w:t>imprisonment</w:t>
      </w:r>
      <w:r w:rsidRPr="00291E1E">
        <w:rPr>
          <w:sz w:val="14"/>
        </w:rPr>
        <w:t>, "[</w:t>
      </w:r>
      <w:r w:rsidRPr="00291E1E">
        <w:rPr>
          <w:u w:val="single"/>
        </w:rPr>
        <w:t>W]e</w:t>
      </w:r>
      <w:r w:rsidRPr="00291E1E">
        <w:rPr>
          <w:sz w:val="14"/>
        </w:rPr>
        <w:t xml:space="preserve"> have substantial </w:t>
      </w:r>
      <w:r w:rsidRPr="00291E1E">
        <w:rPr>
          <w:u w:val="single"/>
        </w:rPr>
        <w:t>doubt</w:t>
      </w:r>
      <w:r w:rsidRPr="00291E1E">
        <w:rPr>
          <w:sz w:val="14"/>
        </w:rPr>
        <w:t xml:space="preserve"> that the Judicial Branch owes any </w:t>
      </w:r>
      <w:r w:rsidRPr="00291E1E">
        <w:rPr>
          <w:u w:val="single"/>
        </w:rPr>
        <w:t>deference</w:t>
      </w:r>
      <w:r w:rsidRPr="00291E1E">
        <w:rPr>
          <w:sz w:val="14"/>
        </w:rPr>
        <w:t xml:space="preserve"> to the Executive Branch ....</w:t>
      </w:r>
    </w:p>
    <w:p w14:paraId="69B97CA0" w14:textId="77777777" w:rsidR="009B74AC" w:rsidRPr="00291E1E" w:rsidRDefault="009B74AC" w:rsidP="009B74AC">
      <w:pPr>
        <w:rPr>
          <w:sz w:val="14"/>
        </w:rPr>
      </w:pPr>
      <w:r w:rsidRPr="00291E1E">
        <w:rPr>
          <w:sz w:val="14"/>
        </w:rPr>
        <w:t xml:space="preserve">United States v. McGoff, a D.C. Circuit case decided shortly after Chevron, involved the application of the Chevron rule in the criminal context. 265 The Republic of South Africa had allegedly paid McGoff to publish a newspaper in Washington, D.C. that would counter the perceived anti-South Africa bias of The Washington Post.266 The Foreign Agents Registration Act requires foreign agents to register as such with the Attorney General. 267 The issue </w:t>
      </w:r>
      <w:r w:rsidRPr="00291E1E">
        <w:rPr>
          <w:u w:val="single"/>
        </w:rPr>
        <w:t xml:space="preserve">in </w:t>
      </w:r>
      <w:r w:rsidRPr="00291E1E">
        <w:rPr>
          <w:rStyle w:val="Emphasis"/>
        </w:rPr>
        <w:t>McGoff</w:t>
      </w:r>
      <w:r w:rsidRPr="00291E1E">
        <w:rPr>
          <w:sz w:val="14"/>
        </w:rPr>
        <w:t xml:space="preserve"> was when the applicable statute of limitations begins to run.268 In an opinion by Judge Starr, </w:t>
      </w:r>
      <w:r w:rsidRPr="00291E1E">
        <w:rPr>
          <w:u w:val="single"/>
        </w:rPr>
        <w:t xml:space="preserve">the court </w:t>
      </w:r>
      <w:r w:rsidRPr="00291E1E">
        <w:rPr>
          <w:rStyle w:val="Emphasis"/>
        </w:rPr>
        <w:t>applied</w:t>
      </w:r>
      <w:r w:rsidRPr="00291E1E">
        <w:rPr>
          <w:u w:val="single"/>
        </w:rPr>
        <w:t xml:space="preserve"> the rule of </w:t>
      </w:r>
      <w:r w:rsidRPr="00291E1E">
        <w:rPr>
          <w:rStyle w:val="Emphasis"/>
        </w:rPr>
        <w:t>lenity</w:t>
      </w:r>
      <w:r w:rsidRPr="00291E1E">
        <w:rPr>
          <w:u w:val="single"/>
        </w:rPr>
        <w:t xml:space="preserve"> and </w:t>
      </w:r>
      <w:r w:rsidRPr="00291E1E">
        <w:rPr>
          <w:rStyle w:val="Emphasis"/>
        </w:rPr>
        <w:t>held Chevron inapplicable</w:t>
      </w:r>
      <w:r w:rsidRPr="00291E1E">
        <w:rPr>
          <w:sz w:val="14"/>
        </w:rPr>
        <w:t>:</w:t>
      </w:r>
    </w:p>
    <w:p w14:paraId="0BEF0415" w14:textId="77777777" w:rsidR="009B74AC" w:rsidRPr="00291E1E" w:rsidRDefault="009B74AC" w:rsidP="009B74AC">
      <w:pPr>
        <w:ind w:left="720"/>
        <w:rPr>
          <w:sz w:val="14"/>
        </w:rPr>
      </w:pPr>
      <w:r w:rsidRPr="00291E1E">
        <w:rPr>
          <w:u w:val="single"/>
        </w:rPr>
        <w:t>In the criminal context</w:t>
      </w:r>
      <w:r w:rsidRPr="00291E1E">
        <w:rPr>
          <w:sz w:val="14"/>
        </w:rPr>
        <w:t>, courts have traditionally required greater clarity in draftsmanship than in civil contexts, commensurate with the bedrock principle that in a free country citizens who are potentially subject to criminal sanctions should have clear notice of the behavior that may cause sanctions to be visited upon them.</w:t>
      </w:r>
    </w:p>
    <w:p w14:paraId="6B7C5A11" w14:textId="77777777" w:rsidR="009B74AC" w:rsidRPr="00291E1E" w:rsidRDefault="009B74AC" w:rsidP="009B74AC">
      <w:pPr>
        <w:ind w:left="720"/>
        <w:rPr>
          <w:sz w:val="14"/>
        </w:rPr>
      </w:pPr>
      <w:r w:rsidRPr="00291E1E">
        <w:rPr>
          <w:sz w:val="14"/>
        </w:rPr>
        <w:t xml:space="preserve">That is to say, the law of crimes must be clear.... </w:t>
      </w:r>
      <w:r w:rsidRPr="00291E1E">
        <w:rPr>
          <w:u w:val="single"/>
        </w:rPr>
        <w:t>We are</w:t>
      </w:r>
      <w:r w:rsidRPr="00291E1E">
        <w:rPr>
          <w:sz w:val="14"/>
        </w:rPr>
        <w:t xml:space="preserve">, in short, </w:t>
      </w:r>
      <w:r w:rsidRPr="00291E1E">
        <w:rPr>
          <w:rStyle w:val="Emphasis"/>
        </w:rPr>
        <w:t>far outside Chevron territory</w:t>
      </w:r>
      <w:r w:rsidRPr="00291E1E">
        <w:rPr>
          <w:sz w:val="14"/>
        </w:rPr>
        <w:t xml:space="preserve"> here.269</w:t>
      </w:r>
    </w:p>
    <w:p w14:paraId="1C98201C" w14:textId="77777777" w:rsidR="009B74AC" w:rsidRPr="00291E1E" w:rsidRDefault="009B74AC" w:rsidP="009B74AC">
      <w:pPr>
        <w:rPr>
          <w:sz w:val="14"/>
          <w:szCs w:val="14"/>
        </w:rPr>
      </w:pPr>
      <w:r w:rsidRPr="00291E1E">
        <w:rPr>
          <w:sz w:val="14"/>
          <w:szCs w:val="14"/>
        </w:rPr>
        <w:t>The court thus rests upon the lenity canon in making what it referred to as an "obvious point. ' 270</w:t>
      </w:r>
    </w:p>
    <w:p w14:paraId="67B3D39F" w14:textId="1AC7FD45" w:rsidR="00805A42" w:rsidRPr="00805A42" w:rsidRDefault="00805A42" w:rsidP="00805A42">
      <w:pPr>
        <w:pStyle w:val="Heading4"/>
      </w:pPr>
      <w:r w:rsidRPr="00620D21">
        <w:rPr>
          <w:u w:val="single"/>
        </w:rPr>
        <w:t>No spillover</w:t>
      </w:r>
      <w:r>
        <w:t xml:space="preserve"> – circuit courts use </w:t>
      </w:r>
      <w:r w:rsidR="006E578B">
        <w:t>it</w:t>
      </w:r>
      <w:r>
        <w:t xml:space="preserve"> </w:t>
      </w:r>
      <w:r>
        <w:rPr>
          <w:u w:val="single"/>
        </w:rPr>
        <w:t>inevitabl</w:t>
      </w:r>
      <w:r w:rsidR="006E578B">
        <w:rPr>
          <w:u w:val="single"/>
        </w:rPr>
        <w:t>y</w:t>
      </w:r>
      <w:r>
        <w:t>.</w:t>
      </w:r>
    </w:p>
    <w:p w14:paraId="78CA7591" w14:textId="77777777" w:rsidR="00805A42" w:rsidRPr="00D57B5D" w:rsidRDefault="00805A42" w:rsidP="00805A42">
      <w:r w:rsidRPr="00C0723A">
        <w:rPr>
          <w:b/>
          <w:bCs/>
          <w:sz w:val="26"/>
          <w:szCs w:val="26"/>
        </w:rPr>
        <w:t xml:space="preserve">Barnett and Walker 17 </w:t>
      </w:r>
      <w:r>
        <w:t xml:space="preserve">- </w:t>
      </w:r>
      <w:r w:rsidRPr="00D57B5D">
        <w:t>specializes in administrative law, contracts and consumer law, joined the University of Georgia School of Law faculty in 2012</w:t>
      </w:r>
      <w:r>
        <w:t xml:space="preserve">, </w:t>
      </w:r>
      <w:r w:rsidRPr="00D57B5D">
        <w:t>the John W. Bricker Professor of Law at The Ohio State University Moritz College of Law and director of the Moritz Washington, D.C.,</w:t>
      </w:r>
      <w:r>
        <w:t xml:space="preserve"> (Kent and Christopher J., “</w:t>
      </w:r>
      <w:r w:rsidRPr="00D57B5D">
        <w:t>Chevron in the Circuit Courts</w:t>
      </w:r>
      <w:r>
        <w:t xml:space="preserve">,” </w:t>
      </w:r>
      <w:r>
        <w:rPr>
          <w:i/>
          <w:iCs/>
        </w:rPr>
        <w:t>Michigan Law Review Volume 116 Issue 1</w:t>
      </w:r>
      <w:r>
        <w:t xml:space="preserve">, 2017, </w:t>
      </w:r>
      <w:hyperlink r:id="rId159" w:history="1">
        <w:r w:rsidRPr="00C07183">
          <w:rPr>
            <w:rStyle w:val="Hyperlink"/>
          </w:rPr>
          <w:t>https://papers.ssrn.com/sol3/papers.cfm?abstract_id=2808848</w:t>
        </w:r>
      </w:hyperlink>
      <w:r>
        <w:t>, Accessed 6-26-20, LASA-AH)</w:t>
      </w:r>
    </w:p>
    <w:p w14:paraId="0A0D30B8" w14:textId="77777777" w:rsidR="00805A42" w:rsidRDefault="00805A42" w:rsidP="00805A42">
      <w:r>
        <w:t>We have demonstrated empirically that, contrary to how they fare in the Supreme Court,</w:t>
      </w:r>
      <w:r w:rsidRPr="000B3635">
        <w:rPr>
          <w:u w:val="single"/>
        </w:rPr>
        <w:t xml:space="preserve">286 agencies usually prevail </w:t>
      </w:r>
      <w:r w:rsidRPr="000B3635">
        <w:rPr>
          <w:rStyle w:val="Emphasis"/>
        </w:rPr>
        <w:t>more under Chevron</w:t>
      </w:r>
      <w:r w:rsidRPr="000B3635">
        <w:rPr>
          <w:u w:val="single"/>
        </w:rPr>
        <w:t xml:space="preserve"> than other</w:t>
      </w:r>
      <w:r>
        <w:rPr>
          <w:u w:val="single"/>
        </w:rPr>
        <w:t xml:space="preserve"> </w:t>
      </w:r>
      <w:r w:rsidRPr="000B3635">
        <w:rPr>
          <w:u w:val="single"/>
        </w:rPr>
        <w:t>standards of review in the circuit courts (</w:t>
      </w:r>
      <w:r>
        <w:t xml:space="preserve">at least when those courts refer to Chevron).287 This finding is meaningful for agencies and litigating parties </w:t>
      </w:r>
      <w:r w:rsidRPr="000B3635">
        <w:rPr>
          <w:u w:val="single"/>
        </w:rPr>
        <w:t xml:space="preserve">because circuit courts </w:t>
      </w:r>
      <w:r w:rsidRPr="000B3635">
        <w:rPr>
          <w:rStyle w:val="Emphasis"/>
        </w:rPr>
        <w:t>review far more agency statutory i</w:t>
      </w:r>
      <w:r w:rsidRPr="000B3635">
        <w:rPr>
          <w:u w:val="single"/>
        </w:rPr>
        <w:t>nterpretations than</w:t>
      </w:r>
      <w:r>
        <w:rPr>
          <w:u w:val="single"/>
        </w:rPr>
        <w:t xml:space="preserve"> </w:t>
      </w:r>
      <w:r w:rsidRPr="000B3635">
        <w:rPr>
          <w:u w:val="single"/>
        </w:rPr>
        <w:t>the Supreme Court</w:t>
      </w:r>
      <w:r>
        <w:t xml:space="preserve">. Although we cannot say in our discussion here how the deference standards affect judicial decisionmaking, </w:t>
      </w:r>
      <w:r w:rsidRPr="000B3635">
        <w:rPr>
          <w:u w:val="single"/>
        </w:rPr>
        <w:t>we can say outcomes do</w:t>
      </w:r>
      <w:r>
        <w:rPr>
          <w:u w:val="single"/>
        </w:rPr>
        <w:t xml:space="preserve"> </w:t>
      </w:r>
      <w:r w:rsidRPr="000B3635">
        <w:rPr>
          <w:u w:val="single"/>
        </w:rPr>
        <w:t xml:space="preserve">vary. </w:t>
      </w:r>
      <w:r>
        <w:t>Because they do, one leading scholar’s call, based on findings from past empirical studies, for practitioners, teachers, courts, and scholars to deemphasize review standards appears premature.288 They seem to matter, even if</w:t>
      </w:r>
      <w:r w:rsidRPr="000B3635">
        <w:t xml:space="preserve"> </w:t>
      </w:r>
      <w:r>
        <w:t>no one, including us (based on methodological limitations), can yet say exactly how.</w:t>
      </w:r>
    </w:p>
    <w:p w14:paraId="3712ABD5" w14:textId="77777777" w:rsidR="00805A42" w:rsidRPr="00D57B5D" w:rsidRDefault="00805A42" w:rsidP="00805A42">
      <w:pPr>
        <w:rPr>
          <w:u w:val="single"/>
        </w:rPr>
      </w:pPr>
      <w:r w:rsidRPr="000B3635">
        <w:rPr>
          <w:u w:val="single"/>
        </w:rPr>
        <w:t>If Chevron matters, we should consider whether it is functioning properly. The Supreme Court indicated that Chevron exists to provide agencies a</w:t>
      </w:r>
      <w:r>
        <w:rPr>
          <w:u w:val="single"/>
        </w:rPr>
        <w:t xml:space="preserve"> </w:t>
      </w:r>
      <w:r w:rsidRPr="000B3635">
        <w:rPr>
          <w:u w:val="single"/>
        </w:rPr>
        <w:t>congressionally delegated space to regulate, where courts keep agencies in</w:t>
      </w:r>
      <w:r>
        <w:rPr>
          <w:u w:val="single"/>
        </w:rPr>
        <w:t xml:space="preserve"> </w:t>
      </w:r>
      <w:r w:rsidRPr="000B3635">
        <w:rPr>
          <w:u w:val="single"/>
        </w:rPr>
        <w:t>their space without imposing their own policy judgments</w:t>
      </w:r>
      <w:r>
        <w:t>.289 The doctrine largely appears to fail at achieving these aims in the Supreme Court based on its rare invocation290 and failure to constrict the justices’ perceived preferences.</w:t>
      </w:r>
      <w:r w:rsidRPr="00D57B5D">
        <w:rPr>
          <w:u w:val="single"/>
        </w:rPr>
        <w:t>291 Prior studies of the circuit courts have also found that Chevron does</w:t>
      </w:r>
      <w:r>
        <w:rPr>
          <w:u w:val="single"/>
        </w:rPr>
        <w:t xml:space="preserve"> </w:t>
      </w:r>
      <w:r w:rsidRPr="00D57B5D">
        <w:rPr>
          <w:u w:val="single"/>
        </w:rPr>
        <w:t>not appear to meaningfully constrict judges from deciding in accord with</w:t>
      </w:r>
      <w:r>
        <w:rPr>
          <w:u w:val="single"/>
        </w:rPr>
        <w:t xml:space="preserve"> </w:t>
      </w:r>
      <w:r w:rsidRPr="00D57B5D">
        <w:rPr>
          <w:u w:val="single"/>
        </w:rPr>
        <w:t>their perceived political preference</w:t>
      </w:r>
      <w:r>
        <w:t xml:space="preserve">s292—at least when a judge on a panel with different political preferences isn’t on the panel.293 Although we leave our ideology data and more sophisticated statistical modeling for future work, our initial, descriptive findings suggest, based on a larger dataset than in prior studies, </w:t>
      </w:r>
      <w:r w:rsidRPr="00D57B5D">
        <w:rPr>
          <w:u w:val="single"/>
        </w:rPr>
        <w:t>that Chevron has some kind of disciplining effect in the</w:t>
      </w:r>
      <w:r>
        <w:rPr>
          <w:u w:val="single"/>
        </w:rPr>
        <w:t xml:space="preserve"> </w:t>
      </w:r>
      <w:r w:rsidRPr="00D57B5D">
        <w:rPr>
          <w:u w:val="single"/>
        </w:rPr>
        <w:t>aggregate on circuit courts because agency-win rates are so disparate between when Chevron applies and when it does not, even when the agency</w:t>
      </w:r>
      <w:r>
        <w:rPr>
          <w:u w:val="single"/>
        </w:rPr>
        <w:t xml:space="preserve"> </w:t>
      </w:r>
      <w:r w:rsidRPr="00D57B5D">
        <w:rPr>
          <w:u w:val="single"/>
        </w:rPr>
        <w:t>statutory interpretations use the same formal interpretive methods.294</w:t>
      </w:r>
    </w:p>
    <w:p w14:paraId="6256CB91" w14:textId="77777777" w:rsidR="00805A42" w:rsidRDefault="00805A42" w:rsidP="00805A42">
      <w:r>
        <w:t xml:space="preserve">More specifically, our thirty-nine-percentage-point difference between agency-win rates under Chevron and de novo review suggests that courts distinguish looking for the best answer from permitting a reasonable one.295 If they are able and willing to do so, then the Supreme Court’s recently invoked “stabilizing purpose”—to render outcomes from thirteen circuit courts more predictable296 and thereby further the uniformity goals that Peter Strauss highlighted decades ago297—becomes more compelling, regardless of the delegation theory’s normative force.298 Indeed, as federal dockets have swelled, </w:t>
      </w:r>
      <w:r w:rsidRPr="00D57B5D">
        <w:rPr>
          <w:u w:val="single"/>
        </w:rPr>
        <w:t>Chevron may be one more device that federal courts have used</w:t>
      </w:r>
      <w:r>
        <w:rPr>
          <w:u w:val="single"/>
        </w:rPr>
        <w:t xml:space="preserve"> </w:t>
      </w:r>
      <w:r w:rsidRPr="00D57B5D">
        <w:rPr>
          <w:u w:val="single"/>
        </w:rPr>
        <w:t xml:space="preserve">to </w:t>
      </w:r>
      <w:r w:rsidRPr="00D57B5D">
        <w:rPr>
          <w:rStyle w:val="Emphasis"/>
        </w:rPr>
        <w:t>avoid what they perceive as low-value</w:t>
      </w:r>
      <w:r w:rsidRPr="00D57B5D">
        <w:rPr>
          <w:u w:val="single"/>
        </w:rPr>
        <w:t xml:space="preserve"> or low-interest cases</w:t>
      </w:r>
      <w:r>
        <w:t>.299</w:t>
      </w:r>
    </w:p>
    <w:p w14:paraId="36CC5491" w14:textId="77777777" w:rsidR="00805A42" w:rsidRDefault="00805A42" w:rsidP="00805A42">
      <w:r>
        <w:t>But, at the same time, our data indicate that the Supreme Court needs to provide better guidance to lower courts if it seeks to create a stabilizing doctrine. The circuit-by-circuit disparity in the circuit courts’ invocation of</w:t>
      </w:r>
      <w:r w:rsidRPr="000B3635">
        <w:t xml:space="preserve"> </w:t>
      </w:r>
      <w:r>
        <w:t>Chevron and agency-win rates reveals that Chevron may not be operating uniformly among the circuits.300 To ameliorate uniformity, the Court should provide clearer guidance to numerous issues, which other scholars have noted: What are the “traditional tools of statutory construction”301 to which Chevron referred for step one that courts should use?302 Should the longstanding nature of agency interpretations matter?303 What role exactly should legislative history or a purposivist inquiry have?304 Is there an “order of battle” in which the circuit courts proceed through certain steps or interpretive canons to interpret statutes?305 Is step two different from arbitraryand-capricious review and, if so, how?306 And perhaps more prominently, what role do agency expertise, formality, and the significance of the question have when determining when Congress has delegated authority to agencies?307 If Chevron is a means of controlling the lower courts, the case for providing more guidance becomes urgent.</w:t>
      </w:r>
    </w:p>
    <w:p w14:paraId="57D4FED0" w14:textId="77777777" w:rsidR="00805A42" w:rsidRDefault="00805A42" w:rsidP="00805A42">
      <w:r>
        <w:t xml:space="preserve">And our findings, albeit to a limited degree, suggest </w:t>
      </w:r>
      <w:r w:rsidRPr="00D57B5D">
        <w:rPr>
          <w:u w:val="single"/>
        </w:rPr>
        <w:t>that lower courts</w:t>
      </w:r>
      <w:r>
        <w:rPr>
          <w:u w:val="single"/>
        </w:rPr>
        <w:t xml:space="preserve"> </w:t>
      </w:r>
      <w:r w:rsidRPr="00D57B5D">
        <w:rPr>
          <w:u w:val="single"/>
        </w:rPr>
        <w:t xml:space="preserve">will view more rule-based guidance as a </w:t>
      </w:r>
      <w:r w:rsidRPr="00D57B5D">
        <w:rPr>
          <w:rStyle w:val="Emphasis"/>
        </w:rPr>
        <w:t>comforting swaddling blanket</w:t>
      </w:r>
      <w:r>
        <w:rPr>
          <w:u w:val="single"/>
        </w:rPr>
        <w:t xml:space="preserve"> </w:t>
      </w:r>
      <w:r w:rsidRPr="00D57B5D">
        <w:rPr>
          <w:u w:val="single"/>
        </w:rPr>
        <w:t>rather than handcuffs.</w:t>
      </w:r>
      <w:r w:rsidRPr="00D57B5D">
        <w:t xml:space="preserve"> </w:t>
      </w:r>
      <w:r w:rsidRPr="00D57B5D">
        <w:rPr>
          <w:u w:val="single"/>
        </w:rPr>
        <w:t>Circuit courts rarely invoked various values</w:t>
      </w:r>
      <w:r>
        <w:t>—including those mentioned in Barnhart—</w:t>
      </w:r>
      <w:r w:rsidRPr="00D57B5D">
        <w:rPr>
          <w:u w:val="single"/>
        </w:rPr>
        <w:t>that they could have used to gain additional discretion in deciding whether to invoke Chevron or ultimately side</w:t>
      </w:r>
      <w:r>
        <w:rPr>
          <w:u w:val="single"/>
        </w:rPr>
        <w:t xml:space="preserve"> </w:t>
      </w:r>
      <w:r w:rsidRPr="00D57B5D">
        <w:rPr>
          <w:u w:val="single"/>
        </w:rPr>
        <w:t>with the agency</w:t>
      </w:r>
      <w:r>
        <w:t xml:space="preserve">.308 And </w:t>
      </w:r>
      <w:r w:rsidRPr="00D57B5D">
        <w:rPr>
          <w:u w:val="single"/>
        </w:rPr>
        <w:t>they</w:t>
      </w:r>
      <w:r>
        <w:t xml:space="preserve"> appeared to largely </w:t>
      </w:r>
      <w:r w:rsidRPr="00D57B5D">
        <w:rPr>
          <w:u w:val="single"/>
        </w:rPr>
        <w:t>ignore</w:t>
      </w:r>
      <w:r>
        <w:t xml:space="preserve"> </w:t>
      </w:r>
      <w:r w:rsidRPr="00D57B5D">
        <w:rPr>
          <w:u w:val="single"/>
        </w:rPr>
        <w:t>troubling step-zero</w:t>
      </w:r>
      <w:r>
        <w:rPr>
          <w:u w:val="single"/>
        </w:rPr>
        <w:t xml:space="preserve"> </w:t>
      </w:r>
      <w:r w:rsidRPr="00D57B5D">
        <w:rPr>
          <w:u w:val="single"/>
        </w:rPr>
        <w:t xml:space="preserve">questions concerning sensitive matters, </w:t>
      </w:r>
      <w:r>
        <w:t xml:space="preserve">perhaps </w:t>
      </w:r>
      <w:r w:rsidRPr="00D57B5D">
        <w:rPr>
          <w:u w:val="single"/>
        </w:rPr>
        <w:t>having difficulty discerning</w:t>
      </w:r>
      <w:r>
        <w:rPr>
          <w:u w:val="single"/>
        </w:rPr>
        <w:t xml:space="preserve"> </w:t>
      </w:r>
      <w:r w:rsidRPr="00D57B5D">
        <w:rPr>
          <w:u w:val="single"/>
        </w:rPr>
        <w:t xml:space="preserve">the Supreme Court’s </w:t>
      </w:r>
      <w:r w:rsidRPr="00D57B5D">
        <w:rPr>
          <w:rStyle w:val="Emphasis"/>
        </w:rPr>
        <w:t>vague or inconsistent signals</w:t>
      </w:r>
      <w:r w:rsidRPr="00D57B5D">
        <w:rPr>
          <w:u w:val="single"/>
        </w:rPr>
        <w:t xml:space="preserve"> as to these matters</w:t>
      </w:r>
      <w:r>
        <w:t>.309 If</w:t>
      </w:r>
      <w:r w:rsidRPr="000B3635">
        <w:t xml:space="preserve"> </w:t>
      </w:r>
      <w:r>
        <w:t>Chevron can function as a welcomed supervisory doctrine, the differences between Chevron Supreme—functioning as a malleable, discretionary canon of construction310—and Chevron Regular—functioning as precedent—become less troubling.</w:t>
      </w:r>
    </w:p>
    <w:p w14:paraId="21405DFC" w14:textId="77777777" w:rsidR="00805A42" w:rsidRDefault="00805A42" w:rsidP="00805A42">
      <w:r>
        <w:t xml:space="preserve">Exceptional questions, rare theoretical grounds, and </w:t>
      </w:r>
      <w:r w:rsidRPr="00D57B5D">
        <w:rPr>
          <w:u w:val="single"/>
        </w:rPr>
        <w:t xml:space="preserve">Chevron’s inconsistent use can </w:t>
      </w:r>
      <w:r w:rsidRPr="00D57B5D">
        <w:rPr>
          <w:rStyle w:val="Emphasis"/>
        </w:rPr>
        <w:t>permit the Supreme Court to keep the delegation theory in</w:t>
      </w:r>
      <w:r>
        <w:rPr>
          <w:rStyle w:val="Emphasis"/>
        </w:rPr>
        <w:t xml:space="preserve"> </w:t>
      </w:r>
      <w:r w:rsidRPr="00D57B5D">
        <w:rPr>
          <w:u w:val="single"/>
        </w:rPr>
        <w:t>check at the margins without, as our data suggest, creating confusion and, as</w:t>
      </w:r>
      <w:r>
        <w:rPr>
          <w:u w:val="single"/>
        </w:rPr>
        <w:t xml:space="preserve"> </w:t>
      </w:r>
      <w:r w:rsidRPr="00D57B5D">
        <w:rPr>
          <w:u w:val="single"/>
        </w:rPr>
        <w:t>we plan to consider in future work, promoting ideological decisionmaking</w:t>
      </w:r>
      <w:r>
        <w:rPr>
          <w:u w:val="single"/>
        </w:rPr>
        <w:t xml:space="preserve"> </w:t>
      </w:r>
      <w:r w:rsidRPr="00D57B5D">
        <w:rPr>
          <w:u w:val="single"/>
        </w:rPr>
        <w:t>in the circuit courts.</w:t>
      </w:r>
      <w:r>
        <w:t xml:space="preserve"> Indeed, two scholars have recently argued that distinctions between Chevron Supreme and Chevron Regular, at least as to major questions, are normatively justified.311 Their argument </w:t>
      </w:r>
      <w:r w:rsidRPr="00D57B5D">
        <w:rPr>
          <w:u w:val="single"/>
        </w:rPr>
        <w:t>follows another</w:t>
      </w:r>
      <w:r>
        <w:rPr>
          <w:u w:val="single"/>
        </w:rPr>
        <w:t xml:space="preserve"> </w:t>
      </w:r>
      <w:r w:rsidRPr="00D57B5D">
        <w:rPr>
          <w:u w:val="single"/>
        </w:rPr>
        <w:t>scholar’s call for the degree of deference to agency interpretations to vary</w:t>
      </w:r>
      <w:r>
        <w:rPr>
          <w:u w:val="single"/>
        </w:rPr>
        <w:t xml:space="preserve"> </w:t>
      </w:r>
      <w:r w:rsidRPr="00D57B5D">
        <w:rPr>
          <w:u w:val="single"/>
        </w:rPr>
        <w:t>based on the deciding court’s place in the federal judicial hierarchy</w:t>
      </w:r>
      <w:r>
        <w:t xml:space="preserve">, with </w:t>
      </w:r>
      <w:r w:rsidRPr="00D57B5D">
        <w:rPr>
          <w:u w:val="single"/>
        </w:rPr>
        <w:t xml:space="preserve">more </w:t>
      </w:r>
      <w:r w:rsidRPr="00D57B5D">
        <w:rPr>
          <w:rStyle w:val="Emphasis"/>
        </w:rPr>
        <w:t>deference in lower courts</w:t>
      </w:r>
      <w:r w:rsidRPr="00D57B5D">
        <w:rPr>
          <w:u w:val="single"/>
        </w:rPr>
        <w:t xml:space="preserve"> and less deference in superior courts</w:t>
      </w:r>
      <w:r>
        <w:t xml:space="preserve">.312 But even if differences in deference among courts defy normative justification as to all interpretive matters or exceptional questions, </w:t>
      </w:r>
      <w:r w:rsidRPr="00D57B5D">
        <w:rPr>
          <w:u w:val="single"/>
        </w:rPr>
        <w:t>our data suggest that any</w:t>
      </w:r>
      <w:r>
        <w:rPr>
          <w:u w:val="single"/>
        </w:rPr>
        <w:t xml:space="preserve"> </w:t>
      </w:r>
      <w:r w:rsidRPr="00D57B5D">
        <w:rPr>
          <w:u w:val="single"/>
        </w:rPr>
        <w:t>problematic characteristics of Chevron Supreme do not necessarily trickle</w:t>
      </w:r>
      <w:r>
        <w:rPr>
          <w:u w:val="single"/>
        </w:rPr>
        <w:t xml:space="preserve"> </w:t>
      </w:r>
      <w:r>
        <w:t xml:space="preserve">down to the lower courts. Ultimately, </w:t>
      </w:r>
      <w:r w:rsidRPr="00D57B5D">
        <w:rPr>
          <w:u w:val="single"/>
        </w:rPr>
        <w:t>Chevron</w:t>
      </w:r>
      <w:r>
        <w:t xml:space="preserve"> Supreme, with its comparatively broader discretion, </w:t>
      </w:r>
      <w:r w:rsidRPr="00D57B5D">
        <w:rPr>
          <w:u w:val="single"/>
        </w:rPr>
        <w:t xml:space="preserve">will shift power </w:t>
      </w:r>
      <w:r w:rsidRPr="00D57B5D">
        <w:rPr>
          <w:rStyle w:val="Emphasis"/>
        </w:rPr>
        <w:t>from the circuit courts to the Supreme Court</w:t>
      </w:r>
      <w:r w:rsidRPr="00D57B5D">
        <w:rPr>
          <w:u w:val="single"/>
        </w:rPr>
        <w:t xml:space="preserve"> and agencies </w:t>
      </w:r>
      <w:r w:rsidRPr="00D57B5D">
        <w:rPr>
          <w:rStyle w:val="Emphasis"/>
        </w:rPr>
        <w:t>but leave Chevron Regular</w:t>
      </w:r>
      <w:r w:rsidRPr="00D57B5D">
        <w:rPr>
          <w:u w:val="single"/>
        </w:rPr>
        <w:t xml:space="preserve"> </w:t>
      </w:r>
      <w:r w:rsidRPr="00D57B5D">
        <w:rPr>
          <w:rStyle w:val="Emphasis"/>
        </w:rPr>
        <w:t>in place</w:t>
      </w:r>
      <w:r w:rsidRPr="00D57B5D">
        <w:rPr>
          <w:u w:val="single"/>
        </w:rPr>
        <w:t xml:space="preserve"> to create more</w:t>
      </w:r>
      <w:r>
        <w:rPr>
          <w:u w:val="single"/>
        </w:rPr>
        <w:t xml:space="preserve"> </w:t>
      </w:r>
      <w:r w:rsidRPr="00D57B5D">
        <w:rPr>
          <w:rStyle w:val="Emphasis"/>
        </w:rPr>
        <w:t>certainty in the lower courts</w:t>
      </w:r>
      <w:r>
        <w:t xml:space="preserve"> and, thus, greater national uniformity in federal administrative law.313</w:t>
      </w:r>
    </w:p>
    <w:p w14:paraId="1314953C" w14:textId="5858F24D" w:rsidR="009B74AC" w:rsidRPr="00805A42" w:rsidRDefault="00805A42" w:rsidP="009B74AC">
      <w:r>
        <w:t>This is not our last word on what our data say about Chevron, and we hope that it furthers numerous other conversations concerning deference to agency statutory interpretations—whether about its normative place, its operation, or its meaningfulness.</w:t>
      </w:r>
    </w:p>
    <w:p w14:paraId="4B8928D4" w14:textId="77777777" w:rsidR="00EA1317" w:rsidRDefault="00EA1317" w:rsidP="00EA1317">
      <w:pPr>
        <w:pStyle w:val="Heading4"/>
      </w:pPr>
      <w:r>
        <w:t xml:space="preserve">Specifically, it doesn’t kill </w:t>
      </w:r>
      <w:r>
        <w:rPr>
          <w:i/>
          <w:iCs w:val="0"/>
        </w:rPr>
        <w:t>Chevron</w:t>
      </w:r>
      <w:r>
        <w:t>.</w:t>
      </w:r>
    </w:p>
    <w:p w14:paraId="67F01F49" w14:textId="77777777" w:rsidR="00EA1317" w:rsidRPr="001B5772" w:rsidRDefault="00EA1317" w:rsidP="00EA1317">
      <w:r w:rsidRPr="00220A46">
        <w:rPr>
          <w:rStyle w:val="Style13ptBold"/>
        </w:rPr>
        <w:t>Hahn 17</w:t>
      </w:r>
      <w:r>
        <w:t xml:space="preserve"> – David Hahn, JD Candidate in 2019 at the University of Minnesota. [Silent and Ambiguous: The Supreme Court Dodges Chevron and Lenity in Esquivel-Quintana v. Sessions, https://minnesotalawreview.org/2017/11/29/silent-and-ambiguous/]//BPS</w:t>
      </w:r>
    </w:p>
    <w:p w14:paraId="01ED1E4C" w14:textId="77777777" w:rsidR="00EA1317" w:rsidRDefault="00EA1317" w:rsidP="00EA1317">
      <w:pPr>
        <w:rPr>
          <w:sz w:val="16"/>
        </w:rPr>
      </w:pPr>
      <w:r w:rsidRPr="001B5772">
        <w:rPr>
          <w:sz w:val="16"/>
        </w:rPr>
        <w:t xml:space="preserve">Esquivel-Quintana v. Lynch, 810 F.3d 1019, 1031 (6th Cir. 2016) (Sutton, J., concurring in part and dissenting in part). </w:t>
      </w:r>
      <w:r w:rsidRPr="00220A46">
        <w:rPr>
          <w:rStyle w:val="StyleUnderline"/>
        </w:rPr>
        <w:t>Concerns</w:t>
      </w:r>
      <w:r w:rsidRPr="001B5772">
        <w:rPr>
          <w:sz w:val="16"/>
        </w:rPr>
        <w:t xml:space="preserve"> that </w:t>
      </w:r>
      <w:r w:rsidRPr="00220A46">
        <w:rPr>
          <w:rStyle w:val="Emphasis"/>
        </w:rPr>
        <w:t>Judge Sutton’s position</w:t>
      </w:r>
      <w:r w:rsidRPr="00220A46">
        <w:rPr>
          <w:rStyle w:val="StyleUnderline"/>
        </w:rPr>
        <w:t xml:space="preserve"> would deal </w:t>
      </w:r>
      <w:r w:rsidRPr="00220A46">
        <w:rPr>
          <w:rStyle w:val="Emphasis"/>
        </w:rPr>
        <w:t>a death blow</w:t>
      </w:r>
      <w:r w:rsidRPr="00220A46">
        <w:rPr>
          <w:rStyle w:val="StyleUnderline"/>
        </w:rPr>
        <w:t xml:space="preserve"> to </w:t>
      </w:r>
      <w:r w:rsidRPr="00220A46">
        <w:rPr>
          <w:rStyle w:val="Emphasis"/>
        </w:rPr>
        <w:t>Chevron deference</w:t>
      </w:r>
      <w:r w:rsidRPr="00220A46">
        <w:rPr>
          <w:rStyle w:val="StyleUnderline"/>
        </w:rPr>
        <w:t xml:space="preserve"> are </w:t>
      </w:r>
      <w:r w:rsidRPr="00220A46">
        <w:rPr>
          <w:rStyle w:val="Emphasis"/>
        </w:rPr>
        <w:t>likely overblown</w:t>
      </w:r>
      <w:r w:rsidRPr="00220A46">
        <w:rPr>
          <w:rStyle w:val="StyleUnderline"/>
        </w:rPr>
        <w:t>. As</w:t>
      </w:r>
      <w:r w:rsidRPr="001B5772">
        <w:rPr>
          <w:sz w:val="16"/>
        </w:rPr>
        <w:t xml:space="preserve"> Kristin </w:t>
      </w:r>
      <w:r w:rsidRPr="00220A46">
        <w:rPr>
          <w:rStyle w:val="StyleUnderline"/>
        </w:rPr>
        <w:t>Hickman and</w:t>
      </w:r>
      <w:r w:rsidRPr="001B5772">
        <w:rPr>
          <w:sz w:val="16"/>
        </w:rPr>
        <w:t xml:space="preserve"> Nicholas </w:t>
      </w:r>
      <w:r w:rsidRPr="00220A46">
        <w:rPr>
          <w:rStyle w:val="StyleUnderline"/>
        </w:rPr>
        <w:t>Bednar show</w:t>
      </w:r>
      <w:r w:rsidRPr="001B5772">
        <w:rPr>
          <w:sz w:val="16"/>
        </w:rPr>
        <w:t xml:space="preserve"> in a forthcoming article, </w:t>
      </w:r>
      <w:r w:rsidRPr="001B5772">
        <w:rPr>
          <w:rStyle w:val="Emphasis"/>
        </w:rPr>
        <w:t>some form of deference</w:t>
      </w:r>
      <w:r w:rsidRPr="001B5772">
        <w:rPr>
          <w:rStyle w:val="StyleUnderline"/>
        </w:rPr>
        <w:t xml:space="preserve"> will</w:t>
      </w:r>
      <w:r w:rsidRPr="001B5772">
        <w:rPr>
          <w:sz w:val="16"/>
        </w:rPr>
        <w:t xml:space="preserve"> likely </w:t>
      </w:r>
      <w:r w:rsidRPr="001B5772">
        <w:rPr>
          <w:rStyle w:val="Emphasis"/>
        </w:rPr>
        <w:t>always follow</w:t>
      </w:r>
      <w:r w:rsidRPr="001B5772">
        <w:rPr>
          <w:rStyle w:val="StyleUnderline"/>
        </w:rPr>
        <w:t xml:space="preserve"> from statutory ambiguity, and statutory ambiguity is </w:t>
      </w:r>
      <w:r w:rsidRPr="001B5772">
        <w:rPr>
          <w:rStyle w:val="Emphasis"/>
        </w:rPr>
        <w:t>here to stay</w:t>
      </w:r>
      <w:r w:rsidRPr="001B5772">
        <w:rPr>
          <w:sz w:val="16"/>
        </w:rPr>
        <w:t>. Hickman &amp; Bednar, supra note 27, at 169–70.</w:t>
      </w:r>
    </w:p>
    <w:p w14:paraId="6C7A755F" w14:textId="77777777" w:rsidR="009B74AC" w:rsidRDefault="009B74AC" w:rsidP="009B74AC">
      <w:pPr>
        <w:pStyle w:val="Heading4"/>
      </w:pPr>
      <w:r w:rsidRPr="00036BE9">
        <w:rPr>
          <w:u w:val="single"/>
        </w:rPr>
        <w:t>Civil</w:t>
      </w:r>
      <w:r w:rsidRPr="009B74AC">
        <w:t xml:space="preserve"> deference</w:t>
      </w:r>
      <w:r>
        <w:t xml:space="preserve"> solves. </w:t>
      </w:r>
    </w:p>
    <w:p w14:paraId="30F5B014" w14:textId="77777777" w:rsidR="009B74AC" w:rsidRPr="00807E23" w:rsidRDefault="009B74AC" w:rsidP="009B74AC">
      <w:r w:rsidRPr="00682654">
        <w:rPr>
          <w:rStyle w:val="Style13ptBold"/>
        </w:rPr>
        <w:t>Greenfield 6.</w:t>
      </w:r>
      <w:r>
        <w:t xml:space="preserve"> </w:t>
      </w:r>
      <w:r w:rsidRPr="00682654">
        <w:rPr>
          <w:sz w:val="16"/>
          <w:szCs w:val="16"/>
        </w:rPr>
        <w:t xml:space="preserve">Dr. Elliot Greenfield; associate @ Debevoise &amp; Plimpton LLP, Ph.D. from UC Berkley, J.D. from NYU Law, and B.A. from Wesleyan University. (2006, "A Lenity Exception to Chevron Deference." Baylor Law Review, vol. 58, no. 1, 2006, p. 1-62. HeinOnline)//pacc </w:t>
      </w:r>
    </w:p>
    <w:p w14:paraId="5C70BEC3" w14:textId="77777777" w:rsidR="009B74AC" w:rsidRPr="00807E23" w:rsidRDefault="009B74AC" w:rsidP="009B74AC">
      <w:pPr>
        <w:rPr>
          <w:sz w:val="14"/>
          <w:szCs w:val="14"/>
        </w:rPr>
      </w:pPr>
      <w:r w:rsidRPr="00807E23">
        <w:rPr>
          <w:sz w:val="14"/>
          <w:szCs w:val="14"/>
        </w:rPr>
        <w:t>b. Rationales for Chevron</w:t>
      </w:r>
    </w:p>
    <w:p w14:paraId="6C533453" w14:textId="77777777" w:rsidR="009B74AC" w:rsidRPr="00807E23" w:rsidRDefault="009B74AC" w:rsidP="009B74AC">
      <w:pPr>
        <w:rPr>
          <w:sz w:val="14"/>
        </w:rPr>
      </w:pPr>
      <w:r w:rsidRPr="00807E23">
        <w:rPr>
          <w:u w:val="single"/>
        </w:rPr>
        <w:t xml:space="preserve">Legislative supremacy </w:t>
      </w:r>
      <w:r w:rsidRPr="00807E23">
        <w:rPr>
          <w:sz w:val="14"/>
        </w:rPr>
        <w:t xml:space="preserve">is also the main rationale </w:t>
      </w:r>
      <w:r w:rsidRPr="00807E23">
        <w:rPr>
          <w:u w:val="single"/>
        </w:rPr>
        <w:t>for</w:t>
      </w:r>
      <w:r w:rsidRPr="00807E23">
        <w:rPr>
          <w:sz w:val="14"/>
        </w:rPr>
        <w:t xml:space="preserve"> deferring to an agency interpretation under </w:t>
      </w:r>
      <w:r w:rsidRPr="00807E23">
        <w:rPr>
          <w:u w:val="single"/>
        </w:rPr>
        <w:t>Chevron</w:t>
      </w:r>
      <w:r w:rsidRPr="00807E23">
        <w:rPr>
          <w:sz w:val="14"/>
        </w:rPr>
        <w:t xml:space="preserve">. For the reasons stated above, however, deference to Congress's intent to delegate interpretive authority </w:t>
      </w:r>
      <w:r w:rsidRPr="00807E23">
        <w:rPr>
          <w:u w:val="single"/>
        </w:rPr>
        <w:t xml:space="preserve">is less compelling </w:t>
      </w:r>
      <w:r w:rsidRPr="00456038">
        <w:rPr>
          <w:highlight w:val="cyan"/>
          <w:u w:val="single"/>
        </w:rPr>
        <w:t>in</w:t>
      </w:r>
      <w:r w:rsidRPr="00807E23">
        <w:rPr>
          <w:u w:val="single"/>
        </w:rPr>
        <w:t xml:space="preserve"> the </w:t>
      </w:r>
      <w:r w:rsidRPr="00456038">
        <w:rPr>
          <w:rStyle w:val="Emphasis"/>
          <w:highlight w:val="cyan"/>
        </w:rPr>
        <w:t>criminal context</w:t>
      </w:r>
      <w:r w:rsidRPr="00807E23">
        <w:rPr>
          <w:sz w:val="14"/>
        </w:rPr>
        <w:t>.</w:t>
      </w:r>
    </w:p>
    <w:p w14:paraId="4F0B4D29" w14:textId="77777777" w:rsidR="009B74AC" w:rsidRPr="00807E23" w:rsidRDefault="009B74AC" w:rsidP="009B74AC">
      <w:pPr>
        <w:rPr>
          <w:sz w:val="14"/>
        </w:rPr>
      </w:pPr>
      <w:r w:rsidRPr="00807E23">
        <w:rPr>
          <w:sz w:val="14"/>
        </w:rPr>
        <w:t xml:space="preserve">Although perhaps not the legal basis of Chevron, </w:t>
      </w:r>
      <w:r w:rsidRPr="00807E23">
        <w:rPr>
          <w:u w:val="single"/>
        </w:rPr>
        <w:t>agency expertise presents a persuasive reason for deference</w:t>
      </w:r>
      <w:r w:rsidRPr="00807E23">
        <w:rPr>
          <w:sz w:val="14"/>
        </w:rPr>
        <w:t xml:space="preserve">. The agency is expert in the technicalities and intricacies of its field. </w:t>
      </w:r>
      <w:r w:rsidRPr="00807E23">
        <w:rPr>
          <w:rStyle w:val="Emphasis"/>
        </w:rPr>
        <w:t>But</w:t>
      </w:r>
      <w:r w:rsidRPr="00807E23">
        <w:rPr>
          <w:sz w:val="14"/>
        </w:rPr>
        <w:t xml:space="preserve">, part of </w:t>
      </w:r>
      <w:r w:rsidRPr="00807E23">
        <w:rPr>
          <w:u w:val="single"/>
        </w:rPr>
        <w:t>what distinguishes criminal law is the "moral condemnation of the community</w:t>
      </w:r>
      <w:r w:rsidRPr="00807E23">
        <w:rPr>
          <w:sz w:val="14"/>
        </w:rPr>
        <w:t xml:space="preserve">, 362 </w:t>
      </w:r>
      <w:r w:rsidRPr="00807E23">
        <w:rPr>
          <w:u w:val="single"/>
        </w:rPr>
        <w:t xml:space="preserve">and </w:t>
      </w:r>
      <w:r w:rsidRPr="00456038">
        <w:rPr>
          <w:highlight w:val="cyan"/>
          <w:u w:val="single"/>
        </w:rPr>
        <w:t>the agency has no</w:t>
      </w:r>
      <w:r w:rsidRPr="00807E23">
        <w:rPr>
          <w:sz w:val="14"/>
        </w:rPr>
        <w:t xml:space="preserve"> particular </w:t>
      </w:r>
      <w:r w:rsidRPr="00456038">
        <w:rPr>
          <w:highlight w:val="cyan"/>
          <w:u w:val="single"/>
        </w:rPr>
        <w:t>expertise in</w:t>
      </w:r>
      <w:r w:rsidRPr="00807E23">
        <w:rPr>
          <w:u w:val="single"/>
        </w:rPr>
        <w:t xml:space="preserve"> determining </w:t>
      </w:r>
      <w:r w:rsidRPr="00456038">
        <w:rPr>
          <w:rStyle w:val="Emphasis"/>
          <w:highlight w:val="cyan"/>
        </w:rPr>
        <w:t>community values</w:t>
      </w:r>
      <w:r w:rsidRPr="00807E23">
        <w:rPr>
          <w:sz w:val="14"/>
        </w:rPr>
        <w:t xml:space="preserve">.363 To the extent that the agency has greater expertise in deciding which actions must be deterred, </w:t>
      </w:r>
      <w:r w:rsidRPr="00456038">
        <w:rPr>
          <w:rStyle w:val="Emphasis"/>
          <w:highlight w:val="cyan"/>
        </w:rPr>
        <w:t>civil penalties</w:t>
      </w:r>
      <w:r w:rsidRPr="00807E23">
        <w:rPr>
          <w:u w:val="single"/>
        </w:rPr>
        <w:t xml:space="preserve"> can </w:t>
      </w:r>
      <w:r w:rsidRPr="00456038">
        <w:rPr>
          <w:highlight w:val="cyan"/>
          <w:u w:val="single"/>
        </w:rPr>
        <w:t xml:space="preserve">yield </w:t>
      </w:r>
      <w:r w:rsidRPr="00456038">
        <w:rPr>
          <w:rStyle w:val="Emphasis"/>
          <w:highlight w:val="cyan"/>
        </w:rPr>
        <w:t>effective deterrence</w:t>
      </w:r>
      <w:r w:rsidRPr="00807E23">
        <w:rPr>
          <w:sz w:val="14"/>
        </w:rPr>
        <w:t>.</w:t>
      </w:r>
    </w:p>
    <w:p w14:paraId="7F9C0538" w14:textId="77777777" w:rsidR="009B74AC" w:rsidRPr="00807E23" w:rsidRDefault="009B74AC" w:rsidP="009B74AC">
      <w:pPr>
        <w:rPr>
          <w:sz w:val="14"/>
        </w:rPr>
      </w:pPr>
      <w:r w:rsidRPr="00807E23">
        <w:rPr>
          <w:sz w:val="14"/>
        </w:rPr>
        <w:t xml:space="preserve">Similarly, an agency's flexibility allows it to adapt to its regulations in response to changes in society and changes in executive policy. In contrast, the Constitution and congressional rules make passage of a new statute difficult, and the courts are bound to previous interpretations by the principle of stare decisis. </w:t>
      </w:r>
      <w:r w:rsidRPr="00807E23">
        <w:rPr>
          <w:u w:val="single"/>
        </w:rPr>
        <w:t>Despite</w:t>
      </w:r>
      <w:r w:rsidRPr="00807E23">
        <w:rPr>
          <w:sz w:val="14"/>
        </w:rPr>
        <w:t xml:space="preserve"> the acknowledged </w:t>
      </w:r>
      <w:r w:rsidRPr="00807E23">
        <w:rPr>
          <w:u w:val="single"/>
        </w:rPr>
        <w:t xml:space="preserve">benefits of </w:t>
      </w:r>
      <w:r w:rsidRPr="00456038">
        <w:rPr>
          <w:highlight w:val="cyan"/>
          <w:u w:val="single"/>
        </w:rPr>
        <w:t>agency flexibility</w:t>
      </w:r>
      <w:r w:rsidRPr="00807E23">
        <w:rPr>
          <w:u w:val="single"/>
        </w:rPr>
        <w:t xml:space="preserve"> in general, that these benefits </w:t>
      </w:r>
      <w:r w:rsidRPr="00456038">
        <w:rPr>
          <w:rStyle w:val="Emphasis"/>
          <w:highlight w:val="cyan"/>
        </w:rPr>
        <w:t>extend</w:t>
      </w:r>
      <w:r w:rsidRPr="00456038">
        <w:rPr>
          <w:highlight w:val="cyan"/>
          <w:u w:val="single"/>
        </w:rPr>
        <w:t xml:space="preserve"> to criminal law is </w:t>
      </w:r>
      <w:r w:rsidRPr="00456038">
        <w:rPr>
          <w:rStyle w:val="Emphasis"/>
          <w:highlight w:val="cyan"/>
        </w:rPr>
        <w:t>not clear</w:t>
      </w:r>
      <w:r w:rsidRPr="00807E23">
        <w:rPr>
          <w:sz w:val="14"/>
        </w:rPr>
        <w:t xml:space="preserve">. </w:t>
      </w:r>
      <w:r w:rsidRPr="00807E23">
        <w:rPr>
          <w:u w:val="single"/>
        </w:rPr>
        <w:t xml:space="preserve">Core societal </w:t>
      </w:r>
      <w:r w:rsidRPr="00456038">
        <w:rPr>
          <w:rStyle w:val="Emphasis"/>
          <w:highlight w:val="cyan"/>
        </w:rPr>
        <w:t>values do not change</w:t>
      </w:r>
      <w:r w:rsidRPr="00807E23">
        <w:rPr>
          <w:u w:val="single"/>
        </w:rPr>
        <w:t xml:space="preserve"> so </w:t>
      </w:r>
      <w:r w:rsidRPr="00456038">
        <w:rPr>
          <w:highlight w:val="cyan"/>
          <w:u w:val="single"/>
        </w:rPr>
        <w:t>quickly</w:t>
      </w:r>
      <w:r w:rsidRPr="00807E23">
        <w:rPr>
          <w:u w:val="single"/>
        </w:rPr>
        <w:t xml:space="preserve"> that Congress cannot keep pace, </w:t>
      </w:r>
      <w:r w:rsidRPr="00456038">
        <w:rPr>
          <w:highlight w:val="cyan"/>
          <w:u w:val="single"/>
        </w:rPr>
        <w:t>and</w:t>
      </w:r>
      <w:r w:rsidRPr="00807E23">
        <w:rPr>
          <w:u w:val="single"/>
        </w:rPr>
        <w:t xml:space="preserve"> the </w:t>
      </w:r>
      <w:r w:rsidRPr="00456038">
        <w:rPr>
          <w:rStyle w:val="Emphasis"/>
          <w:highlight w:val="cyan"/>
        </w:rPr>
        <w:t>due process</w:t>
      </w:r>
      <w:r w:rsidRPr="00807E23">
        <w:rPr>
          <w:u w:val="single"/>
        </w:rPr>
        <w:t xml:space="preserve"> notice requirement </w:t>
      </w:r>
      <w:r w:rsidRPr="00456038">
        <w:rPr>
          <w:highlight w:val="cyan"/>
          <w:u w:val="single"/>
        </w:rPr>
        <w:t xml:space="preserve">is </w:t>
      </w:r>
      <w:r w:rsidRPr="00456038">
        <w:rPr>
          <w:rStyle w:val="Emphasis"/>
          <w:highlight w:val="cyan"/>
        </w:rPr>
        <w:t>incompatible</w:t>
      </w:r>
      <w:r w:rsidRPr="00807E23">
        <w:rPr>
          <w:u w:val="single"/>
        </w:rPr>
        <w:t xml:space="preserve"> with rapidly changing criminal rules</w:t>
      </w:r>
      <w:r w:rsidRPr="00807E23">
        <w:rPr>
          <w:sz w:val="14"/>
        </w:rPr>
        <w:t>.36</w:t>
      </w:r>
    </w:p>
    <w:p w14:paraId="249E6AF8" w14:textId="37F64FF4" w:rsidR="009B74AC" w:rsidRPr="009B74AC" w:rsidRDefault="009B74AC" w:rsidP="00EA1317">
      <w:pPr>
        <w:rPr>
          <w:sz w:val="14"/>
        </w:rPr>
      </w:pPr>
      <w:r w:rsidRPr="00807E23">
        <w:rPr>
          <w:u w:val="single"/>
        </w:rPr>
        <w:t>In the criminal setting</w:t>
      </w:r>
      <w:r w:rsidRPr="00807E23">
        <w:rPr>
          <w:sz w:val="14"/>
        </w:rPr>
        <w:t xml:space="preserve">, then, the </w:t>
      </w:r>
      <w:r w:rsidRPr="00807E23">
        <w:rPr>
          <w:u w:val="single"/>
        </w:rPr>
        <w:t>expertise and flexibility arguments for deference lose</w:t>
      </w:r>
      <w:r w:rsidRPr="00807E23">
        <w:rPr>
          <w:sz w:val="14"/>
        </w:rPr>
        <w:t xml:space="preserve"> a great deal of their force.</w:t>
      </w:r>
    </w:p>
    <w:p w14:paraId="62A1EB7E" w14:textId="4ED2C907" w:rsidR="00B51F6B" w:rsidRPr="0095149D" w:rsidRDefault="00B51F6B" w:rsidP="00B51F6B">
      <w:pPr>
        <w:pStyle w:val="Heading4"/>
      </w:pPr>
      <w:r w:rsidRPr="0000458A">
        <w:t xml:space="preserve">No link – the plan wouldn’t impact </w:t>
      </w:r>
      <w:r w:rsidRPr="0000458A">
        <w:rPr>
          <w:i/>
          <w:iCs w:val="0"/>
        </w:rPr>
        <w:t>Chevron</w:t>
      </w:r>
      <w:r w:rsidR="0095149D">
        <w:t>.</w:t>
      </w:r>
    </w:p>
    <w:p w14:paraId="78D41B6F" w14:textId="77777777" w:rsidR="00B51F6B" w:rsidRPr="0000458A" w:rsidRDefault="00B51F6B" w:rsidP="00B51F6B">
      <w:r w:rsidRPr="0000458A">
        <w:rPr>
          <w:rStyle w:val="Heading4Char"/>
        </w:rPr>
        <w:t>Liu 15</w:t>
      </w:r>
      <w:r w:rsidRPr="0000458A">
        <w:t xml:space="preserve"> – (Cory R. Liu, Law Clerk, Hon. Danny J. Boggs, United States Court of Appeals for the Sixth Circuit; J.D., Harvard Law School, 2015; A.B., University of Chicago, 2012; “CHEVRON’S DOMAIN AND THE RULE OF LAW”; D.A. June 20</w:t>
      </w:r>
      <w:r w:rsidRPr="0000458A">
        <w:rPr>
          <w:vertAlign w:val="superscript"/>
        </w:rPr>
        <w:t>th</w:t>
      </w:r>
      <w:r w:rsidRPr="0000458A">
        <w:t xml:space="preserve"> 2020, [Published Spring 2016]; Texas Review of Law &amp; Politics, Vol. 20, Issue 2, pg. 405-410; ProQuest via UMich libraries) //LFS—JCM</w:t>
      </w:r>
    </w:p>
    <w:p w14:paraId="7C2D6948" w14:textId="77777777" w:rsidR="00B51F6B" w:rsidRPr="0000458A" w:rsidRDefault="00B51F6B" w:rsidP="00B51F6B">
      <w:pPr>
        <w:rPr>
          <w:sz w:val="16"/>
        </w:rPr>
      </w:pPr>
      <w:r w:rsidRPr="0000458A">
        <w:rPr>
          <w:sz w:val="16"/>
        </w:rPr>
        <w:t xml:space="preserve">Judge </w:t>
      </w:r>
      <w:r w:rsidRPr="00456038">
        <w:rPr>
          <w:rStyle w:val="Emphasis"/>
          <w:highlight w:val="cyan"/>
        </w:rPr>
        <w:t>Sutton</w:t>
      </w:r>
      <w:r w:rsidRPr="00456038">
        <w:rPr>
          <w:sz w:val="16"/>
          <w:highlight w:val="cyan"/>
        </w:rPr>
        <w:t xml:space="preserve"> </w:t>
      </w:r>
      <w:r w:rsidRPr="00456038">
        <w:rPr>
          <w:rStyle w:val="StyleUnderline"/>
          <w:highlight w:val="cyan"/>
        </w:rPr>
        <w:t>dissented</w:t>
      </w:r>
      <w:r w:rsidRPr="0000458A">
        <w:rPr>
          <w:sz w:val="16"/>
        </w:rPr>
        <w:t xml:space="preserve">, 117 drawing extensively from his earlier concurrence in Carter v. Welles-Bowen Realty, Inc.,118 which laid much of the intellectual groundwork for Esquivel-Quintana's argument. Judge </w:t>
      </w:r>
      <w:r w:rsidRPr="0000458A">
        <w:rPr>
          <w:rStyle w:val="StyleUnderline"/>
        </w:rPr>
        <w:t>Sutton would have held that "</w:t>
      </w:r>
      <w:r w:rsidRPr="00456038">
        <w:rPr>
          <w:rStyle w:val="StyleUnderline"/>
          <w:highlight w:val="cyan"/>
        </w:rPr>
        <w:t>Chevron has no role</w:t>
      </w:r>
      <w:r w:rsidRPr="0000458A">
        <w:rPr>
          <w:rStyle w:val="StyleUnderline"/>
        </w:rPr>
        <w:t xml:space="preserve"> to play </w:t>
      </w:r>
      <w:r w:rsidRPr="00456038">
        <w:rPr>
          <w:rStyle w:val="StyleUnderline"/>
          <w:highlight w:val="cyan"/>
        </w:rPr>
        <w:t>in</w:t>
      </w:r>
      <w:r w:rsidRPr="0000458A">
        <w:rPr>
          <w:rStyle w:val="StyleUnderline"/>
        </w:rPr>
        <w:t xml:space="preserve"> construing </w:t>
      </w:r>
      <w:r w:rsidRPr="00456038">
        <w:rPr>
          <w:rStyle w:val="StyleUnderline"/>
          <w:highlight w:val="cyan"/>
        </w:rPr>
        <w:t>hybrid statutes</w:t>
      </w:r>
      <w:r w:rsidRPr="0000458A">
        <w:rPr>
          <w:rStyle w:val="StyleUnderline"/>
        </w:rPr>
        <w:t>."</w:t>
      </w:r>
      <w:r w:rsidRPr="0000458A">
        <w:rPr>
          <w:sz w:val="16"/>
        </w:rPr>
        <w:t xml:space="preserve">119 In explaining his rationale for </w:t>
      </w:r>
      <w:r w:rsidRPr="0000458A">
        <w:rPr>
          <w:rStyle w:val="StyleUnderline"/>
        </w:rPr>
        <w:t>allowing this exception to Chevron</w:t>
      </w:r>
      <w:r w:rsidRPr="0000458A">
        <w:rPr>
          <w:sz w:val="16"/>
        </w:rPr>
        <w:t>, Judge Sutton noted a number of situations in which the Supreme Court has declined to follow Chevron:</w:t>
      </w:r>
    </w:p>
    <w:p w14:paraId="752CE803" w14:textId="77777777" w:rsidR="00B51F6B" w:rsidRPr="0000458A" w:rsidRDefault="00B51F6B" w:rsidP="00B51F6B">
      <w:pPr>
        <w:ind w:left="720"/>
        <w:rPr>
          <w:sz w:val="16"/>
        </w:rPr>
      </w:pPr>
      <w:r w:rsidRPr="00456038">
        <w:rPr>
          <w:rStyle w:val="StyleUnderline"/>
          <w:highlight w:val="cyan"/>
        </w:rPr>
        <w:t xml:space="preserve">An </w:t>
      </w:r>
      <w:r w:rsidRPr="00456038">
        <w:rPr>
          <w:rStyle w:val="Emphasis"/>
          <w:highlight w:val="cyan"/>
        </w:rPr>
        <w:t>exception to Chevron for dual-role statutes</w:t>
      </w:r>
      <w:r w:rsidRPr="00456038">
        <w:rPr>
          <w:rStyle w:val="StyleUnderline"/>
          <w:highlight w:val="cyan"/>
        </w:rPr>
        <w:t xml:space="preserve"> would </w:t>
      </w:r>
      <w:r w:rsidRPr="00456038">
        <w:rPr>
          <w:rStyle w:val="Emphasis"/>
          <w:highlight w:val="cyan"/>
        </w:rPr>
        <w:t>not be</w:t>
      </w:r>
      <w:r w:rsidRPr="0000458A">
        <w:rPr>
          <w:sz w:val="16"/>
        </w:rPr>
        <w:t xml:space="preserve"> the least bit </w:t>
      </w:r>
      <w:r w:rsidRPr="00456038">
        <w:rPr>
          <w:rStyle w:val="Emphasis"/>
          <w:highlight w:val="cyan"/>
        </w:rPr>
        <w:t>unusual</w:t>
      </w:r>
      <w:r w:rsidRPr="0000458A">
        <w:rPr>
          <w:sz w:val="16"/>
        </w:rPr>
        <w:t xml:space="preserve">. </w:t>
      </w:r>
      <w:r w:rsidRPr="0000458A">
        <w:rPr>
          <w:rStyle w:val="StyleUnderline"/>
        </w:rPr>
        <w:t>Deference under that rule is categorically unavailable</w:t>
      </w:r>
      <w:r w:rsidRPr="0000458A">
        <w:rPr>
          <w:sz w:val="16"/>
        </w:rPr>
        <w:t xml:space="preserve">, the Supreme Court has held, in many settings: </w:t>
      </w:r>
      <w:r w:rsidRPr="0000458A">
        <w:rPr>
          <w:rStyle w:val="StyleUnderline"/>
        </w:rPr>
        <w:t>(1) agency interpretations</w:t>
      </w:r>
      <w:r w:rsidRPr="0000458A">
        <w:rPr>
          <w:sz w:val="16"/>
        </w:rPr>
        <w:t xml:space="preserve"> of statutes the agency </w:t>
      </w:r>
      <w:r w:rsidRPr="0000458A">
        <w:rPr>
          <w:rStyle w:val="StyleUnderline"/>
        </w:rPr>
        <w:t>is not "charged with administering</w:t>
      </w:r>
      <w:r w:rsidRPr="0000458A">
        <w:rPr>
          <w:sz w:val="16"/>
        </w:rPr>
        <w:t xml:space="preserve">," Metro. Stevedore Co. v. Rambo, 521 U.S. 121, 137 n. 9 (1997); </w:t>
      </w:r>
      <w:r w:rsidRPr="0000458A">
        <w:rPr>
          <w:rStyle w:val="StyleUnderline"/>
        </w:rPr>
        <w:t xml:space="preserve">(2) agency interpretations of "the scope of </w:t>
      </w:r>
      <w:r w:rsidRPr="0000458A">
        <w:rPr>
          <w:sz w:val="16"/>
        </w:rPr>
        <w:t xml:space="preserve">the </w:t>
      </w:r>
      <w:r w:rsidRPr="0000458A">
        <w:rPr>
          <w:rStyle w:val="StyleUnderline"/>
        </w:rPr>
        <w:t>judicial power vested by [a] statute</w:t>
      </w:r>
      <w:r w:rsidRPr="0000458A">
        <w:rPr>
          <w:sz w:val="16"/>
        </w:rPr>
        <w:t xml:space="preserve">," such as the availability of a private right of action, Adams Fruit Co. v. Barrett, 494 U.S. 638, 649-50 (1990); see Alexander v. Sandoval, 532 U.S. 275, 288-91 (2001); </w:t>
      </w:r>
      <w:r w:rsidRPr="0000458A">
        <w:rPr>
          <w:rStyle w:val="StyleUnderline"/>
        </w:rPr>
        <w:t xml:space="preserve">(3) agency interpretations that result from procedures that were </w:t>
      </w:r>
      <w:r w:rsidRPr="0000458A">
        <w:rPr>
          <w:rStyle w:val="Emphasis"/>
        </w:rPr>
        <w:t>not "in the exercise" of the agency's authority</w:t>
      </w:r>
      <w:r w:rsidRPr="0000458A">
        <w:rPr>
          <w:rStyle w:val="StyleUnderline"/>
        </w:rPr>
        <w:t xml:space="preserve"> "to make rules carrying the force of law,"</w:t>
      </w:r>
      <w:r w:rsidRPr="0000458A">
        <w:rPr>
          <w:sz w:val="16"/>
        </w:rPr>
        <w:t xml:space="preserve"> United States v. Mead Corp., 533 U.S. 218, 226-27 (2001); </w:t>
      </w:r>
      <w:r w:rsidRPr="0000458A">
        <w:rPr>
          <w:rStyle w:val="StyleUnderline"/>
        </w:rPr>
        <w:t xml:space="preserve">(4) agency interpretations with respect to "extraordinary cases" </w:t>
      </w:r>
      <w:r w:rsidRPr="0000458A">
        <w:rPr>
          <w:sz w:val="16"/>
        </w:rPr>
        <w:t xml:space="preserve">where </w:t>
      </w:r>
      <w:r w:rsidRPr="00456038">
        <w:rPr>
          <w:rStyle w:val="StyleUnderline"/>
          <w:highlight w:val="cyan"/>
        </w:rPr>
        <w:t xml:space="preserve">it is </w:t>
      </w:r>
      <w:r w:rsidRPr="00456038">
        <w:rPr>
          <w:rStyle w:val="Emphasis"/>
          <w:highlight w:val="cyan"/>
        </w:rPr>
        <w:t>unlikely</w:t>
      </w:r>
      <w:r w:rsidRPr="00456038">
        <w:rPr>
          <w:rStyle w:val="StyleUnderline"/>
          <w:highlight w:val="cyan"/>
        </w:rPr>
        <w:t xml:space="preserve"> </w:t>
      </w:r>
      <w:r w:rsidRPr="00456038">
        <w:rPr>
          <w:rStyle w:val="Emphasis"/>
          <w:highlight w:val="cyan"/>
        </w:rPr>
        <w:t>Congress</w:t>
      </w:r>
      <w:r w:rsidRPr="0000458A">
        <w:rPr>
          <w:rStyle w:val="StyleUnderline"/>
        </w:rPr>
        <w:t xml:space="preserve"> "</w:t>
      </w:r>
      <w:r w:rsidRPr="00456038">
        <w:rPr>
          <w:rStyle w:val="Emphasis"/>
          <w:highlight w:val="cyan"/>
        </w:rPr>
        <w:t>intended</w:t>
      </w:r>
      <w:r w:rsidRPr="0000458A">
        <w:rPr>
          <w:rStyle w:val="StyleUnderline"/>
        </w:rPr>
        <w:t xml:space="preserve"> . . . </w:t>
      </w:r>
      <w:r w:rsidRPr="00456038">
        <w:rPr>
          <w:rStyle w:val="StyleUnderline"/>
          <w:highlight w:val="cyan"/>
        </w:rPr>
        <w:t xml:space="preserve">an </w:t>
      </w:r>
      <w:r w:rsidRPr="00456038">
        <w:rPr>
          <w:rStyle w:val="Emphasis"/>
          <w:highlight w:val="cyan"/>
        </w:rPr>
        <w:t>implicit delegation</w:t>
      </w:r>
      <w:r w:rsidRPr="0000458A">
        <w:rPr>
          <w:rStyle w:val="StyleUnderline"/>
        </w:rPr>
        <w:t>"</w:t>
      </w:r>
      <w:r w:rsidRPr="0000458A">
        <w:rPr>
          <w:sz w:val="16"/>
        </w:rPr>
        <w:t xml:space="preserve"> to the agency, King v. Burwell, 135 S. Ct. 2480, 2488- 89 (2015); </w:t>
      </w:r>
      <w:r w:rsidRPr="0000458A">
        <w:rPr>
          <w:rStyle w:val="StyleUnderline"/>
        </w:rPr>
        <w:t xml:space="preserve">and (5) </w:t>
      </w:r>
      <w:r w:rsidRPr="00456038">
        <w:rPr>
          <w:rStyle w:val="StyleUnderline"/>
          <w:highlight w:val="cyan"/>
        </w:rPr>
        <w:t>agency</w:t>
      </w:r>
      <w:r w:rsidRPr="0000458A">
        <w:rPr>
          <w:rStyle w:val="StyleUnderline"/>
        </w:rPr>
        <w:t xml:space="preserve"> </w:t>
      </w:r>
      <w:r w:rsidRPr="00456038">
        <w:rPr>
          <w:rStyle w:val="Emphasis"/>
          <w:highlight w:val="cyan"/>
        </w:rPr>
        <w:t>interpretations of criminal statutes</w:t>
      </w:r>
      <w:r w:rsidRPr="0000458A">
        <w:rPr>
          <w:sz w:val="16"/>
        </w:rPr>
        <w:t>, Abramski, 134 S. Ct. at 2274.120</w:t>
      </w:r>
    </w:p>
    <w:p w14:paraId="56CDBAD7" w14:textId="77777777" w:rsidR="00B51F6B" w:rsidRPr="0000458A" w:rsidRDefault="00B51F6B" w:rsidP="00B51F6B">
      <w:pPr>
        <w:rPr>
          <w:sz w:val="16"/>
        </w:rPr>
      </w:pPr>
      <w:r w:rsidRPr="0000458A">
        <w:rPr>
          <w:sz w:val="16"/>
          <w:szCs w:val="16"/>
        </w:rPr>
        <w:t>By providing this lengthy list of exceptions to Chevron, Judge Sutton made it clear that, in his</w:t>
      </w:r>
      <w:r w:rsidRPr="0000458A">
        <w:rPr>
          <w:sz w:val="16"/>
        </w:rPr>
        <w:t xml:space="preserve"> view, hoping for </w:t>
      </w:r>
      <w:r w:rsidRPr="00456038">
        <w:rPr>
          <w:rStyle w:val="StyleUnderline"/>
          <w:highlight w:val="cyan"/>
        </w:rPr>
        <w:t xml:space="preserve">an </w:t>
      </w:r>
      <w:r w:rsidRPr="00456038">
        <w:rPr>
          <w:rStyle w:val="Emphasis"/>
          <w:highlight w:val="cyan"/>
        </w:rPr>
        <w:t>across-the-board presumption</w:t>
      </w:r>
      <w:r w:rsidRPr="00456038">
        <w:rPr>
          <w:rStyle w:val="StyleUnderline"/>
          <w:highlight w:val="cyan"/>
        </w:rPr>
        <w:t xml:space="preserve"> of Chevron</w:t>
      </w:r>
      <w:r w:rsidRPr="0000458A">
        <w:rPr>
          <w:rStyle w:val="StyleUnderline"/>
        </w:rPr>
        <w:t xml:space="preserve">'s applicability </w:t>
      </w:r>
      <w:r w:rsidRPr="00456038">
        <w:rPr>
          <w:rStyle w:val="Emphasis"/>
          <w:highlight w:val="cyan"/>
        </w:rPr>
        <w:t>is a pipe dream</w:t>
      </w:r>
      <w:r w:rsidRPr="0000458A">
        <w:rPr>
          <w:sz w:val="16"/>
        </w:rPr>
        <w:t xml:space="preserve">. </w:t>
      </w:r>
      <w:r w:rsidRPr="00456038">
        <w:rPr>
          <w:rStyle w:val="Emphasis"/>
          <w:highlight w:val="cyan"/>
        </w:rPr>
        <w:t>The battle to prevent</w:t>
      </w:r>
      <w:r w:rsidRPr="0000458A">
        <w:rPr>
          <w:rStyle w:val="StyleUnderline"/>
        </w:rPr>
        <w:t xml:space="preserve"> case-by-case </w:t>
      </w:r>
      <w:r w:rsidRPr="00456038">
        <w:rPr>
          <w:rStyle w:val="Emphasis"/>
          <w:highlight w:val="cyan"/>
        </w:rPr>
        <w:t>incursions</w:t>
      </w:r>
      <w:r w:rsidRPr="0000458A">
        <w:rPr>
          <w:rStyle w:val="StyleUnderline"/>
        </w:rPr>
        <w:t xml:space="preserve"> on Chevron's domain </w:t>
      </w:r>
      <w:r w:rsidRPr="00456038">
        <w:rPr>
          <w:rStyle w:val="Emphasis"/>
          <w:highlight w:val="cyan"/>
        </w:rPr>
        <w:t>has already been lost</w:t>
      </w:r>
      <w:r w:rsidRPr="0000458A">
        <w:rPr>
          <w:sz w:val="16"/>
        </w:rPr>
        <w:t xml:space="preserve">, Judge Sutton argued, and </w:t>
      </w:r>
      <w:r w:rsidRPr="00456038">
        <w:rPr>
          <w:rStyle w:val="Emphasis"/>
          <w:highlight w:val="cyan"/>
        </w:rPr>
        <w:t xml:space="preserve">with so many exceptions </w:t>
      </w:r>
      <w:r w:rsidRPr="00456038">
        <w:rPr>
          <w:rStyle w:val="StyleUnderline"/>
          <w:highlight w:val="cyan"/>
        </w:rPr>
        <w:t>to Chevron</w:t>
      </w:r>
      <w:r w:rsidRPr="0000458A">
        <w:rPr>
          <w:rStyle w:val="StyleUnderline"/>
        </w:rPr>
        <w:t xml:space="preserve"> already, </w:t>
      </w:r>
      <w:r w:rsidRPr="00456038">
        <w:rPr>
          <w:rStyle w:val="StyleUnderline"/>
          <w:highlight w:val="cyan"/>
        </w:rPr>
        <w:t xml:space="preserve">we </w:t>
      </w:r>
      <w:r w:rsidRPr="00456038">
        <w:rPr>
          <w:rStyle w:val="Emphasis"/>
          <w:highlight w:val="cyan"/>
        </w:rPr>
        <w:t>might as well add another</w:t>
      </w:r>
      <w:r w:rsidRPr="0000458A">
        <w:rPr>
          <w:rStyle w:val="StyleUnderline"/>
        </w:rPr>
        <w:t xml:space="preserve"> exception when there are compelling reasons for doing so</w:t>
      </w:r>
      <w:r w:rsidRPr="0000458A">
        <w:rPr>
          <w:sz w:val="16"/>
        </w:rPr>
        <w:t>.</w:t>
      </w:r>
    </w:p>
    <w:p w14:paraId="3137B057" w14:textId="5615BD36" w:rsidR="00805A42" w:rsidRPr="00805A42" w:rsidRDefault="00805A42" w:rsidP="00805A42">
      <w:pPr>
        <w:pStyle w:val="Heading4"/>
      </w:pPr>
      <w:r>
        <w:t xml:space="preserve">Collapse is </w:t>
      </w:r>
      <w:r>
        <w:rPr>
          <w:u w:val="single"/>
        </w:rPr>
        <w:t>impossible</w:t>
      </w:r>
      <w:r>
        <w:t>.</w:t>
      </w:r>
    </w:p>
    <w:p w14:paraId="4074D6D1" w14:textId="77777777" w:rsidR="00805A42" w:rsidRPr="003C60C2" w:rsidRDefault="00805A42" w:rsidP="00805A42">
      <w:pPr>
        <w:rPr>
          <w:lang w:eastAsia="zh-TW"/>
        </w:rPr>
      </w:pPr>
      <w:r w:rsidRPr="003C60C2">
        <w:rPr>
          <w:b/>
          <w:bCs/>
          <w:sz w:val="26"/>
          <w:szCs w:val="26"/>
          <w:lang w:eastAsia="zh-TW"/>
        </w:rPr>
        <w:t>Bednar and Hickman 17</w:t>
      </w:r>
      <w:r>
        <w:rPr>
          <w:lang w:eastAsia="zh-TW"/>
        </w:rPr>
        <w:t xml:space="preserve"> - J</w:t>
      </w:r>
      <w:r w:rsidRPr="003C60C2">
        <w:rPr>
          <w:lang w:eastAsia="zh-TW"/>
        </w:rPr>
        <w:t>.D., University of Minnesota Law School</w:t>
      </w:r>
      <w:r>
        <w:rPr>
          <w:lang w:eastAsia="zh-TW"/>
        </w:rPr>
        <w:t xml:space="preserve">, </w:t>
      </w:r>
      <w:r w:rsidRPr="003C60C2">
        <w:rPr>
          <w:lang w:eastAsia="zh-TW"/>
        </w:rPr>
        <w:t>Distinguished McKnight University Professor and Harlan Albert Rogers Professor in Law, University of Minnesota Law School</w:t>
      </w:r>
      <w:r>
        <w:rPr>
          <w:lang w:eastAsia="zh-TW"/>
        </w:rPr>
        <w:t>, (</w:t>
      </w:r>
      <w:r w:rsidRPr="003C60C2">
        <w:rPr>
          <w:lang w:eastAsia="zh-TW"/>
        </w:rPr>
        <w:t xml:space="preserve">Nicholas R. </w:t>
      </w:r>
      <w:r>
        <w:rPr>
          <w:lang w:eastAsia="zh-TW"/>
        </w:rPr>
        <w:t>and</w:t>
      </w:r>
      <w:r w:rsidRPr="003C60C2">
        <w:rPr>
          <w:lang w:eastAsia="zh-TW"/>
        </w:rPr>
        <w:t xml:space="preserve"> Kristin E., </w:t>
      </w:r>
      <w:r>
        <w:rPr>
          <w:lang w:eastAsia="zh-TW"/>
        </w:rPr>
        <w:t>“</w:t>
      </w:r>
      <w:r w:rsidRPr="003C60C2">
        <w:rPr>
          <w:lang w:eastAsia="zh-TW"/>
        </w:rPr>
        <w:t>Chevron's Inevitability,</w:t>
      </w:r>
      <w:r>
        <w:rPr>
          <w:lang w:eastAsia="zh-TW"/>
        </w:rPr>
        <w:t>”</w:t>
      </w:r>
      <w:r w:rsidRPr="003C60C2">
        <w:rPr>
          <w:lang w:eastAsia="zh-TW"/>
        </w:rPr>
        <w:t xml:space="preserve"> </w:t>
      </w:r>
      <w:r w:rsidRPr="003C60C2">
        <w:rPr>
          <w:i/>
          <w:iCs/>
          <w:lang w:eastAsia="zh-TW"/>
        </w:rPr>
        <w:t>Geo. Wash. L. Rev. 1392</w:t>
      </w:r>
      <w:r>
        <w:rPr>
          <w:lang w:eastAsia="zh-TW"/>
        </w:rPr>
        <w:t>, 2017, Accessed online 6-20-20, LASA-AH)</w:t>
      </w:r>
    </w:p>
    <w:p w14:paraId="5D61E844" w14:textId="77777777" w:rsidR="00805A42" w:rsidRPr="009727FB" w:rsidRDefault="00805A42" w:rsidP="00805A42">
      <w:pPr>
        <w:rPr>
          <w:rStyle w:val="Emphasis"/>
        </w:rPr>
      </w:pPr>
      <w:r w:rsidRPr="003C60C2">
        <w:t xml:space="preserve">We take a different view. Leave aside, for the sake of argument, stare decisis and whether Chevron even meets traditional criteria the Supreme Court has applied when overturning precedents. </w:t>
      </w:r>
      <w:r w:rsidRPr="003C60C2">
        <w:rPr>
          <w:u w:val="single"/>
        </w:rPr>
        <w:t xml:space="preserve">Although the Court's rhetoric regarding Chevron's scope and operation contin- ues to evolve, we believe that reports of the doctrine's </w:t>
      </w:r>
      <w:r w:rsidRPr="009727FB">
        <w:rPr>
          <w:rStyle w:val="Emphasis"/>
        </w:rPr>
        <w:t>pending demise are overblown</w:t>
      </w:r>
      <w:r w:rsidRPr="003C60C2">
        <w:t xml:space="preserve">. Moreover, we suggest, </w:t>
      </w:r>
      <w:r w:rsidRPr="003C60C2">
        <w:rPr>
          <w:u w:val="single"/>
        </w:rPr>
        <w:t xml:space="preserve">those who actively seek to elim- inate Chevron deference are </w:t>
      </w:r>
      <w:r w:rsidRPr="009727FB">
        <w:rPr>
          <w:rStyle w:val="Emphasis"/>
        </w:rPr>
        <w:t xml:space="preserve">aiming at the wrong target. </w:t>
      </w:r>
    </w:p>
    <w:p w14:paraId="10185877" w14:textId="77777777" w:rsidR="00805A42" w:rsidRPr="003C60C2" w:rsidRDefault="00805A42" w:rsidP="00805A42">
      <w:pPr>
        <w:rPr>
          <w:u w:val="single"/>
        </w:rPr>
      </w:pPr>
      <w:r w:rsidRPr="003C60C2">
        <w:t xml:space="preserve">For one thing, </w:t>
      </w:r>
      <w:r w:rsidRPr="003C60C2">
        <w:rPr>
          <w:u w:val="single"/>
        </w:rPr>
        <w:t xml:space="preserve">the common narrative of Chevron's revolutionary rise and dominance of judicial review of administrative action is exag- gerated. </w:t>
      </w:r>
      <w:r w:rsidRPr="003C60C2">
        <w:t>The</w:t>
      </w:r>
      <w:r w:rsidRPr="003C60C2">
        <w:rPr>
          <w:u w:val="single"/>
        </w:rPr>
        <w:t xml:space="preserve"> sheer volume of cases in which courts must consider agency interpretations of statutes means </w:t>
      </w:r>
      <w:r w:rsidRPr="009727FB">
        <w:rPr>
          <w:rStyle w:val="Emphasis"/>
        </w:rPr>
        <w:t>courts inevitably apply Chev- ron</w:t>
      </w:r>
      <w:r w:rsidRPr="003C60C2">
        <w:rPr>
          <w:u w:val="single"/>
        </w:rPr>
        <w:t xml:space="preserve"> a lot</w:t>
      </w:r>
      <w:r w:rsidRPr="003C60C2">
        <w:t>. But for all of the hype and attention</w:t>
      </w:r>
      <w:r w:rsidRPr="003C60C2">
        <w:rPr>
          <w:u w:val="single"/>
        </w:rPr>
        <w:t>, Chevron is, first and foremost,just a standard of review-one among several that courts apply in evaluatỉng agency action.</w:t>
      </w:r>
      <w:r w:rsidRPr="003C60C2">
        <w:t xml:space="preserve">" Rhetoric notwithstanding, </w:t>
      </w:r>
      <w:r w:rsidRPr="009727FB">
        <w:rPr>
          <w:rStyle w:val="Emphasis"/>
        </w:rPr>
        <w:t>Chev- ron alone does not</w:t>
      </w:r>
      <w:r w:rsidRPr="003C60C2">
        <w:rPr>
          <w:u w:val="single"/>
        </w:rPr>
        <w:t xml:space="preserve"> truly drive the outcome in most of the cases in which courts apply it. </w:t>
      </w:r>
    </w:p>
    <w:p w14:paraId="110685F4" w14:textId="77777777" w:rsidR="00805A42" w:rsidRPr="003C60C2" w:rsidRDefault="00805A42" w:rsidP="00805A42">
      <w:pPr>
        <w:rPr>
          <w:u w:val="single"/>
        </w:rPr>
      </w:pPr>
      <w:r w:rsidRPr="003C60C2">
        <w:t xml:space="preserve">Admittedly, because the Justices have never been able to agree on precisely how Chevron review works, the Supreme Court has done a poor job of applying Chevron consistently. Consequently, </w:t>
      </w:r>
      <w:r w:rsidRPr="003C60C2">
        <w:rPr>
          <w:u w:val="single"/>
        </w:rPr>
        <w:t xml:space="preserve">Chevron is susceptible to competing theories regarding how it does and should operate, all employed here and there by one court or another, often seemingly interchangeably, without the courts acknowledging or per- haps even recognizing the distinctions." </w:t>
      </w:r>
      <w:r w:rsidRPr="003C60C2">
        <w:t>This jurisprudential inconsis- tency has produced a ridiculous degree of doctrinal complexity that provides endless fodder for discussion (and discontent) about Chev- ron.</w:t>
      </w:r>
      <w:r w:rsidRPr="003C60C2">
        <w:rPr>
          <w:u w:val="single"/>
        </w:rPr>
        <w:t xml:space="preserve">Yet standards of judicial review are never precise instruments, and many other legal doctrines are highly malleable in their applica- tion without occasioning the vitriol presently being hurled at Chevron. </w:t>
      </w:r>
    </w:p>
    <w:p w14:paraId="424DA860" w14:textId="77777777" w:rsidR="00805A42" w:rsidRPr="009727FB" w:rsidRDefault="00805A42" w:rsidP="00805A42">
      <w:pPr>
        <w:rPr>
          <w:u w:val="single"/>
        </w:rPr>
      </w:pPr>
      <w:r w:rsidRPr="003C60C2">
        <w:t xml:space="preserve">Finally, </w:t>
      </w:r>
      <w:r w:rsidRPr="003C60C2">
        <w:rPr>
          <w:u w:val="single"/>
        </w:rPr>
        <w:t>predictions of (or hopes for) Chevron's pending demise fail to take into account that Chevron deference</w:t>
      </w:r>
      <w:r w:rsidRPr="003C60C2">
        <w:t xml:space="preserve">, or something much like it, </w:t>
      </w:r>
      <w:r w:rsidRPr="003C60C2">
        <w:rPr>
          <w:u w:val="single"/>
        </w:rPr>
        <w:t>is a necessary consequence of and corollary to Congress's long- standing habit of relying on agencies to exercise substantial poli- cymaking discretion to resolve statutory details</w:t>
      </w:r>
      <w:r w:rsidRPr="003C60C2">
        <w:t xml:space="preserve">, As administrative law's best-known doctrine, </w:t>
      </w:r>
      <w:r w:rsidRPr="003C60C2">
        <w:rPr>
          <w:u w:val="single"/>
        </w:rPr>
        <w:t xml:space="preserve">Chevron has become a convenient scape- goat </w:t>
      </w:r>
      <w:r w:rsidRPr="009727FB">
        <w:t>or bogeyman</w:t>
      </w:r>
      <w:r w:rsidRPr="003C60C2">
        <w:rPr>
          <w:u w:val="single"/>
        </w:rPr>
        <w:t xml:space="preserve"> for those </w:t>
      </w:r>
      <w:r w:rsidRPr="009727FB">
        <w:t>who are</w:t>
      </w:r>
      <w:r w:rsidRPr="003C60C2">
        <w:rPr>
          <w:u w:val="single"/>
        </w:rPr>
        <w:t xml:space="preserve"> unhappy with the </w:t>
      </w:r>
      <w:r w:rsidRPr="009727FB">
        <w:t>administrative</w:t>
      </w:r>
      <w:r w:rsidRPr="003C60C2">
        <w:rPr>
          <w:u w:val="single"/>
        </w:rPr>
        <w:t xml:space="preserve"> state </w:t>
      </w:r>
      <w:r w:rsidRPr="009727FB">
        <w:t>or judicial</w:t>
      </w:r>
      <w:r w:rsidRPr="003C60C2">
        <w:rPr>
          <w:u w:val="single"/>
        </w:rPr>
        <w:t xml:space="preserve"> review of agency action.</w:t>
      </w:r>
      <w:r w:rsidRPr="003C60C2">
        <w:t xml:space="preserve">But </w:t>
      </w:r>
      <w:r w:rsidRPr="003C60C2">
        <w:rPr>
          <w:u w:val="single"/>
        </w:rPr>
        <w:t xml:space="preserve">unless Congress chooses to assume </w:t>
      </w:r>
      <w:r w:rsidRPr="009727FB">
        <w:t>substantially</w:t>
      </w:r>
      <w:r w:rsidRPr="003C60C2">
        <w:rPr>
          <w:u w:val="single"/>
        </w:rPr>
        <w:t xml:space="preserve"> more responsibility for making policy choices </w:t>
      </w:r>
      <w:r w:rsidRPr="009727FB">
        <w:t>itself</w:t>
      </w:r>
      <w:r w:rsidRPr="003C60C2">
        <w:rPr>
          <w:u w:val="single"/>
        </w:rPr>
        <w:t xml:space="preserve"> or the courts decide to </w:t>
      </w:r>
      <w:r w:rsidRPr="009727FB">
        <w:t>seriously</w:t>
      </w:r>
      <w:r w:rsidRPr="003C60C2">
        <w:rPr>
          <w:u w:val="single"/>
        </w:rPr>
        <w:t xml:space="preserve"> reinvigorate the nondelegation doctrine-neither of which seems remotely likely-at least some vari- ant of Chevron </w:t>
      </w:r>
      <w:r w:rsidRPr="009727FB">
        <w:rPr>
          <w:rStyle w:val="Emphasis"/>
        </w:rPr>
        <w:t>deference will be essential to guide and assist courts</w:t>
      </w:r>
      <w:r w:rsidRPr="003C60C2">
        <w:rPr>
          <w:u w:val="single"/>
        </w:rPr>
        <w:t xml:space="preserve"> from intruding too deeply into a policy sphere for which they are ill- suited.</w:t>
      </w:r>
    </w:p>
    <w:p w14:paraId="14C947A0" w14:textId="73EBDF16" w:rsidR="0095149D" w:rsidRDefault="0095149D" w:rsidP="0095149D">
      <w:pPr>
        <w:pStyle w:val="Heading4"/>
      </w:pPr>
      <w:r>
        <w:t>It doesn’t destroy all deference.</w:t>
      </w:r>
    </w:p>
    <w:p w14:paraId="08CD74DC" w14:textId="3C851F7D" w:rsidR="0095149D" w:rsidRPr="00196CEE" w:rsidRDefault="0095149D" w:rsidP="0095149D">
      <w:r>
        <w:rPr>
          <w:rStyle w:val="Style13ptBold"/>
        </w:rPr>
        <w:t>Greenfield 06</w:t>
      </w:r>
      <w:r>
        <w:rPr>
          <w:rStyle w:val="Style13ptBold"/>
          <w:b w:val="0"/>
          <w:bCs w:val="0"/>
        </w:rPr>
        <w:t xml:space="preserve"> — </w:t>
      </w:r>
      <w:r w:rsidRPr="00D6636C">
        <w:t xml:space="preserve">Elliot Greenfield is an associate in the Litigation Department of Debevoise &amp; Plimpton LLP in New York City. He has a B.A. from Wesleyan University, a Ph.D. from the University of California at Berkeley, and a J.D. from the New York University School of Law. </w:t>
      </w:r>
      <w:r>
        <w:t>(“A Lenity Exception to Chevron Deference” 58 Baylor Law Review 1, 2006.  Retrieved from NexisUni)//JLPark</w:t>
      </w:r>
    </w:p>
    <w:p w14:paraId="4D08C415" w14:textId="77777777" w:rsidR="0095149D" w:rsidRPr="00616278" w:rsidRDefault="0095149D" w:rsidP="0095149D">
      <w:pPr>
        <w:rPr>
          <w:sz w:val="16"/>
        </w:rPr>
      </w:pPr>
      <w:r w:rsidRPr="00616278">
        <w:rPr>
          <w:sz w:val="16"/>
        </w:rPr>
        <w:t>a. Rationales for Lenity</w:t>
      </w:r>
    </w:p>
    <w:p w14:paraId="64574141" w14:textId="77777777" w:rsidR="0095149D" w:rsidRPr="00040F56" w:rsidRDefault="0095149D" w:rsidP="0095149D">
      <w:pPr>
        <w:rPr>
          <w:sz w:val="14"/>
        </w:rPr>
      </w:pPr>
      <w:r w:rsidRPr="00196CEE">
        <w:rPr>
          <w:rStyle w:val="StyleUnderline"/>
        </w:rPr>
        <w:t>The main factor that distinguishes criminal law from civil law is the harshness of the penalties, which can include loss of freedom as well as a number of serious collateral consequences</w:t>
      </w:r>
      <w:r w:rsidRPr="00040F56">
        <w:rPr>
          <w:sz w:val="14"/>
        </w:rPr>
        <w:t xml:space="preserve">, such as disenfranchisement. Although civil remedies can also be severe, the decision to make an offense criminal reflects the moral condemnation of society, which carries with it a considerable stigma. </w:t>
      </w:r>
      <w:r w:rsidRPr="00196CEE">
        <w:rPr>
          <w:rStyle w:val="StyleUnderline"/>
        </w:rPr>
        <w:t>The significance of the civil-criminal distinction is reflected in the numerous protections contained in the text of the Fourth, Fifth, Sixth, and Eighth Amendments</w:t>
      </w:r>
      <w:r w:rsidRPr="00040F56">
        <w:rPr>
          <w:sz w:val="14"/>
        </w:rPr>
        <w:t xml:space="preserve"> to the Constitution, 343 of the note in constitutionally-derived protections, such as the prohibition of federal common-law crimes 344 of the note and the "beyond a reasonable doubt" standard, 345 of the note  [*57]  and in common-law protections, such as the presumptive requirement of mens rea 346 of the note and the rule of lenity.</w:t>
      </w:r>
    </w:p>
    <w:p w14:paraId="026F3C79" w14:textId="77777777" w:rsidR="0095149D" w:rsidRPr="00040F56" w:rsidRDefault="0095149D" w:rsidP="0095149D">
      <w:pPr>
        <w:rPr>
          <w:sz w:val="14"/>
        </w:rPr>
      </w:pPr>
      <w:r w:rsidRPr="00040F56">
        <w:rPr>
          <w:sz w:val="14"/>
        </w:rPr>
        <w:t xml:space="preserve">One purpose of the rule of lenity is to provide fair warning to the public that criminal penalties may be imposed for the specific behavior described. In the case of an agency interpretation of a statute that involves criminal penalties, the essential question is whether or not that interpretation provides sufficient notice. Although to think that the average citizen is familiar with the content of federal regulations is absurd, in some cases published regulations could give improved notice to affected parties, compared with an ambiguous statute, particularly in the case of highly-regulated industries. Additionally, it has been argued that </w:t>
      </w:r>
      <w:r w:rsidRPr="00040F56">
        <w:rPr>
          <w:rStyle w:val="StyleUnderline"/>
        </w:rPr>
        <w:t>the concept of fundamental fairness underlying the notice requirement is promoted by the agency's ability to promulgate a uniform interpretation</w:t>
      </w:r>
      <w:r w:rsidRPr="00040F56">
        <w:rPr>
          <w:sz w:val="14"/>
        </w:rPr>
        <w:t>. 347 of the note</w:t>
      </w:r>
    </w:p>
    <w:p w14:paraId="006FA9FB" w14:textId="77777777" w:rsidR="0095149D" w:rsidRPr="00040F56" w:rsidRDefault="0095149D" w:rsidP="0095149D">
      <w:pPr>
        <w:rPr>
          <w:sz w:val="14"/>
          <w:szCs w:val="14"/>
        </w:rPr>
      </w:pPr>
      <w:r w:rsidRPr="00040F56">
        <w:rPr>
          <w:sz w:val="14"/>
          <w:szCs w:val="14"/>
        </w:rPr>
        <w:t>The Supreme Court touched on the notice issue in Sweet Home, commenting in the footnote addressing lenity:</w:t>
      </w:r>
    </w:p>
    <w:p w14:paraId="56D8A241" w14:textId="77777777" w:rsidR="0095149D" w:rsidRPr="00040F56" w:rsidRDefault="0095149D" w:rsidP="0095149D">
      <w:pPr>
        <w:rPr>
          <w:sz w:val="14"/>
          <w:szCs w:val="14"/>
        </w:rPr>
      </w:pPr>
      <w:r w:rsidRPr="00040F56">
        <w:rPr>
          <w:sz w:val="14"/>
          <w:szCs w:val="14"/>
        </w:rPr>
        <w:t>Even if there exist regulations whose interpretations of statutory criminal penalties provide such inadequate notice of potential liability as to offend the rule of lenity, the "harm" regulation, which has existed for two decades and gives a fair warning of its consequences, cannot be one of them. 348 of the note</w:t>
      </w:r>
    </w:p>
    <w:p w14:paraId="4FD57E8F" w14:textId="77777777" w:rsidR="0095149D" w:rsidRPr="00040F56" w:rsidRDefault="0095149D" w:rsidP="0095149D">
      <w:pPr>
        <w:rPr>
          <w:sz w:val="14"/>
        </w:rPr>
      </w:pPr>
      <w:r w:rsidRPr="00040F56">
        <w:rPr>
          <w:sz w:val="14"/>
        </w:rPr>
        <w:t xml:space="preserve">The Court thus leaves open the possibility that lenity may require that the agency interpretation be available to the public for a certain amount of time. 349 of the note The Sweet Home opinion makes clear, however, that </w:t>
      </w:r>
      <w:r w:rsidRPr="00040F56">
        <w:rPr>
          <w:rStyle w:val="StyleUnderline"/>
        </w:rPr>
        <w:t>the rule of lenity</w:t>
      </w:r>
      <w:r w:rsidRPr="00040F56">
        <w:rPr>
          <w:sz w:val="14"/>
        </w:rPr>
        <w:t xml:space="preserve">'s notice requirement </w:t>
      </w:r>
      <w:r w:rsidRPr="00040F56">
        <w:rPr>
          <w:rStyle w:val="StyleUnderline"/>
        </w:rPr>
        <w:t>is not an absolute bar to the application of Chevron</w:t>
      </w:r>
      <w:r w:rsidRPr="00040F56">
        <w:rPr>
          <w:sz w:val="14"/>
        </w:rPr>
        <w:t xml:space="preserve"> deference. 350 of the note</w:t>
      </w:r>
    </w:p>
    <w:p w14:paraId="4C6510B6" w14:textId="77777777" w:rsidR="0095149D" w:rsidRPr="00040F56" w:rsidRDefault="0095149D" w:rsidP="0095149D">
      <w:pPr>
        <w:rPr>
          <w:sz w:val="14"/>
        </w:rPr>
      </w:pPr>
      <w:r w:rsidRPr="00040F56">
        <w:rPr>
          <w:sz w:val="14"/>
        </w:rPr>
        <w:t xml:space="preserve">The notice rationale has a broader interpretation, however, whereby the requirement of a clear statement checks the discretion of aggressive  [*58]  prosecutors. 351 of the note In the agency context, </w:t>
      </w:r>
      <w:r w:rsidRPr="00040F56">
        <w:rPr>
          <w:rStyle w:val="StyleUnderline"/>
        </w:rPr>
        <w:t>lenity counteracts the natural tendency of an agency to strengthen itself and make its task of enforcement easier by broadly construing its authorizing statute</w:t>
      </w:r>
      <w:r w:rsidRPr="00040F56">
        <w:rPr>
          <w:sz w:val="14"/>
        </w:rPr>
        <w:t xml:space="preserve">. </w:t>
      </w:r>
      <w:r w:rsidRPr="00040F56">
        <w:rPr>
          <w:rStyle w:val="StyleUnderline"/>
        </w:rPr>
        <w:t>Lenity moderates</w:t>
      </w:r>
      <w:r w:rsidRPr="00040F56">
        <w:rPr>
          <w:sz w:val="14"/>
        </w:rPr>
        <w:t xml:space="preserve"> this tendency </w:t>
      </w:r>
      <w:r w:rsidRPr="00040F56">
        <w:rPr>
          <w:rStyle w:val="StyleUnderline"/>
        </w:rPr>
        <w:t>by prohibiting agencies from establishing overly expansive interpretations of statutes involving criminal penalties</w:t>
      </w:r>
      <w:r w:rsidRPr="00040F56">
        <w:rPr>
          <w:sz w:val="14"/>
        </w:rPr>
        <w:t>. Professor Sunstein has pointed out that lenity is one of several canons "intended to respond to systemic biases in governmental processes and thus to promote principles of fair dealing." 352 of the note Justice Scalia's concern with agency bias is apparent in his Crandon concurrence, and his argument can easily be extended beyond the DOJ. 353 of the note</w:t>
      </w:r>
    </w:p>
    <w:p w14:paraId="5C3EEB02" w14:textId="77777777" w:rsidR="0095149D" w:rsidRPr="00040F56" w:rsidRDefault="0095149D" w:rsidP="0095149D">
      <w:pPr>
        <w:rPr>
          <w:sz w:val="14"/>
        </w:rPr>
      </w:pPr>
      <w:r w:rsidRPr="00040F56">
        <w:rPr>
          <w:rStyle w:val="StyleUnderline"/>
        </w:rPr>
        <w:t>The other main rationale</w:t>
      </w:r>
      <w:r w:rsidRPr="00040F56">
        <w:rPr>
          <w:sz w:val="14"/>
        </w:rPr>
        <w:t xml:space="preserve"> of the rule of lenity </w:t>
      </w:r>
      <w:r w:rsidRPr="00040F56">
        <w:rPr>
          <w:rStyle w:val="StyleUnderline"/>
        </w:rPr>
        <w:t>is</w:t>
      </w:r>
      <w:r w:rsidRPr="00040F56">
        <w:rPr>
          <w:sz w:val="14"/>
        </w:rPr>
        <w:t xml:space="preserve"> the idea that the </w:t>
      </w:r>
      <w:r w:rsidRPr="00040F56">
        <w:rPr>
          <w:rStyle w:val="StyleUnderline"/>
        </w:rPr>
        <w:t>legislature</w:t>
      </w:r>
      <w:r w:rsidRPr="00040F56">
        <w:rPr>
          <w:sz w:val="14"/>
        </w:rPr>
        <w:t xml:space="preserve">, as a more politically accountable branch than the judiciary, </w:t>
      </w:r>
      <w:r w:rsidRPr="00040F56">
        <w:rPr>
          <w:rStyle w:val="StyleUnderline"/>
        </w:rPr>
        <w:t>should decide issues of criminality</w:t>
      </w:r>
      <w:r w:rsidRPr="00040F56">
        <w:rPr>
          <w:sz w:val="14"/>
        </w:rPr>
        <w:t xml:space="preserve">. The administrative </w:t>
      </w:r>
      <w:r w:rsidRPr="00040F56">
        <w:rPr>
          <w:rStyle w:val="StyleUnderline"/>
        </w:rPr>
        <w:t>agency is less accountable to the public than Congress</w:t>
      </w:r>
      <w:r w:rsidRPr="00040F56">
        <w:rPr>
          <w:sz w:val="14"/>
        </w:rPr>
        <w:t>, but more so than the courts, and hence whether the agency's level of accountability is sufficient to impose criminal liability is arguable. However, since at least 1911 the Court has upheld that authority of administrative agencies to define crime when Congress explicitly leaves statutory gaps for them to fill (an express delegation). 354 of the note In addition, the Court stated in Chevron that agencies are qualified to decide issues of policy: "While agencies are not directly accountable to the people, the Chief Executive is, and it is entirely appropriate for this political branch of the Government to make such policy choices … ." 355 of the note Political scientists have advanced a variety of theories about the true extent of agency accountability, and that the accountability rationale is notably absent in the Court's post-Chevron opinions is relevant. 356 of the note</w:t>
      </w:r>
    </w:p>
    <w:p w14:paraId="74CAA435" w14:textId="77777777" w:rsidR="0095149D" w:rsidRPr="00040F56" w:rsidRDefault="0095149D" w:rsidP="0095149D">
      <w:pPr>
        <w:rPr>
          <w:sz w:val="14"/>
        </w:rPr>
      </w:pPr>
      <w:r w:rsidRPr="00040F56">
        <w:rPr>
          <w:sz w:val="14"/>
        </w:rPr>
        <w:t xml:space="preserve">If agencies are legitimate, politically accountable policy makers, and they have the authority to fill statutory gaps in criminal statutes, then one could argue that lenity's "legislative supremacy" rationale has no  [*59]  application and courts should thus defer to agencies' reasonable interpretations of ambiguous criminal statutes. This argument fails, however, because in the criminal context, </w:t>
      </w:r>
      <w:r w:rsidRPr="00040F56">
        <w:rPr>
          <w:rStyle w:val="StyleUnderline"/>
        </w:rPr>
        <w:t>the central concern is not political accountability but protection of individual rights, and this protection is best achieved by the courts</w:t>
      </w:r>
      <w:r w:rsidRPr="00040F56">
        <w:rPr>
          <w:sz w:val="14"/>
        </w:rPr>
        <w:t xml:space="preserve">. As one commentator has written, "When the protection of criminal rights, like the protection of other constitutional rights, is involved, political accountability is not the critical inquiry. </w:t>
      </w:r>
      <w:r w:rsidRPr="00040F56">
        <w:rPr>
          <w:rStyle w:val="StyleUnderline"/>
        </w:rPr>
        <w:t>The concept of protected rights includes the idea of protection from the potential majoritarian tyranny that political accountability necessarily cannot control</w:t>
      </w:r>
      <w:r w:rsidRPr="00040F56">
        <w:rPr>
          <w:sz w:val="14"/>
        </w:rPr>
        <w:t>." 357 of the note</w:t>
      </w:r>
    </w:p>
    <w:p w14:paraId="1D0A8875" w14:textId="77777777" w:rsidR="0095149D" w:rsidRPr="00040F56" w:rsidRDefault="0095149D" w:rsidP="0095149D">
      <w:pPr>
        <w:rPr>
          <w:sz w:val="16"/>
          <w:szCs w:val="16"/>
        </w:rPr>
      </w:pPr>
      <w:r w:rsidRPr="00040F56">
        <w:rPr>
          <w:sz w:val="16"/>
          <w:szCs w:val="16"/>
        </w:rPr>
        <w:t>The rule of lenity protects the rights of individuals by ensuring that they are not held subject to criminal penalties unless it is clear that such a result was intended by Congress. In Liparota v. United States, Justice Brennan wrote, "Application of the rule of lenity … strikes the appropriate balance between the legislature, the prosecutor, and the court in defining criminal liability." 358 of the note Replacing the legislature with an administrative agency and reducing the role of the court through mandatory deference to that agency's interpretation upsets this balance of power. 359 of the note</w:t>
      </w:r>
    </w:p>
    <w:p w14:paraId="3821A614" w14:textId="77777777" w:rsidR="0095149D" w:rsidRPr="00040F56" w:rsidRDefault="0095149D" w:rsidP="0095149D">
      <w:pPr>
        <w:rPr>
          <w:sz w:val="14"/>
        </w:rPr>
      </w:pPr>
      <w:r w:rsidRPr="00040F56">
        <w:rPr>
          <w:sz w:val="14"/>
        </w:rPr>
        <w:t xml:space="preserve">When Congress passes a statute that expressly delegates to an agency the authority to define criminal behavior, its intent is clear. When Congress passes a criminal statute that is ambiguous, on the other hand, its intent regarding the precise scope and effect of the statute is by definition unclear. As Justice Scalia observed, </w:t>
      </w:r>
      <w:r w:rsidRPr="00040F56">
        <w:rPr>
          <w:rStyle w:val="StyleUnderline"/>
        </w:rPr>
        <w:t>Congress might have intended a particular result, it might have intended for the agency to have discretion, or it might not have even contemplated the issue in sufficient detail</w:t>
      </w:r>
      <w:r w:rsidRPr="00040F56">
        <w:rPr>
          <w:sz w:val="14"/>
        </w:rPr>
        <w:t xml:space="preserve">. 360 of the note </w:t>
      </w:r>
      <w:r w:rsidRPr="00040F56">
        <w:rPr>
          <w:rStyle w:val="StyleUnderline"/>
        </w:rPr>
        <w:t>If a reviewing court defers to an agency interpretation</w:t>
      </w:r>
      <w:r w:rsidRPr="00040F56">
        <w:rPr>
          <w:sz w:val="14"/>
        </w:rPr>
        <w:t xml:space="preserve"> where the rule of lenity would lead to a different result, then it is quite possible that the defendant will be held criminally liable when Congress intended otherwise. The countervailing  [*60]  risk, that the defendant will escape punishment intended by Congress, is less offensive to traditional values. 361 of the note Just as courts require that a criminal defendant be found guilty of an offense beyond a reasonable doubt, courts should also require that there not be substantial ambiguity as to whether a defendant's actions were intended by Congress to come within the scope of its statute. The </w:t>
      </w:r>
      <w:r w:rsidRPr="00040F56">
        <w:rPr>
          <w:rStyle w:val="StyleUnderline"/>
        </w:rPr>
        <w:t>Chevron</w:t>
      </w:r>
      <w:r w:rsidRPr="00040F56">
        <w:rPr>
          <w:sz w:val="14"/>
        </w:rPr>
        <w:t xml:space="preserve"> presumption, which </w:t>
      </w:r>
      <w:r w:rsidRPr="00040F56">
        <w:rPr>
          <w:rStyle w:val="StyleUnderline"/>
        </w:rPr>
        <w:t>opts for a blanket rule of deference over a case-by-case determination of whether Congress intended a particular result, is inappropriate</w:t>
      </w:r>
      <w:r w:rsidRPr="00040F56">
        <w:rPr>
          <w:sz w:val="14"/>
        </w:rPr>
        <w:t xml:space="preserve"> where criminal penalties are at issue.</w:t>
      </w:r>
    </w:p>
    <w:p w14:paraId="5656FFD8" w14:textId="77777777" w:rsidR="00B51F6B" w:rsidRDefault="00B51F6B" w:rsidP="00EA1317">
      <w:pPr>
        <w:rPr>
          <w:sz w:val="16"/>
        </w:rPr>
      </w:pPr>
    </w:p>
    <w:p w14:paraId="461C26C4" w14:textId="6CE716E8" w:rsidR="0095149D" w:rsidRDefault="0095149D" w:rsidP="005304A7">
      <w:pPr>
        <w:pStyle w:val="Heading3"/>
      </w:pPr>
      <w:r>
        <w:t>2AC – Link Turn</w:t>
      </w:r>
    </w:p>
    <w:p w14:paraId="481B60CF" w14:textId="77777777" w:rsidR="0095149D" w:rsidRPr="00805A42" w:rsidRDefault="0095149D" w:rsidP="0095149D">
      <w:pPr>
        <w:pStyle w:val="Heading4"/>
      </w:pPr>
      <w:r>
        <w:t xml:space="preserve">The aff’s a </w:t>
      </w:r>
      <w:r>
        <w:rPr>
          <w:u w:val="single"/>
        </w:rPr>
        <w:t>prerequisite</w:t>
      </w:r>
      <w:r>
        <w:t xml:space="preserve"> for an </w:t>
      </w:r>
      <w:r>
        <w:rPr>
          <w:u w:val="single"/>
        </w:rPr>
        <w:t>enduring</w:t>
      </w:r>
      <w:r>
        <w:t xml:space="preserve"> doctrine.</w:t>
      </w:r>
    </w:p>
    <w:p w14:paraId="5D5DAFD4" w14:textId="77777777" w:rsidR="0095149D" w:rsidRPr="00EA16B5" w:rsidRDefault="0095149D" w:rsidP="0095149D">
      <w:r w:rsidRPr="00EA16B5">
        <w:rPr>
          <w:b/>
          <w:bCs/>
          <w:sz w:val="26"/>
          <w:szCs w:val="26"/>
        </w:rPr>
        <w:t>Harvard Law Review 10</w:t>
      </w:r>
      <w:r>
        <w:t xml:space="preserve"> - </w:t>
      </w:r>
      <w:r w:rsidRPr="00EA16B5">
        <w:t>a law review published by an independent student group at Harvard Law School</w:t>
      </w:r>
      <w:r>
        <w:t>, (“</w:t>
      </w:r>
      <w:r w:rsidRPr="00EA16B5">
        <w:t>JUSTIFYING THE CHEVRON DOCTRINE: INSIGHTS FROM THE RULE OF LENITY</w:t>
      </w:r>
      <w:r>
        <w:t xml:space="preserve">,” </w:t>
      </w:r>
      <w:r w:rsidRPr="00EA16B5">
        <w:t>Harvard Law Review , JUNE 2010, Vol. 123, No. 8 (JUNE 2010), pp. 2043-2064</w:t>
      </w:r>
      <w:r>
        <w:t xml:space="preserve">, </w:t>
      </w:r>
      <w:hyperlink r:id="rId160" w:history="1">
        <w:r w:rsidRPr="00C4407D">
          <w:rPr>
            <w:rStyle w:val="Hyperlink"/>
          </w:rPr>
          <w:t>https://www.jstor.org/stable/20788304?seq=1</w:t>
        </w:r>
      </w:hyperlink>
      <w:r>
        <w:t>, Accessed 6-20-20, LASA-AH)</w:t>
      </w:r>
    </w:p>
    <w:p w14:paraId="6E2F2E8E" w14:textId="77777777" w:rsidR="0095149D" w:rsidRDefault="0095149D" w:rsidP="0095149D">
      <w:pPr>
        <w:rPr>
          <w:u w:val="single"/>
        </w:rPr>
      </w:pPr>
      <w:r w:rsidRPr="00EA16B5">
        <w:rPr>
          <w:u w:val="single"/>
        </w:rPr>
        <w:t>Although the Court has been far from clear in establishing how the</w:t>
      </w:r>
      <w:r>
        <w:rPr>
          <w:u w:val="single"/>
        </w:rPr>
        <w:t xml:space="preserve"> </w:t>
      </w:r>
      <w:r w:rsidRPr="00EA16B5">
        <w:rPr>
          <w:u w:val="single"/>
        </w:rPr>
        <w:t>rule of lenity and Chevron should interact with respect to hybrid civil</w:t>
      </w:r>
      <w:r>
        <w:rPr>
          <w:u w:val="single"/>
        </w:rPr>
        <w:t xml:space="preserve"> </w:t>
      </w:r>
      <w:r w:rsidRPr="00EA16B5">
        <w:rPr>
          <w:u w:val="single"/>
        </w:rPr>
        <w:t>criminal statutes like the Endangered Species Act</w:t>
      </w:r>
      <w:r>
        <w:t xml:space="preserve">,109 the key point is that there is a principled means of explaining why Chevron ? and not the rule of lenity ? should apply to administrative statutes but not criminal laws. It seems, then, that </w:t>
      </w:r>
      <w:r w:rsidRPr="00EA16B5">
        <w:rPr>
          <w:u w:val="single"/>
        </w:rPr>
        <w:t xml:space="preserve">the rule of lenity </w:t>
      </w:r>
      <w:r w:rsidRPr="009727FB">
        <w:rPr>
          <w:rStyle w:val="Emphasis"/>
        </w:rPr>
        <w:t>can offer support for</w:t>
      </w:r>
      <w:r w:rsidRPr="00EA16B5">
        <w:rPr>
          <w:u w:val="single"/>
        </w:rPr>
        <w:t xml:space="preserve"> a reinvigorated political accountability rationale for Chevron.</w:t>
      </w:r>
      <w:r>
        <w:t xml:space="preserve"> This rationale, most simply stated, is that </w:t>
      </w:r>
      <w:r w:rsidRPr="00EA16B5">
        <w:rPr>
          <w:u w:val="single"/>
        </w:rPr>
        <w:t>the Constitution vests policymak</w:t>
      </w:r>
      <w:r>
        <w:rPr>
          <w:u w:val="single"/>
        </w:rPr>
        <w:t xml:space="preserve"> </w:t>
      </w:r>
      <w:r w:rsidRPr="00EA16B5">
        <w:rPr>
          <w:u w:val="single"/>
        </w:rPr>
        <w:t>ing power in the hands of the politically accountable branches</w:t>
      </w:r>
      <w:r>
        <w:t xml:space="preserve">. It is </w:t>
      </w:r>
      <w:r w:rsidRPr="00EA16B5">
        <w:rPr>
          <w:u w:val="single"/>
        </w:rPr>
        <w:t>the constitutional responsibility of the judiciary</w:t>
      </w:r>
      <w:r>
        <w:t xml:space="preserve">, through doctrines like the rule of lenity and Chevron deference, to </w:t>
      </w:r>
      <w:r w:rsidRPr="00EA16B5">
        <w:rPr>
          <w:u w:val="single"/>
        </w:rPr>
        <w:t>avoid usurping some of</w:t>
      </w:r>
      <w:r>
        <w:rPr>
          <w:u w:val="single"/>
        </w:rPr>
        <w:t xml:space="preserve"> </w:t>
      </w:r>
      <w:r w:rsidRPr="00EA16B5">
        <w:rPr>
          <w:u w:val="single"/>
        </w:rPr>
        <w:t>this policy power through its statutory interpretation duties.</w:t>
      </w:r>
      <w:r>
        <w:rPr>
          <w:u w:val="single"/>
        </w:rPr>
        <w:t xml:space="preserve"> </w:t>
      </w:r>
    </w:p>
    <w:p w14:paraId="2319F5EC" w14:textId="77777777" w:rsidR="0095149D" w:rsidRDefault="0095149D" w:rsidP="0095149D">
      <w:r>
        <w:t xml:space="preserve">IV. Conclusion </w:t>
      </w:r>
    </w:p>
    <w:p w14:paraId="35FC2DC9" w14:textId="77777777" w:rsidR="0095149D" w:rsidRPr="00805A42" w:rsidRDefault="0095149D" w:rsidP="0095149D">
      <w:r>
        <w:t xml:space="preserve">The most significant consequence of the reinvigorated political ac countability rationale is that it mandates a return to the original, pre Mead scope of the Chevron doctrine. </w:t>
      </w:r>
      <w:r w:rsidRPr="00EA16B5">
        <w:rPr>
          <w:u w:val="single"/>
        </w:rPr>
        <w:t>Once Chevron is understood as a</w:t>
      </w:r>
      <w:r>
        <w:rPr>
          <w:u w:val="single"/>
        </w:rPr>
        <w:t xml:space="preserve"> </w:t>
      </w:r>
      <w:r w:rsidRPr="00EA16B5">
        <w:rPr>
          <w:u w:val="single"/>
        </w:rPr>
        <w:t>constitutional responsibility of the judiciary to avoid policymaking</w:t>
      </w:r>
      <w:r>
        <w:rPr>
          <w:u w:val="single"/>
        </w:rPr>
        <w:t xml:space="preserve"> </w:t>
      </w:r>
      <w:r w:rsidRPr="00EA16B5">
        <w:rPr>
          <w:u w:val="single"/>
        </w:rPr>
        <w:t>power, it makes little sense to limit deference only to those interpreta</w:t>
      </w:r>
      <w:r>
        <w:rPr>
          <w:u w:val="single"/>
        </w:rPr>
        <w:t xml:space="preserve"> </w:t>
      </w:r>
      <w:r w:rsidRPr="00EA16B5">
        <w:rPr>
          <w:u w:val="single"/>
        </w:rPr>
        <w:t xml:space="preserve">tions issued with the force of law. </w:t>
      </w:r>
      <w:r>
        <w:t>The judiciary is exercising policy power whenever it supplants an administrative interpretation, regard less of the formality of that interpretation or its supposed "force."</w:t>
      </w:r>
    </w:p>
    <w:p w14:paraId="7866A0B0" w14:textId="49A2032A" w:rsidR="0095149D" w:rsidRDefault="0095149D" w:rsidP="0095149D">
      <w:pPr>
        <w:pStyle w:val="Heading3"/>
      </w:pPr>
      <w:r>
        <w:t>1AR – Link Turn</w:t>
      </w:r>
    </w:p>
    <w:p w14:paraId="4BBECEB7" w14:textId="77777777" w:rsidR="0095149D" w:rsidRDefault="0095149D" w:rsidP="0095149D">
      <w:pPr>
        <w:pStyle w:val="Heading4"/>
      </w:pPr>
      <w:r>
        <w:t xml:space="preserve">The plan </w:t>
      </w:r>
      <w:r>
        <w:rPr>
          <w:u w:val="single"/>
        </w:rPr>
        <w:t>harmonizes</w:t>
      </w:r>
      <w:r>
        <w:t xml:space="preserve"> the doctrines.</w:t>
      </w:r>
    </w:p>
    <w:p w14:paraId="720D2C47" w14:textId="77777777" w:rsidR="0095149D" w:rsidRPr="006A5029" w:rsidRDefault="0095149D" w:rsidP="0095149D">
      <w:r w:rsidRPr="008727CB">
        <w:rPr>
          <w:rStyle w:val="Style13ptBold"/>
        </w:rPr>
        <w:t>Marshall 17</w:t>
      </w:r>
      <w:r>
        <w:t xml:space="preserve"> – Erica Marshall, Counsel at Cause of Action Institute. [The Rule of Lenity: A five-minute guide to navigating the intersection of administrative and criminal law, 5-1-17, https://fedsoc.org/commentary/fedsoc-blog/the-rule-of-lenity-a-five-minute-guide-to-navigating-the-intersection-of-administrative-and-criminal-law]//BPS</w:t>
      </w:r>
    </w:p>
    <w:p w14:paraId="7E688BE9" w14:textId="77777777" w:rsidR="0095149D" w:rsidRPr="006A5029" w:rsidRDefault="0095149D" w:rsidP="0095149D">
      <w:pPr>
        <w:rPr>
          <w:sz w:val="16"/>
        </w:rPr>
      </w:pPr>
      <w:r w:rsidRPr="00456038">
        <w:rPr>
          <w:rStyle w:val="StyleUnderline"/>
          <w:highlight w:val="cyan"/>
        </w:rPr>
        <w:t>While</w:t>
      </w:r>
      <w:r w:rsidRPr="008727CB">
        <w:rPr>
          <w:rStyle w:val="StyleUnderline"/>
        </w:rPr>
        <w:t xml:space="preserve"> the rules of Chevron deference and lenity seem </w:t>
      </w:r>
      <w:r w:rsidRPr="00456038">
        <w:rPr>
          <w:rStyle w:val="Emphasis"/>
          <w:highlight w:val="cyan"/>
        </w:rPr>
        <w:t>at odds</w:t>
      </w:r>
      <w:r w:rsidRPr="008727CB">
        <w:rPr>
          <w:rStyle w:val="StyleUnderline"/>
        </w:rPr>
        <w:t xml:space="preserve">, </w:t>
      </w:r>
      <w:r w:rsidRPr="008727CB">
        <w:rPr>
          <w:rStyle w:val="Emphasis"/>
        </w:rPr>
        <w:t>in reality</w:t>
      </w:r>
      <w:r w:rsidRPr="008727CB">
        <w:rPr>
          <w:rStyle w:val="StyleUnderline"/>
        </w:rPr>
        <w:t xml:space="preserve"> </w:t>
      </w:r>
      <w:r w:rsidRPr="00456038">
        <w:rPr>
          <w:rStyle w:val="StyleUnderline"/>
          <w:highlight w:val="cyan"/>
        </w:rPr>
        <w:t>they can</w:t>
      </w:r>
      <w:r w:rsidRPr="008727CB">
        <w:rPr>
          <w:rStyle w:val="StyleUnderline"/>
        </w:rPr>
        <w:t xml:space="preserve"> be </w:t>
      </w:r>
      <w:r w:rsidRPr="00456038">
        <w:rPr>
          <w:rStyle w:val="Emphasis"/>
          <w:highlight w:val="cyan"/>
        </w:rPr>
        <w:t>harmonize</w:t>
      </w:r>
      <w:r w:rsidRPr="008727CB">
        <w:rPr>
          <w:rStyle w:val="Emphasis"/>
        </w:rPr>
        <w:t>d</w:t>
      </w:r>
      <w:r w:rsidRPr="006A5029">
        <w:rPr>
          <w:sz w:val="16"/>
        </w:rPr>
        <w:t xml:space="preserve">. The rule of lenity is a canon of statutory construction, which means that it must be used by the court to actually interpret the statute and is thus applied to resolve a statutory ambiguity. Thompson/Center Arms Co., 504 U.S. 505, 518 n.10 (plurality opinion). </w:t>
      </w:r>
      <w:r w:rsidRPr="00456038">
        <w:rPr>
          <w:rStyle w:val="StyleUnderline"/>
          <w:highlight w:val="cyan"/>
        </w:rPr>
        <w:t>Chevron</w:t>
      </w:r>
      <w:r w:rsidRPr="006A5029">
        <w:rPr>
          <w:sz w:val="16"/>
        </w:rPr>
        <w:t xml:space="preserve"> deference, on the other hand, is a legal principle that </w:t>
      </w:r>
      <w:r w:rsidRPr="00456038">
        <w:rPr>
          <w:rStyle w:val="StyleUnderline"/>
          <w:highlight w:val="cyan"/>
        </w:rPr>
        <w:t>kicks in</w:t>
      </w:r>
      <w:r w:rsidRPr="008727CB">
        <w:rPr>
          <w:rStyle w:val="StyleUnderline"/>
        </w:rPr>
        <w:t xml:space="preserve"> </w:t>
      </w:r>
      <w:r w:rsidRPr="008727CB">
        <w:rPr>
          <w:rStyle w:val="Emphasis"/>
        </w:rPr>
        <w:t xml:space="preserve">only </w:t>
      </w:r>
      <w:r w:rsidRPr="00456038">
        <w:rPr>
          <w:rStyle w:val="Emphasis"/>
          <w:highlight w:val="cyan"/>
        </w:rPr>
        <w:t>after</w:t>
      </w:r>
      <w:r w:rsidRPr="008727CB">
        <w:rPr>
          <w:rStyle w:val="StyleUnderline"/>
        </w:rPr>
        <w:t xml:space="preserve"> </w:t>
      </w:r>
      <w:r w:rsidRPr="006A5029">
        <w:rPr>
          <w:rStyle w:val="StyleUnderline"/>
        </w:rPr>
        <w:t>the</w:t>
      </w:r>
      <w:r w:rsidRPr="008727CB">
        <w:rPr>
          <w:rStyle w:val="StyleUnderline"/>
        </w:rPr>
        <w:t xml:space="preserve"> court has applied </w:t>
      </w:r>
      <w:r w:rsidRPr="00456038">
        <w:rPr>
          <w:rStyle w:val="Emphasis"/>
          <w:highlight w:val="cyan"/>
        </w:rPr>
        <w:t>all</w:t>
      </w:r>
      <w:r w:rsidRPr="008727CB">
        <w:rPr>
          <w:rStyle w:val="Emphasis"/>
        </w:rPr>
        <w:t xml:space="preserve"> the </w:t>
      </w:r>
      <w:r w:rsidRPr="00456038">
        <w:rPr>
          <w:rStyle w:val="Emphasis"/>
          <w:highlight w:val="cyan"/>
        </w:rPr>
        <w:t>canons</w:t>
      </w:r>
      <w:r w:rsidRPr="008727CB">
        <w:rPr>
          <w:rStyle w:val="Emphasis"/>
        </w:rPr>
        <w:t xml:space="preserve"> of statutory construction</w:t>
      </w:r>
      <w:r w:rsidRPr="008727CB">
        <w:rPr>
          <w:rStyle w:val="StyleUnderline"/>
        </w:rPr>
        <w:t xml:space="preserve"> </w:t>
      </w:r>
      <w:r w:rsidRPr="00456038">
        <w:rPr>
          <w:rStyle w:val="StyleUnderline"/>
          <w:highlight w:val="cyan"/>
        </w:rPr>
        <w:t xml:space="preserve">and </w:t>
      </w:r>
      <w:r w:rsidRPr="00456038">
        <w:rPr>
          <w:rStyle w:val="Emphasis"/>
          <w:highlight w:val="cyan"/>
        </w:rPr>
        <w:t>still</w:t>
      </w:r>
      <w:r w:rsidRPr="008727CB">
        <w:rPr>
          <w:rStyle w:val="Emphasis"/>
        </w:rPr>
        <w:t xml:space="preserve"> finds</w:t>
      </w:r>
      <w:r w:rsidRPr="006A5029">
        <w:rPr>
          <w:sz w:val="16"/>
        </w:rPr>
        <w:t xml:space="preserve"> that </w:t>
      </w:r>
      <w:r w:rsidRPr="008727CB">
        <w:rPr>
          <w:rStyle w:val="StyleUnderline"/>
        </w:rPr>
        <w:t>the statute</w:t>
      </w:r>
      <w:r w:rsidRPr="006A5029">
        <w:rPr>
          <w:sz w:val="16"/>
        </w:rPr>
        <w:t xml:space="preserve"> remains </w:t>
      </w:r>
      <w:r w:rsidRPr="00456038">
        <w:rPr>
          <w:rStyle w:val="StyleUnderline"/>
          <w:highlight w:val="cyan"/>
        </w:rPr>
        <w:t>ambiguous</w:t>
      </w:r>
      <w:r w:rsidRPr="006A5029">
        <w:rPr>
          <w:sz w:val="16"/>
        </w:rPr>
        <w:t xml:space="preserve">. Chevron, U.S.A., Inc. v. Nat. Res. Def. Council, 467 U.S. 837, 843 n.9 (1984). In other words, </w:t>
      </w:r>
      <w:r w:rsidRPr="00456038">
        <w:rPr>
          <w:rStyle w:val="StyleUnderline"/>
          <w:highlight w:val="cyan"/>
        </w:rPr>
        <w:t xml:space="preserve">lenity trumps Chevron, </w:t>
      </w:r>
      <w:r w:rsidRPr="00456038">
        <w:rPr>
          <w:rStyle w:val="Emphasis"/>
          <w:highlight w:val="cyan"/>
        </w:rPr>
        <w:t>every time</w:t>
      </w:r>
      <w:r w:rsidRPr="006A5029">
        <w:rPr>
          <w:sz w:val="16"/>
        </w:rPr>
        <w:t>.</w:t>
      </w:r>
    </w:p>
    <w:p w14:paraId="0BCC6E0C" w14:textId="77777777" w:rsidR="0095149D" w:rsidRPr="006A5029" w:rsidRDefault="0095149D" w:rsidP="0095149D">
      <w:pPr>
        <w:rPr>
          <w:sz w:val="16"/>
        </w:rPr>
      </w:pPr>
      <w:r w:rsidRPr="006A5029">
        <w:rPr>
          <w:sz w:val="16"/>
        </w:rPr>
        <w:t xml:space="preserve">Moreover, </w:t>
      </w:r>
      <w:r w:rsidRPr="006A5029">
        <w:rPr>
          <w:rStyle w:val="Emphasis"/>
        </w:rPr>
        <w:t>the one-interpretation rule</w:t>
      </w:r>
      <w:r w:rsidRPr="006A5029">
        <w:rPr>
          <w:rStyle w:val="StyleUnderline"/>
        </w:rPr>
        <w:t xml:space="preserve"> means</w:t>
      </w:r>
      <w:r w:rsidRPr="006A5029">
        <w:rPr>
          <w:sz w:val="16"/>
        </w:rPr>
        <w:t xml:space="preserve"> that </w:t>
      </w:r>
      <w:r w:rsidRPr="006A5029">
        <w:rPr>
          <w:rStyle w:val="Emphasis"/>
        </w:rPr>
        <w:t>the criminal-law construction of the statute</w:t>
      </w:r>
      <w:r w:rsidRPr="006A5029">
        <w:rPr>
          <w:rStyle w:val="StyleUnderline"/>
        </w:rPr>
        <w:t xml:space="preserve"> (with the rule of lenity) must prevail over the civil-law construction of i</w:t>
      </w:r>
      <w:r w:rsidRPr="006A5029">
        <w:rPr>
          <w:sz w:val="16"/>
        </w:rPr>
        <w:t xml:space="preserve">t. See, e.g., WEC Carolina Energy Sols. LLC v. Miller, 687 F.3d 199, 203–04 (4th Cir. 2012) (“Where . . . our analysis involves a statute whose provisions have both civil and criminal application, our task merits special attention because our interpretation applies uniformly in both contexts. Thus, </w:t>
      </w:r>
      <w:r w:rsidRPr="006A5029">
        <w:rPr>
          <w:rStyle w:val="StyleUnderline"/>
        </w:rPr>
        <w:t xml:space="preserve">we follow ‘the canon of </w:t>
      </w:r>
      <w:r w:rsidRPr="006A5029">
        <w:rPr>
          <w:rStyle w:val="Emphasis"/>
        </w:rPr>
        <w:t>strict construction</w:t>
      </w:r>
      <w:r w:rsidRPr="006A5029">
        <w:rPr>
          <w:rStyle w:val="StyleUnderline"/>
        </w:rPr>
        <w:t xml:space="preserve"> of criminal statutes, or </w:t>
      </w:r>
      <w:r w:rsidRPr="006A5029">
        <w:rPr>
          <w:rStyle w:val="Emphasis"/>
        </w:rPr>
        <w:t>rule of lenity</w:t>
      </w:r>
      <w:r w:rsidRPr="006A5029">
        <w:rPr>
          <w:rStyle w:val="StyleUnderline"/>
        </w:rPr>
        <w:t>.’”</w:t>
      </w:r>
      <w:r w:rsidRPr="006A5029">
        <w:rPr>
          <w:sz w:val="16"/>
        </w:rPr>
        <w:t xml:space="preserve"> (citations omitted)); In re Woolsey, 696 F.3d 1266, 1277 (10th Cir. 2012) (</w:t>
      </w:r>
      <w:r w:rsidRPr="006A5029">
        <w:rPr>
          <w:rStyle w:val="StyleUnderline"/>
        </w:rPr>
        <w:t xml:space="preserve">for hybrid statutes, “the rule of lenity </w:t>
      </w:r>
      <w:r w:rsidRPr="006A5029">
        <w:rPr>
          <w:rStyle w:val="Emphasis"/>
        </w:rPr>
        <w:t>must apply equally</w:t>
      </w:r>
      <w:r w:rsidRPr="006A5029">
        <w:rPr>
          <w:rStyle w:val="StyleUnderline"/>
        </w:rPr>
        <w:t xml:space="preserve"> to civil litigants to whom lenity would not </w:t>
      </w:r>
      <w:r w:rsidRPr="006A5029">
        <w:rPr>
          <w:rStyle w:val="Emphasis"/>
        </w:rPr>
        <w:t>ordinarily extend</w:t>
      </w:r>
      <w:r w:rsidRPr="006A5029">
        <w:rPr>
          <w:rStyle w:val="StyleUnderline"/>
        </w:rPr>
        <w:t>”</w:t>
      </w:r>
      <w:r w:rsidRPr="006A5029">
        <w:rPr>
          <w:sz w:val="16"/>
        </w:rPr>
        <w:t>); Bingham, Ltd. v. United States, 724 F.2d 921, 924–25 (11th Cir. 1984) (</w:t>
      </w:r>
      <w:r w:rsidRPr="006A5029">
        <w:rPr>
          <w:rStyle w:val="StyleUnderline"/>
        </w:rPr>
        <w:t>the rule of lenity applies “</w:t>
      </w:r>
      <w:r w:rsidRPr="006A5029">
        <w:rPr>
          <w:rStyle w:val="Emphasis"/>
        </w:rPr>
        <w:t>even though</w:t>
      </w:r>
      <w:r w:rsidRPr="006A5029">
        <w:rPr>
          <w:rStyle w:val="StyleUnderline"/>
        </w:rPr>
        <w:t xml:space="preserve"> we construe the [statute] in</w:t>
      </w:r>
      <w:r w:rsidRPr="006A5029">
        <w:rPr>
          <w:sz w:val="16"/>
        </w:rPr>
        <w:t xml:space="preserve"> a declaratory judgment action, </w:t>
      </w:r>
      <w:r w:rsidRPr="006A5029">
        <w:rPr>
          <w:rStyle w:val="StyleUnderline"/>
        </w:rPr>
        <w:t>a civil context”</w:t>
      </w:r>
      <w:r w:rsidRPr="006A5029">
        <w:rPr>
          <w:sz w:val="16"/>
        </w:rPr>
        <w:t>).</w:t>
      </w:r>
    </w:p>
    <w:p w14:paraId="3CA67456" w14:textId="77777777" w:rsidR="0095149D" w:rsidRPr="006A5029" w:rsidRDefault="0095149D" w:rsidP="0095149D">
      <w:pPr>
        <w:rPr>
          <w:sz w:val="16"/>
        </w:rPr>
      </w:pPr>
      <w:r w:rsidRPr="006A5029">
        <w:rPr>
          <w:sz w:val="16"/>
        </w:rPr>
        <w:t>This is equally as true even when the agency’s interpretation goes back many years. Abramski, 134 S. Ct. at 2274 (“An agency’s historical position on a statute is “no more relevant than its current one—which is to say, not relevant at all.”).</w:t>
      </w:r>
    </w:p>
    <w:p w14:paraId="58C9E700" w14:textId="77777777" w:rsidR="0095149D" w:rsidRPr="006A5029" w:rsidRDefault="0095149D" w:rsidP="0095149D">
      <w:pPr>
        <w:rPr>
          <w:sz w:val="16"/>
        </w:rPr>
      </w:pPr>
      <w:r w:rsidRPr="006A5029">
        <w:rPr>
          <w:sz w:val="16"/>
        </w:rPr>
        <w:t xml:space="preserve">Despite its longstanding roots in our jurisprudence, </w:t>
      </w:r>
      <w:r w:rsidRPr="00456038">
        <w:rPr>
          <w:rStyle w:val="StyleUnderline"/>
          <w:highlight w:val="cyan"/>
        </w:rPr>
        <w:t>courts have not</w:t>
      </w:r>
      <w:r w:rsidRPr="006A5029">
        <w:rPr>
          <w:sz w:val="16"/>
        </w:rPr>
        <w:t xml:space="preserve"> always </w:t>
      </w:r>
      <w:r w:rsidRPr="00456038">
        <w:rPr>
          <w:rStyle w:val="StyleUnderline"/>
          <w:highlight w:val="cyan"/>
        </w:rPr>
        <w:t>applied</w:t>
      </w:r>
      <w:r w:rsidRPr="006A5029">
        <w:rPr>
          <w:rStyle w:val="StyleUnderline"/>
        </w:rPr>
        <w:t xml:space="preserve"> the rule of </w:t>
      </w:r>
      <w:r w:rsidRPr="00456038">
        <w:rPr>
          <w:rStyle w:val="StyleUnderline"/>
          <w:highlight w:val="cyan"/>
        </w:rPr>
        <w:t xml:space="preserve">lenity </w:t>
      </w:r>
      <w:r w:rsidRPr="00456038">
        <w:rPr>
          <w:rStyle w:val="Emphasis"/>
          <w:highlight w:val="cyan"/>
        </w:rPr>
        <w:t>consistently</w:t>
      </w:r>
      <w:r w:rsidRPr="006A5029">
        <w:rPr>
          <w:sz w:val="16"/>
        </w:rPr>
        <w:t>. In many cases, the rule of lenity has not prevailed. See, e.g., Oppedisano v. Holder, 769 F.3d 147, 153 (2d Cir. 2014) (stating that the rule of lenity “does not trump Chevron’s requirement of deference to reasonable interpretations by administrative agencies of statutes for which they are responsible,” but not discussing Apel or Abramski) (emphasis added); Yi v. Fed. Bureau of Prisons, 412 F.3d 526, 535 (4th Cir. 2005) (“Rather than apply a presumption of lenity to resolve the ambiguity, Chevron requires that we defer to the agency's reasonable construction of the statute.”). And in Babbitt v. Sweet Home Chapter of Communities for a Great Oregon, 515 U.S. 687 (1995), the Supreme Court deferred to an agency’s interpretation of a law that carried criminal penalties while only referencing the rule of lenity in a footnote.</w:t>
      </w:r>
    </w:p>
    <w:p w14:paraId="54AFCA15" w14:textId="77777777" w:rsidR="0095149D" w:rsidRPr="006A5029" w:rsidRDefault="0095149D" w:rsidP="0095149D">
      <w:pPr>
        <w:rPr>
          <w:sz w:val="16"/>
        </w:rPr>
      </w:pPr>
      <w:r w:rsidRPr="006A5029">
        <w:rPr>
          <w:sz w:val="16"/>
        </w:rPr>
        <w:t xml:space="preserve">However, </w:t>
      </w:r>
      <w:r w:rsidRPr="006A5029">
        <w:rPr>
          <w:rStyle w:val="StyleUnderline"/>
        </w:rPr>
        <w:t>case law that</w:t>
      </w:r>
      <w:r w:rsidRPr="006A5029">
        <w:rPr>
          <w:sz w:val="16"/>
        </w:rPr>
        <w:t xml:space="preserve"> either pre-dates or </w:t>
      </w:r>
      <w:r w:rsidRPr="006A5029">
        <w:rPr>
          <w:rStyle w:val="StyleUnderline"/>
        </w:rPr>
        <w:t xml:space="preserve">is </w:t>
      </w:r>
      <w:r w:rsidRPr="006A5029">
        <w:rPr>
          <w:rStyle w:val="Emphasis"/>
        </w:rPr>
        <w:t>inconsistent</w:t>
      </w:r>
      <w:r w:rsidRPr="006A5029">
        <w:rPr>
          <w:rStyle w:val="StyleUnderline"/>
        </w:rPr>
        <w:t xml:space="preserve"> with</w:t>
      </w:r>
      <w:r w:rsidRPr="006A5029">
        <w:rPr>
          <w:sz w:val="16"/>
        </w:rPr>
        <w:t xml:space="preserve"> the rules in </w:t>
      </w:r>
      <w:r w:rsidRPr="006A5029">
        <w:rPr>
          <w:rStyle w:val="StyleUnderline"/>
        </w:rPr>
        <w:t>Apel</w:t>
      </w:r>
      <w:r w:rsidRPr="006A5029">
        <w:rPr>
          <w:sz w:val="16"/>
        </w:rPr>
        <w:t xml:space="preserve"> and Abronski, including the Supreme Court’s passing footnote in Babbitt, </w:t>
      </w:r>
      <w:r w:rsidRPr="006A5029">
        <w:rPr>
          <w:rStyle w:val="StyleUnderline"/>
        </w:rPr>
        <w:t>is</w:t>
      </w:r>
      <w:r w:rsidRPr="006A5029">
        <w:rPr>
          <w:sz w:val="16"/>
        </w:rPr>
        <w:t xml:space="preserve"> arguably </w:t>
      </w:r>
      <w:r w:rsidRPr="006A5029">
        <w:rPr>
          <w:rStyle w:val="Emphasis"/>
        </w:rPr>
        <w:t>unpersuasive</w:t>
      </w:r>
      <w:r w:rsidRPr="006A5029">
        <w:rPr>
          <w:sz w:val="16"/>
        </w:rPr>
        <w:t xml:space="preserve"> when faced with the clear directives in these cases. See Apel, 134 S. Ct. at 1144; Abramski, 134 S. Ct. at 2259.</w:t>
      </w:r>
    </w:p>
    <w:p w14:paraId="76E874B9" w14:textId="77777777" w:rsidR="0095149D" w:rsidRDefault="0095149D" w:rsidP="0095149D">
      <w:pPr>
        <w:rPr>
          <w:sz w:val="16"/>
        </w:rPr>
      </w:pPr>
      <w:r w:rsidRPr="006A5029">
        <w:rPr>
          <w:sz w:val="16"/>
        </w:rPr>
        <w:t xml:space="preserve">The rule of lenity may be about to have its day in court. On February 27, 2017, the Supreme Court heard argument in the case of Esquivel-Quintana v. Sessions, No. 16-54, where the Sixth Circuit afforded Chevron deference to the Board of Immigration Appeals’ interpretation of a hybrid civil/criminal immigration statute to hold that an immigrant was subject to deportation. In his dissent from the panel decision, Judge Sutton stated that the case was “a classic occasion for applying the rule of lenity.” Esquivel-Quintana v. Lynch, 810 F.3d 1019, 1028-29 (6th Cir. 2016) (Sutton, J., concurring in part and dissenting in part). </w:t>
      </w:r>
      <w:r w:rsidRPr="006A5029">
        <w:rPr>
          <w:rStyle w:val="Emphasis"/>
        </w:rPr>
        <w:t>Only time will tell</w:t>
      </w:r>
      <w:r w:rsidRPr="006A5029">
        <w:rPr>
          <w:rStyle w:val="StyleUnderline"/>
        </w:rPr>
        <w:t xml:space="preserve"> whether the Supreme Court uses the case to bolster </w:t>
      </w:r>
      <w:r w:rsidRPr="006A5029">
        <w:rPr>
          <w:rStyle w:val="Emphasis"/>
        </w:rPr>
        <w:t>its recent lenity jurisprudence</w:t>
      </w:r>
      <w:r w:rsidRPr="006A5029">
        <w:rPr>
          <w:sz w:val="16"/>
        </w:rPr>
        <w:t>.</w:t>
      </w:r>
    </w:p>
    <w:p w14:paraId="49FB41CB" w14:textId="464E54E8" w:rsidR="005304A7" w:rsidRDefault="005304A7" w:rsidP="005304A7">
      <w:pPr>
        <w:pStyle w:val="Heading3"/>
      </w:pPr>
      <w:r>
        <w:t xml:space="preserve">2AC – </w:t>
      </w:r>
      <w:r w:rsidR="00D10287">
        <w:t>IL – AT:</w:t>
      </w:r>
      <w:r w:rsidR="00C72E89">
        <w:t xml:space="preserve"> Democracy</w:t>
      </w:r>
    </w:p>
    <w:p w14:paraId="1F6B472B" w14:textId="5306B7F4" w:rsidR="005304A7" w:rsidRPr="005304A7" w:rsidRDefault="005304A7" w:rsidP="005304A7">
      <w:pPr>
        <w:pStyle w:val="Heading4"/>
        <w:rPr>
          <w:szCs w:val="26"/>
        </w:rPr>
      </w:pPr>
      <w:r>
        <w:rPr>
          <w:szCs w:val="26"/>
          <w:u w:val="single"/>
        </w:rPr>
        <w:t>Hobbling</w:t>
      </w:r>
      <w:r>
        <w:rPr>
          <w:szCs w:val="26"/>
        </w:rPr>
        <w:t xml:space="preserve"> the admin state preserves </w:t>
      </w:r>
      <w:r>
        <w:rPr>
          <w:szCs w:val="26"/>
          <w:u w:val="single"/>
        </w:rPr>
        <w:t>democracy</w:t>
      </w:r>
      <w:r>
        <w:rPr>
          <w:szCs w:val="26"/>
        </w:rPr>
        <w:t>.</w:t>
      </w:r>
    </w:p>
    <w:p w14:paraId="7196084C" w14:textId="77777777" w:rsidR="005304A7" w:rsidRPr="00684BF3" w:rsidRDefault="005304A7" w:rsidP="005304A7">
      <w:r w:rsidRPr="00C80CAB">
        <w:rPr>
          <w:rStyle w:val="Heading4Char"/>
          <w:szCs w:val="26"/>
        </w:rPr>
        <w:t>Yoo 16</w:t>
      </w:r>
      <w:r w:rsidRPr="00684BF3">
        <w:t xml:space="preserve"> – (John Yoo, Emanuel Heller Professor of Law and director of the Korea Law Center, the California Constitution Center, and the Law School’s Program in Public Law and Policy, B.A., summa cum laude, in American history from Harvard University, J.D. from Yale Law School; “Liberty's Nemesis: The Unchecked Expansion of the State”; Encounter Books; D.A. June 42th 2020, [Published February 9</w:t>
      </w:r>
      <w:r w:rsidRPr="00684BF3">
        <w:rPr>
          <w:vertAlign w:val="superscript"/>
        </w:rPr>
        <w:t>th</w:t>
      </w:r>
      <w:r w:rsidRPr="00684BF3">
        <w:t xml:space="preserve"> 2016]; Conclusion) //LFS—JCM</w:t>
      </w:r>
    </w:p>
    <w:p w14:paraId="23C936FC" w14:textId="77777777" w:rsidR="005304A7" w:rsidRPr="00684BF3" w:rsidRDefault="005304A7" w:rsidP="005304A7">
      <w:pPr>
        <w:rPr>
          <w:sz w:val="16"/>
        </w:rPr>
      </w:pPr>
      <w:r w:rsidRPr="00684BF3">
        <w:rPr>
          <w:sz w:val="16"/>
        </w:rPr>
        <w:t xml:space="preserve">Conservatives can begin reform by moving beyond the policies of the Reagan Revolution. </w:t>
      </w:r>
      <w:r w:rsidRPr="00456038">
        <w:rPr>
          <w:rStyle w:val="StyleUnderline"/>
          <w:highlight w:val="cyan"/>
        </w:rPr>
        <w:t xml:space="preserve">Rather than make the </w:t>
      </w:r>
      <w:r w:rsidRPr="00456038">
        <w:rPr>
          <w:rStyle w:val="Emphasis"/>
          <w:highlight w:val="cyan"/>
        </w:rPr>
        <w:t>administrative state</w:t>
      </w:r>
      <w:r w:rsidRPr="00456038">
        <w:rPr>
          <w:rStyle w:val="StyleUnderline"/>
          <w:highlight w:val="cyan"/>
        </w:rPr>
        <w:t xml:space="preserve"> more</w:t>
      </w:r>
      <w:r w:rsidRPr="00684BF3">
        <w:rPr>
          <w:rStyle w:val="StyleUnderline"/>
        </w:rPr>
        <w:t xml:space="preserve"> </w:t>
      </w:r>
      <w:r w:rsidRPr="00684BF3">
        <w:rPr>
          <w:rStyle w:val="Emphasis"/>
        </w:rPr>
        <w:t xml:space="preserve">efficient and </w:t>
      </w:r>
      <w:r w:rsidRPr="00456038">
        <w:rPr>
          <w:rStyle w:val="Emphasis"/>
          <w:highlight w:val="cyan"/>
        </w:rPr>
        <w:t>effective</w:t>
      </w:r>
      <w:r w:rsidRPr="00684BF3">
        <w:rPr>
          <w:sz w:val="16"/>
        </w:rPr>
        <w:t xml:space="preserve">, perhaps </w:t>
      </w:r>
      <w:r w:rsidRPr="00456038">
        <w:rPr>
          <w:rStyle w:val="StyleUnderline"/>
          <w:highlight w:val="cyan"/>
        </w:rPr>
        <w:t>the better answer is to</w:t>
      </w:r>
      <w:r w:rsidRPr="00684BF3">
        <w:rPr>
          <w:sz w:val="16"/>
        </w:rPr>
        <w:t xml:space="preserve"> disable and </w:t>
      </w:r>
      <w:r w:rsidRPr="00456038">
        <w:rPr>
          <w:rStyle w:val="StyleUnderline"/>
          <w:highlight w:val="cyan"/>
        </w:rPr>
        <w:t>hobble it</w:t>
      </w:r>
      <w:r w:rsidRPr="00456038">
        <w:rPr>
          <w:sz w:val="16"/>
          <w:highlight w:val="cyan"/>
        </w:rPr>
        <w:t>.</w:t>
      </w:r>
      <w:r w:rsidRPr="00684BF3">
        <w:rPr>
          <w:sz w:val="16"/>
        </w:rPr>
        <w:t xml:space="preserve"> First, conservatives should jettison some of the favorite legal doctrines of the current era. </w:t>
      </w:r>
      <w:r w:rsidRPr="00456038">
        <w:rPr>
          <w:rStyle w:val="StyleUnderline"/>
          <w:highlight w:val="cyan"/>
        </w:rPr>
        <w:t>Rather than defer to agency interpretations</w:t>
      </w:r>
      <w:r w:rsidRPr="00684BF3">
        <w:rPr>
          <w:sz w:val="16"/>
        </w:rPr>
        <w:t xml:space="preserve"> of their laws, </w:t>
      </w:r>
      <w:r w:rsidRPr="00456038">
        <w:rPr>
          <w:rStyle w:val="StyleUnderline"/>
          <w:highlight w:val="cyan"/>
        </w:rPr>
        <w:t xml:space="preserve">the </w:t>
      </w:r>
      <w:r w:rsidRPr="00456038">
        <w:rPr>
          <w:rStyle w:val="Emphasis"/>
          <w:highlight w:val="cyan"/>
        </w:rPr>
        <w:t>courts should decide on their own</w:t>
      </w:r>
      <w:r w:rsidRPr="00684BF3">
        <w:rPr>
          <w:rStyle w:val="StyleUnderline"/>
        </w:rPr>
        <w:t xml:space="preserve"> whether regulations satisfy statutory requirements</w:t>
      </w:r>
      <w:r w:rsidRPr="00684BF3">
        <w:rPr>
          <w:sz w:val="16"/>
        </w:rPr>
        <w:t xml:space="preserve">. </w:t>
      </w:r>
      <w:r w:rsidRPr="00456038">
        <w:rPr>
          <w:rStyle w:val="StyleUnderline"/>
          <w:highlight w:val="cyan"/>
        </w:rPr>
        <w:t>Rather than give agencies wide room to run</w:t>
      </w:r>
      <w:r w:rsidRPr="00684BF3">
        <w:rPr>
          <w:rStyle w:val="StyleUnderline"/>
        </w:rPr>
        <w:t xml:space="preserve"> in formulating regulations, </w:t>
      </w:r>
      <w:r w:rsidRPr="00456038">
        <w:rPr>
          <w:rStyle w:val="Emphasis"/>
          <w:highlight w:val="cyan"/>
        </w:rPr>
        <w:t>courts can give them a hard look</w:t>
      </w:r>
      <w:r w:rsidRPr="00684BF3">
        <w:rPr>
          <w:sz w:val="16"/>
        </w:rPr>
        <w:t xml:space="preserve"> or demand that they be based on scientific models and empirical evidence. Judges could resuscitate the pre–New Deal nondelegation doctrine, which once placed limits on Congress’s freedom to give away its legislative power to the agencies. In the Supreme Court term that ended in June 2015, Justice Clarence Thomas called upon the Court to make exactly these changes.</w:t>
      </w:r>
      <w:hyperlink r:id="rId161" w:history="1">
        <w:r w:rsidRPr="00684BF3">
          <w:rPr>
            <w:rStyle w:val="Hyperlink"/>
            <w:sz w:val="16"/>
          </w:rPr>
          <w:t>32</w:t>
        </w:r>
      </w:hyperlink>
    </w:p>
    <w:p w14:paraId="794F2042" w14:textId="77777777" w:rsidR="005304A7" w:rsidRPr="00684BF3" w:rsidRDefault="005304A7" w:rsidP="005304A7">
      <w:pPr>
        <w:rPr>
          <w:sz w:val="16"/>
        </w:rPr>
      </w:pPr>
      <w:r w:rsidRPr="00684BF3">
        <w:rPr>
          <w:rStyle w:val="StyleUnderline"/>
        </w:rPr>
        <w:t xml:space="preserve">A more aggressive </w:t>
      </w:r>
      <w:r w:rsidRPr="00684BF3">
        <w:rPr>
          <w:rStyle w:val="Emphasis"/>
        </w:rPr>
        <w:t>re-thinking of constitutional law</w:t>
      </w:r>
      <w:r w:rsidRPr="00684BF3">
        <w:rPr>
          <w:rStyle w:val="StyleUnderline"/>
        </w:rPr>
        <w:t xml:space="preserve"> could re-examine some separation-of-powers classics</w:t>
      </w:r>
      <w:r w:rsidRPr="00684BF3">
        <w:rPr>
          <w:sz w:val="16"/>
        </w:rPr>
        <w:t>. Cases such as INS v. Chadha,</w:t>
      </w:r>
      <w:hyperlink r:id="rId162" w:history="1">
        <w:r w:rsidRPr="00684BF3">
          <w:rPr>
            <w:rStyle w:val="Hyperlink"/>
            <w:sz w:val="16"/>
          </w:rPr>
          <w:t>33</w:t>
        </w:r>
      </w:hyperlink>
      <w:r w:rsidRPr="00684BF3">
        <w:rPr>
          <w:sz w:val="16"/>
        </w:rPr>
        <w:t> which struck down the legislative veto, or Bowsher v. Synar,</w:t>
      </w:r>
      <w:hyperlink r:id="rId163" w:history="1">
        <w:r w:rsidRPr="00684BF3">
          <w:rPr>
            <w:rStyle w:val="Hyperlink"/>
            <w:sz w:val="16"/>
          </w:rPr>
          <w:t>34</w:t>
        </w:r>
      </w:hyperlink>
      <w:r w:rsidRPr="00684BF3">
        <w:rPr>
          <w:sz w:val="16"/>
        </w:rPr>
        <w:t xml:space="preserve"> which limited the powers of congressional agencies, reduced Congress’s ability to oversee the administrative state. If conservatives are going to impose new constraints, they </w:t>
      </w:r>
      <w:r w:rsidRPr="00684BF3">
        <w:rPr>
          <w:rStyle w:val="StyleUnderline"/>
        </w:rPr>
        <w:t>must re-think some of their constitutional hostility toward Congress</w:t>
      </w:r>
      <w:r w:rsidRPr="00684BF3">
        <w:rPr>
          <w:sz w:val="16"/>
        </w:rPr>
        <w:t>.</w:t>
      </w:r>
    </w:p>
    <w:p w14:paraId="6B958573" w14:textId="77777777" w:rsidR="005304A7" w:rsidRPr="00684BF3" w:rsidRDefault="005304A7" w:rsidP="005304A7">
      <w:pPr>
        <w:rPr>
          <w:sz w:val="16"/>
        </w:rPr>
      </w:pPr>
      <w:r w:rsidRPr="00684BF3">
        <w:rPr>
          <w:sz w:val="16"/>
        </w:rPr>
        <w:t>Another conservative revolution could come in the area of individual rights. Many conservative lawyers and judges, especially those who came to the fore during the Reagan years, believed that Lochner v. New York</w:t>
      </w:r>
      <w:hyperlink r:id="rId164" w:history="1">
        <w:r w:rsidRPr="00684BF3">
          <w:rPr>
            <w:rStyle w:val="Hyperlink"/>
            <w:sz w:val="16"/>
          </w:rPr>
          <w:t>35</w:t>
        </w:r>
      </w:hyperlink>
      <w:r w:rsidRPr="00684BF3">
        <w:rPr>
          <w:sz w:val="16"/>
        </w:rPr>
        <w:t> was the great example of the evils of judicial activism.</w:t>
      </w:r>
      <w:hyperlink r:id="rId165" w:history="1">
        <w:r w:rsidRPr="00684BF3">
          <w:rPr>
            <w:rStyle w:val="Hyperlink"/>
            <w:sz w:val="16"/>
          </w:rPr>
          <w:t>36</w:t>
        </w:r>
      </w:hyperlink>
      <w:r w:rsidRPr="00684BF3">
        <w:rPr>
          <w:sz w:val="16"/>
        </w:rPr>
        <w:t> In Lochner, the Supreme Court had struck down a limit on the working hours of bakers as a violation of their due process right to make contracts, a view that held sway from the end of the Civil War to the New Deal.</w:t>
      </w:r>
      <w:hyperlink r:id="rId166" w:history="1">
        <w:r w:rsidRPr="00684BF3">
          <w:rPr>
            <w:rStyle w:val="Hyperlink"/>
            <w:sz w:val="16"/>
          </w:rPr>
          <w:t>37</w:t>
        </w:r>
      </w:hyperlink>
      <w:r w:rsidRPr="00684BF3">
        <w:rPr>
          <w:sz w:val="16"/>
        </w:rPr>
        <w:t> </w:t>
      </w:r>
      <w:r w:rsidRPr="00684BF3">
        <w:rPr>
          <w:rStyle w:val="StyleUnderline"/>
        </w:rPr>
        <w:t>The framers of the Constitution and of the Reconstruction amendments shared a belief in natural rights</w:t>
      </w:r>
      <w:r w:rsidRPr="00684BF3">
        <w:rPr>
          <w:sz w:val="16"/>
        </w:rPr>
        <w:t>. Nevertheless, conservatives agreed with the New Deal court’s rejection of Lochner because it underlay their critique of the Warren Court’s activism of the 1950s and 1960s.</w:t>
      </w:r>
    </w:p>
    <w:p w14:paraId="622D882F" w14:textId="77777777" w:rsidR="005304A7" w:rsidRPr="00684BF3" w:rsidRDefault="005304A7" w:rsidP="005304A7">
      <w:pPr>
        <w:rPr>
          <w:sz w:val="16"/>
        </w:rPr>
      </w:pPr>
      <w:r w:rsidRPr="00684BF3">
        <w:rPr>
          <w:rStyle w:val="StyleUnderline"/>
        </w:rPr>
        <w:t>Rejecting the restoration of natural rights has become a form of unilateral conservative disarmament</w:t>
      </w:r>
      <w:r w:rsidRPr="00684BF3">
        <w:rPr>
          <w:sz w:val="16"/>
        </w:rPr>
        <w:t xml:space="preserve">. Often joined by a stray conservative, such as the ever-wandering Justice Anthony Kennedy, </w:t>
      </w:r>
      <w:r w:rsidRPr="00684BF3">
        <w:rPr>
          <w:rStyle w:val="StyleUnderline"/>
        </w:rPr>
        <w:t>liberals do not hesitate to conjure new rights out of the Due Process Clause</w:t>
      </w:r>
      <w:r w:rsidRPr="00684BF3">
        <w:rPr>
          <w:sz w:val="16"/>
        </w:rPr>
        <w:t xml:space="preserve">, from Roe v. Wade’s right to abortion to Obergefell’s right to gay marriage. By ignoring the natural rights that actually informed the framing, </w:t>
      </w:r>
      <w:r w:rsidRPr="00684BF3">
        <w:rPr>
          <w:rStyle w:val="StyleUnderline"/>
        </w:rPr>
        <w:t>conservatives are pursuing an impoverished, defensive vision of constitutional law</w:t>
      </w:r>
      <w:r w:rsidRPr="00684BF3">
        <w:rPr>
          <w:sz w:val="16"/>
        </w:rPr>
        <w:t xml:space="preserve">. </w:t>
      </w:r>
      <w:r w:rsidRPr="00456038">
        <w:rPr>
          <w:rStyle w:val="StyleUnderline"/>
          <w:highlight w:val="cyan"/>
        </w:rPr>
        <w:t xml:space="preserve">As part of a strategy to </w:t>
      </w:r>
      <w:r w:rsidRPr="00456038">
        <w:rPr>
          <w:rStyle w:val="Emphasis"/>
          <w:highlight w:val="cyan"/>
        </w:rPr>
        <w:t>reverse the growth of the administrative state</w:t>
      </w:r>
      <w:r w:rsidRPr="00684BF3">
        <w:rPr>
          <w:sz w:val="16"/>
        </w:rPr>
        <w:t xml:space="preserve">, </w:t>
      </w:r>
      <w:r w:rsidRPr="00456038">
        <w:rPr>
          <w:rStyle w:val="StyleUnderline"/>
          <w:highlight w:val="cyan"/>
        </w:rPr>
        <w:t>conservative</w:t>
      </w:r>
      <w:r w:rsidRPr="00684BF3">
        <w:rPr>
          <w:rStyle w:val="StyleUnderline"/>
        </w:rPr>
        <w:t xml:space="preserve"> thinker</w:t>
      </w:r>
      <w:r w:rsidRPr="00456038">
        <w:rPr>
          <w:rStyle w:val="StyleUnderline"/>
          <w:highlight w:val="cyan"/>
        </w:rPr>
        <w:t>s</w:t>
      </w:r>
      <w:r w:rsidRPr="00684BF3">
        <w:rPr>
          <w:rStyle w:val="StyleUnderline"/>
        </w:rPr>
        <w:t xml:space="preserve"> </w:t>
      </w:r>
      <w:r w:rsidRPr="00456038">
        <w:rPr>
          <w:rStyle w:val="StyleUnderline"/>
          <w:highlight w:val="cyan"/>
        </w:rPr>
        <w:t>must create a system of legal principles</w:t>
      </w:r>
      <w:r w:rsidRPr="00684BF3">
        <w:rPr>
          <w:sz w:val="16"/>
        </w:rPr>
        <w:t xml:space="preserve"> based on natural rights that judges can meaningfully enforce.</w:t>
      </w:r>
    </w:p>
    <w:p w14:paraId="0878DAB7" w14:textId="115AF3D2" w:rsidR="005304A7" w:rsidRPr="005304A7" w:rsidRDefault="005304A7" w:rsidP="005304A7">
      <w:pPr>
        <w:rPr>
          <w:sz w:val="16"/>
        </w:rPr>
      </w:pPr>
      <w:r w:rsidRPr="00684BF3">
        <w:rPr>
          <w:sz w:val="16"/>
        </w:rPr>
        <w:t xml:space="preserve">Conservatives need to recalibrate their revolution. While </w:t>
      </w:r>
      <w:r w:rsidRPr="00456038">
        <w:rPr>
          <w:rStyle w:val="StyleUnderline"/>
          <w:highlight w:val="cyan"/>
        </w:rPr>
        <w:t>they are correct to follow the founders’ fear of excessive lawmaking</w:t>
      </w:r>
      <w:r w:rsidRPr="00684BF3">
        <w:rPr>
          <w:rStyle w:val="StyleUnderline"/>
        </w:rPr>
        <w:t xml:space="preserve">, </w:t>
      </w:r>
      <w:r w:rsidRPr="00456038">
        <w:rPr>
          <w:rStyle w:val="StyleUnderline"/>
          <w:highlight w:val="cyan"/>
        </w:rPr>
        <w:t>the focus has been on</w:t>
      </w:r>
      <w:r w:rsidRPr="00684BF3">
        <w:rPr>
          <w:rStyle w:val="StyleUnderline"/>
        </w:rPr>
        <w:t xml:space="preserve"> the wrong source: </w:t>
      </w:r>
      <w:r w:rsidRPr="00456038">
        <w:rPr>
          <w:rStyle w:val="StyleUnderline"/>
          <w:highlight w:val="cyan"/>
        </w:rPr>
        <w:t>Congress</w:t>
      </w:r>
      <w:r w:rsidRPr="00684BF3">
        <w:rPr>
          <w:sz w:val="16"/>
        </w:rPr>
        <w:t xml:space="preserve">. Now </w:t>
      </w:r>
      <w:r w:rsidRPr="00684BF3">
        <w:rPr>
          <w:rStyle w:val="StyleUnderline"/>
        </w:rPr>
        <w:t xml:space="preserve">constitutional </w:t>
      </w:r>
      <w:r w:rsidRPr="00456038">
        <w:rPr>
          <w:rStyle w:val="StyleUnderline"/>
          <w:highlight w:val="cyan"/>
        </w:rPr>
        <w:t xml:space="preserve">doctrine must </w:t>
      </w:r>
      <w:r w:rsidRPr="00456038">
        <w:rPr>
          <w:rStyle w:val="Emphasis"/>
          <w:highlight w:val="cyan"/>
        </w:rPr>
        <w:t>aim at liberty’s nemesis</w:t>
      </w:r>
      <w:r w:rsidRPr="00684BF3">
        <w:rPr>
          <w:rStyle w:val="StyleUnderline"/>
        </w:rPr>
        <w:t>—</w:t>
      </w:r>
      <w:r w:rsidRPr="00456038">
        <w:rPr>
          <w:rStyle w:val="Emphasis"/>
          <w:highlight w:val="cyan"/>
        </w:rPr>
        <w:t>administrative agencies</w:t>
      </w:r>
      <w:r w:rsidRPr="00684BF3">
        <w:rPr>
          <w:sz w:val="16"/>
        </w:rPr>
        <w:t xml:space="preserve">. </w:t>
      </w:r>
      <w:r w:rsidRPr="00456038">
        <w:rPr>
          <w:rStyle w:val="StyleUnderline"/>
          <w:highlight w:val="cyan"/>
        </w:rPr>
        <w:t xml:space="preserve">Otherwise, our </w:t>
      </w:r>
      <w:r w:rsidRPr="00456038">
        <w:rPr>
          <w:rStyle w:val="Emphasis"/>
          <w:highlight w:val="cyan"/>
        </w:rPr>
        <w:t>constitutional Republic</w:t>
      </w:r>
      <w:r w:rsidRPr="00684BF3">
        <w:rPr>
          <w:rStyle w:val="StyleUnderline"/>
        </w:rPr>
        <w:t xml:space="preserve"> </w:t>
      </w:r>
      <w:r w:rsidRPr="00456038">
        <w:rPr>
          <w:rStyle w:val="StyleUnderline"/>
          <w:highlight w:val="cyan"/>
        </w:rPr>
        <w:t xml:space="preserve">might </w:t>
      </w:r>
      <w:r w:rsidRPr="00456038">
        <w:rPr>
          <w:rStyle w:val="Emphasis"/>
          <w:highlight w:val="cyan"/>
        </w:rPr>
        <w:t>devolve</w:t>
      </w:r>
      <w:r w:rsidRPr="00456038">
        <w:rPr>
          <w:rStyle w:val="StyleUnderline"/>
          <w:highlight w:val="cyan"/>
        </w:rPr>
        <w:t xml:space="preserve"> into</w:t>
      </w:r>
      <w:r w:rsidRPr="00684BF3">
        <w:rPr>
          <w:rStyle w:val="StyleUnderline"/>
        </w:rPr>
        <w:t xml:space="preserve"> something akin to </w:t>
      </w:r>
      <w:r w:rsidRPr="00456038">
        <w:rPr>
          <w:rStyle w:val="StyleUnderline"/>
          <w:highlight w:val="cyan"/>
        </w:rPr>
        <w:t xml:space="preserve">the </w:t>
      </w:r>
      <w:r w:rsidRPr="00456038">
        <w:rPr>
          <w:rStyle w:val="Emphasis"/>
          <w:highlight w:val="cyan"/>
        </w:rPr>
        <w:t>statist governments of Europe</w:t>
      </w:r>
      <w:r w:rsidRPr="00684BF3">
        <w:rPr>
          <w:rStyle w:val="StyleUnderline"/>
        </w:rPr>
        <w:t>.</w:t>
      </w:r>
      <w:r w:rsidRPr="00684BF3">
        <w:rPr>
          <w:sz w:val="16"/>
        </w:rPr>
        <w:t xml:space="preserve"> Obama’s scandals, ironically, may give conservatives the opportunity to begin again.</w:t>
      </w:r>
    </w:p>
    <w:p w14:paraId="659B94F8" w14:textId="6F4F0D1D" w:rsidR="005304A7" w:rsidRDefault="005304A7" w:rsidP="005304A7">
      <w:pPr>
        <w:pStyle w:val="Heading3"/>
      </w:pPr>
      <w:r>
        <w:t xml:space="preserve">1AR – </w:t>
      </w:r>
      <w:r w:rsidR="00D10287">
        <w:t>IL – AT:</w:t>
      </w:r>
      <w:r w:rsidR="00C72E89">
        <w:t xml:space="preserve"> Democracy</w:t>
      </w:r>
    </w:p>
    <w:p w14:paraId="18D2A233" w14:textId="026AF495" w:rsidR="005304A7" w:rsidRPr="00C80CAB" w:rsidRDefault="005304A7" w:rsidP="005304A7">
      <w:pPr>
        <w:pStyle w:val="Heading4"/>
        <w:rPr>
          <w:szCs w:val="26"/>
        </w:rPr>
      </w:pPr>
      <w:r w:rsidRPr="00C80CAB">
        <w:rPr>
          <w:szCs w:val="26"/>
        </w:rPr>
        <w:t xml:space="preserve">The administrative state </w:t>
      </w:r>
      <w:r>
        <w:rPr>
          <w:szCs w:val="26"/>
        </w:rPr>
        <w:t xml:space="preserve">is </w:t>
      </w:r>
      <w:r w:rsidRPr="005304A7">
        <w:rPr>
          <w:szCs w:val="26"/>
          <w:u w:val="single"/>
        </w:rPr>
        <w:t>incompatible</w:t>
      </w:r>
      <w:r>
        <w:rPr>
          <w:szCs w:val="26"/>
        </w:rPr>
        <w:t xml:space="preserve"> with</w:t>
      </w:r>
      <w:r w:rsidRPr="00C80CAB">
        <w:rPr>
          <w:szCs w:val="26"/>
        </w:rPr>
        <w:t xml:space="preserve"> democracy</w:t>
      </w:r>
      <w:r>
        <w:rPr>
          <w:szCs w:val="26"/>
        </w:rPr>
        <w:t>.</w:t>
      </w:r>
    </w:p>
    <w:p w14:paraId="63A53A05" w14:textId="77777777" w:rsidR="005304A7" w:rsidRPr="00684BF3" w:rsidRDefault="005304A7" w:rsidP="005304A7">
      <w:r w:rsidRPr="00C80CAB">
        <w:rPr>
          <w:rStyle w:val="Heading4Char"/>
          <w:szCs w:val="26"/>
        </w:rPr>
        <w:t>Bodnar 17</w:t>
      </w:r>
      <w:r w:rsidRPr="00684BF3">
        <w:t xml:space="preserve"> – (Sara Bodnar, quoting Dean Reuter and John Yoo; “Does the Administrative State Threaten U.S. Democracy?”; The Regulatory Review; D.A. June 24</w:t>
      </w:r>
      <w:r w:rsidRPr="00684BF3">
        <w:rPr>
          <w:vertAlign w:val="superscript"/>
        </w:rPr>
        <w:t>th</w:t>
      </w:r>
      <w:r w:rsidRPr="00684BF3">
        <w:t xml:space="preserve"> 2020, [Published October 9</w:t>
      </w:r>
      <w:r w:rsidRPr="00684BF3">
        <w:rPr>
          <w:vertAlign w:val="superscript"/>
        </w:rPr>
        <w:t>th</w:t>
      </w:r>
      <w:r w:rsidRPr="00684BF3">
        <w:t xml:space="preserve"> 2017]; </w:t>
      </w:r>
      <w:hyperlink r:id="rId167" w:history="1">
        <w:r w:rsidRPr="00684BF3">
          <w:rPr>
            <w:rStyle w:val="Hyperlink"/>
          </w:rPr>
          <w:t>https://www.theregreview.org/2017/10/19/bodnar-administrative-state-threaten-democracy/</w:t>
        </w:r>
      </w:hyperlink>
      <w:r w:rsidRPr="00684BF3">
        <w:t>) //LFS—JCM</w:t>
      </w:r>
    </w:p>
    <w:p w14:paraId="54AFB432" w14:textId="77777777" w:rsidR="005304A7" w:rsidRPr="00684BF3" w:rsidRDefault="005304A7" w:rsidP="005304A7">
      <w:pPr>
        <w:rPr>
          <w:rStyle w:val="StyleUnderline"/>
        </w:rPr>
      </w:pPr>
      <w:r w:rsidRPr="00684BF3">
        <w:rPr>
          <w:rStyle w:val="StyleUnderline"/>
        </w:rPr>
        <w:t>The Federal Register</w:t>
      </w:r>
      <w:r w:rsidRPr="00684BF3">
        <w:rPr>
          <w:sz w:val="16"/>
        </w:rPr>
        <w:t> currently </w:t>
      </w:r>
      <w:hyperlink r:id="rId168" w:history="1">
        <w:r w:rsidRPr="00684BF3">
          <w:rPr>
            <w:rStyle w:val="StyleUnderline"/>
          </w:rPr>
          <w:t>lists</w:t>
        </w:r>
      </w:hyperlink>
      <w:r w:rsidRPr="00684BF3">
        <w:rPr>
          <w:rStyle w:val="StyleUnderline"/>
        </w:rPr>
        <w:t xml:space="preserve"> over 400 federal </w:t>
      </w:r>
      <w:r w:rsidRPr="00684BF3">
        <w:rPr>
          <w:sz w:val="16"/>
        </w:rPr>
        <w:t xml:space="preserve">departments, </w:t>
      </w:r>
      <w:r w:rsidRPr="00684BF3">
        <w:rPr>
          <w:rStyle w:val="StyleUnderline"/>
        </w:rPr>
        <w:t>agencies</w:t>
      </w:r>
      <w:r w:rsidRPr="00684BF3">
        <w:rPr>
          <w:sz w:val="16"/>
        </w:rPr>
        <w:t xml:space="preserve">, and sub-agencies </w:t>
      </w:r>
      <w:r w:rsidRPr="00684BF3">
        <w:rPr>
          <w:rStyle w:val="StyleUnderline"/>
        </w:rPr>
        <w:t>that </w:t>
      </w:r>
      <w:hyperlink r:id="rId169" w:history="1">
        <w:r w:rsidRPr="00684BF3">
          <w:rPr>
            <w:rStyle w:val="StyleUnderline"/>
          </w:rPr>
          <w:t>finalize</w:t>
        </w:r>
      </w:hyperlink>
      <w:r w:rsidRPr="00684BF3">
        <w:rPr>
          <w:rStyle w:val="StyleUnderline"/>
        </w:rPr>
        <w:t> thousands of rules each year</w:t>
      </w:r>
      <w:r w:rsidRPr="00684BF3">
        <w:rPr>
          <w:sz w:val="16"/>
        </w:rPr>
        <w:t>—</w:t>
      </w:r>
      <w:r w:rsidRPr="00684BF3">
        <w:rPr>
          <w:rStyle w:val="StyleUnderline"/>
        </w:rPr>
        <w:t xml:space="preserve">a </w:t>
      </w:r>
      <w:r w:rsidRPr="00684BF3">
        <w:rPr>
          <w:rStyle w:val="Emphasis"/>
        </w:rPr>
        <w:t>burgeoning administrative state</w:t>
      </w:r>
      <w:r w:rsidRPr="00684BF3">
        <w:rPr>
          <w:rStyle w:val="StyleUnderline"/>
        </w:rPr>
        <w:t xml:space="preserve"> that is </w:t>
      </w:r>
      <w:r w:rsidRPr="00684BF3">
        <w:rPr>
          <w:rStyle w:val="Emphasis"/>
        </w:rPr>
        <w:t xml:space="preserve">a far cry from </w:t>
      </w:r>
      <w:r w:rsidRPr="00684BF3">
        <w:rPr>
          <w:rStyle w:val="StyleUnderline"/>
        </w:rPr>
        <w:t xml:space="preserve">the U.S. </w:t>
      </w:r>
      <w:r w:rsidRPr="00684BF3">
        <w:rPr>
          <w:rStyle w:val="Emphasis"/>
        </w:rPr>
        <w:t>government at</w:t>
      </w:r>
      <w:r w:rsidRPr="00684BF3">
        <w:rPr>
          <w:rStyle w:val="StyleUnderline"/>
        </w:rPr>
        <w:t xml:space="preserve"> the nation’s </w:t>
      </w:r>
      <w:r w:rsidRPr="00684BF3">
        <w:rPr>
          <w:rStyle w:val="Emphasis"/>
        </w:rPr>
        <w:t>founding</w:t>
      </w:r>
      <w:r w:rsidRPr="00684BF3">
        <w:rPr>
          <w:rStyle w:val="StyleUnderline"/>
        </w:rPr>
        <w:t>.</w:t>
      </w:r>
    </w:p>
    <w:p w14:paraId="73A0CEF5" w14:textId="77777777" w:rsidR="005304A7" w:rsidRPr="00684BF3" w:rsidRDefault="005304A7" w:rsidP="005304A7">
      <w:pPr>
        <w:rPr>
          <w:sz w:val="16"/>
        </w:rPr>
      </w:pPr>
      <w:r w:rsidRPr="00684BF3">
        <w:rPr>
          <w:sz w:val="16"/>
        </w:rPr>
        <w:t xml:space="preserve">According to the contributors to a new book, Liberty’s Nemesis: </w:t>
      </w:r>
      <w:r w:rsidRPr="00684BF3">
        <w:rPr>
          <w:rStyle w:val="StyleUnderline"/>
        </w:rPr>
        <w:t>The Unchecked Expansion of the State</w:t>
      </w:r>
      <w:r w:rsidRPr="00684BF3">
        <w:rPr>
          <w:sz w:val="16"/>
        </w:rPr>
        <w:t xml:space="preserve">, the growth of the federal administrative state in the United States </w:t>
      </w:r>
      <w:r w:rsidRPr="00684BF3">
        <w:rPr>
          <w:rStyle w:val="StyleUnderline"/>
        </w:rPr>
        <w:t xml:space="preserve">poses a </w:t>
      </w:r>
      <w:r w:rsidRPr="00684BF3">
        <w:rPr>
          <w:rStyle w:val="Emphasis"/>
        </w:rPr>
        <w:t>threat to American democracy</w:t>
      </w:r>
      <w:r w:rsidRPr="00684BF3">
        <w:rPr>
          <w:sz w:val="16"/>
        </w:rPr>
        <w:t>. Earlier this year, the University of Pennsylvania Law School chapter of the </w:t>
      </w:r>
      <w:hyperlink r:id="rId170" w:history="1">
        <w:r w:rsidRPr="00684BF3">
          <w:rPr>
            <w:rStyle w:val="Hyperlink"/>
            <w:sz w:val="16"/>
          </w:rPr>
          <w:t>Federalist Society</w:t>
        </w:r>
      </w:hyperlink>
      <w:r w:rsidRPr="00684BF3">
        <w:rPr>
          <w:sz w:val="16"/>
        </w:rPr>
        <w:t> convened a panel of contributors and co-editors from </w:t>
      </w:r>
      <w:hyperlink r:id="rId171" w:history="1">
        <w:r w:rsidRPr="00684BF3">
          <w:rPr>
            <w:rStyle w:val="Hyperlink"/>
            <w:sz w:val="16"/>
          </w:rPr>
          <w:t>Liberty’s Nemesis</w:t>
        </w:r>
      </w:hyperlink>
      <w:r w:rsidRPr="00684BF3">
        <w:rPr>
          <w:sz w:val="16"/>
        </w:rPr>
        <w:t xml:space="preserve"> to discuss </w:t>
      </w:r>
      <w:r w:rsidRPr="00684BF3">
        <w:rPr>
          <w:rStyle w:val="StyleUnderline"/>
        </w:rPr>
        <w:t>implications of the expanding administrative state</w:t>
      </w:r>
      <w:r w:rsidRPr="00684BF3">
        <w:rPr>
          <w:sz w:val="16"/>
        </w:rPr>
        <w:t>.</w:t>
      </w:r>
    </w:p>
    <w:p w14:paraId="7B308350" w14:textId="77777777" w:rsidR="005304A7" w:rsidRPr="00684BF3" w:rsidRDefault="005304A7" w:rsidP="005304A7">
      <w:pPr>
        <w:rPr>
          <w:rStyle w:val="StyleUnderline"/>
        </w:rPr>
      </w:pPr>
      <w:r w:rsidRPr="00684BF3">
        <w:rPr>
          <w:sz w:val="16"/>
        </w:rPr>
        <w:t xml:space="preserve">Underlying most of the discussion among the members of the panel was the claim that, </w:t>
      </w:r>
      <w:r w:rsidRPr="00684BF3">
        <w:rPr>
          <w:rStyle w:val="StyleUnderline"/>
        </w:rPr>
        <w:t xml:space="preserve">by its very nature, the </w:t>
      </w:r>
      <w:r w:rsidRPr="00684BF3">
        <w:rPr>
          <w:rStyle w:val="Emphasis"/>
        </w:rPr>
        <w:t>administrative state</w:t>
      </w:r>
      <w:r w:rsidRPr="00684BF3">
        <w:rPr>
          <w:rStyle w:val="StyleUnderline"/>
        </w:rPr>
        <w:t xml:space="preserve"> is </w:t>
      </w:r>
      <w:r w:rsidRPr="00684BF3">
        <w:rPr>
          <w:rStyle w:val="Emphasis"/>
        </w:rPr>
        <w:t>antithetical</w:t>
      </w:r>
      <w:r w:rsidRPr="00684BF3">
        <w:rPr>
          <w:rStyle w:val="StyleUnderline"/>
        </w:rPr>
        <w:t xml:space="preserve"> to the </w:t>
      </w:r>
      <w:r w:rsidRPr="00684BF3">
        <w:rPr>
          <w:rStyle w:val="Emphasis"/>
        </w:rPr>
        <w:t>three branches</w:t>
      </w:r>
      <w:r w:rsidRPr="00684BF3">
        <w:rPr>
          <w:rStyle w:val="StyleUnderline"/>
        </w:rPr>
        <w:t xml:space="preserve"> of government created </w:t>
      </w:r>
      <w:r w:rsidRPr="00684BF3">
        <w:rPr>
          <w:rStyle w:val="Emphasis"/>
        </w:rPr>
        <w:t>under the</w:t>
      </w:r>
      <w:r w:rsidRPr="00684BF3">
        <w:rPr>
          <w:rStyle w:val="StyleUnderline"/>
        </w:rPr>
        <w:t xml:space="preserve"> U.S. </w:t>
      </w:r>
      <w:r w:rsidRPr="00684BF3">
        <w:rPr>
          <w:rStyle w:val="Emphasis"/>
        </w:rPr>
        <w:t>Constitution</w:t>
      </w:r>
      <w:r w:rsidRPr="00684BF3">
        <w:rPr>
          <w:rStyle w:val="StyleUnderline"/>
        </w:rPr>
        <w:t>.</w:t>
      </w:r>
    </w:p>
    <w:p w14:paraId="0F2A8D13" w14:textId="77777777" w:rsidR="005304A7" w:rsidRPr="00684BF3" w:rsidRDefault="005304A7" w:rsidP="005304A7">
      <w:pPr>
        <w:rPr>
          <w:rStyle w:val="StyleUnderline"/>
        </w:rPr>
      </w:pPr>
      <w:r w:rsidRPr="00684BF3">
        <w:rPr>
          <w:rStyle w:val="StyleUnderline"/>
        </w:rPr>
        <w:t>Dean Reuter</w:t>
      </w:r>
      <w:r w:rsidRPr="00684BF3">
        <w:rPr>
          <w:sz w:val="16"/>
        </w:rPr>
        <w:t>, General Counsel and Vice President of the </w:t>
      </w:r>
      <w:hyperlink r:id="rId172" w:history="1">
        <w:r w:rsidRPr="00684BF3">
          <w:rPr>
            <w:rStyle w:val="Hyperlink"/>
            <w:sz w:val="16"/>
          </w:rPr>
          <w:t>Federalist Society</w:t>
        </w:r>
      </w:hyperlink>
      <w:r w:rsidRPr="00684BF3">
        <w:rPr>
          <w:sz w:val="16"/>
        </w:rPr>
        <w:t> and co-editor of </w:t>
      </w:r>
      <w:hyperlink r:id="rId173" w:history="1">
        <w:r w:rsidRPr="00684BF3">
          <w:rPr>
            <w:rStyle w:val="Hyperlink"/>
            <w:sz w:val="16"/>
          </w:rPr>
          <w:t>Liberty’s Nemesis</w:t>
        </w:r>
      </w:hyperlink>
      <w:r w:rsidRPr="00684BF3">
        <w:rPr>
          <w:sz w:val="16"/>
        </w:rPr>
        <w:t xml:space="preserve">, </w:t>
      </w:r>
      <w:r w:rsidRPr="00684BF3">
        <w:rPr>
          <w:rStyle w:val="StyleUnderline"/>
        </w:rPr>
        <w:t>argued that concentrating power in administrative agencies was unconstitutional.</w:t>
      </w:r>
    </w:p>
    <w:p w14:paraId="6E72D2DD" w14:textId="77777777" w:rsidR="005304A7" w:rsidRPr="00684BF3" w:rsidRDefault="005304A7" w:rsidP="005304A7">
      <w:pPr>
        <w:rPr>
          <w:sz w:val="16"/>
        </w:rPr>
      </w:pPr>
      <w:r w:rsidRPr="00684BF3">
        <w:rPr>
          <w:sz w:val="16"/>
        </w:rPr>
        <w:t>“You may have heard the expression ‘judge, jury, and executioner,’” Reuter said. “</w:t>
      </w:r>
      <w:r w:rsidRPr="00684BF3">
        <w:rPr>
          <w:rStyle w:val="Emphasis"/>
        </w:rPr>
        <w:t>Administrative agencies</w:t>
      </w:r>
      <w:r w:rsidRPr="00684BF3">
        <w:rPr>
          <w:rStyle w:val="StyleUnderline"/>
        </w:rPr>
        <w:t xml:space="preserve"> are worse. They </w:t>
      </w:r>
      <w:r w:rsidRPr="00684BF3">
        <w:rPr>
          <w:rStyle w:val="Emphasis"/>
        </w:rPr>
        <w:t>have</w:t>
      </w:r>
      <w:r w:rsidRPr="00684BF3">
        <w:rPr>
          <w:rStyle w:val="StyleUnderline"/>
        </w:rPr>
        <w:t xml:space="preserve"> even </w:t>
      </w:r>
      <w:r w:rsidRPr="00684BF3">
        <w:rPr>
          <w:rStyle w:val="Emphasis"/>
        </w:rPr>
        <w:t>more concentrated powers</w:t>
      </w:r>
      <w:r w:rsidRPr="00684BF3">
        <w:rPr>
          <w:sz w:val="16"/>
        </w:rPr>
        <w:t>.”</w:t>
      </w:r>
    </w:p>
    <w:p w14:paraId="461054A2" w14:textId="77777777" w:rsidR="005304A7" w:rsidRPr="00684BF3" w:rsidRDefault="005304A7" w:rsidP="005304A7">
      <w:pPr>
        <w:rPr>
          <w:sz w:val="16"/>
        </w:rPr>
      </w:pPr>
      <w:r w:rsidRPr="00684BF3">
        <w:rPr>
          <w:sz w:val="16"/>
        </w:rPr>
        <w:t xml:space="preserve">Reuter explained that, </w:t>
      </w:r>
      <w:r w:rsidRPr="00684BF3">
        <w:rPr>
          <w:rStyle w:val="StyleUnderline"/>
        </w:rPr>
        <w:t>when Congress delegates its legislative authority to agencies to fill in statutory gaps through regulation, agencies are then able to write additional laws, called regulations</w:t>
      </w:r>
      <w:r w:rsidRPr="00684BF3">
        <w:rPr>
          <w:sz w:val="16"/>
        </w:rPr>
        <w:t xml:space="preserve">, that they also then enforce by taking actions before administrative tribunals. In this way, </w:t>
      </w:r>
      <w:r w:rsidRPr="00684BF3">
        <w:rPr>
          <w:rStyle w:val="Emphasis"/>
        </w:rPr>
        <w:t>one agency performs</w:t>
      </w:r>
      <w:r w:rsidRPr="00684BF3">
        <w:rPr>
          <w:rStyle w:val="StyleUnderline"/>
        </w:rPr>
        <w:t xml:space="preserve"> governmental functions that are </w:t>
      </w:r>
      <w:r w:rsidRPr="00684BF3">
        <w:rPr>
          <w:rStyle w:val="Emphasis"/>
        </w:rPr>
        <w:t>executive, legislative, and judicial,</w:t>
      </w:r>
      <w:r w:rsidRPr="00684BF3">
        <w:rPr>
          <w:sz w:val="16"/>
        </w:rPr>
        <w:t xml:space="preserve"> Reuter said.</w:t>
      </w:r>
    </w:p>
    <w:p w14:paraId="7B8B9780" w14:textId="77777777" w:rsidR="005304A7" w:rsidRPr="00684BF3" w:rsidRDefault="004E564C" w:rsidP="005304A7">
      <w:pPr>
        <w:rPr>
          <w:sz w:val="16"/>
        </w:rPr>
      </w:pPr>
      <w:hyperlink r:id="rId174" w:history="1">
        <w:r w:rsidR="005304A7" w:rsidRPr="00684BF3">
          <w:rPr>
            <w:rStyle w:val="Hyperlink"/>
            <w:sz w:val="16"/>
          </w:rPr>
          <w:t>Cleta Mitchell</w:t>
        </w:r>
      </w:hyperlink>
      <w:r w:rsidR="005304A7" w:rsidRPr="00684BF3">
        <w:rPr>
          <w:sz w:val="16"/>
        </w:rPr>
        <w:t>, a partner in the Washington, D.C. office of </w:t>
      </w:r>
      <w:hyperlink r:id="rId175" w:history="1">
        <w:r w:rsidR="005304A7" w:rsidRPr="00684BF3">
          <w:rPr>
            <w:rStyle w:val="Hyperlink"/>
            <w:sz w:val="16"/>
          </w:rPr>
          <w:t>Foley &amp; Lardner</w:t>
        </w:r>
      </w:hyperlink>
      <w:r w:rsidR="005304A7" w:rsidRPr="00684BF3">
        <w:rPr>
          <w:sz w:val="16"/>
        </w:rPr>
        <w:t xml:space="preserve">, discussed what she viewed as </w:t>
      </w:r>
      <w:r w:rsidR="005304A7" w:rsidRPr="00684BF3">
        <w:rPr>
          <w:rStyle w:val="StyleUnderline"/>
        </w:rPr>
        <w:t xml:space="preserve">the </w:t>
      </w:r>
      <w:r w:rsidR="005304A7" w:rsidRPr="00684BF3">
        <w:rPr>
          <w:rStyle w:val="Emphasis"/>
        </w:rPr>
        <w:t>unchecked power</w:t>
      </w:r>
      <w:r w:rsidR="005304A7" w:rsidRPr="00684BF3">
        <w:rPr>
          <w:rStyle w:val="StyleUnderline"/>
        </w:rPr>
        <w:t xml:space="preserve"> of administrative agencies by noting that civil servants in agencies </w:t>
      </w:r>
      <w:r w:rsidR="005304A7" w:rsidRPr="00684BF3">
        <w:rPr>
          <w:rStyle w:val="Emphasis"/>
        </w:rPr>
        <w:t>are not elected</w:t>
      </w:r>
      <w:r w:rsidR="005304A7" w:rsidRPr="00684BF3">
        <w:rPr>
          <w:sz w:val="16"/>
        </w:rPr>
        <w:t xml:space="preserve">, which she said </w:t>
      </w:r>
      <w:r w:rsidR="005304A7" w:rsidRPr="00684BF3">
        <w:rPr>
          <w:rStyle w:val="StyleUnderline"/>
        </w:rPr>
        <w:t xml:space="preserve">makes them largely </w:t>
      </w:r>
      <w:r w:rsidR="005304A7" w:rsidRPr="00684BF3">
        <w:rPr>
          <w:rStyle w:val="Emphasis"/>
        </w:rPr>
        <w:t>immune</w:t>
      </w:r>
      <w:r w:rsidR="005304A7" w:rsidRPr="00684BF3">
        <w:rPr>
          <w:rStyle w:val="StyleUnderline"/>
        </w:rPr>
        <w:t xml:space="preserve"> from </w:t>
      </w:r>
      <w:r w:rsidR="005304A7" w:rsidRPr="00684BF3">
        <w:rPr>
          <w:rStyle w:val="Emphasis"/>
        </w:rPr>
        <w:t>oversight or accountability</w:t>
      </w:r>
      <w:r w:rsidR="005304A7" w:rsidRPr="00684BF3">
        <w:rPr>
          <w:sz w:val="16"/>
        </w:rPr>
        <w:t>.</w:t>
      </w:r>
    </w:p>
    <w:p w14:paraId="354002BC" w14:textId="77777777" w:rsidR="005304A7" w:rsidRPr="00684BF3" w:rsidRDefault="005304A7" w:rsidP="005304A7">
      <w:pPr>
        <w:rPr>
          <w:sz w:val="16"/>
        </w:rPr>
      </w:pPr>
      <w:r w:rsidRPr="00684BF3">
        <w:rPr>
          <w:sz w:val="16"/>
        </w:rPr>
        <w:t xml:space="preserve">“The bottom line is that </w:t>
      </w:r>
      <w:r w:rsidRPr="00684BF3">
        <w:rPr>
          <w:rStyle w:val="StyleUnderline"/>
        </w:rPr>
        <w:t>unless Congress resumes its legislative responsibilities</w:t>
      </w:r>
      <w:r w:rsidRPr="00684BF3">
        <w:rPr>
          <w:sz w:val="16"/>
        </w:rPr>
        <w:t xml:space="preserve"> under Article 1 of the Constitution, </w:t>
      </w:r>
      <w:r w:rsidRPr="00684BF3">
        <w:rPr>
          <w:rStyle w:val="StyleUnderline"/>
        </w:rPr>
        <w:t xml:space="preserve">we are not going to be able to rein in this out-of-control and unelected </w:t>
      </w:r>
      <w:r w:rsidRPr="00684BF3">
        <w:rPr>
          <w:rStyle w:val="Emphasis"/>
        </w:rPr>
        <w:t>fourth branch</w:t>
      </w:r>
      <w:r w:rsidRPr="00684BF3">
        <w:rPr>
          <w:rStyle w:val="StyleUnderline"/>
        </w:rPr>
        <w:t xml:space="preserve"> of government</w:t>
      </w:r>
      <w:r w:rsidRPr="00684BF3">
        <w:rPr>
          <w:sz w:val="16"/>
        </w:rPr>
        <w:t xml:space="preserve">,” Mitchell said, deeming unchecked agencies “a </w:t>
      </w:r>
      <w:r w:rsidRPr="00684BF3">
        <w:rPr>
          <w:rStyle w:val="Emphasis"/>
        </w:rPr>
        <w:t>serious threat to our self-governance</w:t>
      </w:r>
      <w:r w:rsidRPr="00684BF3">
        <w:rPr>
          <w:sz w:val="16"/>
        </w:rPr>
        <w:t>.”</w:t>
      </w:r>
    </w:p>
    <w:p w14:paraId="73B5BC3D" w14:textId="77777777" w:rsidR="005304A7" w:rsidRPr="00684BF3" w:rsidRDefault="005304A7" w:rsidP="005304A7">
      <w:pPr>
        <w:rPr>
          <w:sz w:val="16"/>
          <w:szCs w:val="16"/>
        </w:rPr>
      </w:pPr>
      <w:r w:rsidRPr="00684BF3">
        <w:rPr>
          <w:sz w:val="16"/>
          <w:szCs w:val="16"/>
        </w:rPr>
        <w:t>To illustrate the potential dangers of an unchecked administrative branch, both Mitchell and fellow panel member, </w:t>
      </w:r>
      <w:hyperlink r:id="rId176" w:history="1">
        <w:r w:rsidRPr="00684BF3">
          <w:rPr>
            <w:rStyle w:val="Hyperlink"/>
            <w:sz w:val="16"/>
            <w:szCs w:val="16"/>
          </w:rPr>
          <w:t>Charles Cooper</w:t>
        </w:r>
      </w:hyperlink>
      <w:r w:rsidRPr="00684BF3">
        <w:rPr>
          <w:sz w:val="16"/>
          <w:szCs w:val="16"/>
        </w:rPr>
        <w:t>, founding member and chairman of </w:t>
      </w:r>
      <w:hyperlink r:id="rId177" w:history="1">
        <w:r w:rsidRPr="00684BF3">
          <w:rPr>
            <w:rStyle w:val="Hyperlink"/>
            <w:sz w:val="16"/>
            <w:szCs w:val="16"/>
          </w:rPr>
          <w:t>Cooper &amp; Kirk, PLLC</w:t>
        </w:r>
      </w:hyperlink>
      <w:r w:rsidRPr="00684BF3">
        <w:rPr>
          <w:sz w:val="16"/>
          <w:szCs w:val="16"/>
        </w:rPr>
        <w:t>, discussed situations in which they said administrative agencies exceeded their delegated authorities and selectively targeted businesses and organizations based on political considerations.</w:t>
      </w:r>
    </w:p>
    <w:p w14:paraId="1E03571D" w14:textId="77777777" w:rsidR="005304A7" w:rsidRPr="00684BF3" w:rsidRDefault="005304A7" w:rsidP="005304A7">
      <w:pPr>
        <w:rPr>
          <w:sz w:val="16"/>
          <w:szCs w:val="16"/>
        </w:rPr>
      </w:pPr>
      <w:r w:rsidRPr="00684BF3">
        <w:rPr>
          <w:sz w:val="16"/>
          <w:szCs w:val="16"/>
        </w:rPr>
        <w:t>Cooper spoke about what is known as </w:t>
      </w:r>
      <w:hyperlink r:id="rId178" w:history="1">
        <w:r w:rsidRPr="00684BF3">
          <w:rPr>
            <w:rStyle w:val="Hyperlink"/>
            <w:sz w:val="16"/>
            <w:szCs w:val="16"/>
          </w:rPr>
          <w:t>Operation Choke Point</w:t>
        </w:r>
      </w:hyperlink>
      <w:r w:rsidRPr="00684BF3">
        <w:rPr>
          <w:sz w:val="16"/>
          <w:szCs w:val="16"/>
        </w:rPr>
        <w:t>, referring to a series of investigations the </w:t>
      </w:r>
      <w:hyperlink r:id="rId179" w:history="1">
        <w:r w:rsidRPr="00684BF3">
          <w:rPr>
            <w:rStyle w:val="Hyperlink"/>
            <w:sz w:val="16"/>
            <w:szCs w:val="16"/>
          </w:rPr>
          <w:t>U.S. Department of Justice</w:t>
        </w:r>
      </w:hyperlink>
      <w:r w:rsidRPr="00684BF3">
        <w:rPr>
          <w:sz w:val="16"/>
          <w:szCs w:val="16"/>
        </w:rPr>
        <w:t> (DOJ) mounted into the practices of payday lenders and other businesses.</w:t>
      </w:r>
    </w:p>
    <w:p w14:paraId="0131BD32" w14:textId="77777777" w:rsidR="005304A7" w:rsidRPr="00684BF3" w:rsidRDefault="005304A7" w:rsidP="005304A7">
      <w:pPr>
        <w:rPr>
          <w:sz w:val="16"/>
          <w:szCs w:val="16"/>
        </w:rPr>
      </w:pPr>
      <w:r w:rsidRPr="00684BF3">
        <w:rPr>
          <w:sz w:val="16"/>
          <w:szCs w:val="16"/>
        </w:rPr>
        <w:t>As a result of pressure from the DOJ and other agencies like the </w:t>
      </w:r>
      <w:hyperlink r:id="rId180" w:history="1">
        <w:r w:rsidRPr="00684BF3">
          <w:rPr>
            <w:rStyle w:val="Hyperlink"/>
            <w:sz w:val="16"/>
            <w:szCs w:val="16"/>
          </w:rPr>
          <w:t>Federal Deposit Insurance Corporation</w:t>
        </w:r>
      </w:hyperlink>
      <w:r w:rsidRPr="00684BF3">
        <w:rPr>
          <w:sz w:val="16"/>
          <w:szCs w:val="16"/>
        </w:rPr>
        <w:t>, banks throughout the country began terminating their financial relationships with payday lenders without any focus on whether specific payday lenders were engaging in fraudulent behavior or other deception, Cooper said.</w:t>
      </w:r>
    </w:p>
    <w:p w14:paraId="6C33C97B" w14:textId="77777777" w:rsidR="005304A7" w:rsidRPr="00684BF3" w:rsidRDefault="005304A7" w:rsidP="005304A7">
      <w:pPr>
        <w:rPr>
          <w:sz w:val="16"/>
          <w:szCs w:val="16"/>
        </w:rPr>
      </w:pPr>
      <w:r w:rsidRPr="00684BF3">
        <w:rPr>
          <w:sz w:val="16"/>
          <w:szCs w:val="16"/>
        </w:rPr>
        <w:t>“Payday lenders are entirely lawful and regulated at the state level,” Cooper stated. “Banks were simply terminating long-term profitable relationships; there was no business explanation for these terminations,” he said.</w:t>
      </w:r>
    </w:p>
    <w:p w14:paraId="19C554DF" w14:textId="77777777" w:rsidR="005304A7" w:rsidRPr="00684BF3" w:rsidRDefault="005304A7" w:rsidP="005304A7">
      <w:pPr>
        <w:rPr>
          <w:sz w:val="16"/>
          <w:szCs w:val="16"/>
        </w:rPr>
      </w:pPr>
      <w:r w:rsidRPr="00684BF3">
        <w:rPr>
          <w:sz w:val="16"/>
          <w:szCs w:val="16"/>
        </w:rPr>
        <w:t>Cooper concluded that ultimately, banks’ terminations of payday lenders took place due to Operation Choke Point, which he said was “an organized and secret effort on the part of regulatory agencies to target and exterminate certain types of businesses that the Administration disfavored.”</w:t>
      </w:r>
    </w:p>
    <w:p w14:paraId="42559E4B" w14:textId="77777777" w:rsidR="005304A7" w:rsidRPr="00684BF3" w:rsidRDefault="005304A7" w:rsidP="005304A7">
      <w:pPr>
        <w:rPr>
          <w:sz w:val="16"/>
          <w:szCs w:val="16"/>
        </w:rPr>
      </w:pPr>
      <w:r w:rsidRPr="00684BF3">
        <w:rPr>
          <w:sz w:val="16"/>
          <w:szCs w:val="16"/>
        </w:rPr>
        <w:t>Mitchell also spoke about an apparent pattern by the </w:t>
      </w:r>
      <w:hyperlink r:id="rId181" w:history="1">
        <w:r w:rsidRPr="00684BF3">
          <w:rPr>
            <w:rStyle w:val="Hyperlink"/>
            <w:sz w:val="16"/>
            <w:szCs w:val="16"/>
          </w:rPr>
          <w:t>Internal Revenue Service</w:t>
        </w:r>
      </w:hyperlink>
      <w:r w:rsidRPr="00684BF3">
        <w:rPr>
          <w:sz w:val="16"/>
          <w:szCs w:val="16"/>
        </w:rPr>
        <w:t> (IRS) of selectively delaying applications of political organizations applying for tax exempt status that were affiliated with the </w:t>
      </w:r>
      <w:hyperlink r:id="rId182" w:history="1">
        <w:r w:rsidRPr="00684BF3">
          <w:rPr>
            <w:rStyle w:val="Hyperlink"/>
            <w:sz w:val="16"/>
            <w:szCs w:val="16"/>
          </w:rPr>
          <w:t>Tea Party</w:t>
        </w:r>
      </w:hyperlink>
      <w:r w:rsidRPr="00684BF3">
        <w:rPr>
          <w:sz w:val="16"/>
          <w:szCs w:val="16"/>
        </w:rPr>
        <w:t>—a conservative grassroots movement that </w:t>
      </w:r>
      <w:hyperlink r:id="rId183" w:history="1">
        <w:r w:rsidRPr="00684BF3">
          <w:rPr>
            <w:rStyle w:val="Hyperlink"/>
            <w:sz w:val="16"/>
            <w:szCs w:val="16"/>
          </w:rPr>
          <w:t>grew</w:t>
        </w:r>
      </w:hyperlink>
      <w:r w:rsidRPr="00684BF3">
        <w:rPr>
          <w:sz w:val="16"/>
          <w:szCs w:val="16"/>
        </w:rPr>
        <w:t> out of resistance towards the </w:t>
      </w:r>
      <w:hyperlink r:id="rId184" w:history="1">
        <w:r w:rsidRPr="00684BF3">
          <w:rPr>
            <w:rStyle w:val="Hyperlink"/>
            <w:sz w:val="16"/>
            <w:szCs w:val="16"/>
          </w:rPr>
          <w:t>Affordable Care Act</w:t>
        </w:r>
      </w:hyperlink>
      <w:r w:rsidRPr="00684BF3">
        <w:rPr>
          <w:sz w:val="16"/>
          <w:szCs w:val="16"/>
        </w:rPr>
        <w:t> and other initiatives under the Obama Administration.</w:t>
      </w:r>
    </w:p>
    <w:p w14:paraId="69A66E52" w14:textId="77777777" w:rsidR="005304A7" w:rsidRPr="00684BF3" w:rsidRDefault="005304A7" w:rsidP="005304A7">
      <w:pPr>
        <w:rPr>
          <w:sz w:val="16"/>
          <w:szCs w:val="16"/>
        </w:rPr>
      </w:pPr>
      <w:r w:rsidRPr="00684BF3">
        <w:rPr>
          <w:sz w:val="16"/>
          <w:szCs w:val="16"/>
        </w:rPr>
        <w:t>Mitchell described how, when overseen by certain IRS officials, a process that was supposed to be formal and apolitical apparently became highly subjective and susceptible to manipulation.</w:t>
      </w:r>
    </w:p>
    <w:p w14:paraId="30E34024" w14:textId="77777777" w:rsidR="005304A7" w:rsidRPr="00684BF3" w:rsidRDefault="005304A7" w:rsidP="005304A7">
      <w:pPr>
        <w:rPr>
          <w:rStyle w:val="Emphasis"/>
        </w:rPr>
      </w:pPr>
      <w:r w:rsidRPr="00684BF3">
        <w:rPr>
          <w:sz w:val="16"/>
        </w:rPr>
        <w:t>Panel members also addressed the future of a </w:t>
      </w:r>
      <w:hyperlink r:id="rId185" w:history="1">
        <w:r w:rsidRPr="00684BF3">
          <w:rPr>
            <w:rStyle w:val="Hyperlink"/>
            <w:sz w:val="16"/>
          </w:rPr>
          <w:t>U.S. Supreme Court</w:t>
        </w:r>
      </w:hyperlink>
      <w:r w:rsidRPr="00684BF3">
        <w:rPr>
          <w:sz w:val="16"/>
        </w:rPr>
        <w:t> decision known as </w:t>
      </w:r>
      <w:hyperlink r:id="rId186" w:history="1">
        <w:r w:rsidRPr="00684BF3">
          <w:rPr>
            <w:rStyle w:val="Emphasis"/>
            <w:sz w:val="16"/>
          </w:rPr>
          <w:t>Chevron</w:t>
        </w:r>
        <w:r w:rsidRPr="00684BF3">
          <w:rPr>
            <w:rStyle w:val="Hyperlink"/>
            <w:sz w:val="16"/>
          </w:rPr>
          <w:t xml:space="preserve"> v. NRDC</w:t>
        </w:r>
      </w:hyperlink>
      <w:r w:rsidRPr="00684BF3">
        <w:rPr>
          <w:sz w:val="16"/>
        </w:rPr>
        <w:t xml:space="preserve">, a 1984 case </w:t>
      </w:r>
      <w:r w:rsidRPr="00684BF3">
        <w:rPr>
          <w:rStyle w:val="StyleUnderline"/>
        </w:rPr>
        <w:t>in which the Court established that courts are supposed to defer to administrative agencies’ reasonable interpretation of a statute</w:t>
      </w:r>
      <w:r w:rsidRPr="00684BF3">
        <w:rPr>
          <w:sz w:val="16"/>
        </w:rPr>
        <w:t>. </w:t>
      </w:r>
      <w:r w:rsidRPr="00684BF3">
        <w:rPr>
          <w:rStyle w:val="Emphasis"/>
        </w:rPr>
        <w:t>John Yoo</w:t>
      </w:r>
      <w:r w:rsidRPr="00684BF3">
        <w:rPr>
          <w:sz w:val="16"/>
        </w:rPr>
        <w:t>, the Emanuel S. Heller Professor of Law at the </w:t>
      </w:r>
      <w:hyperlink r:id="rId187" w:history="1">
        <w:r w:rsidRPr="00684BF3">
          <w:rPr>
            <w:rStyle w:val="Hyperlink"/>
            <w:sz w:val="16"/>
          </w:rPr>
          <w:t>University of California, Berkley</w:t>
        </w:r>
      </w:hyperlink>
      <w:r w:rsidRPr="00684BF3">
        <w:rPr>
          <w:sz w:val="16"/>
        </w:rPr>
        <w:t> and co-editor of </w:t>
      </w:r>
      <w:hyperlink r:id="rId188" w:history="1">
        <w:r w:rsidRPr="00684BF3">
          <w:rPr>
            <w:rStyle w:val="Hyperlink"/>
            <w:sz w:val="16"/>
          </w:rPr>
          <w:t>Liberty’s Nemesis</w:t>
        </w:r>
      </w:hyperlink>
      <w:r w:rsidRPr="00684BF3">
        <w:rPr>
          <w:sz w:val="16"/>
        </w:rPr>
        <w:t xml:space="preserve">, </w:t>
      </w:r>
      <w:r w:rsidRPr="00684BF3">
        <w:rPr>
          <w:rStyle w:val="Emphasis"/>
        </w:rPr>
        <w:t>spoke about</w:t>
      </w:r>
      <w:r w:rsidRPr="00684BF3">
        <w:rPr>
          <w:rStyle w:val="StyleUnderline"/>
        </w:rPr>
        <w:t xml:space="preserve"> recently confirmed Supreme Court Justice </w:t>
      </w:r>
      <w:hyperlink r:id="rId189" w:history="1">
        <w:r w:rsidRPr="00684BF3">
          <w:rPr>
            <w:rStyle w:val="StyleUnderline"/>
          </w:rPr>
          <w:t>Neil Gorsuch’s</w:t>
        </w:r>
      </w:hyperlink>
      <w:r w:rsidRPr="00684BF3">
        <w:rPr>
          <w:rStyle w:val="StyleUnderline"/>
        </w:rPr>
        <w:t> opposition to the Chevron doctrine</w:t>
      </w:r>
      <w:r w:rsidRPr="00684BF3">
        <w:rPr>
          <w:sz w:val="16"/>
        </w:rPr>
        <w:t xml:space="preserve"> and how </w:t>
      </w:r>
      <w:r w:rsidRPr="00684BF3">
        <w:rPr>
          <w:rStyle w:val="Emphasis"/>
        </w:rPr>
        <w:t>overturning this decision could help rein in the expanding administrative state.</w:t>
      </w:r>
    </w:p>
    <w:p w14:paraId="192084B0" w14:textId="05E98D1C" w:rsidR="005304A7" w:rsidRDefault="005304A7" w:rsidP="005304A7">
      <w:pPr>
        <w:rPr>
          <w:sz w:val="16"/>
        </w:rPr>
      </w:pPr>
      <w:r w:rsidRPr="00684BF3">
        <w:rPr>
          <w:sz w:val="16"/>
        </w:rPr>
        <w:t>“If Justice Gorsuch thinks a congressional delegation is unconstitutional or should be thrown out as a matter of judicial policy, it does not matter if the agencies have expertise,” Yoo said. “</w:t>
      </w:r>
      <w:r w:rsidRPr="00684BF3">
        <w:rPr>
          <w:rStyle w:val="StyleUnderline"/>
        </w:rPr>
        <w:t>The judiciary should have the last word on the meaning of the law</w:t>
      </w:r>
      <w:r w:rsidRPr="00684BF3">
        <w:rPr>
          <w:sz w:val="16"/>
        </w:rPr>
        <w:t>.”</w:t>
      </w:r>
    </w:p>
    <w:p w14:paraId="36DF368E" w14:textId="28203D5D" w:rsidR="00805A42" w:rsidRPr="00805A42" w:rsidRDefault="00805A42" w:rsidP="00805A42">
      <w:pPr>
        <w:pStyle w:val="Heading4"/>
      </w:pPr>
      <w:r>
        <w:t xml:space="preserve">Collapse </w:t>
      </w:r>
      <w:r>
        <w:rPr>
          <w:u w:val="single"/>
        </w:rPr>
        <w:t>now</w:t>
      </w:r>
      <w:r>
        <w:t xml:space="preserve"> is good – it’s key to </w:t>
      </w:r>
      <w:r>
        <w:rPr>
          <w:u w:val="single"/>
        </w:rPr>
        <w:t>progressive platform</w:t>
      </w:r>
      <w:r>
        <w:t>.</w:t>
      </w:r>
    </w:p>
    <w:p w14:paraId="2C3CB815" w14:textId="77777777" w:rsidR="00805A42" w:rsidRPr="00B92D8F" w:rsidRDefault="00805A42" w:rsidP="00805A42">
      <w:bookmarkStart w:id="0" w:name="_Hlk44945048"/>
      <w:r w:rsidRPr="00B92D8F">
        <w:rPr>
          <w:b/>
          <w:bCs/>
          <w:sz w:val="26"/>
          <w:szCs w:val="26"/>
        </w:rPr>
        <w:t xml:space="preserve">Kaplan </w:t>
      </w:r>
      <w:r>
        <w:rPr>
          <w:b/>
          <w:bCs/>
          <w:sz w:val="26"/>
          <w:szCs w:val="26"/>
        </w:rPr>
        <w:t>15</w:t>
      </w:r>
      <w:r>
        <w:t xml:space="preserve"> - </w:t>
      </w:r>
      <w:r w:rsidRPr="00B92D8F">
        <w:t>Professor of Law, Cardozo School of Law, Yeshiva University</w:t>
      </w:r>
      <w:r>
        <w:t>, (</w:t>
      </w:r>
      <w:r w:rsidRPr="00B92D8F">
        <w:t>Arthur Kaplan</w:t>
      </w:r>
      <w:r>
        <w:t>, “</w:t>
      </w:r>
      <w:r w:rsidRPr="00B92D8F">
        <w:t>CHEVRON IS DEAD; LONG LIVE CHEVRON</w:t>
      </w:r>
      <w:r>
        <w:t xml:space="preserve">,” </w:t>
      </w:r>
      <w:r>
        <w:rPr>
          <w:i/>
          <w:iCs/>
        </w:rPr>
        <w:t>Columbia Law Review</w:t>
      </w:r>
      <w:r>
        <w:t xml:space="preserve">, </w:t>
      </w:r>
      <w:hyperlink r:id="rId190" w:history="1">
        <w:r w:rsidRPr="00C4407D">
          <w:rPr>
            <w:rStyle w:val="Hyperlink"/>
          </w:rPr>
          <w:t>https://columbialawreview.org/content/chevron-is-dead-long-live-chevron-2/</w:t>
        </w:r>
      </w:hyperlink>
      <w:r>
        <w:t>, Accessed 6-20-20, LASA-AH)</w:t>
      </w:r>
    </w:p>
    <w:bookmarkEnd w:id="0"/>
    <w:p w14:paraId="306ED6F2" w14:textId="77777777" w:rsidR="00805A42" w:rsidRPr="009727FB" w:rsidRDefault="00805A42" w:rsidP="00805A42">
      <w:r w:rsidRPr="00B92D8F">
        <w:rPr>
          <w:u w:val="single"/>
        </w:rPr>
        <w:t>Kavanaugh wouldn’t be alone on the court. Gorsuch</w:t>
      </w:r>
      <w:r>
        <w:t xml:space="preserve"> arrived at the Supreme Court last year as </w:t>
      </w:r>
      <w:r w:rsidRPr="009727FB">
        <w:rPr>
          <w:rStyle w:val="Emphasis"/>
        </w:rPr>
        <w:t>a prominent critic of Chevron</w:t>
      </w:r>
      <w:r w:rsidRPr="00B92D8F">
        <w:rPr>
          <w:u w:val="single"/>
        </w:rPr>
        <w:t xml:space="preserve"> and has continued to oppose it.</w:t>
      </w:r>
      <w:r>
        <w:t xml:space="preserve"> </w:t>
      </w:r>
      <w:r w:rsidRPr="00B92D8F">
        <w:rPr>
          <w:u w:val="single"/>
        </w:rPr>
        <w:t>Chevron</w:t>
      </w:r>
      <w:r>
        <w:t xml:space="preserve">, he wrote while on the 10th Circuit Court of Appeals, </w:t>
      </w:r>
      <w:r w:rsidRPr="00B92D8F">
        <w:rPr>
          <w:u w:val="single"/>
        </w:rPr>
        <w:t>asks judges to abdicate their “duty to exercise their independent judgment about what the law is.”</w:t>
      </w:r>
      <w:r>
        <w:t xml:space="preserve"> In an opinion this spring, Gorsuch </w:t>
      </w:r>
      <w:r w:rsidRPr="009727FB">
        <w:t xml:space="preserve">signaled his willingness to overturn it, writing, “[W]hether Chevron should remain is a question we may leave for another day.” </w:t>
      </w:r>
      <w:r>
        <w:t xml:space="preserve">(In a coincidence of history, it was Gorsuch’s mother, Anne Gorsuch, who as EPA administrator under Reagan approved the rule that led to Chevron.) </w:t>
      </w:r>
      <w:r w:rsidRPr="00B92D8F">
        <w:rPr>
          <w:u w:val="single"/>
        </w:rPr>
        <w:t>Other conservatives on the Supreme Court, including Chief Justice John Roberts, as well as many Republican-appointed judges on the lower courts, have</w:t>
      </w:r>
      <w:r w:rsidRPr="00B92D8F">
        <w:rPr>
          <w:b/>
          <w:bCs/>
          <w:u w:val="single"/>
        </w:rPr>
        <w:t xml:space="preserve"> </w:t>
      </w:r>
      <w:r w:rsidRPr="009727FB">
        <w:rPr>
          <w:rStyle w:val="Emphasis"/>
        </w:rPr>
        <w:t>also sought to rein in the application</w:t>
      </w:r>
      <w:r w:rsidRPr="00B92D8F">
        <w:rPr>
          <w:u w:val="single"/>
        </w:rPr>
        <w:t xml:space="preserve"> of Chevron. </w:t>
      </w:r>
      <w:r w:rsidRPr="009727FB">
        <w:t>Conservative think tanks and the Federalist Society have joined the effort, too.</w:t>
      </w:r>
    </w:p>
    <w:p w14:paraId="2738C92C" w14:textId="77777777" w:rsidR="00805A42" w:rsidRDefault="00805A42" w:rsidP="00805A42">
      <w:r>
        <w:t xml:space="preserve">That has progressive court-watchers worried. </w:t>
      </w:r>
      <w:r w:rsidRPr="00B92D8F">
        <w:rPr>
          <w:u w:val="single"/>
        </w:rPr>
        <w:t>A Supreme Court hostile to Chevron would</w:t>
      </w:r>
      <w:r w:rsidRPr="00B92D8F">
        <w:rPr>
          <w:b/>
          <w:bCs/>
          <w:u w:val="single"/>
        </w:rPr>
        <w:t xml:space="preserve"> </w:t>
      </w:r>
      <w:r w:rsidRPr="009727FB">
        <w:rPr>
          <w:rStyle w:val="Emphasis"/>
        </w:rPr>
        <w:t>be a grave threat to Democrats’</w:t>
      </w:r>
      <w:r w:rsidRPr="00B92D8F">
        <w:rPr>
          <w:u w:val="single"/>
        </w:rPr>
        <w:t xml:space="preserve"> ability to pursue progressive policies if they reclaim the White House in 2020 and beyond</w:t>
      </w:r>
      <w:r>
        <w:t xml:space="preserve">. In recent years, </w:t>
      </w:r>
      <w:r w:rsidRPr="00B92D8F">
        <w:rPr>
          <w:u w:val="single"/>
        </w:rPr>
        <w:t xml:space="preserve">major cases </w:t>
      </w:r>
      <w:r w:rsidRPr="009727FB">
        <w:t>have</w:t>
      </w:r>
      <w:r w:rsidRPr="00B92D8F">
        <w:rPr>
          <w:u w:val="single"/>
        </w:rPr>
        <w:t xml:space="preserve"> turned on Chevron deference, including </w:t>
      </w:r>
      <w:r w:rsidRPr="009727FB">
        <w:t>one of the</w:t>
      </w:r>
      <w:r w:rsidRPr="00B92D8F">
        <w:rPr>
          <w:u w:val="single"/>
        </w:rPr>
        <w:t xml:space="preserve"> challenges to Obamacare, a legal battle over the </w:t>
      </w:r>
      <w:r w:rsidRPr="009727FB">
        <w:t>Obama administration’s</w:t>
      </w:r>
      <w:r w:rsidRPr="00B92D8F">
        <w:rPr>
          <w:u w:val="single"/>
        </w:rPr>
        <w:t xml:space="preserve"> net neutrality rule, and </w:t>
      </w:r>
      <w:r w:rsidRPr="009727FB">
        <w:t>President Barack</w:t>
      </w:r>
      <w:r w:rsidRPr="00B92D8F">
        <w:rPr>
          <w:u w:val="single"/>
        </w:rPr>
        <w:t xml:space="preserve"> Obama’s limits on carbon emissions.</w:t>
      </w:r>
      <w:r>
        <w:t xml:space="preserve"> (The Trump administration has since reversed the net neutrality and carbon rules, the latter of which was still making its way through the court system.) “</w:t>
      </w:r>
      <w:r w:rsidRPr="00B92D8F">
        <w:rPr>
          <w:u w:val="single"/>
        </w:rPr>
        <w:t xml:space="preserve">It really touches every part of the government,” </w:t>
      </w:r>
      <w:r w:rsidRPr="009727FB">
        <w:t>says Jed Stiglitz, an administrative law expert at Cornell Law School.</w:t>
      </w:r>
    </w:p>
    <w:p w14:paraId="00FAA8F7" w14:textId="0B88AA23" w:rsidR="0095149D" w:rsidRPr="0095149D" w:rsidRDefault="0095149D" w:rsidP="0095149D">
      <w:pPr>
        <w:pStyle w:val="Heading4"/>
      </w:pPr>
      <w:r>
        <w:rPr>
          <w:i/>
          <w:iCs w:val="0"/>
        </w:rPr>
        <w:t>Chevron</w:t>
      </w:r>
      <w:r>
        <w:t xml:space="preserve"> has </w:t>
      </w:r>
      <w:r>
        <w:rPr>
          <w:u w:val="single"/>
        </w:rPr>
        <w:t>divorced</w:t>
      </w:r>
      <w:r>
        <w:t xml:space="preserve"> from its theoretical justifications.</w:t>
      </w:r>
    </w:p>
    <w:p w14:paraId="2B30C9C6" w14:textId="77777777" w:rsidR="0095149D" w:rsidRDefault="0095149D" w:rsidP="0095149D">
      <w:r>
        <w:rPr>
          <w:rStyle w:val="Style13ptBold"/>
        </w:rPr>
        <w:t>Beerman 10</w:t>
      </w:r>
      <w:r w:rsidRPr="009D2171">
        <w:rPr>
          <w:rStyle w:val="Style13ptBold"/>
          <w:b w:val="0"/>
          <w:bCs w:val="0"/>
        </w:rPr>
        <w:t xml:space="preserve"> —</w:t>
      </w:r>
      <w:r w:rsidRPr="00796B82">
        <w:t xml:space="preserve"> Jack M. Beermann is a Professor of Law and Harry Elwood Warren Scholar at Boston University, and he has a BA from the University of Wisconsin and JD from the University of Chicago</w:t>
      </w:r>
      <w:r>
        <w:t xml:space="preserve">. (“End the Failed Chevron Experiment Now: How Chevron Has Failed and Why it Can and Should Be Overruled” Connecticut Law Review, vol.  42, number 3, February 2010. </w:t>
      </w:r>
      <w:hyperlink r:id="rId191" w:history="1">
        <w:r w:rsidRPr="0079159C">
          <w:rPr>
            <w:rStyle w:val="Hyperlink"/>
          </w:rPr>
          <w:t>https://scholarship.law.bu.edu/cgi/viewcontent.cgi?article=1519&amp;context=faculty_scholarship)//JLPark</w:t>
        </w:r>
      </w:hyperlink>
    </w:p>
    <w:p w14:paraId="09B973B2" w14:textId="77777777" w:rsidR="0095149D" w:rsidRPr="00A52D28" w:rsidRDefault="0095149D" w:rsidP="0095149D">
      <w:pPr>
        <w:rPr>
          <w:sz w:val="14"/>
        </w:rPr>
      </w:pPr>
      <w:r w:rsidRPr="00A52D28">
        <w:rPr>
          <w:sz w:val="14"/>
        </w:rPr>
        <w:t xml:space="preserve">2. </w:t>
      </w:r>
      <w:r w:rsidRPr="00A52D28">
        <w:rPr>
          <w:rStyle w:val="Emphasis"/>
        </w:rPr>
        <w:t>No Adequate Theoretical Justification for Chevron</w:t>
      </w:r>
    </w:p>
    <w:p w14:paraId="2A982C93" w14:textId="77777777" w:rsidR="0095149D" w:rsidRPr="000C701F" w:rsidRDefault="0095149D" w:rsidP="0095149D">
      <w:pPr>
        <w:rPr>
          <w:rStyle w:val="StyleUnderline"/>
        </w:rPr>
      </w:pPr>
      <w:r w:rsidRPr="000C701F">
        <w:rPr>
          <w:sz w:val="14"/>
        </w:rPr>
        <w:t xml:space="preserve">When it was decided, some observers found Chevron to be a sharp break with accepted principles governing the division of interpretive authority between agencies and courts.56 When a court makes a sharp break with established practice, the burden is on the proponents to justify the change. To some, not only was Chevron lacking in sufficient justification for change, it was inconsistent with the traditional judicial authority to declare the law, embodied most famously in the statement in Marbury v. Madison that “[i]t is emphatically the province and duty of the judicial department to say what the law is.”57 Insofar as Chevron requires courts to accept agency interpretations that they find contrary to the best reading of the statute, at a minimum, </w:t>
      </w:r>
      <w:r w:rsidRPr="000C701F">
        <w:rPr>
          <w:rStyle w:val="StyleUnderline"/>
        </w:rPr>
        <w:t>Chevron undercuts judicial authority to declare the law.</w:t>
      </w:r>
    </w:p>
    <w:p w14:paraId="2AF2C860" w14:textId="77777777" w:rsidR="0095149D" w:rsidRPr="000C701F" w:rsidRDefault="0095149D" w:rsidP="0095149D">
      <w:pPr>
        <w:rPr>
          <w:sz w:val="14"/>
        </w:rPr>
      </w:pPr>
      <w:r w:rsidRPr="000C701F">
        <w:rPr>
          <w:sz w:val="14"/>
        </w:rPr>
        <w:t xml:space="preserve">In addition to what seemed to be a break with practice under the APA, some commentators found </w:t>
      </w:r>
      <w:r w:rsidRPr="000C701F">
        <w:rPr>
          <w:rStyle w:val="StyleUnderline"/>
        </w:rPr>
        <w:t>Chevron to be a violation of, or</w:t>
      </w:r>
      <w:r w:rsidRPr="000C701F">
        <w:rPr>
          <w:sz w:val="14"/>
        </w:rPr>
        <w:t xml:space="preserve"> at least </w:t>
      </w:r>
      <w:r w:rsidRPr="000C701F">
        <w:rPr>
          <w:rStyle w:val="StyleUnderline"/>
        </w:rPr>
        <w:t>in tension with, principles of separation of powers</w:t>
      </w:r>
      <w:r w:rsidRPr="000C701F">
        <w:rPr>
          <w:sz w:val="14"/>
        </w:rPr>
        <w:t xml:space="preserve">. Very early on, Cynthia </w:t>
      </w:r>
      <w:r w:rsidRPr="000C701F">
        <w:rPr>
          <w:rStyle w:val="StyleUnderline"/>
        </w:rPr>
        <w:t>Farina argued that Chevron was inconsistent with the norms underlying the nondelegation doctrine and was inconsistent with the fundamental historical and philosophical principles that support the legitimacy of the exercise of legislative power</w:t>
      </w:r>
      <w:r w:rsidRPr="000C701F">
        <w:rPr>
          <w:sz w:val="14"/>
        </w:rPr>
        <w:t xml:space="preserve"> by the government of the United States.58 Clark Byse, a prominent administrative law scholar and co-author of one of the leading administrative law casebooks, also identified possible separation of powers problems with the Chevron doctrine relatively soon after the doctrine was created.59 Judge Harry Edwards picked up on Byse’s suggestion, stating in an opinion soon after Chevron was decided that “</w:t>
      </w:r>
      <w:r w:rsidRPr="000C701F">
        <w:rPr>
          <w:rStyle w:val="StyleUnderline"/>
        </w:rPr>
        <w:t>Chevron’s mandate is perplexing, because the rule</w:t>
      </w:r>
      <w:r w:rsidRPr="000C701F">
        <w:rPr>
          <w:sz w:val="14"/>
        </w:rPr>
        <w:t xml:space="preserve"> of the case appears to </w:t>
      </w:r>
      <w:r w:rsidRPr="000C701F">
        <w:rPr>
          <w:rStyle w:val="StyleUnderline"/>
        </w:rPr>
        <w:t>violate separation of powers principles</w:t>
      </w:r>
      <w:r w:rsidRPr="000C701F">
        <w:rPr>
          <w:sz w:val="14"/>
        </w:rPr>
        <w:t xml:space="preserve">.”60 Judge Edwards’s analysis focused on </w:t>
      </w:r>
      <w:r w:rsidRPr="000C701F">
        <w:rPr>
          <w:rStyle w:val="StyleUnderline"/>
        </w:rPr>
        <w:t>Chevron’s blanket assumption that every instance of statutory ambiguity gives rise to an inference that Congress delegated lawmaking power to an agency</w:t>
      </w:r>
      <w:r w:rsidRPr="000C701F">
        <w:rPr>
          <w:sz w:val="14"/>
        </w:rPr>
        <w:t>.</w:t>
      </w:r>
    </w:p>
    <w:p w14:paraId="3EFDD937" w14:textId="77777777" w:rsidR="0095149D" w:rsidRPr="00355AD8" w:rsidRDefault="0095149D" w:rsidP="0095149D">
      <w:pPr>
        <w:rPr>
          <w:sz w:val="16"/>
        </w:rPr>
      </w:pPr>
      <w:r w:rsidRPr="00355AD8">
        <w:rPr>
          <w:sz w:val="16"/>
        </w:rPr>
        <w:t xml:space="preserve">The point is not that Chevron actually violates separation of powers principles or that it was actually inconsistent with pre-existing doctrine. Rather, </w:t>
      </w:r>
      <w:r w:rsidRPr="000C701F">
        <w:rPr>
          <w:rStyle w:val="StyleUnderline"/>
        </w:rPr>
        <w:t>the point is that there was no strong normative support for Chevron at the time it was decided, and that the doctrine was in tension in multiple ways with the principles, doctrines and practices that had governed judicial review of agency legal conclusions up to that time</w:t>
      </w:r>
      <w:r w:rsidRPr="00355AD8">
        <w:rPr>
          <w:sz w:val="16"/>
        </w:rPr>
        <w:t>.61 The lack of a solid basis for the doctrine virtually guaranteed that the doctrine would be applied inconsistently in the future as conflicting principles pulled decision makers with disparate views in different directions. Thus, it should have been no surprise that Chevron has turned out to be unstable and difficult to apply.62</w:t>
      </w:r>
    </w:p>
    <w:p w14:paraId="2B82D601" w14:textId="77777777" w:rsidR="0095149D" w:rsidRPr="00355AD8" w:rsidRDefault="0095149D" w:rsidP="0095149D">
      <w:pPr>
        <w:rPr>
          <w:sz w:val="14"/>
          <w:szCs w:val="14"/>
        </w:rPr>
      </w:pPr>
      <w:r w:rsidRPr="00355AD8">
        <w:rPr>
          <w:sz w:val="14"/>
          <w:szCs w:val="14"/>
        </w:rPr>
        <w:t>The Supreme Court supplied two distinct normative bases for the Chevron doctrine: first, that Congress delegated the power to construe statutes to the agencies, and second, that agency decision making was preferable to judicial decision making on democracy and accountability grounds because agencies are politically responsive to the President, an elected official. Neither of these provides sufficient normative support for the Chevron doctrine.63</w:t>
      </w:r>
    </w:p>
    <w:p w14:paraId="5558BD61" w14:textId="77777777" w:rsidR="0095149D" w:rsidRPr="006E38D1" w:rsidRDefault="0095149D" w:rsidP="0095149D">
      <w:pPr>
        <w:rPr>
          <w:sz w:val="14"/>
        </w:rPr>
      </w:pPr>
      <w:r w:rsidRPr="006E38D1">
        <w:rPr>
          <w:rStyle w:val="StyleUnderline"/>
        </w:rPr>
        <w:t>The problem with the first purported basis</w:t>
      </w:r>
      <w:r w:rsidRPr="006E38D1">
        <w:rPr>
          <w:sz w:val="14"/>
        </w:rPr>
        <w:t xml:space="preserve"> for the Chevron doctrine, </w:t>
      </w:r>
      <w:r w:rsidRPr="006E38D1">
        <w:rPr>
          <w:rStyle w:val="StyleUnderline"/>
        </w:rPr>
        <w:t>that statutory ambiguity indicates congressional intent to delegate interpretive authority</w:t>
      </w:r>
      <w:r w:rsidRPr="006E38D1">
        <w:rPr>
          <w:sz w:val="14"/>
        </w:rPr>
        <w:t xml:space="preserve"> to the administering agency, </w:t>
      </w:r>
      <w:r w:rsidRPr="006E38D1">
        <w:rPr>
          <w:rStyle w:val="StyleUnderline"/>
        </w:rPr>
        <w:t>is that in most circumstances it is false</w:t>
      </w:r>
      <w:r w:rsidRPr="006E38D1">
        <w:rPr>
          <w:sz w:val="14"/>
        </w:rPr>
        <w:t xml:space="preserve">, </w:t>
      </w:r>
      <w:r w:rsidRPr="006E38D1">
        <w:rPr>
          <w:rStyle w:val="StyleUnderline"/>
        </w:rPr>
        <w:t xml:space="preserve">a presumption </w:t>
      </w:r>
      <w:r w:rsidRPr="006E38D1">
        <w:rPr>
          <w:sz w:val="14"/>
        </w:rPr>
        <w:t xml:space="preserve">that might be charitably </w:t>
      </w:r>
      <w:r w:rsidRPr="006E38D1">
        <w:rPr>
          <w:rStyle w:val="StyleUnderline"/>
        </w:rPr>
        <w:t>called a legal fiction</w:t>
      </w:r>
      <w:r w:rsidRPr="006E38D1">
        <w:rPr>
          <w:sz w:val="14"/>
        </w:rPr>
        <w:t xml:space="preserve">.64 The Court cited no evidence for its conclusion that statutory ambiguity ordinarily indicates congressional intent to delegate interpretive authority to the agency administering the particular statute. A few years after Chevron was decided, Cass Sunstein stated that “[i]f there’s any evidence of congressional views in the meantime, those views are very much in accord with the original spirit of the Administrative Procedure Act, that is, that administrative agency interpretations of law should not be deferred to.”65 Similarly, Byse found evidence of congressional delegation of interpretive authority to agencies lacking.66 </w:t>
      </w:r>
      <w:r w:rsidRPr="006E38D1">
        <w:rPr>
          <w:rStyle w:val="StyleUnderline"/>
        </w:rPr>
        <w:t>Even</w:t>
      </w:r>
      <w:r w:rsidRPr="006E38D1">
        <w:rPr>
          <w:sz w:val="14"/>
        </w:rPr>
        <w:t xml:space="preserve"> Justice </w:t>
      </w:r>
      <w:r w:rsidRPr="006E38D1">
        <w:rPr>
          <w:rStyle w:val="StyleUnderline"/>
        </w:rPr>
        <w:t>Scalia</w:t>
      </w:r>
      <w:r w:rsidRPr="006E38D1">
        <w:rPr>
          <w:sz w:val="14"/>
        </w:rPr>
        <w:t xml:space="preserve">, one of the Court’s strong proponents of Chevron deference, has </w:t>
      </w:r>
      <w:r w:rsidRPr="006E38D1">
        <w:rPr>
          <w:rStyle w:val="StyleUnderline"/>
        </w:rPr>
        <w:t>stated that although the presumption regarding congressional intent is sensible in today’s world, it “represents merely a fictional, presumed intent</w:t>
      </w:r>
      <w:r w:rsidRPr="006E38D1">
        <w:rPr>
          <w:sz w:val="14"/>
        </w:rPr>
        <w:t xml:space="preserve">.”67 In short, except in those situations in which Congress explicitly delegates interpretive authority to an agency,68 or writes a provision that is so broad that it facially represents a delegation of policymaking authority to an agency,69 there is little reason to believe that ambiguity signals congressional intent to delegate interpretive authority to the administering agency and not to the reviewing court. </w:t>
      </w:r>
    </w:p>
    <w:p w14:paraId="6BD71F78" w14:textId="113FD9CE" w:rsidR="00805A42" w:rsidRDefault="0095149D" w:rsidP="005304A7">
      <w:pPr>
        <w:rPr>
          <w:sz w:val="14"/>
          <w:szCs w:val="14"/>
        </w:rPr>
      </w:pPr>
      <w:r w:rsidRPr="006E38D1">
        <w:rPr>
          <w:sz w:val="14"/>
          <w:szCs w:val="14"/>
        </w:rPr>
        <w:t>The conditions under which ambiguity arises support the conclusion that Congress does not intend to delegate interpretive power to agencies whenever a statute is ambiguous. Ambiguity arises in at least three situations: (1) when Congress has imperfectly expressed its intent; (2) when Congress has failed to anticipate all of the situations to which a statute might apply; and (3) when Congress has been unable or unwilling to come to a consensus on an issue and purposely left it unresolved in the statute. In the first and second type of case, in line with prevailing tradition and the language of the APA, at least before Chevron, Congress would have expected that any interpretive issue or gap would be resolved by a federal court performing judicial review. In fact, in the first type of case, since Congress intended to answer the issue and failed, Congress would not have anticipated that there would be any open interpretive issues to be resolved. In the third situation, assuming the statute is one that is administered by an agency, Congress would certainly have intended to delegate policymaking authority to the agency, subject to ordinary “arbitrary, capricious” review, but there is no evidence that Congress would have also intended to delegate power to interpret the statutory limits of that delegated policymaking power.</w:t>
      </w:r>
    </w:p>
    <w:p w14:paraId="071D37AB" w14:textId="3BE49D7A" w:rsidR="0095149D" w:rsidRDefault="0095149D" w:rsidP="0095149D">
      <w:pPr>
        <w:pStyle w:val="Heading4"/>
      </w:pPr>
      <w:r>
        <w:t>Including democracy and accountability.</w:t>
      </w:r>
    </w:p>
    <w:p w14:paraId="06ED58F1" w14:textId="77777777" w:rsidR="0095149D" w:rsidRPr="006E38D1" w:rsidRDefault="0095149D" w:rsidP="0095149D">
      <w:r>
        <w:rPr>
          <w:rStyle w:val="Style13ptBold"/>
        </w:rPr>
        <w:t>Beerman 10</w:t>
      </w:r>
      <w:r w:rsidRPr="006E38D1">
        <w:rPr>
          <w:rStyle w:val="Style13ptBold"/>
          <w:b w:val="0"/>
          <w:bCs w:val="0"/>
        </w:rPr>
        <w:t xml:space="preserve"> —</w:t>
      </w:r>
      <w:r w:rsidRPr="00796B82">
        <w:t xml:space="preserve"> Jack M. Beermann is a Professor of Law and Harry Elwood Warren Scholar at Boston University, and he has a BA from the University of Wisconsin and JD from the University of Chicago</w:t>
      </w:r>
      <w:r>
        <w:t xml:space="preserve">. (“End the Failed Chevron Experiment Now: How Chevron Has Failed and Why it Can and Should Be Overruled” Connecticut Law Review, vol.  42, number 3, February 2010. </w:t>
      </w:r>
      <w:hyperlink r:id="rId192" w:history="1">
        <w:r w:rsidRPr="0079159C">
          <w:rPr>
            <w:rStyle w:val="Hyperlink"/>
          </w:rPr>
          <w:t>https://scholarship.law.bu.edu/cgi/viewcontent.cgi?article=1519&amp;context=faculty_scholarship)//JLPark</w:t>
        </w:r>
      </w:hyperlink>
    </w:p>
    <w:p w14:paraId="5A79C368" w14:textId="77777777" w:rsidR="0095149D" w:rsidRPr="006E38D1" w:rsidRDefault="0095149D" w:rsidP="0095149D">
      <w:pPr>
        <w:rPr>
          <w:sz w:val="14"/>
        </w:rPr>
      </w:pPr>
      <w:r w:rsidRPr="006E38D1">
        <w:rPr>
          <w:rStyle w:val="StyleUnderline"/>
        </w:rPr>
        <w:t>The</w:t>
      </w:r>
      <w:r w:rsidRPr="006E38D1">
        <w:rPr>
          <w:sz w:val="14"/>
        </w:rPr>
        <w:t xml:space="preserve"> second </w:t>
      </w:r>
      <w:r w:rsidRPr="006E38D1">
        <w:rPr>
          <w:rStyle w:val="StyleUnderline"/>
        </w:rPr>
        <w:t>normative basis for Chevron</w:t>
      </w:r>
      <w:r w:rsidRPr="006E38D1">
        <w:rPr>
          <w:sz w:val="14"/>
        </w:rPr>
        <w:t>—</w:t>
      </w:r>
      <w:r w:rsidRPr="006E38D1">
        <w:rPr>
          <w:rStyle w:val="StyleUnderline"/>
        </w:rPr>
        <w:t>democracy and accountability</w:t>
      </w:r>
      <w:r w:rsidRPr="006E38D1">
        <w:rPr>
          <w:sz w:val="14"/>
        </w:rPr>
        <w:t>—</w:t>
      </w:r>
      <w:r w:rsidRPr="006E38D1">
        <w:rPr>
          <w:rStyle w:val="StyleUnderline"/>
        </w:rPr>
        <w:t>is</w:t>
      </w:r>
      <w:r w:rsidRPr="006E38D1">
        <w:rPr>
          <w:sz w:val="14"/>
        </w:rPr>
        <w:t xml:space="preserve"> more complicated but ultimately </w:t>
      </w:r>
      <w:r w:rsidRPr="006E38D1">
        <w:rPr>
          <w:rStyle w:val="StyleUnderline"/>
        </w:rPr>
        <w:t>insufficient to justify</w:t>
      </w:r>
      <w:r w:rsidRPr="006E38D1">
        <w:rPr>
          <w:sz w:val="14"/>
        </w:rPr>
        <w:t xml:space="preserve"> the </w:t>
      </w:r>
      <w:r w:rsidRPr="006E38D1">
        <w:rPr>
          <w:rStyle w:val="StyleUnderline"/>
        </w:rPr>
        <w:t>Chevron</w:t>
      </w:r>
      <w:r w:rsidRPr="006E38D1">
        <w:rPr>
          <w:sz w:val="14"/>
        </w:rPr>
        <w:t xml:space="preserve"> doctrine. The idea here is that because federal agencies are more politically accountable than the federal courts, statutory interpretation by agencies should be preferred over interpretation by the courts.74 For several reasons, </w:t>
      </w:r>
      <w:r w:rsidRPr="006E38D1">
        <w:rPr>
          <w:rStyle w:val="StyleUnderline"/>
        </w:rPr>
        <w:t>this justification</w:t>
      </w:r>
      <w:r w:rsidRPr="006E38D1">
        <w:rPr>
          <w:sz w:val="14"/>
        </w:rPr>
        <w:t xml:space="preserve"> for Chevron </w:t>
      </w:r>
      <w:r w:rsidRPr="006E38D1">
        <w:rPr>
          <w:rStyle w:val="StyleUnderline"/>
        </w:rPr>
        <w:t xml:space="preserve">is insufficient and </w:t>
      </w:r>
      <w:r w:rsidRPr="006E38D1">
        <w:rPr>
          <w:sz w:val="14"/>
        </w:rPr>
        <w:t xml:space="preserve">in some senses fundamentally </w:t>
      </w:r>
      <w:r w:rsidRPr="006E38D1">
        <w:rPr>
          <w:rStyle w:val="StyleUnderline"/>
        </w:rPr>
        <w:t>at odds with traditional conceptions</w:t>
      </w:r>
      <w:r w:rsidRPr="006E38D1">
        <w:rPr>
          <w:sz w:val="14"/>
        </w:rPr>
        <w:t xml:space="preserve"> of the judicial role in administrative law.</w:t>
      </w:r>
    </w:p>
    <w:p w14:paraId="0C4A4CEB" w14:textId="77777777" w:rsidR="0095149D" w:rsidRPr="006E38D1" w:rsidRDefault="0095149D" w:rsidP="0095149D">
      <w:pPr>
        <w:rPr>
          <w:sz w:val="14"/>
        </w:rPr>
      </w:pPr>
      <w:r w:rsidRPr="006E38D1">
        <w:rPr>
          <w:rStyle w:val="StyleUnderline"/>
        </w:rPr>
        <w:t>The first problem with the democracy and accountability justification</w:t>
      </w:r>
      <w:r w:rsidRPr="006E38D1">
        <w:rPr>
          <w:sz w:val="14"/>
        </w:rPr>
        <w:t xml:space="preserve"> for Chevron </w:t>
      </w:r>
      <w:r w:rsidRPr="006E38D1">
        <w:rPr>
          <w:rStyle w:val="StyleUnderline"/>
        </w:rPr>
        <w:t>is that the accountability advantage for administrative agencies, especially independent agencies, is not very clear. The Chevron Court viewed administrative agencies as more accountable than federal courts</w:t>
      </w:r>
      <w:r w:rsidRPr="006E38D1">
        <w:rPr>
          <w:sz w:val="14"/>
        </w:rPr>
        <w:t>. The Court acknowledged that “[administrative] agencies are not directly accountable to the people.”75 As the Court explained, the accountability advantage is through the President:</w:t>
      </w:r>
    </w:p>
    <w:p w14:paraId="19758893" w14:textId="77777777" w:rsidR="0095149D" w:rsidRPr="006E38D1" w:rsidRDefault="0095149D" w:rsidP="0095149D">
      <w:pPr>
        <w:ind w:left="360"/>
        <w:rPr>
          <w:sz w:val="14"/>
        </w:rPr>
      </w:pPr>
      <w:r w:rsidRPr="006E38D1">
        <w:rPr>
          <w:sz w:val="14"/>
        </w:rPr>
        <w:t xml:space="preserve">While </w:t>
      </w:r>
      <w:r w:rsidRPr="006E38D1">
        <w:rPr>
          <w:rStyle w:val="StyleUnderline"/>
        </w:rPr>
        <w:t>agencies are not directly accountable to the people</w:t>
      </w:r>
      <w:r w:rsidRPr="006E38D1">
        <w:rPr>
          <w:sz w:val="14"/>
        </w:rPr>
        <w:t>, the Chief Executive is, and it is entirely appropriate for this political branch of the Government to make such policy choices—resolving the competing interests which Congress itself either inadvertently did not resolve, or intentionally left to be resolved by the agency charged with the administration of the statute in light of everyday realities.</w:t>
      </w:r>
    </w:p>
    <w:p w14:paraId="4D052187" w14:textId="77777777" w:rsidR="0095149D" w:rsidRPr="006E38D1" w:rsidRDefault="0095149D" w:rsidP="0095149D">
      <w:pPr>
        <w:rPr>
          <w:sz w:val="14"/>
        </w:rPr>
      </w:pPr>
      <w:r w:rsidRPr="006E38D1">
        <w:rPr>
          <w:rStyle w:val="StyleUnderline"/>
        </w:rPr>
        <w:t>This discussion assumes that agency statutory interpretation is conducted under supervision of the President</w:t>
      </w:r>
      <w:r w:rsidRPr="006E38D1">
        <w:rPr>
          <w:sz w:val="14"/>
        </w:rPr>
        <w:t xml:space="preserve"> or at least political appointees of the President.</w:t>
      </w:r>
    </w:p>
    <w:p w14:paraId="58E425BD" w14:textId="77777777" w:rsidR="0095149D" w:rsidRPr="001309BA" w:rsidRDefault="0095149D" w:rsidP="0095149D">
      <w:pPr>
        <w:rPr>
          <w:sz w:val="14"/>
          <w:szCs w:val="14"/>
        </w:rPr>
      </w:pPr>
      <w:r w:rsidRPr="006E38D1">
        <w:rPr>
          <w:rStyle w:val="StyleUnderline"/>
        </w:rPr>
        <w:t>There has been a great deal of attention</w:t>
      </w:r>
      <w:r w:rsidRPr="006E38D1">
        <w:rPr>
          <w:sz w:val="14"/>
        </w:rPr>
        <w:t xml:space="preserve"> paid in recent years to the degree of presidential involvement in agency decision making. </w:t>
      </w:r>
      <w:r w:rsidRPr="006E38D1">
        <w:rPr>
          <w:rStyle w:val="StyleUnderline"/>
        </w:rPr>
        <w:t>There is no question that there is more centralized control than</w:t>
      </w:r>
      <w:r w:rsidRPr="006E38D1">
        <w:rPr>
          <w:sz w:val="14"/>
        </w:rPr>
        <w:t xml:space="preserve"> there </w:t>
      </w:r>
      <w:r w:rsidRPr="006E38D1">
        <w:rPr>
          <w:rStyle w:val="StyleUnderline"/>
        </w:rPr>
        <w:t>used to be</w:t>
      </w:r>
      <w:r w:rsidRPr="006E38D1">
        <w:rPr>
          <w:sz w:val="14"/>
        </w:rPr>
        <w:t xml:space="preserve">, and that this centralized control has become a visible, institutionalized aspect of administrative law.77 This does not necessarily mean, however, that agency statutory interpretation is preferable to judicial interpretation on accountability grounds. Rather, it depends on what the courts are actually doing when they </w:t>
      </w:r>
      <w:r w:rsidRPr="001309BA">
        <w:rPr>
          <w:sz w:val="14"/>
          <w:szCs w:val="14"/>
        </w:rPr>
        <w:t>conduct judicial review and on the actual degree of accountability for agency statutory decisions.</w:t>
      </w:r>
    </w:p>
    <w:p w14:paraId="43889A81" w14:textId="77777777" w:rsidR="0095149D" w:rsidRPr="001309BA" w:rsidRDefault="0095149D" w:rsidP="0095149D">
      <w:pPr>
        <w:rPr>
          <w:sz w:val="14"/>
          <w:szCs w:val="14"/>
        </w:rPr>
      </w:pPr>
      <w:r w:rsidRPr="001309BA">
        <w:rPr>
          <w:sz w:val="14"/>
          <w:szCs w:val="14"/>
        </w:rPr>
        <w:t>This aspect of the Chevron Court’s analysis depends on a very negative view of what judges do when construing ambiguous statutes. The Court raised the specter of decisions made “on the basis of the judges’ personal policy preferences.”78 The Court does not entertain the possibility that federal judges are at least trying to be faithful agents of the legislature when they interpret. The choice between life-tenured judges’ personal preferences and a possibly somewhat accountable agency is easy. In the real world, however, the choice is nowhere near that clear.</w:t>
      </w:r>
    </w:p>
    <w:p w14:paraId="6A9C0E58" w14:textId="77777777" w:rsidR="0095149D" w:rsidRPr="00FD47B4" w:rsidRDefault="0095149D" w:rsidP="0095149D">
      <w:pPr>
        <w:rPr>
          <w:sz w:val="12"/>
        </w:rPr>
      </w:pPr>
      <w:r w:rsidRPr="00FD47B4">
        <w:rPr>
          <w:sz w:val="12"/>
        </w:rPr>
        <w:t xml:space="preserve">Justice Scalia’s proclamation that he is more likely than other judges to find statutes clear and unambiguous, which has led him to reject agency views more often than might be expected from such a strong advocate of Chevron deference, should give pause to basing Chevron deference on the view that judges impose their own personal policy preferences when they construe statutes.79 Rather, like Justice Scalia, judges reading statutes may in many instances be attempting, in good faith, to apply the statute in the way that Congress would have wanted them to. Justice Scalia’s recent opinion for the Court in a case involving the meaning of “visitorial powers” in a statute granting federal regulators exclusive “visitorial powers” over national banks is a model of careful analysis of the meaning of ambiguous statutory language.80 The federal Comptroller of the Currency had promulgated a regulation reading the term expansively to preclude any state regulation of national banks, preempting even judicial enforcement of state law against national banks.81 Although the agency’s litigation position was more moderate, Justice </w:t>
      </w:r>
      <w:r w:rsidRPr="00FD47B4">
        <w:rPr>
          <w:rStyle w:val="StyleUnderline"/>
        </w:rPr>
        <w:t>Scalia’s</w:t>
      </w:r>
      <w:r w:rsidRPr="00FD47B4">
        <w:rPr>
          <w:sz w:val="12"/>
        </w:rPr>
        <w:t xml:space="preserve"> opinion for the Court persuasively explains why Congress could not have intended to preclude enforcement of state law through judicial action. This </w:t>
      </w:r>
      <w:r w:rsidRPr="00FD47B4">
        <w:rPr>
          <w:rStyle w:val="StyleUnderline"/>
        </w:rPr>
        <w:t>decision is but one of many possible illustrations of how the potentially greater political accountability of agencies does not provide a sufficient theoretical basis for abandoning the traditional view that judicial review keeps agencies in line with congressional intent</w:t>
      </w:r>
      <w:r w:rsidRPr="00FD47B4">
        <w:rPr>
          <w:sz w:val="12"/>
        </w:rPr>
        <w:t>.82</w:t>
      </w:r>
    </w:p>
    <w:p w14:paraId="7FDF2ABE" w14:textId="77777777" w:rsidR="0095149D" w:rsidRPr="00FD47B4" w:rsidRDefault="0095149D" w:rsidP="0095149D">
      <w:pPr>
        <w:rPr>
          <w:sz w:val="14"/>
        </w:rPr>
      </w:pPr>
      <w:r w:rsidRPr="00FD47B4">
        <w:rPr>
          <w:rStyle w:val="StyleUnderline"/>
        </w:rPr>
        <w:t>If federal judges</w:t>
      </w:r>
      <w:r w:rsidRPr="00FD47B4">
        <w:rPr>
          <w:sz w:val="14"/>
        </w:rPr>
        <w:t xml:space="preserve">, who are by design the least accountable officials in the federal government, </w:t>
      </w:r>
      <w:r w:rsidRPr="00FD47B4">
        <w:rPr>
          <w:rStyle w:val="StyleUnderline"/>
        </w:rPr>
        <w:t>are imposing their own personal</w:t>
      </w:r>
      <w:r w:rsidRPr="00FD47B4">
        <w:rPr>
          <w:sz w:val="14"/>
        </w:rPr>
        <w:t xml:space="preserve"> policy </w:t>
      </w:r>
      <w:r w:rsidRPr="00FD47B4">
        <w:rPr>
          <w:rStyle w:val="StyleUnderline"/>
        </w:rPr>
        <w:t>views</w:t>
      </w:r>
      <w:r w:rsidRPr="00FD47B4">
        <w:rPr>
          <w:sz w:val="14"/>
        </w:rPr>
        <w:t xml:space="preserve">, </w:t>
      </w:r>
      <w:r w:rsidRPr="00FD47B4">
        <w:rPr>
          <w:rStyle w:val="StyleUnderline"/>
        </w:rPr>
        <w:t>then</w:t>
      </w:r>
      <w:r w:rsidRPr="00FD47B4">
        <w:rPr>
          <w:sz w:val="14"/>
        </w:rPr>
        <w:t xml:space="preserve"> of course </w:t>
      </w:r>
      <w:r w:rsidRPr="00FD47B4">
        <w:rPr>
          <w:rStyle w:val="StyleUnderline"/>
        </w:rPr>
        <w:t>non-deferential judicial review would reduce democratic accountability</w:t>
      </w:r>
      <w:r w:rsidRPr="00FD47B4">
        <w:rPr>
          <w:sz w:val="14"/>
        </w:rPr>
        <w:t>. However, when federal judges attempt, in good faith, to discern the intent of Congress, then the choice may be better understood as between an agency advancing its own or the President’s policy agenda and a reviewing court trying to force the agency to stick to the agenda that Congress established for it.83 The traditional view of judicial review is that courts prevent agencies from straying too far from congressional intent.84 As Michael Herz has succinctly stated:</w:t>
      </w:r>
    </w:p>
    <w:p w14:paraId="2F77C6FE" w14:textId="77777777" w:rsidR="0095149D" w:rsidRPr="00FD47B4" w:rsidRDefault="0095149D" w:rsidP="0095149D">
      <w:pPr>
        <w:ind w:left="360"/>
        <w:rPr>
          <w:sz w:val="14"/>
          <w:szCs w:val="14"/>
        </w:rPr>
      </w:pPr>
      <w:r w:rsidRPr="00FD47B4">
        <w:rPr>
          <w:sz w:val="14"/>
          <w:szCs w:val="14"/>
        </w:rPr>
        <w:t>[W]hile, as Chevron emphasizes, agencies have an edge on courts in accountability, they have no such edge on Congress. To the contrary, giving agencies too free a hand trenches on congressional authority, thereby reducing accountability. To the extent Congress has in fact decided something, Chevron’s own political theory requires the courts to ensure that agencies act consistently with that decision.85</w:t>
      </w:r>
    </w:p>
    <w:p w14:paraId="59936882" w14:textId="7385503F" w:rsidR="0095149D" w:rsidRPr="0095149D" w:rsidRDefault="0095149D" w:rsidP="005304A7">
      <w:pPr>
        <w:rPr>
          <w:sz w:val="14"/>
        </w:rPr>
      </w:pPr>
      <w:r w:rsidRPr="00FD47B4">
        <w:rPr>
          <w:rStyle w:val="StyleUnderline"/>
        </w:rPr>
        <w:t>Democracy is not only a function of whether the particular officials making specific decisions are accountable either themselves</w:t>
      </w:r>
      <w:r w:rsidRPr="00FD47B4">
        <w:rPr>
          <w:sz w:val="14"/>
        </w:rPr>
        <w:t xml:space="preserve"> or through another elected official such as the President. </w:t>
      </w:r>
      <w:r w:rsidRPr="00FD47B4">
        <w:rPr>
          <w:rStyle w:val="StyleUnderline"/>
        </w:rPr>
        <w:t>The entire decisionmaking process needs to be examined to determine whether there has been maximum democratic control of the process</w:t>
      </w:r>
      <w:r w:rsidRPr="00FD47B4">
        <w:rPr>
          <w:sz w:val="14"/>
        </w:rPr>
        <w:t>. If an administrative agency makes a decision that seems contrary to ambiguously expressed congressional intent, and a federal judge, after examining the statutory text and structure, the statute’s relationship with other statutes, the legislative history and the overall purposes Congress sought to achieve in the statute,86 finds that the agency’s decision was inconsistent with probable congressional intent, then the judge’s decision supports the basic democratic and constitutional norm that Congress is the preferred institution for making decisions of social policy.87 This is even more true if Congress, by statute, has assigned this role to the courts, because then limiting review would be contrary to Congress’s judgment that judicial review enhances democratic (i.e., congressional) control over agencies.</w:t>
      </w:r>
    </w:p>
    <w:p w14:paraId="7603AD50" w14:textId="77777777" w:rsidR="0095149D" w:rsidRDefault="0095149D" w:rsidP="0095149D">
      <w:pPr>
        <w:pStyle w:val="Heading4"/>
      </w:pPr>
      <w:r>
        <w:t>That wrecks democracy.</w:t>
      </w:r>
    </w:p>
    <w:p w14:paraId="061CC496" w14:textId="77777777" w:rsidR="0095149D" w:rsidRDefault="0095149D" w:rsidP="0095149D">
      <w:r>
        <w:rPr>
          <w:rStyle w:val="Style13ptBold"/>
        </w:rPr>
        <w:t xml:space="preserve">Mezzina and Shapiro 17 </w:t>
      </w:r>
      <w:r>
        <w:rPr>
          <w:rStyle w:val="Style13ptBold"/>
          <w:b w:val="0"/>
          <w:bCs w:val="0"/>
        </w:rPr>
        <w:t xml:space="preserve">— </w:t>
      </w:r>
      <w:r>
        <w:t xml:space="preserve">Paul Alessio Mezzina is a partner at King &amp; Spalding and has a JD and AB from Harvard Law; Ilya Shapiro is the director of the Robert A. Levy Center for Constitutional Studies at the Cato Institute, publisher of the Cato Supreme Court Review, has a JD from the University of Chicago Law School, and an AB from Princeton. (“RONY ESTUARDO PEREZ-GUZMAN AKA RONNIE PEREZ-GUZMAN v. JEFFERSON B. SESSIONS III, UNITED STATES ATTORNEY GENERAL: BRIEF OF THE CATO INSTITUTE AS AMIC CURIAE IN SUPPORT OF PETITIONERS” Cato Institute, September 27, 2017. </w:t>
      </w:r>
      <w:hyperlink r:id="rId193" w:history="1">
        <w:r w:rsidRPr="0079159C">
          <w:rPr>
            <w:rStyle w:val="Hyperlink"/>
          </w:rPr>
          <w:t>https://www.cato.org/sites/cato.org/files/pubs/pdf/perez-guzman-cert-stage.pdf)//JLPark</w:t>
        </w:r>
      </w:hyperlink>
    </w:p>
    <w:p w14:paraId="18AE5EF9" w14:textId="77777777" w:rsidR="0095149D" w:rsidRPr="0095149D" w:rsidRDefault="0095149D" w:rsidP="0095149D">
      <w:pPr>
        <w:rPr>
          <w:sz w:val="16"/>
        </w:rPr>
      </w:pPr>
      <w:r w:rsidRPr="0095149D">
        <w:rPr>
          <w:sz w:val="16"/>
        </w:rPr>
        <w:t xml:space="preserve">II. The </w:t>
      </w:r>
      <w:r w:rsidRPr="00AB2E8C">
        <w:rPr>
          <w:rStyle w:val="StyleUnderline"/>
        </w:rPr>
        <w:t xml:space="preserve">Court Should Be </w:t>
      </w:r>
      <w:r w:rsidRPr="0095149D">
        <w:rPr>
          <w:rStyle w:val="Emphasis"/>
        </w:rPr>
        <w:t>Wary Of Decisions</w:t>
      </w:r>
      <w:r w:rsidRPr="0095149D">
        <w:rPr>
          <w:sz w:val="16"/>
        </w:rPr>
        <w:t xml:space="preserve">, Like The One Below, </w:t>
      </w:r>
      <w:r w:rsidRPr="00AB2E8C">
        <w:rPr>
          <w:rStyle w:val="StyleUnderline"/>
        </w:rPr>
        <w:t xml:space="preserve">That Expand Chevron Beyond </w:t>
      </w:r>
      <w:r w:rsidRPr="0095149D">
        <w:rPr>
          <w:rStyle w:val="Emphasis"/>
        </w:rPr>
        <w:t>Its Traditional Bounds</w:t>
      </w:r>
      <w:r w:rsidRPr="0095149D">
        <w:rPr>
          <w:sz w:val="16"/>
        </w:rPr>
        <w:t xml:space="preserve">. </w:t>
      </w:r>
    </w:p>
    <w:p w14:paraId="747E3DF0" w14:textId="77777777" w:rsidR="0095149D" w:rsidRPr="00BE570A" w:rsidRDefault="0095149D" w:rsidP="0095149D">
      <w:pPr>
        <w:rPr>
          <w:sz w:val="16"/>
        </w:rPr>
      </w:pPr>
      <w:r w:rsidRPr="00AB2E8C">
        <w:rPr>
          <w:rStyle w:val="StyleUnderline"/>
        </w:rPr>
        <w:t>The Court should not tolerate</w:t>
      </w:r>
      <w:r w:rsidRPr="00BE570A">
        <w:rPr>
          <w:sz w:val="16"/>
        </w:rPr>
        <w:t xml:space="preserve"> lower courts’ </w:t>
      </w:r>
      <w:r w:rsidRPr="00AB2E8C">
        <w:rPr>
          <w:rStyle w:val="StyleUnderline"/>
        </w:rPr>
        <w:t>expansion of Chevron beyond its traditional bounds</w:t>
      </w:r>
      <w:r w:rsidRPr="00BE570A">
        <w:rPr>
          <w:sz w:val="16"/>
        </w:rPr>
        <w:t xml:space="preserve">. As several members of this Court have recognized, </w:t>
      </w:r>
      <w:r w:rsidRPr="00AB2E8C">
        <w:rPr>
          <w:rStyle w:val="StyleUnderline"/>
        </w:rPr>
        <w:t xml:space="preserve">Chevron’s statutory and constitutional foundations are </w:t>
      </w:r>
      <w:r w:rsidRPr="0095149D">
        <w:rPr>
          <w:rStyle w:val="Emphasis"/>
        </w:rPr>
        <w:t>questionable</w:t>
      </w:r>
      <w:r w:rsidRPr="0095149D">
        <w:t xml:space="preserve"> </w:t>
      </w:r>
      <w:r w:rsidRPr="00BE570A">
        <w:rPr>
          <w:sz w:val="16"/>
        </w:rPr>
        <w:t xml:space="preserve">to begin with. </w:t>
      </w:r>
      <w:r w:rsidRPr="00AB2E8C">
        <w:rPr>
          <w:rStyle w:val="StyleUnderline"/>
        </w:rPr>
        <w:t xml:space="preserve">Chevron deference appears to </w:t>
      </w:r>
      <w:r w:rsidRPr="0095149D">
        <w:rPr>
          <w:rStyle w:val="Emphasis"/>
        </w:rPr>
        <w:t>flout</w:t>
      </w:r>
      <w:r w:rsidRPr="00AB2E8C">
        <w:rPr>
          <w:rStyle w:val="StyleUnderline"/>
        </w:rPr>
        <w:t xml:space="preserve"> the clear directive</w:t>
      </w:r>
      <w:r w:rsidRPr="0095149D">
        <w:t xml:space="preserve"> </w:t>
      </w:r>
      <w:r w:rsidRPr="00BE570A">
        <w:rPr>
          <w:sz w:val="16"/>
        </w:rPr>
        <w:t xml:space="preserve">in the Administrative Procedure Act </w:t>
      </w:r>
      <w:r w:rsidRPr="00AB2E8C">
        <w:rPr>
          <w:rStyle w:val="StyleUnderline"/>
        </w:rPr>
        <w:t>that when agency action is challenged</w:t>
      </w:r>
      <w:r w:rsidRPr="00BE570A">
        <w:rPr>
          <w:sz w:val="16"/>
        </w:rPr>
        <w:t xml:space="preserve">, “the </w:t>
      </w:r>
      <w:r w:rsidRPr="00AB2E8C">
        <w:rPr>
          <w:rStyle w:val="StyleUnderline"/>
        </w:rPr>
        <w:t>reviewing court shall decide all relevant questions of law</w:t>
      </w:r>
      <w:r w:rsidRPr="00BE570A">
        <w:rPr>
          <w:sz w:val="16"/>
        </w:rPr>
        <w:t>, interpret constitutional and statutory provisions, and determine the meaning or applicability of the terms of an agency action.” 5 U.S.C. § 706; see Michigan v. EPA, 135 S. Ct. 2699, 2712 (2015) (Thomas, J., concurring) (“</w:t>
      </w:r>
      <w:r w:rsidRPr="00AB2E8C">
        <w:rPr>
          <w:rStyle w:val="StyleUnderline"/>
        </w:rPr>
        <w:t xml:space="preserve">Chevron deference raises serious </w:t>
      </w:r>
      <w:r w:rsidRPr="0095149D">
        <w:rPr>
          <w:rStyle w:val="Emphasis"/>
        </w:rPr>
        <w:t>separation-of-powers questions</w:t>
      </w:r>
      <w:r w:rsidRPr="00BE570A">
        <w:rPr>
          <w:sz w:val="16"/>
        </w:rPr>
        <w:t>.”); Perez v. Mortg. Bankers Ass’n, 135 S. Ct. 1199, 1211 (2015) (Scalia, J., concurring in the judgment) (Chevron is a “judge-made doctrine” that the Court developed “[h]eedless of the original design of the APA”); Gutierrez-Brizuela, 834 F.3d at 1152 (Gorsuch, J., concurring) (“Chevron seems no less than a judgemade doctrine for the abdication of the judicial duty.”).</w:t>
      </w:r>
    </w:p>
    <w:p w14:paraId="2A1B04F8" w14:textId="77777777" w:rsidR="0095149D" w:rsidRPr="00BE570A" w:rsidRDefault="0095149D" w:rsidP="0095149D">
      <w:pPr>
        <w:rPr>
          <w:sz w:val="16"/>
          <w:szCs w:val="16"/>
        </w:rPr>
      </w:pPr>
      <w:r w:rsidRPr="00BE570A">
        <w:rPr>
          <w:sz w:val="16"/>
          <w:szCs w:val="16"/>
        </w:rPr>
        <w:t>Nor have doubts about Chevron been limited to this Court. One respected jurist has called Chevron an “atextual invention by courts” and a “judicially orchestrated shift of power from Congress to the Executive Branch.” Brett M. Kavanaugh, Fixing Statutory Interpretation, 129 Harv. L. Rev. 2118, 2150 (2016) (reviewing Robert A. Katzmann, Judging Statutes (2014)). Consistent with the delegation theory of Chevron, Judge Kavanaugh suggests that it should apply only where Congress has legislated in “broad and open-ended terms like ‘reasonable,’ ‘appropriate,’ ‘feasible,’ or ‘practicable.’ ” Id. at 2153–54. See also Philip Hamburger, Is Administrative Law Unlawful? at 316 (2014) (Chevron amounts to an “abandonment of judicial office” by which courts “deny the benefit of judicial power to private parties and abandon the central feature of their office as judges”); Aditya Bamzai, The Origins of Judicial Deference to Executive Interpretation, 126 Yale L.J. 908, 1000 (2017) (concluding that Chevron has “no true historical antecedent” and is inconsistent with traditional approaches to judicial review); Jack M. Beerman, End the Failed Chevron Experiment Now: How Chevron Has Failed and Why It Can and Should Be Overruled, 42 Conn. L. Rev. 779, 788–809 (2010).</w:t>
      </w:r>
    </w:p>
    <w:p w14:paraId="699A5D68" w14:textId="77777777" w:rsidR="0095149D" w:rsidRPr="00BE570A" w:rsidRDefault="0095149D" w:rsidP="0095149D">
      <w:pPr>
        <w:rPr>
          <w:sz w:val="16"/>
        </w:rPr>
      </w:pPr>
      <w:r w:rsidRPr="00BE570A">
        <w:rPr>
          <w:rStyle w:val="StyleUnderline"/>
        </w:rPr>
        <w:t>Any further expansion of Chevron will only further erode</w:t>
      </w:r>
      <w:r w:rsidRPr="00BE570A">
        <w:rPr>
          <w:sz w:val="16"/>
        </w:rPr>
        <w:t xml:space="preserve"> “</w:t>
      </w:r>
      <w:r w:rsidRPr="00BE570A">
        <w:rPr>
          <w:rStyle w:val="StyleUnderline"/>
        </w:rPr>
        <w:t>[t]he rule of law, which is a foundation of freedom</w:t>
      </w:r>
      <w:r w:rsidRPr="00BE570A">
        <w:rPr>
          <w:sz w:val="16"/>
        </w:rPr>
        <w:t xml:space="preserve">.” N.Y. State Bd. of Elections v. Lopez Torres, 552 U.S. 196, 212 (2008) (Kennedy, J., concurring in the judgment). </w:t>
      </w:r>
      <w:r w:rsidRPr="00BE570A">
        <w:rPr>
          <w:rStyle w:val="StyleUnderline"/>
        </w:rPr>
        <w:t>Chevron’s corrosive effect on the rule of law has been</w:t>
      </w:r>
      <w:r w:rsidRPr="00BE570A">
        <w:rPr>
          <w:sz w:val="16"/>
        </w:rPr>
        <w:t xml:space="preserve"> well </w:t>
      </w:r>
      <w:r w:rsidRPr="00BE570A">
        <w:rPr>
          <w:rStyle w:val="StyleUnderline"/>
        </w:rPr>
        <w:t>described</w:t>
      </w:r>
      <w:r w:rsidRPr="00BE570A">
        <w:rPr>
          <w:sz w:val="16"/>
        </w:rPr>
        <w:t xml:space="preserve"> by two judges on the D.C. Circuit, the court on the front lines of the struggle between the judiciary and administrative agencies. As Judge Kavanaugh recently observed:</w:t>
      </w:r>
    </w:p>
    <w:p w14:paraId="61FE4B47" w14:textId="77777777" w:rsidR="0095149D" w:rsidRPr="00BE570A" w:rsidRDefault="0095149D" w:rsidP="0095149D">
      <w:pPr>
        <w:ind w:left="360"/>
        <w:rPr>
          <w:sz w:val="16"/>
        </w:rPr>
      </w:pPr>
      <w:r w:rsidRPr="00BE570A">
        <w:rPr>
          <w:sz w:val="16"/>
        </w:rPr>
        <w:t xml:space="preserve">From my more than five years of experience at the White House, I can confidently say that </w:t>
      </w:r>
      <w:r w:rsidRPr="00BE570A">
        <w:rPr>
          <w:rStyle w:val="StyleUnderline"/>
        </w:rPr>
        <w:t>Chevron encourages the Executive Branch</w:t>
      </w:r>
      <w:r w:rsidRPr="00BE570A">
        <w:rPr>
          <w:sz w:val="16"/>
        </w:rPr>
        <w:t xml:space="preserve"> (whichever party controls it) </w:t>
      </w:r>
      <w:r w:rsidRPr="00BE570A">
        <w:rPr>
          <w:rStyle w:val="StyleUnderline"/>
        </w:rPr>
        <w:t>to be extremely aggressive in seeking to squeeze its policy goals into ill-fitting statutory authorizations and restraints</w:t>
      </w:r>
      <w:r w:rsidRPr="00BE570A">
        <w:rPr>
          <w:sz w:val="16"/>
        </w:rPr>
        <w:t xml:space="preserve">. . . . After all, </w:t>
      </w:r>
      <w:r w:rsidRPr="00BE570A">
        <w:rPr>
          <w:rStyle w:val="StyleUnderline"/>
        </w:rPr>
        <w:t>an executive branch decisionmaker might theorize</w:t>
      </w:r>
      <w:r w:rsidRPr="00BE570A">
        <w:rPr>
          <w:sz w:val="16"/>
        </w:rPr>
        <w:t>, “</w:t>
      </w:r>
      <w:r w:rsidRPr="00BE570A">
        <w:rPr>
          <w:rStyle w:val="StyleUnderline"/>
        </w:rPr>
        <w:t>If we can just convince a court that the statutory provision is ambiguous, then our interpretation of the statute should pass muster as reasonable</w:t>
      </w:r>
      <w:r w:rsidRPr="00BE570A">
        <w:rPr>
          <w:sz w:val="16"/>
        </w:rPr>
        <w:t xml:space="preserve">. And </w:t>
      </w:r>
      <w:r w:rsidRPr="00BE570A">
        <w:rPr>
          <w:rStyle w:val="StyleUnderline"/>
        </w:rPr>
        <w:t>we can achieve an important policy goal if our interpretation of the statute is accepted. And isn’t just about every statute ambiguous in some fashion or another</w:t>
      </w:r>
      <w:r w:rsidRPr="00BE570A">
        <w:rPr>
          <w:sz w:val="16"/>
        </w:rPr>
        <w:t>? Let’s go for it.”</w:t>
      </w:r>
    </w:p>
    <w:p w14:paraId="739ABD3B" w14:textId="77777777" w:rsidR="0095149D" w:rsidRPr="00BE570A" w:rsidRDefault="0095149D" w:rsidP="0095149D">
      <w:pPr>
        <w:rPr>
          <w:sz w:val="16"/>
          <w:szCs w:val="16"/>
        </w:rPr>
      </w:pPr>
      <w:r w:rsidRPr="00BE570A">
        <w:rPr>
          <w:sz w:val="16"/>
          <w:szCs w:val="16"/>
        </w:rPr>
        <w:t>Kavanaugh, supra, at 2150–51. Judge Tatel has made similar comments:</w:t>
      </w:r>
    </w:p>
    <w:p w14:paraId="125A637E" w14:textId="77777777" w:rsidR="0095149D" w:rsidRPr="00BE570A" w:rsidRDefault="0095149D" w:rsidP="0095149D">
      <w:pPr>
        <w:ind w:left="360"/>
        <w:rPr>
          <w:sz w:val="16"/>
        </w:rPr>
      </w:pPr>
      <w:r w:rsidRPr="00BE570A">
        <w:rPr>
          <w:sz w:val="16"/>
        </w:rPr>
        <w:t xml:space="preserve">From my D.C. Circuit vantage, I sometimes wonder whether administrative agencies . . . really care about the fundamentals in the way that courts do. . . . [I]n both Republican and Democratic administrations, I have too often seen agencies failing to display the kind of careful and lawyerly attention one would expect from those required to obey federal statutes and to follow principles of administrative law. In such cases, it looks for all the world like </w:t>
      </w:r>
      <w:r w:rsidRPr="00BE570A">
        <w:rPr>
          <w:rStyle w:val="StyleUnderline"/>
        </w:rPr>
        <w:t>agencies choose their policy first and then later seek to defend its legality</w:t>
      </w:r>
      <w:r w:rsidRPr="00BE570A">
        <w:rPr>
          <w:sz w:val="16"/>
        </w:rPr>
        <w:t>.</w:t>
      </w:r>
    </w:p>
    <w:p w14:paraId="30A79158" w14:textId="77777777" w:rsidR="0095149D" w:rsidRPr="00BE570A" w:rsidRDefault="0095149D" w:rsidP="0095149D">
      <w:pPr>
        <w:rPr>
          <w:sz w:val="16"/>
          <w:szCs w:val="16"/>
        </w:rPr>
      </w:pPr>
      <w:r w:rsidRPr="00BE570A">
        <w:rPr>
          <w:sz w:val="16"/>
          <w:szCs w:val="16"/>
        </w:rPr>
        <w:t>David S. Tatel, The Administrative Process and the Rule of Environmental Law, 34 Harv. Envtl. L. Rev. 1, 1–2 (2010).</w:t>
      </w:r>
    </w:p>
    <w:p w14:paraId="277FBC21" w14:textId="77777777" w:rsidR="0095149D" w:rsidRPr="00BE570A" w:rsidRDefault="0095149D" w:rsidP="0095149D">
      <w:pPr>
        <w:rPr>
          <w:sz w:val="16"/>
        </w:rPr>
      </w:pPr>
      <w:r w:rsidRPr="00BE570A">
        <w:rPr>
          <w:sz w:val="16"/>
        </w:rPr>
        <w:t xml:space="preserve">Indeed, a recent survey of rule drafters at seven executive agencies found that </w:t>
      </w:r>
      <w:r w:rsidRPr="00BE570A">
        <w:rPr>
          <w:rStyle w:val="StyleUnderline"/>
        </w:rPr>
        <w:t>Chevron was the “interpretive tool</w:t>
      </w:r>
      <w:r w:rsidRPr="00BE570A">
        <w:rPr>
          <w:sz w:val="16"/>
        </w:rPr>
        <w:t xml:space="preserve">” the </w:t>
      </w:r>
      <w:r w:rsidRPr="00BE570A">
        <w:rPr>
          <w:rStyle w:val="StyleUnderline"/>
        </w:rPr>
        <w:t>agencies used most often. Ninety percent reported that Chevron played a role in their drafting decisions, beating out every semantic or substantive canon of construction</w:t>
      </w:r>
      <w:r w:rsidRPr="00BE570A">
        <w:rPr>
          <w:sz w:val="16"/>
        </w:rPr>
        <w:t xml:space="preserve"> the survey tested. Christopher J. Walker, Inside Agency Statutory Interpretation, 67 Stan. L. Rev. 999, 1062 (2015). That is all the more remarkable when one considers that unlike the canons, Chevron does not actually tell the agency anything about how it should interpret a given statute; all it tells the agency is that courts will not be checking its work carefully.</w:t>
      </w:r>
    </w:p>
    <w:p w14:paraId="6A610BB0" w14:textId="77777777" w:rsidR="0095149D" w:rsidRPr="00BE570A" w:rsidRDefault="0095149D" w:rsidP="0095149D">
      <w:pPr>
        <w:rPr>
          <w:sz w:val="16"/>
        </w:rPr>
      </w:pPr>
      <w:r w:rsidRPr="00BE570A">
        <w:rPr>
          <w:sz w:val="16"/>
        </w:rPr>
        <w:t xml:space="preserve">It should therefore come as no surprise that 80 percent of the agency rule drafters surveyed reported at least some agreement with the proposition that an agency is “more aggressive” in its interpretation when it believes Chevron will apply. Id. at 1063. As one scholar has remarked, </w:t>
      </w:r>
      <w:r w:rsidRPr="00BE570A">
        <w:rPr>
          <w:rStyle w:val="StyleUnderline"/>
        </w:rPr>
        <w:t>a willingness to “adopt adventurous interpretations, far from any good faith reading of Congress’s intent” has become “part of the culture” in many agencies post-Chevron</w:t>
      </w:r>
      <w:r w:rsidRPr="00BE570A">
        <w:rPr>
          <w:sz w:val="16"/>
        </w:rPr>
        <w:t>. Beerman, supra, at 837–38; see, e.g., Util. Air Regulatory Grp., 134 S. Ct. at 2444 (criticizing EPA for attempting to “seiz[e] expansive power that it admits the statute is not designed to grant”); Michigan, 135 S. Ct. at 2713 &amp; n.2 (Thomas, J., concurring) (agencies are often “emboldened” by Chevron to pursue their policy goals “without any particular fidelity to the text”); Talk Am., Inc. v. Mich. Bell Tel. Co., 564 U.S. 50, 69 (2011) (Scalia, J., concurring) (agency had “</w:t>
      </w:r>
      <w:r w:rsidRPr="00BE570A">
        <w:rPr>
          <w:rStyle w:val="StyleUnderline"/>
        </w:rPr>
        <w:t>repeatedly been rebuked in its attempts to expand the statute beyond its text, and ha[d] repeatedly sought new means to the same ends</w:t>
      </w:r>
      <w:r w:rsidRPr="00BE570A">
        <w:rPr>
          <w:sz w:val="16"/>
        </w:rPr>
        <w:t>”).</w:t>
      </w:r>
    </w:p>
    <w:p w14:paraId="280A46A4" w14:textId="77777777" w:rsidR="0095149D" w:rsidRPr="00BE570A" w:rsidRDefault="0095149D" w:rsidP="0095149D">
      <w:pPr>
        <w:rPr>
          <w:sz w:val="16"/>
        </w:rPr>
      </w:pPr>
      <w:r w:rsidRPr="00BE570A">
        <w:rPr>
          <w:sz w:val="16"/>
        </w:rPr>
        <w:t xml:space="preserve">Just as Chevron emboldens agencies to aggrandize themselves, it encourages Congress and the judiciary to relinquish power. Although “a federal court’s obligation to hear and decide cases within its jurisdiction is virtually unflagging,” Lexmark Int’l, Inc. v. Static Control Components, Inc., 134 S. Ct. 1377, 1386 (2014) (quotation marks omitted), </w:t>
      </w:r>
      <w:r w:rsidRPr="00BE570A">
        <w:rPr>
          <w:rStyle w:val="StyleUnderline"/>
        </w:rPr>
        <w:t>courts often invoke Chevron to avoid deciding difficult or sensitive questions. And Congress “dis-empower[s] itself ” by passing statutes that are vague or incoherent</w:t>
      </w:r>
      <w:r w:rsidRPr="00BE570A">
        <w:rPr>
          <w:sz w:val="16"/>
        </w:rPr>
        <w:t xml:space="preserve">. Michael S. Greve &amp; Ashley C. Parrish, Administrative Law Without Congress, 22 George Mason L. Rev. 501, 502–03 (2015). </w:t>
      </w:r>
      <w:r w:rsidRPr="00BE570A">
        <w:rPr>
          <w:rStyle w:val="StyleUnderline"/>
        </w:rPr>
        <w:t>This gives agencies a further excuse for improvisation and adventurism, feeding a vicious circle</w:t>
      </w:r>
      <w:r w:rsidRPr="00BE570A">
        <w:rPr>
          <w:sz w:val="16"/>
        </w:rPr>
        <w:t>. Such “[a]bdication of responsibility” on the part of two of the three branches “is not part of the constitutional design.” Clinton v. City of N.Y., 524 U.S. 417, 452 (1998) (Kennedy, J., concurring).</w:t>
      </w:r>
    </w:p>
    <w:p w14:paraId="2D44C40A" w14:textId="5AB342A5" w:rsidR="0095149D" w:rsidRDefault="0095149D" w:rsidP="0095149D">
      <w:pPr>
        <w:rPr>
          <w:rStyle w:val="StyleUnderline"/>
        </w:rPr>
      </w:pPr>
      <w:r w:rsidRPr="00BE570A">
        <w:rPr>
          <w:rStyle w:val="StyleUnderline"/>
        </w:rPr>
        <w:t>One way to mitigate these problems is to</w:t>
      </w:r>
      <w:r w:rsidRPr="00BE570A">
        <w:rPr>
          <w:sz w:val="16"/>
        </w:rPr>
        <w:t xml:space="preserve"> reaffirm Chevron’s traditional limiting principle: that where, as here, Congress cannot be said to have delegated interpretive authority to an agency, courts should “say what the law is” by </w:t>
      </w:r>
      <w:r w:rsidRPr="00BE570A">
        <w:rPr>
          <w:rStyle w:val="StyleUnderline"/>
        </w:rPr>
        <w:t>using traditional rules of construction</w:t>
      </w:r>
      <w:r w:rsidRPr="00BE570A">
        <w:rPr>
          <w:sz w:val="16"/>
        </w:rPr>
        <w:t>—</w:t>
      </w:r>
      <w:r w:rsidRPr="00BE570A">
        <w:rPr>
          <w:rStyle w:val="StyleUnderline"/>
        </w:rPr>
        <w:t>including substantive canons that establish default rules for situations where Congress has not spoken clearly. Not only do those principles provide a stable set of ground rules that let Congress and the public predict how a court will interpret the law</w:t>
      </w:r>
      <w:r w:rsidRPr="00BE570A">
        <w:rPr>
          <w:sz w:val="16"/>
        </w:rPr>
        <w:t xml:space="preserve">; as explained below, </w:t>
      </w:r>
      <w:r w:rsidRPr="00BE570A">
        <w:rPr>
          <w:rStyle w:val="StyleUnderline"/>
        </w:rPr>
        <w:t>they also serve important constitutional and democratic values, the protection of which is better entrusted to courts than to administrative agencies.</w:t>
      </w:r>
    </w:p>
    <w:p w14:paraId="5ACB046B" w14:textId="6358E1BC" w:rsidR="0047362D" w:rsidRDefault="0047362D" w:rsidP="0047362D">
      <w:pPr>
        <w:pStyle w:val="Heading4"/>
      </w:pPr>
      <w:r w:rsidRPr="0047362D">
        <w:rPr>
          <w:i/>
          <w:iCs w:val="0"/>
        </w:rPr>
        <w:t>Chevron</w:t>
      </w:r>
      <w:r>
        <w:t xml:space="preserve"> is </w:t>
      </w:r>
      <w:r w:rsidRPr="0047362D">
        <w:rPr>
          <w:u w:val="single"/>
        </w:rPr>
        <w:t>biased</w:t>
      </w:r>
      <w:r>
        <w:t xml:space="preserve"> towards government parties, unconstitutional, and justifies mob justice.</w:t>
      </w:r>
    </w:p>
    <w:p w14:paraId="397562C6" w14:textId="77777777" w:rsidR="0047362D" w:rsidRPr="00EA1B68" w:rsidRDefault="0047362D" w:rsidP="0047362D">
      <w:r w:rsidRPr="005111BF">
        <w:rPr>
          <w:rStyle w:val="Style13ptBold"/>
        </w:rPr>
        <w:t>Hamburger 16</w:t>
      </w:r>
      <w:r>
        <w:t xml:space="preserve"> (Philip Hamburger, Professor of Law at the Columbia University School of Law and constitutional law scholar, The George Washington Law Review, Vol 84 No 5, "Chevron Bias," September 2016, P1249)</w:t>
      </w:r>
    </w:p>
    <w:p w14:paraId="675B20F7" w14:textId="77777777" w:rsidR="0047362D" w:rsidRPr="00D562EF" w:rsidRDefault="0047362D" w:rsidP="0047362D">
      <w:pPr>
        <w:rPr>
          <w:sz w:val="16"/>
        </w:rPr>
      </w:pPr>
      <w:r w:rsidRPr="00DE4C12">
        <w:rPr>
          <w:rStyle w:val="StyleUnderline"/>
        </w:rPr>
        <w:t>The standard question about deference to administrative interpretation focuses on the statutory authority for agencies</w:t>
      </w:r>
      <w:r w:rsidRPr="00D562EF">
        <w:rPr>
          <w:sz w:val="16"/>
        </w:rPr>
        <w:t>. To understand judicial deference, however, it is necessary to ask the constitutional questions about judges-about their office or duty to exercise independent judgment and about their systematic bias in violation of the right of due process.</w:t>
      </w:r>
    </w:p>
    <w:p w14:paraId="2E0C982C" w14:textId="77777777" w:rsidR="0047362D" w:rsidRPr="00D562EF" w:rsidRDefault="0047362D" w:rsidP="0047362D">
      <w:pPr>
        <w:rPr>
          <w:sz w:val="16"/>
        </w:rPr>
      </w:pPr>
      <w:r w:rsidRPr="00D562EF">
        <w:rPr>
          <w:sz w:val="16"/>
        </w:rPr>
        <w:t xml:space="preserve">Of course, </w:t>
      </w:r>
      <w:r w:rsidRPr="00DE4C12">
        <w:rPr>
          <w:rStyle w:val="StyleUnderline"/>
        </w:rPr>
        <w:t>if judges cannot defer to an agency's interpretation of its authorizing statute, they will face difficult questions about what to do</w:t>
      </w:r>
      <w:r w:rsidRPr="00D562EF">
        <w:rPr>
          <w:sz w:val="16"/>
        </w:rPr>
        <w:t xml:space="preserve"> with agency interpretations. </w:t>
      </w:r>
      <w:r w:rsidRPr="00DE4C12">
        <w:rPr>
          <w:rStyle w:val="StyleUnderline"/>
        </w:rPr>
        <w:t>These difficult statutory questions</w:t>
      </w:r>
      <w:r w:rsidRPr="00D562EF">
        <w:rPr>
          <w:sz w:val="16"/>
        </w:rPr>
        <w:t xml:space="preserve">, however, </w:t>
      </w:r>
      <w:r w:rsidRPr="00DE4C12">
        <w:rPr>
          <w:rStyle w:val="StyleUnderline"/>
        </w:rPr>
        <w:t>are no excuse for failing to confront the less difficult constitutional questions raised</w:t>
      </w:r>
      <w:r w:rsidRPr="00D562EF">
        <w:rPr>
          <w:sz w:val="16"/>
        </w:rPr>
        <w:t xml:space="preserve"> here</w:t>
      </w:r>
    </w:p>
    <w:p w14:paraId="34368DCD" w14:textId="77777777" w:rsidR="0047362D" w:rsidRPr="00DE4C12" w:rsidRDefault="0047362D" w:rsidP="0047362D">
      <w:pPr>
        <w:rPr>
          <w:rStyle w:val="StyleUnderline"/>
        </w:rPr>
      </w:pPr>
      <w:r w:rsidRPr="00D562EF">
        <w:rPr>
          <w:sz w:val="16"/>
        </w:rPr>
        <w:t xml:space="preserve">First, whatever the statutory extent of an agency's power to interpret for its purposes, </w:t>
      </w:r>
      <w:r w:rsidRPr="00DE4C12">
        <w:rPr>
          <w:rStyle w:val="StyleUnderline"/>
        </w:rPr>
        <w:t>judges have the constitutional duty to interpret for purposes of deciding their cases</w:t>
      </w:r>
      <w:r w:rsidRPr="00D562EF">
        <w:rPr>
          <w:sz w:val="16"/>
        </w:rPr>
        <w:t>. The Constitution vests judicial power in the courts, and it staffs the courts with judges-that is, with persons who have an office of independent judgment. J</w:t>
      </w:r>
      <w:r w:rsidRPr="00DE4C12">
        <w:rPr>
          <w:rStyle w:val="StyleUnderline"/>
        </w:rPr>
        <w:t>udges</w:t>
      </w:r>
      <w:r w:rsidRPr="00D562EF">
        <w:rPr>
          <w:sz w:val="16"/>
        </w:rPr>
        <w:t xml:space="preserve">, in adjudicating their cases, thus </w:t>
      </w:r>
      <w:r w:rsidRPr="00DE4C12">
        <w:rPr>
          <w:rStyle w:val="StyleUnderline"/>
        </w:rPr>
        <w:t>have the duty to exercise their own independent judgment about what the law is, including their own independent judgment about the interpretation of the law.</w:t>
      </w:r>
      <w:r w:rsidRPr="00D562EF">
        <w:rPr>
          <w:sz w:val="16"/>
        </w:rPr>
        <w:t xml:space="preserve"> Accordingly</w:t>
      </w:r>
      <w:r w:rsidRPr="00DE4C12">
        <w:rPr>
          <w:rStyle w:val="StyleUnderline"/>
        </w:rPr>
        <w:t xml:space="preserve">, when judges defer to agency judgments about statutory interpretation, the judges </w:t>
      </w:r>
      <w:r w:rsidRPr="00DE4C12">
        <w:rPr>
          <w:rStyle w:val="Emphasis"/>
        </w:rPr>
        <w:t>abandon their very office or duty as judges</w:t>
      </w:r>
      <w:r w:rsidRPr="00D562EF">
        <w:rPr>
          <w:sz w:val="16"/>
        </w:rPr>
        <w:t xml:space="preserve">. </w:t>
      </w:r>
      <w:r w:rsidRPr="00DE4C12">
        <w:rPr>
          <w:rStyle w:val="StyleUnderline"/>
        </w:rPr>
        <w:t>They make a mockery of their office, reducing it from a posture of independent judgment to a posture of bowing to power.</w:t>
      </w:r>
    </w:p>
    <w:p w14:paraId="2BEAC5B2" w14:textId="77777777" w:rsidR="0047362D" w:rsidRPr="00D562EF" w:rsidRDefault="0047362D" w:rsidP="0047362D">
      <w:pPr>
        <w:rPr>
          <w:sz w:val="16"/>
        </w:rPr>
      </w:pPr>
      <w:r w:rsidRPr="00D562EF">
        <w:rPr>
          <w:sz w:val="16"/>
        </w:rPr>
        <w:t xml:space="preserve">Second, </w:t>
      </w:r>
      <w:r w:rsidRPr="00DE4C12">
        <w:rPr>
          <w:rStyle w:val="StyleUnderline"/>
        </w:rPr>
        <w:t>the Constitution prohibits judges from denying the due process of law</w:t>
      </w:r>
      <w:r w:rsidRPr="00D562EF">
        <w:rPr>
          <w:sz w:val="16"/>
        </w:rPr>
        <w:t xml:space="preserve">, and </w:t>
      </w:r>
      <w:r w:rsidRPr="00DE4C12">
        <w:rPr>
          <w:rStyle w:val="StyleUnderline"/>
        </w:rPr>
        <w:t>judges therefore cannot engage in systematic bias</w:t>
      </w:r>
      <w:r w:rsidRPr="00D562EF">
        <w:rPr>
          <w:sz w:val="16"/>
        </w:rPr>
        <w:t xml:space="preserve"> in favor of the government. Nonetheless</w:t>
      </w:r>
      <w:r w:rsidRPr="00DE4C12">
        <w:rPr>
          <w:rStyle w:val="StyleUnderline"/>
        </w:rPr>
        <w:t>, judges defer to administrative interpretation, thus often engaging in systematic bias for the government and against other parties</w:t>
      </w:r>
      <w:r w:rsidRPr="00D562EF">
        <w:rPr>
          <w:sz w:val="16"/>
        </w:rPr>
        <w:t>.</w:t>
      </w:r>
    </w:p>
    <w:p w14:paraId="68AEF76E" w14:textId="77777777" w:rsidR="0047362D" w:rsidRPr="00EA1B68" w:rsidRDefault="0047362D" w:rsidP="0047362D">
      <w:pPr>
        <w:rPr>
          <w:rStyle w:val="StyleUnderline"/>
        </w:rPr>
      </w:pPr>
      <w:r w:rsidRPr="00DE4C12">
        <w:rPr>
          <w:rStyle w:val="StyleUnderline"/>
        </w:rPr>
        <w:t>In cases such as Chevron, the judges candidly declare their abandonment of judicial office and their embrace of systematic bias</w:t>
      </w:r>
      <w:r w:rsidRPr="00D562EF">
        <w:rPr>
          <w:sz w:val="16"/>
        </w:rPr>
        <w:t>. What are Americans to think when their judges openly declare such things</w:t>
      </w:r>
      <w:r w:rsidRPr="00EA1B68">
        <w:rPr>
          <w:rStyle w:val="StyleUnderline"/>
        </w:rPr>
        <w:t>? When the judges brazenly tell Americans that they cannot get unbiased independent judgment in the courts, is it surprising that Americans become suspicious of the judges and the rest of the government? And if Americans, in their disagreements with the government, cannot find unbiased independent judgment in the courts, will it be surprising if they seek justice in other ways?</w:t>
      </w:r>
    </w:p>
    <w:p w14:paraId="1B5738E4" w14:textId="77777777" w:rsidR="0047362D" w:rsidRPr="00D562EF" w:rsidRDefault="0047362D" w:rsidP="0047362D">
      <w:pPr>
        <w:rPr>
          <w:sz w:val="16"/>
        </w:rPr>
      </w:pPr>
      <w:r w:rsidRPr="00D562EF">
        <w:rPr>
          <w:sz w:val="16"/>
        </w:rPr>
        <w:t xml:space="preserve">The </w:t>
      </w:r>
      <w:r w:rsidRPr="00EA1B68">
        <w:rPr>
          <w:rStyle w:val="StyleUnderline"/>
        </w:rPr>
        <w:t>judges thus are playing a dangerous game</w:t>
      </w:r>
      <w:r w:rsidRPr="00D562EF">
        <w:rPr>
          <w:sz w:val="16"/>
        </w:rPr>
        <w:t xml:space="preserve">. The availability of </w:t>
      </w:r>
      <w:r w:rsidRPr="00EA1B68">
        <w:rPr>
          <w:rStyle w:val="StyleUnderline"/>
        </w:rPr>
        <w:t>judges who exercise their own independent and unbiased judgment, without deference, is the foundation of American government</w:t>
      </w:r>
      <w:r w:rsidRPr="00D562EF">
        <w:rPr>
          <w:sz w:val="16"/>
        </w:rPr>
        <w:t xml:space="preserve">, in which </w:t>
      </w:r>
      <w:r w:rsidRPr="00EA1B68">
        <w:rPr>
          <w:rStyle w:val="StyleUnderline"/>
        </w:rPr>
        <w:t>conflict is resolved by law rather than force</w:t>
      </w:r>
      <w:r w:rsidRPr="00D562EF">
        <w:rPr>
          <w:sz w:val="16"/>
        </w:rPr>
        <w:t xml:space="preserve">, and in which conflicts about the law are decided by the judges. </w:t>
      </w:r>
      <w:r w:rsidRPr="00EA1B68">
        <w:rPr>
          <w:rStyle w:val="StyleUnderline"/>
        </w:rPr>
        <w:t>Without</w:t>
      </w:r>
      <w:r w:rsidRPr="00D562EF">
        <w:rPr>
          <w:sz w:val="16"/>
        </w:rPr>
        <w:t xml:space="preserve"> what Locke called "</w:t>
      </w:r>
      <w:r w:rsidRPr="00EA1B68">
        <w:rPr>
          <w:rStyle w:val="StyleUnderline"/>
        </w:rPr>
        <w:t xml:space="preserve">indifferent judges," the </w:t>
      </w:r>
      <w:r w:rsidRPr="00EA1B68">
        <w:rPr>
          <w:rStyle w:val="Emphasis"/>
        </w:rPr>
        <w:t>people</w:t>
      </w:r>
      <w:r w:rsidRPr="00EA1B68">
        <w:rPr>
          <w:rStyle w:val="StyleUnderline"/>
        </w:rPr>
        <w:t xml:space="preserve"> are apt to become their own judges-that is, they eventually </w:t>
      </w:r>
      <w:r w:rsidRPr="00EA1B68">
        <w:rPr>
          <w:rStyle w:val="Emphasis"/>
        </w:rPr>
        <w:t>will be tempted to take judgment into their own hands</w:t>
      </w:r>
      <w:r w:rsidRPr="00EA1B68">
        <w:rPr>
          <w:rStyle w:val="StyleUnderline"/>
        </w:rPr>
        <w:t>.</w:t>
      </w:r>
      <w:r w:rsidRPr="00D562EF">
        <w:rPr>
          <w:sz w:val="16"/>
        </w:rPr>
        <w:t>19 And who then will be in a position to say they are unjustified? Certainly not the judges.</w:t>
      </w:r>
    </w:p>
    <w:p w14:paraId="7C2E34F4" w14:textId="77777777" w:rsidR="0047362D" w:rsidRPr="00D562EF" w:rsidRDefault="0047362D" w:rsidP="0047362D">
      <w:pPr>
        <w:rPr>
          <w:sz w:val="16"/>
        </w:rPr>
      </w:pPr>
      <w:r w:rsidRPr="00D562EF">
        <w:rPr>
          <w:sz w:val="16"/>
        </w:rPr>
        <w:t xml:space="preserve">Although </w:t>
      </w:r>
      <w:r w:rsidRPr="00EA1B68">
        <w:rPr>
          <w:rStyle w:val="StyleUnderline"/>
        </w:rPr>
        <w:t>deference to administrative interpretation is only part of the judiciary's involvement with administrative power, it illustrates a broader problem with such involvement-that it corrupts the judiciary</w:t>
      </w:r>
      <w:r w:rsidRPr="00D562EF">
        <w:rPr>
          <w:sz w:val="16"/>
        </w:rPr>
        <w:t xml:space="preserve">. Judges during the past century have in myriad ways participated in administrative power, to ensure both its efficiency and its legitimacy, and this has had consequences not only for administrative power, but also for the judges. </w:t>
      </w:r>
      <w:r w:rsidRPr="00EA1B68">
        <w:rPr>
          <w:rStyle w:val="StyleUnderline"/>
        </w:rPr>
        <w:t>Rather than worry about maintaining administrative power, judges need to worry about their own role; in this instance, about the unlawfulness of their deference and the consequences for them and the entire government</w:t>
      </w:r>
      <w:r w:rsidRPr="00D562EF">
        <w:rPr>
          <w:sz w:val="16"/>
        </w:rPr>
        <w:t>.</w:t>
      </w:r>
    </w:p>
    <w:p w14:paraId="2A109FB1" w14:textId="3D735416" w:rsidR="0047362D" w:rsidRPr="0095149D" w:rsidRDefault="0047362D" w:rsidP="0095149D">
      <w:pPr>
        <w:rPr>
          <w:u w:val="single"/>
        </w:rPr>
      </w:pPr>
      <w:r w:rsidRPr="00D562EF">
        <w:rPr>
          <w:sz w:val="16"/>
        </w:rPr>
        <w:t xml:space="preserve">In the end, </w:t>
      </w:r>
      <w:r w:rsidRPr="00EA1B68">
        <w:rPr>
          <w:rStyle w:val="StyleUnderline"/>
        </w:rPr>
        <w:t>it must be hoped that the judges themselves will solve the dangers of deference</w:t>
      </w:r>
      <w:r w:rsidRPr="00D562EF">
        <w:rPr>
          <w:sz w:val="16"/>
        </w:rPr>
        <w:t xml:space="preserve">. Although </w:t>
      </w:r>
      <w:r w:rsidRPr="00EA1B68">
        <w:rPr>
          <w:rStyle w:val="StyleUnderline"/>
        </w:rPr>
        <w:t>they undoubtedly will continue to enjoy the robes of their office, they need to decide whether they will fill those robes</w:t>
      </w:r>
      <w:r w:rsidRPr="00D562EF">
        <w:rPr>
          <w:sz w:val="16"/>
        </w:rPr>
        <w:t xml:space="preserve">. Under the Constitution, </w:t>
      </w:r>
      <w:r w:rsidRPr="00EA1B68">
        <w:rPr>
          <w:rStyle w:val="StyleUnderline"/>
        </w:rPr>
        <w:t>they must exercise an office of independent judgment and must avoid systematic bias in violation of due process, and if they fail to meet these most basic requirements, they will have little right to public respect or even self-respect.</w:t>
      </w:r>
    </w:p>
    <w:p w14:paraId="744D7CDC" w14:textId="748A1B83" w:rsidR="00F17B9B" w:rsidRDefault="00F17B9B" w:rsidP="006A4DFB">
      <w:pPr>
        <w:pStyle w:val="Heading3"/>
      </w:pPr>
      <w:r>
        <w:t xml:space="preserve">2AC – </w:t>
      </w:r>
      <w:r w:rsidR="00D10287">
        <w:t xml:space="preserve">IL – AT: </w:t>
      </w:r>
      <w:r>
        <w:t>Emerging Tech</w:t>
      </w:r>
    </w:p>
    <w:p w14:paraId="0FF76AF1" w14:textId="63DE9933" w:rsidR="00F17B9B" w:rsidRPr="00F17B9B" w:rsidRDefault="00F17B9B" w:rsidP="00F17B9B">
      <w:pPr>
        <w:pStyle w:val="Heading4"/>
      </w:pPr>
      <w:r>
        <w:t xml:space="preserve">Deference </w:t>
      </w:r>
      <w:r>
        <w:rPr>
          <w:u w:val="single"/>
        </w:rPr>
        <w:t>fails</w:t>
      </w:r>
      <w:r>
        <w:t xml:space="preserve"> at emerging tech.</w:t>
      </w:r>
    </w:p>
    <w:p w14:paraId="21CE4FCF" w14:textId="77777777" w:rsidR="00F17B9B" w:rsidRDefault="00F17B9B" w:rsidP="00F17B9B">
      <w:r w:rsidRPr="00854D5D">
        <w:rPr>
          <w:rStyle w:val="Heading4Char"/>
        </w:rPr>
        <w:t>Hagemann 18</w:t>
      </w:r>
      <w:r>
        <w:t xml:space="preserve"> – (Ryan Hagemann is a Senior Fellow at the Niskanen Center, graduated from Boston University with a B.A. in international relations, foreign policy, and security studies and holds a Master's of Public Policy in science and technology policy from George Mason University; “New Rules for New Frontiers: Regulating Emerging Technologies in an Era of Soft Law”; Hein Online; D.A. July 4</w:t>
      </w:r>
      <w:r w:rsidRPr="00854D5D">
        <w:rPr>
          <w:vertAlign w:val="superscript"/>
        </w:rPr>
        <w:t>th</w:t>
      </w:r>
      <w:r>
        <w:t xml:space="preserve"> 2020, [Published 2018];</w:t>
      </w:r>
      <w:r w:rsidRPr="00854D5D">
        <w:t xml:space="preserve"> </w:t>
      </w:r>
      <w:r>
        <w:t xml:space="preserve">Washburn Law Journal, Vol. 57, pg. 245-247, Accessed via UMich Libraries; </w:t>
      </w:r>
      <w:hyperlink r:id="rId194" w:history="1">
        <w:r>
          <w:rPr>
            <w:rStyle w:val="Hyperlink"/>
          </w:rPr>
          <w:t>https://heinonline.org/HOL/LandingPage?handle=hein.journals/wasbur57&amp;div=13&amp;id=&amp;page=</w:t>
        </w:r>
      </w:hyperlink>
      <w:r>
        <w:t>) //LFS—JCM</w:t>
      </w:r>
    </w:p>
    <w:p w14:paraId="02D86AC8" w14:textId="77777777" w:rsidR="00F17B9B" w:rsidRPr="00FF33F6" w:rsidRDefault="00F17B9B" w:rsidP="00F17B9B">
      <w:pPr>
        <w:rPr>
          <w:sz w:val="16"/>
        </w:rPr>
      </w:pPr>
      <w:r w:rsidRPr="00FF33F6">
        <w:rPr>
          <w:rStyle w:val="StyleUnderline"/>
        </w:rPr>
        <w:t xml:space="preserve">Regulatory </w:t>
      </w:r>
      <w:r w:rsidRPr="00FF33F6">
        <w:rPr>
          <w:rStyle w:val="Emphasis"/>
        </w:rPr>
        <w:t>certainty is key for</w:t>
      </w:r>
      <w:r w:rsidRPr="00FF33F6">
        <w:rPr>
          <w:sz w:val="16"/>
        </w:rPr>
        <w:t xml:space="preserve"> commercial </w:t>
      </w:r>
      <w:r w:rsidRPr="00FF33F6">
        <w:rPr>
          <w:rStyle w:val="Emphasis"/>
        </w:rPr>
        <w:t>deployment</w:t>
      </w:r>
      <w:r w:rsidRPr="00FF33F6">
        <w:rPr>
          <w:rStyle w:val="StyleUnderline"/>
        </w:rPr>
        <w:t xml:space="preserve"> of</w:t>
      </w:r>
      <w:r w:rsidRPr="00FF33F6">
        <w:rPr>
          <w:sz w:val="16"/>
        </w:rPr>
        <w:t xml:space="preserve"> any </w:t>
      </w:r>
      <w:r w:rsidRPr="00FF33F6">
        <w:rPr>
          <w:rStyle w:val="Emphasis"/>
        </w:rPr>
        <w:t>new tech</w:t>
      </w:r>
      <w:r w:rsidRPr="00FF33F6">
        <w:rPr>
          <w:rStyle w:val="StyleUnderline"/>
        </w:rPr>
        <w:t>nology</w:t>
      </w:r>
      <w:r w:rsidRPr="00FF33F6">
        <w:rPr>
          <w:sz w:val="16"/>
        </w:rPr>
        <w:t xml:space="preserve">. As Robert Hoerr notes: </w:t>
      </w:r>
      <w:r w:rsidRPr="00FF33F6">
        <w:rPr>
          <w:rStyle w:val="StyleUnderline"/>
        </w:rPr>
        <w:t xml:space="preserve">"[u]ncertainty in the regulatory environment has the potential to </w:t>
      </w:r>
      <w:r w:rsidRPr="00FF33F6">
        <w:rPr>
          <w:rStyle w:val="Emphasis"/>
        </w:rPr>
        <w:t>increase</w:t>
      </w:r>
      <w:r w:rsidRPr="00FF33F6">
        <w:rPr>
          <w:sz w:val="16"/>
        </w:rPr>
        <w:t xml:space="preserve"> both the </w:t>
      </w:r>
      <w:r w:rsidRPr="00FF33F6">
        <w:rPr>
          <w:rStyle w:val="Emphasis"/>
        </w:rPr>
        <w:t>costs</w:t>
      </w:r>
      <w:r w:rsidRPr="00FF33F6">
        <w:rPr>
          <w:rStyle w:val="StyleUnderline"/>
        </w:rPr>
        <w:t xml:space="preserve"> and time needed for development</w:t>
      </w:r>
      <w:r w:rsidRPr="00FF33F6">
        <w:rPr>
          <w:sz w:val="16"/>
        </w:rPr>
        <w:t xml:space="preserve">, thereby </w:t>
      </w:r>
      <w:r w:rsidRPr="00FF33F6">
        <w:rPr>
          <w:rStyle w:val="StyleUnderline"/>
        </w:rPr>
        <w:t>making</w:t>
      </w:r>
      <w:r w:rsidRPr="00FF33F6">
        <w:rPr>
          <w:sz w:val="16"/>
        </w:rPr>
        <w:t xml:space="preserve"> the </w:t>
      </w:r>
      <w:r w:rsidRPr="00FF33F6">
        <w:rPr>
          <w:rStyle w:val="Emphasis"/>
        </w:rPr>
        <w:t>commercialization</w:t>
      </w:r>
      <w:r w:rsidRPr="00FF33F6">
        <w:rPr>
          <w:sz w:val="16"/>
        </w:rPr>
        <w:t xml:space="preserve"> process </w:t>
      </w:r>
      <w:r w:rsidRPr="00FF33F6">
        <w:rPr>
          <w:rStyle w:val="Emphasis"/>
        </w:rPr>
        <w:t>unpredictable</w:t>
      </w:r>
      <w:r w:rsidRPr="00FF33F6">
        <w:rPr>
          <w:rStyle w:val="StyleUnderline"/>
        </w:rPr>
        <w:t xml:space="preserve"> and</w:t>
      </w:r>
      <w:r w:rsidRPr="00FF33F6">
        <w:rPr>
          <w:sz w:val="16"/>
        </w:rPr>
        <w:t xml:space="preserve">, in the worst case, </w:t>
      </w:r>
      <w:r w:rsidRPr="00FF33F6">
        <w:rPr>
          <w:rStyle w:val="Emphasis"/>
        </w:rPr>
        <w:t>incapable</w:t>
      </w:r>
      <w:r w:rsidRPr="00FF33F6">
        <w:rPr>
          <w:rStyle w:val="StyleUnderline"/>
        </w:rPr>
        <w:t xml:space="preserve"> of being </w:t>
      </w:r>
      <w:r w:rsidRPr="00FF33F6">
        <w:rPr>
          <w:rStyle w:val="Emphasis"/>
        </w:rPr>
        <w:t>financed</w:t>
      </w:r>
      <w:r w:rsidRPr="00FF33F6">
        <w:rPr>
          <w:sz w:val="16"/>
        </w:rPr>
        <w:t>." 45</w:t>
      </w:r>
    </w:p>
    <w:p w14:paraId="43851F12" w14:textId="77777777" w:rsidR="00F17B9B" w:rsidRPr="00FF33F6" w:rsidRDefault="00F17B9B" w:rsidP="00F17B9B">
      <w:pPr>
        <w:rPr>
          <w:sz w:val="16"/>
        </w:rPr>
      </w:pPr>
      <w:r w:rsidRPr="00FF33F6">
        <w:rPr>
          <w:sz w:val="16"/>
        </w:rPr>
        <w:t xml:space="preserve">Of course, </w:t>
      </w:r>
      <w:r w:rsidRPr="00FF33F6">
        <w:rPr>
          <w:rStyle w:val="StyleUnderline"/>
        </w:rPr>
        <w:t>not all certainty is</w:t>
      </w:r>
      <w:r w:rsidRPr="00FF33F6">
        <w:rPr>
          <w:sz w:val="16"/>
        </w:rPr>
        <w:t xml:space="preserve"> created </w:t>
      </w:r>
      <w:r w:rsidRPr="00FF33F6">
        <w:rPr>
          <w:rStyle w:val="StyleUnderline"/>
        </w:rPr>
        <w:t>equal</w:t>
      </w:r>
      <w:r w:rsidRPr="00FF33F6">
        <w:rPr>
          <w:sz w:val="16"/>
        </w:rPr>
        <w:t xml:space="preserve">. </w:t>
      </w:r>
      <w:r w:rsidRPr="00FF33F6">
        <w:rPr>
          <w:rStyle w:val="StyleUnderline"/>
        </w:rPr>
        <w:t>A rule that significantly constrains or</w:t>
      </w:r>
      <w:r w:rsidRPr="00FF33F6">
        <w:rPr>
          <w:sz w:val="16"/>
        </w:rPr>
        <w:t xml:space="preserve"> preemptively </w:t>
      </w:r>
      <w:r w:rsidRPr="00FF33F6">
        <w:rPr>
          <w:rStyle w:val="StyleUnderline"/>
        </w:rPr>
        <w:t>prohibits</w:t>
      </w:r>
      <w:r w:rsidRPr="00FF33F6">
        <w:rPr>
          <w:sz w:val="16"/>
        </w:rPr>
        <w:t xml:space="preserve"> the </w:t>
      </w:r>
      <w:r w:rsidRPr="00FF33F6">
        <w:rPr>
          <w:rStyle w:val="StyleUnderline"/>
        </w:rPr>
        <w:t>deployment of a new technology</w:t>
      </w:r>
      <w:r w:rsidRPr="00FF33F6">
        <w:rPr>
          <w:sz w:val="16"/>
        </w:rPr>
        <w:t xml:space="preserve"> establishes certainty, but may </w:t>
      </w:r>
      <w:r w:rsidRPr="00FF33F6">
        <w:rPr>
          <w:rStyle w:val="StyleUnderline"/>
        </w:rPr>
        <w:t>very often fail to account for beneficial tradeoffs</w:t>
      </w:r>
      <w:r w:rsidRPr="00FF33F6">
        <w:rPr>
          <w:sz w:val="16"/>
        </w:rPr>
        <w:t>. By contrast, given the existence of a regulatory apparatus intended to serve the public interest, a total lack of rules governing a new technology doesn't create any certainty for innovators and entrepreneurs. 46</w:t>
      </w:r>
    </w:p>
    <w:p w14:paraId="6505DA05" w14:textId="77777777" w:rsidR="00F17B9B" w:rsidRPr="00FF33F6" w:rsidRDefault="00F17B9B" w:rsidP="00F17B9B">
      <w:pPr>
        <w:rPr>
          <w:sz w:val="16"/>
        </w:rPr>
      </w:pPr>
      <w:r w:rsidRPr="00FF33F6">
        <w:rPr>
          <w:sz w:val="16"/>
        </w:rPr>
        <w:t xml:space="preserve">Pervading </w:t>
      </w:r>
      <w:r w:rsidRPr="00FF33F6">
        <w:rPr>
          <w:rStyle w:val="StyleUnderline"/>
        </w:rPr>
        <w:t>uncertainty is</w:t>
      </w:r>
      <w:r w:rsidRPr="00FF33F6">
        <w:rPr>
          <w:sz w:val="16"/>
        </w:rPr>
        <w:t xml:space="preserve"> further </w:t>
      </w:r>
      <w:r w:rsidRPr="00FF33F6">
        <w:rPr>
          <w:rStyle w:val="StyleUnderline"/>
        </w:rPr>
        <w:t>compounded by the nature of</w:t>
      </w:r>
      <w:r w:rsidRPr="00FF33F6">
        <w:rPr>
          <w:sz w:val="16"/>
        </w:rPr>
        <w:t xml:space="preserve"> many modern </w:t>
      </w:r>
      <w:r w:rsidRPr="00FF33F6">
        <w:rPr>
          <w:rStyle w:val="StyleUnderline"/>
        </w:rPr>
        <w:t>digital technologies</w:t>
      </w:r>
      <w:r w:rsidRPr="00FF33F6">
        <w:rPr>
          <w:sz w:val="16"/>
        </w:rPr>
        <w:t xml:space="preserve"> potentially </w:t>
      </w:r>
      <w:r w:rsidRPr="00FF33F6">
        <w:rPr>
          <w:rStyle w:val="StyleUnderline"/>
        </w:rPr>
        <w:t>falling under the authority of any</w:t>
      </w:r>
      <w:r w:rsidRPr="00FF33F6">
        <w:rPr>
          <w:sz w:val="16"/>
        </w:rPr>
        <w:t xml:space="preserve"> number of </w:t>
      </w:r>
      <w:r w:rsidRPr="00FF33F6">
        <w:rPr>
          <w:rStyle w:val="StyleUnderline"/>
        </w:rPr>
        <w:t>regulatory agencie</w:t>
      </w:r>
      <w:r w:rsidRPr="00FF33F6">
        <w:rPr>
          <w:sz w:val="16"/>
        </w:rPr>
        <w:t xml:space="preserve">s. Regulatory </w:t>
      </w:r>
      <w:r w:rsidRPr="00FF33F6">
        <w:rPr>
          <w:rStyle w:val="StyleUnderline"/>
        </w:rPr>
        <w:t>uncertainty for such technologies can have a severe impact on commercial investment and development</w:t>
      </w:r>
      <w:r w:rsidRPr="00FF33F6">
        <w:rPr>
          <w:sz w:val="16"/>
        </w:rPr>
        <w:t xml:space="preserve">, given that more than </w:t>
      </w:r>
      <w:r w:rsidRPr="00FF33F6">
        <w:rPr>
          <w:rStyle w:val="Emphasis"/>
        </w:rPr>
        <w:t>one agency could</w:t>
      </w:r>
      <w:r w:rsidRPr="00FF33F6">
        <w:rPr>
          <w:sz w:val="16"/>
        </w:rPr>
        <w:t xml:space="preserve"> conceivably </w:t>
      </w:r>
      <w:r w:rsidRPr="00FF33F6">
        <w:rPr>
          <w:rStyle w:val="Emphasis"/>
        </w:rPr>
        <w:t>claim authority</w:t>
      </w:r>
      <w:r w:rsidRPr="00FF33F6">
        <w:rPr>
          <w:sz w:val="16"/>
        </w:rPr>
        <w:t xml:space="preserve"> </w:t>
      </w:r>
      <w:r w:rsidRPr="00FF33F6">
        <w:rPr>
          <w:rStyle w:val="StyleUnderline"/>
        </w:rPr>
        <w:t>over a potential technology</w:t>
      </w:r>
      <w:r w:rsidRPr="00FF33F6">
        <w:rPr>
          <w:sz w:val="16"/>
        </w:rPr>
        <w:t xml:space="preserve">. This problem of </w:t>
      </w:r>
      <w:r w:rsidRPr="00FF33F6">
        <w:rPr>
          <w:rStyle w:val="Emphasis"/>
        </w:rPr>
        <w:t>"two parents, two rules</w:t>
      </w:r>
      <w:r w:rsidRPr="00FF33F6">
        <w:rPr>
          <w:sz w:val="16"/>
        </w:rPr>
        <w:t xml:space="preserve">" 47 </w:t>
      </w:r>
      <w:r w:rsidRPr="00FF33F6">
        <w:rPr>
          <w:rStyle w:val="StyleUnderline"/>
        </w:rPr>
        <w:t>is</w:t>
      </w:r>
      <w:r w:rsidRPr="00FF33F6">
        <w:rPr>
          <w:sz w:val="16"/>
        </w:rPr>
        <w:t xml:space="preserve"> further </w:t>
      </w:r>
      <w:r w:rsidRPr="00FF33F6">
        <w:rPr>
          <w:rStyle w:val="StyleUnderline"/>
        </w:rPr>
        <w:t xml:space="preserve">exacerbated by </w:t>
      </w:r>
      <w:r w:rsidRPr="00FF33F6">
        <w:rPr>
          <w:rStyle w:val="Emphasis"/>
        </w:rPr>
        <w:t>competing scopes of authority</w:t>
      </w:r>
      <w:r w:rsidRPr="00FF33F6">
        <w:rPr>
          <w:sz w:val="16"/>
        </w:rPr>
        <w:t xml:space="preserve">, </w:t>
      </w:r>
      <w:r w:rsidRPr="00FF33F6">
        <w:rPr>
          <w:rStyle w:val="StyleUnderline"/>
        </w:rPr>
        <w:t xml:space="preserve">as well as different </w:t>
      </w:r>
      <w:r w:rsidRPr="00FF33F6">
        <w:rPr>
          <w:rStyle w:val="Emphasis"/>
        </w:rPr>
        <w:t>institutional cultures</w:t>
      </w:r>
      <w:r w:rsidRPr="00FF33F6">
        <w:rPr>
          <w:sz w:val="16"/>
        </w:rPr>
        <w:t xml:space="preserve"> that are more or less averse to regulating high-risk innovations. </w:t>
      </w:r>
      <w:r w:rsidRPr="00FF33F6">
        <w:rPr>
          <w:rStyle w:val="StyleUnderline"/>
        </w:rPr>
        <w:t>If regulators express an affirmative desire to regulate</w:t>
      </w:r>
      <w:r w:rsidRPr="00FF33F6">
        <w:rPr>
          <w:sz w:val="16"/>
        </w:rPr>
        <w:t xml:space="preserve"> a particular technology, </w:t>
      </w:r>
      <w:r w:rsidRPr="00FF33F6">
        <w:rPr>
          <w:rStyle w:val="StyleUnderline"/>
        </w:rPr>
        <w:t>they are inevitably confronted with</w:t>
      </w:r>
      <w:r w:rsidRPr="00FF33F6">
        <w:rPr>
          <w:sz w:val="16"/>
        </w:rPr>
        <w:t xml:space="preserve"> the political realities of </w:t>
      </w:r>
      <w:r w:rsidRPr="00FF33F6">
        <w:rPr>
          <w:rStyle w:val="Emphasis"/>
        </w:rPr>
        <w:t>overlapping jurisdictions</w:t>
      </w:r>
      <w:r w:rsidRPr="00FF33F6">
        <w:rPr>
          <w:sz w:val="16"/>
        </w:rPr>
        <w:t xml:space="preserve">, further </w:t>
      </w:r>
      <w:r w:rsidRPr="00FF33F6">
        <w:rPr>
          <w:rStyle w:val="StyleUnderline"/>
        </w:rPr>
        <w:t>complicating the</w:t>
      </w:r>
      <w:r w:rsidRPr="00FF33F6">
        <w:rPr>
          <w:sz w:val="16"/>
        </w:rPr>
        <w:t xml:space="preserve"> already </w:t>
      </w:r>
      <w:r w:rsidRPr="00FF33F6">
        <w:rPr>
          <w:rStyle w:val="StyleUnderline"/>
        </w:rPr>
        <w:t>difficult task of</w:t>
      </w:r>
      <w:r w:rsidRPr="00FF33F6">
        <w:rPr>
          <w:sz w:val="16"/>
        </w:rPr>
        <w:t xml:space="preserve"> </w:t>
      </w:r>
      <w:r w:rsidRPr="00FF33F6">
        <w:rPr>
          <w:rStyle w:val="Emphasis"/>
        </w:rPr>
        <w:t>governance and oversight</w:t>
      </w:r>
      <w:r w:rsidRPr="00FF33F6">
        <w:rPr>
          <w:sz w:val="16"/>
        </w:rPr>
        <w:t>.</w:t>
      </w:r>
    </w:p>
    <w:p w14:paraId="2C89D28D" w14:textId="77777777" w:rsidR="00F17B9B" w:rsidRPr="00400DD4" w:rsidRDefault="00F17B9B" w:rsidP="00F17B9B">
      <w:pPr>
        <w:rPr>
          <w:sz w:val="16"/>
        </w:rPr>
      </w:pPr>
      <w:r w:rsidRPr="00400DD4">
        <w:rPr>
          <w:sz w:val="16"/>
        </w:rPr>
        <w:t xml:space="preserve">An additional barrier to regulatory efficiency is the </w:t>
      </w:r>
      <w:r w:rsidRPr="00400DD4">
        <w:rPr>
          <w:rStyle w:val="Emphasis"/>
        </w:rPr>
        <w:t>lack of empirical frameworks</w:t>
      </w:r>
      <w:r w:rsidRPr="00400DD4">
        <w:rPr>
          <w:sz w:val="16"/>
        </w:rPr>
        <w:t xml:space="preserve"> </w:t>
      </w:r>
      <w:r w:rsidRPr="00400DD4">
        <w:rPr>
          <w:rStyle w:val="StyleUnderline"/>
        </w:rPr>
        <w:t>for appropriately assessing the costs and benefits of a particular course of action</w:t>
      </w:r>
      <w:r w:rsidRPr="00400DD4">
        <w:rPr>
          <w:sz w:val="16"/>
        </w:rPr>
        <w:t>. In theory, evidentiary-based justifications should serve as the rationale for regulatory action, focusing on known harms to consumers or public safety. In practice, this is not always the case, and despite possessing broad delegated authorities-such as the Federal Trade Commission's ("FTC") Section 5 authority over consumer protection standardS48 and the FDA's authority to define "safe and effective" drugs and biologics49-</w:t>
      </w:r>
      <w:r w:rsidRPr="00400DD4">
        <w:rPr>
          <w:rStyle w:val="StyleUnderline"/>
        </w:rPr>
        <w:t>many federal agencies fail to narrowly target their enforcement efforts based on clear taxonomies of harm</w:t>
      </w:r>
      <w:r w:rsidRPr="00400DD4">
        <w:rPr>
          <w:sz w:val="16"/>
        </w:rPr>
        <w:t>.</w:t>
      </w:r>
    </w:p>
    <w:p w14:paraId="3E5F31CE" w14:textId="77777777" w:rsidR="00F17B9B" w:rsidRPr="00400DD4" w:rsidRDefault="00F17B9B" w:rsidP="00F17B9B">
      <w:pPr>
        <w:rPr>
          <w:sz w:val="16"/>
        </w:rPr>
      </w:pPr>
      <w:r w:rsidRPr="00400DD4">
        <w:rPr>
          <w:sz w:val="16"/>
        </w:rPr>
        <w:t xml:space="preserve">While </w:t>
      </w:r>
      <w:r w:rsidRPr="00400DD4">
        <w:rPr>
          <w:rStyle w:val="StyleUnderline"/>
        </w:rPr>
        <w:t>a lack of clear rules can contribute to market uncertainty</w:t>
      </w:r>
      <w:r w:rsidRPr="00400DD4">
        <w:rPr>
          <w:sz w:val="16"/>
        </w:rPr>
        <w:t xml:space="preserve">, so can judicial review of any rules that are created. A number of </w:t>
      </w:r>
      <w:r w:rsidRPr="00400DD4">
        <w:rPr>
          <w:rStyle w:val="StyleUnderline"/>
        </w:rPr>
        <w:t xml:space="preserve">judicial </w:t>
      </w:r>
      <w:r w:rsidRPr="00400DD4">
        <w:rPr>
          <w:rStyle w:val="Emphasis"/>
        </w:rPr>
        <w:t>deference standards</w:t>
      </w:r>
      <w:r w:rsidRPr="00400DD4">
        <w:rPr>
          <w:sz w:val="16"/>
        </w:rPr>
        <w:t xml:space="preserve"> </w:t>
      </w:r>
      <w:r w:rsidRPr="00400DD4">
        <w:rPr>
          <w:rStyle w:val="StyleUnderline"/>
        </w:rPr>
        <w:t>touch on the statutory authority of agency</w:t>
      </w:r>
      <w:r w:rsidRPr="00400DD4">
        <w:rPr>
          <w:sz w:val="16"/>
        </w:rPr>
        <w:t xml:space="preserve"> action and resultant promulgated </w:t>
      </w:r>
      <w:r w:rsidRPr="00400DD4">
        <w:rPr>
          <w:rStyle w:val="StyleUnderline"/>
        </w:rPr>
        <w:t>regulations</w:t>
      </w:r>
      <w:r w:rsidRPr="00400DD4">
        <w:rPr>
          <w:sz w:val="16"/>
        </w:rPr>
        <w:t>, some of which may end up being implicated in future court challenges to soft law governance.</w:t>
      </w:r>
    </w:p>
    <w:p w14:paraId="16888F8A" w14:textId="47BE8F76" w:rsidR="00F17B9B" w:rsidRDefault="00F17B9B" w:rsidP="00F17B9B">
      <w:pPr>
        <w:rPr>
          <w:sz w:val="16"/>
        </w:rPr>
      </w:pPr>
      <w:r w:rsidRPr="00400DD4">
        <w:rPr>
          <w:sz w:val="16"/>
        </w:rPr>
        <w:t xml:space="preserve">The </w:t>
      </w:r>
      <w:r w:rsidRPr="00400DD4">
        <w:rPr>
          <w:rStyle w:val="Emphasis"/>
        </w:rPr>
        <w:t>Chevron</w:t>
      </w:r>
      <w:r w:rsidRPr="00400DD4">
        <w:rPr>
          <w:sz w:val="16"/>
        </w:rPr>
        <w:t xml:space="preserve"> standard </w:t>
      </w:r>
      <w:r w:rsidRPr="00400DD4">
        <w:rPr>
          <w:rStyle w:val="StyleUnderline"/>
        </w:rPr>
        <w:t>is among the more deferential of these standards</w:t>
      </w:r>
      <w:r w:rsidRPr="00400DD4">
        <w:rPr>
          <w:sz w:val="16"/>
        </w:rPr>
        <w:t xml:space="preserve"> because, for the most part, it defers to agencies on pure questions of statutory interpretation, provided agency interpretation is a reasonable and permissible construction of the statute. 50 Whether the congressional delegation of authority is explicit or implicit slightly changes the standards of evaluation, but by and large the courts have tended to defer to an agency's interpretation of an ambiguous statute in these contexts.51</w:t>
      </w:r>
    </w:p>
    <w:p w14:paraId="74926BD2" w14:textId="650E3E52" w:rsidR="00F17B9B" w:rsidRDefault="00F17B9B" w:rsidP="00F17B9B">
      <w:pPr>
        <w:pStyle w:val="Heading3"/>
      </w:pPr>
      <w:r>
        <w:t xml:space="preserve">1AR – </w:t>
      </w:r>
      <w:r w:rsidR="00D10287">
        <w:t xml:space="preserve">IL – AT: </w:t>
      </w:r>
      <w:r>
        <w:t>Emerging Tech</w:t>
      </w:r>
    </w:p>
    <w:p w14:paraId="26AE3F79" w14:textId="037C9A2D" w:rsidR="00F17B9B" w:rsidRDefault="00F17B9B" w:rsidP="00F17B9B">
      <w:pPr>
        <w:pStyle w:val="Heading4"/>
      </w:pPr>
      <w:r>
        <w:t>It wrecks innovation.</w:t>
      </w:r>
    </w:p>
    <w:p w14:paraId="05C5C3AD" w14:textId="77777777" w:rsidR="00F17B9B" w:rsidRDefault="00F17B9B" w:rsidP="00F17B9B">
      <w:r>
        <w:rPr>
          <w:rStyle w:val="Heading4Char"/>
        </w:rPr>
        <w:t>Skees</w:t>
      </w:r>
      <w:r w:rsidRPr="00C45B71">
        <w:rPr>
          <w:rStyle w:val="Heading4Char"/>
        </w:rPr>
        <w:t xml:space="preserve"> et al. 18</w:t>
      </w:r>
      <w:r>
        <w:t xml:space="preserve"> – (Jennifer Huddleston Skees is a Research Fellow at the Mercatus Center at George Mason University, B.A. in political science from Wellesley College and a J.D. from the University of Alabama School of Law; Ryan Hagemann is a Senior Fellow at the Niskanen Center, graduated from Boston University with a B.A. in international relations, foreign policy, and security studies and holds a Master's of Public Policy in science and technology policy from George Mason University; Adam Thierer is a Senior Research Fellow at the Mercatus Center at George Mason University, B.A. in journalism and political science from Indiana University and received a M.A. in international business management and trade theory from the University of Maryland; “SOFT LAW FOR HARD PROBLEMS: THE GOVERNANCE OF EMERGING TECHNOLOGIES IN AN UNCERTAIN FUTURE”; Hein Online; D.A. July 3</w:t>
      </w:r>
      <w:r w:rsidRPr="00C45B71">
        <w:rPr>
          <w:vertAlign w:val="superscript"/>
        </w:rPr>
        <w:t>rd</w:t>
      </w:r>
      <w:r>
        <w:t xml:space="preserve"> 2020, [Published 2018]; Colorado Technology Law Journal, Vol. 17, Issue 1, pg. 112-119, Accessed via UMich Libraries; </w:t>
      </w:r>
      <w:hyperlink r:id="rId195" w:history="1">
        <w:r>
          <w:rPr>
            <w:rStyle w:val="Hyperlink"/>
          </w:rPr>
          <w:t>https://heinonline.org/HOL/LandingPage?handle=hein.journals/jtelhtel17&amp;div=8&amp;id=&amp;page=</w:t>
        </w:r>
      </w:hyperlink>
      <w:r>
        <w:t>) //LFS—JCM</w:t>
      </w:r>
    </w:p>
    <w:p w14:paraId="0EF0789A" w14:textId="77777777" w:rsidR="00F17B9B" w:rsidRPr="00FF33F6" w:rsidRDefault="00F17B9B" w:rsidP="00F17B9B">
      <w:pPr>
        <w:rPr>
          <w:sz w:val="16"/>
        </w:rPr>
      </w:pPr>
      <w:r w:rsidRPr="003D0ED3">
        <w:rPr>
          <w:rStyle w:val="StyleUnderline"/>
        </w:rPr>
        <w:t xml:space="preserve">For </w:t>
      </w:r>
      <w:r w:rsidRPr="003D0ED3">
        <w:rPr>
          <w:rStyle w:val="Emphasis"/>
        </w:rPr>
        <w:t>disruptive tech</w:t>
      </w:r>
      <w:r w:rsidRPr="003D0ED3">
        <w:rPr>
          <w:rStyle w:val="StyleUnderline"/>
        </w:rPr>
        <w:t>nologies</w:t>
      </w:r>
      <w:r w:rsidRPr="00FF33F6">
        <w:rPr>
          <w:sz w:val="16"/>
        </w:rPr>
        <w:t xml:space="preserve">, such </w:t>
      </w:r>
      <w:r w:rsidRPr="003D0ED3">
        <w:rPr>
          <w:rStyle w:val="Emphasis"/>
        </w:rPr>
        <w:t>deference presents</w:t>
      </w:r>
      <w:r w:rsidRPr="00FF33F6">
        <w:rPr>
          <w:sz w:val="16"/>
        </w:rPr>
        <w:t xml:space="preserve"> </w:t>
      </w:r>
      <w:r w:rsidRPr="003D0ED3">
        <w:rPr>
          <w:rStyle w:val="StyleUnderline"/>
        </w:rPr>
        <w:t>three</w:t>
      </w:r>
      <w:r w:rsidRPr="00FF33F6">
        <w:rPr>
          <w:sz w:val="16"/>
        </w:rPr>
        <w:t xml:space="preserve"> main </w:t>
      </w:r>
      <w:r w:rsidRPr="003D0ED3">
        <w:rPr>
          <w:rStyle w:val="Emphasis"/>
        </w:rPr>
        <w:t>challenges</w:t>
      </w:r>
      <w:r w:rsidRPr="00FF33F6">
        <w:rPr>
          <w:sz w:val="16"/>
        </w:rPr>
        <w:t xml:space="preserve">. </w:t>
      </w:r>
      <w:r w:rsidRPr="003D0ED3">
        <w:rPr>
          <w:rStyle w:val="StyleUnderline"/>
        </w:rPr>
        <w:t xml:space="preserve">First, an </w:t>
      </w:r>
      <w:r w:rsidRPr="003D0ED3">
        <w:rPr>
          <w:rStyle w:val="Emphasis"/>
        </w:rPr>
        <w:t>innovator cannot predict</w:t>
      </w:r>
      <w:r w:rsidRPr="003D0ED3">
        <w:rPr>
          <w:rStyle w:val="StyleUnderline"/>
        </w:rPr>
        <w:t xml:space="preserve"> how an agency will reinterpret</w:t>
      </w:r>
      <w:r w:rsidRPr="00FF33F6">
        <w:rPr>
          <w:sz w:val="16"/>
        </w:rPr>
        <w:t xml:space="preserve"> existing </w:t>
      </w:r>
      <w:r w:rsidRPr="003D0ED3">
        <w:rPr>
          <w:rStyle w:val="StyleUnderline"/>
        </w:rPr>
        <w:t xml:space="preserve">regulations, which may result in </w:t>
      </w:r>
      <w:r w:rsidRPr="00FF33F6">
        <w:rPr>
          <w:sz w:val="16"/>
        </w:rPr>
        <w:t xml:space="preserve">seemingly </w:t>
      </w:r>
      <w:r w:rsidRPr="003D0ED3">
        <w:rPr>
          <w:rStyle w:val="StyleUnderline"/>
        </w:rPr>
        <w:t xml:space="preserve">compliant activities being </w:t>
      </w:r>
      <w:r w:rsidRPr="003D0ED3">
        <w:rPr>
          <w:rStyle w:val="Emphasis"/>
        </w:rPr>
        <w:t>deemed illegal</w:t>
      </w:r>
      <w:r w:rsidRPr="003D0ED3">
        <w:rPr>
          <w:rStyle w:val="StyleUnderline"/>
        </w:rPr>
        <w:t xml:space="preserve"> after the fact</w:t>
      </w:r>
      <w:r w:rsidRPr="00FF33F6">
        <w:rPr>
          <w:sz w:val="16"/>
        </w:rPr>
        <w:t xml:space="preserve">. 4 9 6 </w:t>
      </w:r>
      <w:r w:rsidRPr="003D0ED3">
        <w:rPr>
          <w:rStyle w:val="StyleUnderline"/>
        </w:rPr>
        <w:t xml:space="preserve">Second, </w:t>
      </w:r>
      <w:r w:rsidRPr="00FF33F6">
        <w:rPr>
          <w:rStyle w:val="Emphasis"/>
        </w:rPr>
        <w:t>agencies could</w:t>
      </w:r>
      <w:r w:rsidRPr="003D0ED3">
        <w:rPr>
          <w:rStyle w:val="StyleUnderline"/>
        </w:rPr>
        <w:t xml:space="preserve"> attempt to use reinterpretations to </w:t>
      </w:r>
      <w:r w:rsidRPr="00FF33F6">
        <w:rPr>
          <w:rStyle w:val="Emphasis"/>
        </w:rPr>
        <w:t>shoehorn a new technology</w:t>
      </w:r>
      <w:r w:rsidRPr="003D0ED3">
        <w:rPr>
          <w:rStyle w:val="StyleUnderline"/>
        </w:rPr>
        <w:t xml:space="preserve"> into a category that it does not properly fit</w:t>
      </w:r>
      <w:r w:rsidRPr="00FF33F6">
        <w:rPr>
          <w:sz w:val="16"/>
        </w:rPr>
        <w:t xml:space="preserve">. </w:t>
      </w:r>
      <w:r w:rsidRPr="003D0ED3">
        <w:rPr>
          <w:rStyle w:val="StyleUnderline"/>
        </w:rPr>
        <w:t xml:space="preserve">Finally, </w:t>
      </w:r>
      <w:r w:rsidRPr="00FF33F6">
        <w:rPr>
          <w:rStyle w:val="Emphasis"/>
        </w:rPr>
        <w:t>regulatory interpretations send a signal</w:t>
      </w:r>
      <w:r w:rsidRPr="003D0ED3">
        <w:rPr>
          <w:rStyle w:val="StyleUnderline"/>
        </w:rPr>
        <w:t xml:space="preserve"> that </w:t>
      </w:r>
      <w:r w:rsidRPr="00FF33F6">
        <w:rPr>
          <w:rStyle w:val="Emphasis"/>
        </w:rPr>
        <w:t>innovation is not welcome</w:t>
      </w:r>
      <w:r w:rsidRPr="003D0ED3">
        <w:rPr>
          <w:rStyle w:val="StyleUnderline"/>
        </w:rPr>
        <w:t xml:space="preserve"> and delay</w:t>
      </w:r>
      <w:r w:rsidRPr="00FF33F6">
        <w:rPr>
          <w:sz w:val="16"/>
        </w:rPr>
        <w:t xml:space="preserve"> transformative </w:t>
      </w:r>
      <w:r w:rsidRPr="003D0ED3">
        <w:rPr>
          <w:rStyle w:val="StyleUnderline"/>
        </w:rPr>
        <w:t>changes</w:t>
      </w:r>
      <w:r w:rsidRPr="00FF33F6">
        <w:rPr>
          <w:sz w:val="16"/>
        </w:rPr>
        <w:t>. 497</w:t>
      </w:r>
    </w:p>
    <w:p w14:paraId="3A4F5AA0" w14:textId="77777777" w:rsidR="00F17B9B" w:rsidRPr="00FF33F6" w:rsidRDefault="00F17B9B" w:rsidP="00F17B9B">
      <w:pPr>
        <w:rPr>
          <w:sz w:val="16"/>
        </w:rPr>
      </w:pPr>
      <w:r w:rsidRPr="00FF33F6">
        <w:rPr>
          <w:sz w:val="16"/>
        </w:rPr>
        <w:t xml:space="preserve">The </w:t>
      </w:r>
      <w:r w:rsidRPr="00FF33F6">
        <w:rPr>
          <w:rStyle w:val="Emphasis"/>
        </w:rPr>
        <w:t>courts will likely defer to</w:t>
      </w:r>
      <w:r w:rsidRPr="00FF33F6">
        <w:rPr>
          <w:sz w:val="16"/>
        </w:rPr>
        <w:t xml:space="preserve"> the FAA's continued </w:t>
      </w:r>
      <w:r w:rsidRPr="00FF33F6">
        <w:rPr>
          <w:rStyle w:val="Emphasis"/>
        </w:rPr>
        <w:t>reinterpretations</w:t>
      </w:r>
      <w:r w:rsidRPr="00FF33F6">
        <w:rPr>
          <w:rStyle w:val="StyleUnderline"/>
        </w:rPr>
        <w:t xml:space="preserve"> until Congress statutorily intervenes</w:t>
      </w:r>
      <w:r w:rsidRPr="00FF33F6">
        <w:rPr>
          <w:sz w:val="16"/>
        </w:rPr>
        <w:t xml:space="preserve">. 4 98 Such an intervention would be most helpful for long-standing definitions, such as common carriage, which may or may not have had time to evolve with technology. 499 Furthermore, subjecting such reinterpretations to notice and comment would foster a robust debate on the usefulness of the original regulation or definition. </w:t>
      </w:r>
      <w:r w:rsidRPr="00FF33F6">
        <w:rPr>
          <w:rStyle w:val="StyleUnderline"/>
        </w:rPr>
        <w:t>When agencies are changing long-standing traditional interpretations</w:t>
      </w:r>
      <w:r w:rsidRPr="00FF33F6">
        <w:rPr>
          <w:sz w:val="16"/>
        </w:rPr>
        <w:t xml:space="preserve"> that regulated industries and individuals have relied upon, </w:t>
      </w:r>
      <w:r w:rsidRPr="00FF33F6">
        <w:rPr>
          <w:rStyle w:val="StyleUnderline"/>
        </w:rPr>
        <w:t>protecting APA-style processes would help ensure</w:t>
      </w:r>
      <w:r w:rsidRPr="00FF33F6">
        <w:rPr>
          <w:sz w:val="16"/>
        </w:rPr>
        <w:t xml:space="preserve"> that such novel </w:t>
      </w:r>
      <w:r w:rsidRPr="00FF33F6">
        <w:rPr>
          <w:rStyle w:val="StyleUnderline"/>
        </w:rPr>
        <w:t>interpretations are consistent with legislative intent</w:t>
      </w:r>
      <w:r w:rsidRPr="00FF33F6">
        <w:rPr>
          <w:sz w:val="16"/>
        </w:rPr>
        <w:t xml:space="preserve"> and democratic ideals.50 0</w:t>
      </w:r>
    </w:p>
    <w:p w14:paraId="11548C30" w14:textId="77777777" w:rsidR="00F17B9B" w:rsidRPr="00FF33F6" w:rsidRDefault="00F17B9B" w:rsidP="00F17B9B">
      <w:pPr>
        <w:rPr>
          <w:sz w:val="16"/>
        </w:rPr>
      </w:pPr>
      <w:r w:rsidRPr="00FF33F6">
        <w:rPr>
          <w:rStyle w:val="StyleUnderline"/>
        </w:rPr>
        <w:t xml:space="preserve">Because emerging technologies are </w:t>
      </w:r>
      <w:r w:rsidRPr="00FF33F6">
        <w:rPr>
          <w:sz w:val="16"/>
        </w:rPr>
        <w:t xml:space="preserve">often </w:t>
      </w:r>
      <w:r w:rsidRPr="00FF33F6">
        <w:rPr>
          <w:rStyle w:val="StyleUnderline"/>
        </w:rPr>
        <w:t>difficult to delimit or categorize, addressing deference to agency guidance</w:t>
      </w:r>
      <w:r w:rsidRPr="00FF33F6">
        <w:rPr>
          <w:sz w:val="16"/>
        </w:rPr>
        <w:t xml:space="preserve"> or actions </w:t>
      </w:r>
      <w:r w:rsidRPr="00FF33F6">
        <w:rPr>
          <w:rStyle w:val="StyleUnderline"/>
        </w:rPr>
        <w:t>becomes problematic</w:t>
      </w:r>
      <w:r w:rsidRPr="00FF33F6">
        <w:rPr>
          <w:sz w:val="16"/>
        </w:rPr>
        <w:t xml:space="preserve">-especially </w:t>
      </w:r>
      <w:r w:rsidRPr="00FF33F6">
        <w:rPr>
          <w:rStyle w:val="StyleUnderline"/>
        </w:rPr>
        <w:t xml:space="preserve">when it is </w:t>
      </w:r>
      <w:r w:rsidRPr="00FF33F6">
        <w:rPr>
          <w:rStyle w:val="Emphasis"/>
        </w:rPr>
        <w:t>unclear</w:t>
      </w:r>
      <w:r w:rsidRPr="00FF33F6">
        <w:rPr>
          <w:rStyle w:val="StyleUnderline"/>
        </w:rPr>
        <w:t xml:space="preserve"> whether the </w:t>
      </w:r>
      <w:r w:rsidRPr="00FF33F6">
        <w:rPr>
          <w:rStyle w:val="Emphasis"/>
        </w:rPr>
        <w:t>interpretation falls within</w:t>
      </w:r>
      <w:r w:rsidRPr="00FF33F6">
        <w:rPr>
          <w:rStyle w:val="StyleUnderline"/>
        </w:rPr>
        <w:t xml:space="preserve"> the agency's </w:t>
      </w:r>
      <w:r w:rsidRPr="00FF33F6">
        <w:rPr>
          <w:rStyle w:val="Emphasis"/>
        </w:rPr>
        <w:t>jurisdiction</w:t>
      </w:r>
      <w:r w:rsidRPr="00FF33F6">
        <w:rPr>
          <w:sz w:val="16"/>
        </w:rPr>
        <w:t>.</w:t>
      </w:r>
    </w:p>
    <w:p w14:paraId="6BF810ED" w14:textId="46384931" w:rsidR="00F17B9B" w:rsidRDefault="007721E6" w:rsidP="007721E6">
      <w:pPr>
        <w:pStyle w:val="Heading4"/>
      </w:pPr>
      <w:r>
        <w:t>So-called experts suck.</w:t>
      </w:r>
    </w:p>
    <w:p w14:paraId="597F843A" w14:textId="77777777" w:rsidR="007721E6" w:rsidRPr="008846AC" w:rsidRDefault="007721E6" w:rsidP="007721E6">
      <w:r w:rsidRPr="008846AC">
        <w:rPr>
          <w:rStyle w:val="Heading4Char"/>
        </w:rPr>
        <w:t>Lee 17</w:t>
      </w:r>
      <w:r w:rsidRPr="008846AC">
        <w:t xml:space="preserve"> – (Timothy B. Lee, writer for Vox, Covers technology and economics; “How Neil Gorsuch could rein in regulators like the EPA and the FCC</w:t>
      </w:r>
      <w:r>
        <w:t>”; Vox; D.A. July 4</w:t>
      </w:r>
      <w:r w:rsidRPr="008846AC">
        <w:rPr>
          <w:vertAlign w:val="superscript"/>
        </w:rPr>
        <w:t>th</w:t>
      </w:r>
      <w:r>
        <w:t xml:space="preserve"> 2020, [Published March 20</w:t>
      </w:r>
      <w:r w:rsidRPr="008846AC">
        <w:rPr>
          <w:vertAlign w:val="superscript"/>
        </w:rPr>
        <w:t>th</w:t>
      </w:r>
      <w:r>
        <w:t xml:space="preserve"> 2017]; </w:t>
      </w:r>
      <w:hyperlink r:id="rId196" w:history="1">
        <w:r>
          <w:rPr>
            <w:rStyle w:val="Hyperlink"/>
          </w:rPr>
          <w:t>https://www.vox.com/new-money/2017/2/2/14473728/neil-gorsuch-chevron-deference</w:t>
        </w:r>
      </w:hyperlink>
      <w:r>
        <w:t>) //LFS—JCM</w:t>
      </w:r>
    </w:p>
    <w:p w14:paraId="0C009804" w14:textId="77777777" w:rsidR="007721E6" w:rsidRPr="009E0B4F" w:rsidRDefault="007721E6" w:rsidP="007721E6">
      <w:pPr>
        <w:rPr>
          <w:sz w:val="16"/>
        </w:rPr>
      </w:pPr>
      <w:r w:rsidRPr="009E0B4F">
        <w:rPr>
          <w:sz w:val="16"/>
        </w:rPr>
        <w:t xml:space="preserve">But </w:t>
      </w:r>
      <w:r w:rsidRPr="009E0B4F">
        <w:rPr>
          <w:rStyle w:val="StyleUnderline"/>
        </w:rPr>
        <w:t xml:space="preserve">with the </w:t>
      </w:r>
      <w:r w:rsidRPr="009E0B4F">
        <w:rPr>
          <w:rStyle w:val="Emphasis"/>
        </w:rPr>
        <w:t>political system</w:t>
      </w:r>
      <w:r w:rsidRPr="009E0B4F">
        <w:rPr>
          <w:rStyle w:val="StyleUnderline"/>
        </w:rPr>
        <w:t xml:space="preserve"> increasingly </w:t>
      </w:r>
      <w:r w:rsidRPr="009E0B4F">
        <w:rPr>
          <w:rStyle w:val="Emphasis"/>
        </w:rPr>
        <w:t>polarized</w:t>
      </w:r>
      <w:r w:rsidRPr="009E0B4F">
        <w:rPr>
          <w:sz w:val="16"/>
        </w:rPr>
        <w:t xml:space="preserve">, </w:t>
      </w:r>
      <w:r w:rsidRPr="009E0B4F">
        <w:rPr>
          <w:rStyle w:val="Emphasis"/>
        </w:rPr>
        <w:t>Congress legislates less</w:t>
      </w:r>
      <w:r w:rsidRPr="009E0B4F">
        <w:rPr>
          <w:rStyle w:val="StyleUnderline"/>
        </w:rPr>
        <w:t xml:space="preserve"> and less</w:t>
      </w:r>
      <w:r w:rsidRPr="009E0B4F">
        <w:rPr>
          <w:sz w:val="16"/>
        </w:rPr>
        <w:t xml:space="preserve"> often — </w:t>
      </w:r>
      <w:r w:rsidRPr="009E0B4F">
        <w:rPr>
          <w:rStyle w:val="StyleUnderline"/>
        </w:rPr>
        <w:t>especially about</w:t>
      </w:r>
      <w:r w:rsidRPr="009E0B4F">
        <w:rPr>
          <w:sz w:val="16"/>
        </w:rPr>
        <w:t xml:space="preserve"> arcane details of </w:t>
      </w:r>
      <w:r w:rsidRPr="009E0B4F">
        <w:rPr>
          <w:rStyle w:val="StyleUnderline"/>
        </w:rPr>
        <w:t>administrative law</w:t>
      </w:r>
      <w:r w:rsidRPr="009E0B4F">
        <w:rPr>
          <w:sz w:val="16"/>
        </w:rPr>
        <w:t xml:space="preserve">. As a result, </w:t>
      </w:r>
      <w:r w:rsidRPr="009E0B4F">
        <w:rPr>
          <w:rStyle w:val="Emphasis"/>
        </w:rPr>
        <w:t>agencies</w:t>
      </w:r>
      <w:r w:rsidRPr="009E0B4F">
        <w:rPr>
          <w:rStyle w:val="StyleUnderline"/>
        </w:rPr>
        <w:t xml:space="preserve"> are often </w:t>
      </w:r>
      <w:r w:rsidRPr="009E0B4F">
        <w:rPr>
          <w:rStyle w:val="Emphasis"/>
        </w:rPr>
        <w:t>forced to</w:t>
      </w:r>
      <w:r w:rsidRPr="009E0B4F">
        <w:rPr>
          <w:rStyle w:val="StyleUnderline"/>
        </w:rPr>
        <w:t xml:space="preserve"> </w:t>
      </w:r>
      <w:r w:rsidRPr="009E0B4F">
        <w:rPr>
          <w:rStyle w:val="Emphasis"/>
        </w:rPr>
        <w:t>interpret laws that haven’t been updated in decades</w:t>
      </w:r>
      <w:r w:rsidRPr="009E0B4F">
        <w:rPr>
          <w:sz w:val="16"/>
        </w:rPr>
        <w:t xml:space="preserve">. And sometimes, </w:t>
      </w:r>
      <w:r w:rsidRPr="009E0B4F">
        <w:rPr>
          <w:rStyle w:val="StyleUnderline"/>
        </w:rPr>
        <w:t xml:space="preserve">that means continuing to </w:t>
      </w:r>
      <w:r w:rsidRPr="009E0B4F">
        <w:rPr>
          <w:rStyle w:val="Emphasis"/>
        </w:rPr>
        <w:t>apply legal categories</w:t>
      </w:r>
      <w:r w:rsidRPr="009E0B4F">
        <w:rPr>
          <w:rStyle w:val="StyleUnderline"/>
        </w:rPr>
        <w:t xml:space="preserve"> long </w:t>
      </w:r>
      <w:r w:rsidRPr="009E0B4F">
        <w:rPr>
          <w:rStyle w:val="Emphasis"/>
        </w:rPr>
        <w:t>after tech</w:t>
      </w:r>
      <w:r w:rsidRPr="009E0B4F">
        <w:rPr>
          <w:rStyle w:val="StyleUnderline"/>
        </w:rPr>
        <w:t xml:space="preserve">nological or scientific </w:t>
      </w:r>
      <w:r w:rsidRPr="009E0B4F">
        <w:rPr>
          <w:rStyle w:val="Emphasis"/>
        </w:rPr>
        <w:t>developments</w:t>
      </w:r>
      <w:r w:rsidRPr="009E0B4F">
        <w:rPr>
          <w:sz w:val="16"/>
        </w:rPr>
        <w:t xml:space="preserve"> (like the invention of the internet or emerging science of climate change) </w:t>
      </w:r>
      <w:r w:rsidRPr="009E0B4F">
        <w:rPr>
          <w:rStyle w:val="Emphasis"/>
        </w:rPr>
        <w:t>makes those categories a poor fit</w:t>
      </w:r>
      <w:r w:rsidRPr="009E0B4F">
        <w:rPr>
          <w:rStyle w:val="StyleUnderline"/>
        </w:rPr>
        <w:t xml:space="preserve"> for the real world</w:t>
      </w:r>
      <w:r w:rsidRPr="009E0B4F">
        <w:rPr>
          <w:sz w:val="16"/>
        </w:rPr>
        <w:t>.</w:t>
      </w:r>
    </w:p>
    <w:p w14:paraId="6E706B30" w14:textId="63C966A4" w:rsidR="00C72E89" w:rsidRPr="00C72E89" w:rsidRDefault="007721E6" w:rsidP="00C72E89">
      <w:pPr>
        <w:rPr>
          <w:sz w:val="16"/>
        </w:rPr>
      </w:pPr>
      <w:r w:rsidRPr="009E0B4F">
        <w:rPr>
          <w:sz w:val="16"/>
        </w:rPr>
        <w:t xml:space="preserve">Chevron deference gives agencies greater flexibility to adapt an old law to changing circumstances. But Gorsuch worries that too much deference to regulatory agencies can make the regulatory process arbitrary and undemocratic. </w:t>
      </w:r>
      <w:r w:rsidRPr="009E0B4F">
        <w:rPr>
          <w:rStyle w:val="StyleUnderline"/>
        </w:rPr>
        <w:t xml:space="preserve">The Founders wanted </w:t>
      </w:r>
      <w:r w:rsidRPr="009E0B4F">
        <w:rPr>
          <w:rStyle w:val="Emphasis"/>
        </w:rPr>
        <w:t>Congress</w:t>
      </w:r>
      <w:r w:rsidRPr="009E0B4F">
        <w:rPr>
          <w:rStyle w:val="StyleUnderline"/>
        </w:rPr>
        <w:t xml:space="preserve">, </w:t>
      </w:r>
      <w:r w:rsidRPr="009E0B4F">
        <w:rPr>
          <w:rStyle w:val="Emphasis"/>
        </w:rPr>
        <w:t>not the executive branch</w:t>
      </w:r>
      <w:r w:rsidRPr="009E0B4F">
        <w:rPr>
          <w:rStyle w:val="StyleUnderline"/>
        </w:rPr>
        <w:t xml:space="preserve">, to </w:t>
      </w:r>
      <w:r w:rsidRPr="009E0B4F">
        <w:rPr>
          <w:rStyle w:val="Emphasis"/>
        </w:rPr>
        <w:t>make the laws</w:t>
      </w:r>
      <w:r w:rsidRPr="009E0B4F">
        <w:rPr>
          <w:sz w:val="16"/>
        </w:rPr>
        <w:t>, he believes, and Chevron deference flies in the face of that principle.</w:t>
      </w:r>
    </w:p>
    <w:p w14:paraId="609D97BA" w14:textId="51529EC6" w:rsidR="005304A7" w:rsidRDefault="006A4DFB" w:rsidP="006A4DFB">
      <w:pPr>
        <w:pStyle w:val="Heading3"/>
      </w:pPr>
      <w:r>
        <w:t xml:space="preserve">1AR – </w:t>
      </w:r>
      <w:r w:rsidR="00D10287">
        <w:t xml:space="preserve">IL – AT: </w:t>
      </w:r>
      <w:r w:rsidR="00C72E89">
        <w:t>General</w:t>
      </w:r>
    </w:p>
    <w:p w14:paraId="325D6ED0" w14:textId="0E136CE0" w:rsidR="006A4DFB" w:rsidRPr="006A4DFB" w:rsidRDefault="006A4DFB" w:rsidP="006A4DFB">
      <w:pPr>
        <w:pStyle w:val="Heading4"/>
      </w:pPr>
      <w:r>
        <w:t xml:space="preserve">Agencies </w:t>
      </w:r>
      <w:r>
        <w:rPr>
          <w:u w:val="single"/>
        </w:rPr>
        <w:t>clog</w:t>
      </w:r>
      <w:r>
        <w:t>.</w:t>
      </w:r>
    </w:p>
    <w:p w14:paraId="4570E227" w14:textId="77777777" w:rsidR="006A4DFB" w:rsidRDefault="006A4DFB" w:rsidP="006A4DFB">
      <w:r w:rsidRPr="00ED13F1">
        <w:rPr>
          <w:rStyle w:val="Heading4Char"/>
        </w:rPr>
        <w:t>Nielson 18</w:t>
      </w:r>
      <w:r>
        <w:t xml:space="preserve"> – (Aaron L. Nielson, Associate Professor, J. Reuben Clark Law School, Brigham Young University; “Sticky Regulations”; University of Chicago Press; D.A. July 3</w:t>
      </w:r>
      <w:r w:rsidRPr="00ED13F1">
        <w:rPr>
          <w:vertAlign w:val="superscript"/>
        </w:rPr>
        <w:t>rd</w:t>
      </w:r>
      <w:r>
        <w:t xml:space="preserve"> 2020, [Published 2018]; The University of Chicago Law Review, Vol. 85, Issue 85, pg. 87-89; </w:t>
      </w:r>
      <w:hyperlink r:id="rId197" w:history="1">
        <w:r>
          <w:rPr>
            <w:rStyle w:val="Hyperlink"/>
          </w:rPr>
          <w:t>https://chicagounbound.uchicago.edu/cgi/viewcontent.cgi?article=6071&amp;context=uclrev</w:t>
        </w:r>
      </w:hyperlink>
      <w:r>
        <w:t>) //LFS—JCM</w:t>
      </w:r>
    </w:p>
    <w:p w14:paraId="3937F276" w14:textId="4073847C" w:rsidR="006A4DFB" w:rsidRDefault="006A4DFB" w:rsidP="006A4DFB">
      <w:pPr>
        <w:rPr>
          <w:sz w:val="16"/>
        </w:rPr>
      </w:pPr>
      <w:r w:rsidRPr="009C69DC">
        <w:rPr>
          <w:sz w:val="16"/>
        </w:rPr>
        <w:t xml:space="preserve">But on the other hand, not all else is equal—these procedures have costs of their own. As Professor Adrian Vermeule explains, </w:t>
      </w:r>
      <w:r w:rsidRPr="009C69DC">
        <w:rPr>
          <w:rStyle w:val="StyleUnderline"/>
        </w:rPr>
        <w:t xml:space="preserve">even if </w:t>
      </w:r>
      <w:r w:rsidRPr="009C69DC">
        <w:rPr>
          <w:rStyle w:val="Emphasis"/>
        </w:rPr>
        <w:t>regulatory procedures</w:t>
      </w:r>
      <w:r w:rsidRPr="009C69DC">
        <w:rPr>
          <w:rStyle w:val="StyleUnderline"/>
        </w:rPr>
        <w:t xml:space="preserve"> may encourage</w:t>
      </w:r>
      <w:r w:rsidRPr="009C69DC">
        <w:rPr>
          <w:sz w:val="16"/>
        </w:rPr>
        <w:t xml:space="preserve"> “the rationality of </w:t>
      </w:r>
      <w:r w:rsidRPr="009C69DC">
        <w:rPr>
          <w:rStyle w:val="StyleUnderline"/>
        </w:rPr>
        <w:t>agency policymaking</w:t>
      </w:r>
      <w:r w:rsidRPr="009C69DC">
        <w:rPr>
          <w:sz w:val="16"/>
        </w:rPr>
        <w:t xml:space="preserve">,” </w:t>
      </w:r>
      <w:r w:rsidRPr="009C69DC">
        <w:rPr>
          <w:rStyle w:val="StyleUnderline"/>
        </w:rPr>
        <w:t>they may also</w:t>
      </w:r>
      <w:r w:rsidRPr="009C69DC">
        <w:rPr>
          <w:sz w:val="16"/>
        </w:rPr>
        <w:t xml:space="preserve"> “</w:t>
      </w:r>
      <w:r w:rsidRPr="009C69DC">
        <w:rPr>
          <w:rStyle w:val="Emphasis"/>
        </w:rPr>
        <w:t>clog</w:t>
      </w:r>
      <w:r w:rsidRPr="009C69DC">
        <w:rPr>
          <w:sz w:val="16"/>
        </w:rPr>
        <w:t xml:space="preserve">[ ] </w:t>
      </w:r>
      <w:r w:rsidRPr="009C69DC">
        <w:rPr>
          <w:rStyle w:val="Emphasis"/>
        </w:rPr>
        <w:t>the pipeline of agency policymaking</w:t>
      </w:r>
      <w:r w:rsidRPr="009C69DC">
        <w:rPr>
          <w:sz w:val="16"/>
        </w:rPr>
        <w:t xml:space="preserve">.”5 In other words, </w:t>
      </w:r>
      <w:r w:rsidRPr="009C69DC">
        <w:rPr>
          <w:rStyle w:val="StyleUnderline"/>
        </w:rPr>
        <w:t>administrative procedures carry with them</w:t>
      </w:r>
      <w:r w:rsidRPr="009C69DC">
        <w:rPr>
          <w:sz w:val="16"/>
        </w:rPr>
        <w:t xml:space="preserve"> “</w:t>
      </w:r>
      <w:r w:rsidRPr="009C69DC">
        <w:rPr>
          <w:rStyle w:val="StyleUnderline"/>
        </w:rPr>
        <w:t>opportunity costs</w:t>
      </w:r>
      <w:r w:rsidRPr="009C69DC">
        <w:rPr>
          <w:sz w:val="16"/>
        </w:rPr>
        <w:t xml:space="preserve">” as </w:t>
      </w:r>
      <w:r w:rsidRPr="009C69DC">
        <w:rPr>
          <w:rStyle w:val="StyleUnderline"/>
        </w:rPr>
        <w:t xml:space="preserve">agencies are forced to delay regulatory action while </w:t>
      </w:r>
      <w:r w:rsidRPr="009C69DC">
        <w:rPr>
          <w:rStyle w:val="Emphasis"/>
        </w:rPr>
        <w:t>officials check off procedural boxes</w:t>
      </w:r>
      <w:r w:rsidRPr="009C69DC">
        <w:rPr>
          <w:sz w:val="16"/>
        </w:rPr>
        <w:t xml:space="preserve">.6 When it comes to agency action, however, promptness can be a good thing; in fact, </w:t>
      </w:r>
      <w:r w:rsidRPr="009C69DC">
        <w:rPr>
          <w:rStyle w:val="Emphasis"/>
        </w:rPr>
        <w:t>delay</w:t>
      </w:r>
      <w:r w:rsidRPr="009C69DC">
        <w:rPr>
          <w:sz w:val="16"/>
        </w:rPr>
        <w:t xml:space="preserve"> sometimes </w:t>
      </w:r>
      <w:r w:rsidRPr="009C69DC">
        <w:rPr>
          <w:rStyle w:val="StyleUnderline"/>
        </w:rPr>
        <w:t xml:space="preserve">can be </w:t>
      </w:r>
      <w:r w:rsidRPr="009C69DC">
        <w:rPr>
          <w:rStyle w:val="Emphasis"/>
        </w:rPr>
        <w:t>dangerous</w:t>
      </w:r>
      <w:r w:rsidRPr="009C69DC">
        <w:rPr>
          <w:sz w:val="16"/>
        </w:rPr>
        <w:t xml:space="preserve">.7 Hence the supposed dilemma: procedures are good because they enable public participation and help prevent agency mistakes, but they may also unduly hinder agency action, thereby thwarting another good thing.8 To the extent that good procedures prevent agencies from doing good things, </w:t>
      </w:r>
      <w:r w:rsidRPr="009C69DC">
        <w:rPr>
          <w:rStyle w:val="StyleUnderline"/>
        </w:rPr>
        <w:t>we have a dilemma</w:t>
      </w:r>
      <w:r w:rsidRPr="009C69DC">
        <w:rPr>
          <w:sz w:val="16"/>
        </w:rPr>
        <w:t>.9</w:t>
      </w:r>
    </w:p>
    <w:p w14:paraId="001B80F1" w14:textId="7739DBC5" w:rsidR="002E524B" w:rsidRDefault="002E524B" w:rsidP="00C72E89">
      <w:pPr>
        <w:pStyle w:val="Heading3"/>
      </w:pPr>
      <w:r>
        <w:t xml:space="preserve">2AC – IL </w:t>
      </w:r>
      <w:r w:rsidR="00621D20">
        <w:t>–</w:t>
      </w:r>
      <w:r>
        <w:t xml:space="preserve"> AT: SEC</w:t>
      </w:r>
    </w:p>
    <w:p w14:paraId="3E6D3F76" w14:textId="3574A0B5" w:rsidR="002E524B" w:rsidRPr="002E524B" w:rsidRDefault="002E524B" w:rsidP="002E524B">
      <w:pPr>
        <w:pStyle w:val="Heading4"/>
      </w:pPr>
      <w:r>
        <w:t xml:space="preserve">They’ll get deference in </w:t>
      </w:r>
      <w:r>
        <w:rPr>
          <w:u w:val="single"/>
        </w:rPr>
        <w:t>civil</w:t>
      </w:r>
      <w:r>
        <w:t xml:space="preserve"> proceedings.</w:t>
      </w:r>
    </w:p>
    <w:p w14:paraId="002866B1" w14:textId="77777777" w:rsidR="002E524B" w:rsidRPr="009725AC" w:rsidRDefault="002E524B" w:rsidP="002E524B">
      <w:r>
        <w:rPr>
          <w:rStyle w:val="Style13ptBold"/>
        </w:rPr>
        <w:t>Currier 16</w:t>
      </w:r>
      <w:r>
        <w:t xml:space="preserve"> – Anna Currier, J.D. at American University Washington College of Law and Deputy Attorney General at Delaware Department of Justice ("The Rule Of Lenity And The Enforcement Of The Federal Securities Laws,” American University Business Law Review, vol. 5, no. 1, pg. 98-100, available online at </w:t>
      </w:r>
      <w:hyperlink r:id="rId198" w:history="1">
        <w:r w:rsidRPr="00555308">
          <w:rPr>
            <w:rStyle w:val="Hyperlink"/>
          </w:rPr>
          <w:t>http://digitalcommons.wcl.american.edu/aublr/vol5/iss1/4</w:t>
        </w:r>
      </w:hyperlink>
      <w:r>
        <w:t>, accessed 6-21-2020) LR</w:t>
      </w:r>
    </w:p>
    <w:p w14:paraId="28F83918" w14:textId="77777777" w:rsidR="002E524B" w:rsidRPr="005B5646" w:rsidRDefault="002E524B" w:rsidP="002E524B">
      <w:pPr>
        <w:rPr>
          <w:sz w:val="16"/>
        </w:rPr>
      </w:pPr>
      <w:r w:rsidRPr="002A5457">
        <w:rPr>
          <w:rStyle w:val="StyleUnderline"/>
        </w:rPr>
        <w:t>The Commission's "mission of protecting investors; maintaining fair, orderly, and efficient markets; and facilitating capital formation" is vital to ensuring a strong national market.</w:t>
      </w:r>
      <w:r w:rsidRPr="005B5646">
        <w:rPr>
          <w:rStyle w:val="StyleUnderline"/>
          <w:sz w:val="16"/>
          <w:u w:val="none"/>
        </w:rPr>
        <w:t xml:space="preserve"> 1</w:t>
      </w:r>
      <w:r w:rsidRPr="005B5646">
        <w:rPr>
          <w:sz w:val="16"/>
        </w:rPr>
        <w:t xml:space="preserve">93 However, as part of the executive branch, the Commission is not empowered to define crimes. 194 Using the rule of lenity in criminal prosecutions under Rule 1Ob-5, the promulgation of a rule of significant importance and of routine use could create a fair system that respects due process as well as the Commission's expertise and mission of protecting investors. </w:t>
      </w:r>
      <w:r w:rsidRPr="00BA0022">
        <w:rPr>
          <w:rStyle w:val="StyleUnderline"/>
        </w:rPr>
        <w:t xml:space="preserve">Applying the rule of lenity to every law that contemplates both criminal and administrative enforcement would have </w:t>
      </w:r>
      <w:r w:rsidRPr="009F721C">
        <w:rPr>
          <w:rStyle w:val="Emphasis"/>
        </w:rPr>
        <w:t>widespread ramifications</w:t>
      </w:r>
      <w:r w:rsidRPr="00BA0022">
        <w:rPr>
          <w:rStyle w:val="StyleUnderline"/>
        </w:rPr>
        <w:t>, as many of the Commission's laws contemplate both civil and criminal liability.</w:t>
      </w:r>
      <w:r w:rsidRPr="005B5646">
        <w:rPr>
          <w:sz w:val="16"/>
        </w:rPr>
        <w:t xml:space="preserve"> 195 </w:t>
      </w:r>
    </w:p>
    <w:p w14:paraId="55B30850" w14:textId="77777777" w:rsidR="002E524B" w:rsidRPr="005B5646" w:rsidRDefault="002E524B" w:rsidP="002E524B">
      <w:pPr>
        <w:rPr>
          <w:sz w:val="16"/>
          <w:szCs w:val="16"/>
        </w:rPr>
      </w:pPr>
      <w:r w:rsidRPr="005B5646">
        <w:rPr>
          <w:sz w:val="16"/>
          <w:szCs w:val="16"/>
        </w:rPr>
        <w:t xml:space="preserve">Arguably, "[a court should not] interpose its own construction when the Commission's expertise is more adept at dealing with the complex nature of mutual fund structures, market transactions, and unique or novel forms of fraud." 196 The Commission is adept at dealing with the complex nature of the securities market, but the enforcement of criminal laws has never been a power delegated to the Commission. The rule of lenity is a standard of interpretation that should be used only when criminal penalties are at stake. 197 </w:t>
      </w:r>
    </w:p>
    <w:p w14:paraId="5052CEEF" w14:textId="77777777" w:rsidR="002E524B" w:rsidRPr="005B5646" w:rsidRDefault="002E524B" w:rsidP="002E524B">
      <w:pPr>
        <w:rPr>
          <w:sz w:val="16"/>
        </w:rPr>
      </w:pPr>
      <w:r w:rsidRPr="005B5646">
        <w:rPr>
          <w:rStyle w:val="StyleUnderline"/>
        </w:rPr>
        <w:t>To balance</w:t>
      </w:r>
      <w:r w:rsidRPr="005B5646">
        <w:rPr>
          <w:sz w:val="16"/>
        </w:rPr>
        <w:t xml:space="preserve"> these </w:t>
      </w:r>
      <w:r w:rsidRPr="005B5646">
        <w:rPr>
          <w:rStyle w:val="StyleUnderline"/>
        </w:rPr>
        <w:t xml:space="preserve">conflicting interests, lenity should be applied in </w:t>
      </w:r>
      <w:r w:rsidRPr="005B5646">
        <w:rPr>
          <w:rStyle w:val="Emphasis"/>
        </w:rPr>
        <w:t>criminal proceedings only</w:t>
      </w:r>
      <w:r w:rsidRPr="005B5646">
        <w:rPr>
          <w:rStyle w:val="StyleUnderline"/>
        </w:rPr>
        <w:t>.</w:t>
      </w:r>
      <w:r w:rsidRPr="005B5646">
        <w:rPr>
          <w:sz w:val="16"/>
        </w:rPr>
        <w:t xml:space="preserve"> This recommendation has proved feasible when using Newman as the framework. </w:t>
      </w:r>
      <w:r w:rsidRPr="005B5646">
        <w:rPr>
          <w:rStyle w:val="StyleUnderline"/>
        </w:rPr>
        <w:t>It is only necessary to apply</w:t>
      </w:r>
      <w:r w:rsidRPr="005B5646">
        <w:rPr>
          <w:sz w:val="16"/>
        </w:rPr>
        <w:t xml:space="preserve"> the </w:t>
      </w:r>
      <w:r w:rsidRPr="005B5646">
        <w:rPr>
          <w:rStyle w:val="StyleUnderline"/>
        </w:rPr>
        <w:t>rule of lenity to a criminal proceeding for insider trading violations brought by the DOJ</w:t>
      </w:r>
      <w:r w:rsidRPr="005B5646">
        <w:rPr>
          <w:sz w:val="16"/>
        </w:rPr>
        <w:t xml:space="preserve">; if the government could obtain a conviction by proving beyond a reasonable doubt all of the insider trading violation elements articulated by Newman, then that conviction would subsume the preponderance of the evidence standard the Commission is required to prove in a civil proceeding. 198 </w:t>
      </w:r>
      <w:r w:rsidRPr="005B5646">
        <w:rPr>
          <w:rStyle w:val="StyleUnderline"/>
        </w:rPr>
        <w:t>However, if the Government could not prove the elements beyond a reasonable doubt, Chevron deference could then be appropriately applied to the Commission's rule promulgations in a civil proceeding</w:t>
      </w:r>
      <w:r w:rsidRPr="005B5646">
        <w:rPr>
          <w:sz w:val="16"/>
        </w:rPr>
        <w:t>, and the Commission will be bound to prove each and every element by a preponderance of the evidence standard.  199 Adopting the rule of lenity, rather than deferring to the Commission under Chevron in insider trading prosecutions, is ultimately a way to preserve a defendant's due process rights while still ensuring that the Commission's administrative powers are not stripped from the agency.</w:t>
      </w:r>
    </w:p>
    <w:p w14:paraId="13D999EB" w14:textId="77777777" w:rsidR="002E524B" w:rsidRPr="00653CA3" w:rsidRDefault="002E524B" w:rsidP="002E524B">
      <w:pPr>
        <w:rPr>
          <w:sz w:val="16"/>
          <w:szCs w:val="16"/>
        </w:rPr>
      </w:pPr>
      <w:r w:rsidRPr="00653CA3">
        <w:rPr>
          <w:sz w:val="16"/>
          <w:szCs w:val="16"/>
        </w:rPr>
        <w:t>CONCLUSION</w:t>
      </w:r>
    </w:p>
    <w:p w14:paraId="359C0B60" w14:textId="7B1F7980" w:rsidR="002E524B" w:rsidRPr="002E524B" w:rsidRDefault="002E524B" w:rsidP="002E524B">
      <w:pPr>
        <w:rPr>
          <w:u w:val="single"/>
        </w:rPr>
      </w:pPr>
      <w:r w:rsidRPr="00653CA3">
        <w:rPr>
          <w:sz w:val="16"/>
        </w:rPr>
        <w:t xml:space="preserve">Justice Scalia's voiced disapproval of applying Chevron deference in a criminal context, in conjunction with the Second Circuit's holding in Newman, represents a judicial shift away from administrative deference when criminal liability is at stake under Rule lob-5. </w:t>
      </w:r>
      <w:r w:rsidRPr="00653CA3">
        <w:rPr>
          <w:rStyle w:val="StyleUnderline"/>
        </w:rPr>
        <w:t xml:space="preserve">The </w:t>
      </w:r>
      <w:r w:rsidRPr="00416496">
        <w:rPr>
          <w:rStyle w:val="Emphasis"/>
        </w:rPr>
        <w:t>rule of lenity</w:t>
      </w:r>
      <w:r w:rsidRPr="00653CA3">
        <w:rPr>
          <w:rStyle w:val="StyleUnderline"/>
        </w:rPr>
        <w:t xml:space="preserve"> is appropriate </w:t>
      </w:r>
      <w:r w:rsidRPr="00416496">
        <w:rPr>
          <w:rStyle w:val="Emphasis"/>
        </w:rPr>
        <w:t>only in criminal proceedings</w:t>
      </w:r>
      <w:r w:rsidRPr="00653CA3">
        <w:rPr>
          <w:sz w:val="16"/>
        </w:rPr>
        <w:t xml:space="preserve"> brought under Rule lob-5. Due process principles need to be upheld by the defendant's right to be informed of what constitutes criminal liability, and it is not within the Commission's power to define criminal liability. </w:t>
      </w:r>
      <w:r w:rsidRPr="00653CA3">
        <w:rPr>
          <w:rStyle w:val="StyleUnderline"/>
        </w:rPr>
        <w:t xml:space="preserve">It is important to allow the Commission to maintain its mission of protecting investors by </w:t>
      </w:r>
      <w:r w:rsidRPr="00653CA3">
        <w:rPr>
          <w:rStyle w:val="Emphasis"/>
        </w:rPr>
        <w:t>allowing Chevron deference</w:t>
      </w:r>
      <w:r w:rsidRPr="00653CA3">
        <w:rPr>
          <w:rStyle w:val="StyleUnderline"/>
        </w:rPr>
        <w:t xml:space="preserve"> to the Commission's interpretation</w:t>
      </w:r>
      <w:r w:rsidRPr="00653CA3">
        <w:rPr>
          <w:sz w:val="16"/>
        </w:rPr>
        <w:t xml:space="preserve"> of Rule 1 Ob-5 </w:t>
      </w:r>
      <w:r w:rsidRPr="00653CA3">
        <w:rPr>
          <w:rStyle w:val="StyleUnderline"/>
        </w:rPr>
        <w:t xml:space="preserve">only in </w:t>
      </w:r>
      <w:r w:rsidRPr="00653CA3">
        <w:rPr>
          <w:rStyle w:val="Emphasis"/>
        </w:rPr>
        <w:t>civil proceedings</w:t>
      </w:r>
      <w:r w:rsidRPr="00653CA3">
        <w:rPr>
          <w:rStyle w:val="StyleUnderline"/>
        </w:rPr>
        <w:t xml:space="preserve"> when civil penalties are at stake. Ultimately, investors will benefit from more narrowly drawn rules, defining criminal conduct and allowing for more uniformity in judicial interpretation of the Commission's rules.</w:t>
      </w:r>
    </w:p>
    <w:p w14:paraId="24E7E855" w14:textId="01B10A48" w:rsidR="00621D20" w:rsidRDefault="00621D20" w:rsidP="00C72E89">
      <w:pPr>
        <w:pStyle w:val="Heading3"/>
      </w:pPr>
      <w:r>
        <w:t>2AC – IL – AT: SEC</w:t>
      </w:r>
    </w:p>
    <w:p w14:paraId="6FAF43BA" w14:textId="308640F2" w:rsidR="00621D20" w:rsidRPr="00621D20" w:rsidRDefault="00621D20" w:rsidP="00621D20">
      <w:pPr>
        <w:pStyle w:val="Heading4"/>
      </w:pPr>
      <w:r>
        <w:t xml:space="preserve">And DOJ and SEC enforce differently, which is </w:t>
      </w:r>
      <w:r>
        <w:rPr>
          <w:u w:val="single"/>
        </w:rPr>
        <w:t>confusing</w:t>
      </w:r>
      <w:r>
        <w:t>.</w:t>
      </w:r>
    </w:p>
    <w:p w14:paraId="31C63008" w14:textId="77777777" w:rsidR="00621D20" w:rsidRPr="00F631A2" w:rsidRDefault="00621D20" w:rsidP="00621D20">
      <w:r>
        <w:rPr>
          <w:rStyle w:val="Style13ptBold"/>
        </w:rPr>
        <w:t>Currier 16</w:t>
      </w:r>
      <w:r>
        <w:t xml:space="preserve"> – Anna Currier, J.D. at American University Washington College of Law and Deputy Attorney General at Delaware Department of Justice ("The Rule Of Lenity And The Enforcement Of The Federal Securities Laws,” American University Business Law Review, vol. 5, no. 1, pg. 87-89, available online at </w:t>
      </w:r>
      <w:hyperlink r:id="rId199" w:history="1">
        <w:r w:rsidRPr="00555308">
          <w:rPr>
            <w:rStyle w:val="Hyperlink"/>
          </w:rPr>
          <w:t>http://digitalcommons.wcl.american.edu/aublr/vol5/iss1/4</w:t>
        </w:r>
      </w:hyperlink>
      <w:r>
        <w:t>, accessed 6-20-2020) LR</w:t>
      </w:r>
    </w:p>
    <w:p w14:paraId="1B2D6751" w14:textId="77777777" w:rsidR="00621D20" w:rsidRPr="008A346F" w:rsidRDefault="00621D20" w:rsidP="00621D20">
      <w:pPr>
        <w:rPr>
          <w:sz w:val="16"/>
        </w:rPr>
      </w:pPr>
      <w:r w:rsidRPr="008A346F">
        <w:rPr>
          <w:sz w:val="16"/>
        </w:rPr>
        <w:t xml:space="preserve">The </w:t>
      </w:r>
      <w:r w:rsidRPr="00F631A2">
        <w:rPr>
          <w:rStyle w:val="StyleUnderline"/>
        </w:rPr>
        <w:t xml:space="preserve">Commission's and DOJ's </w:t>
      </w:r>
      <w:r w:rsidRPr="00111E0B">
        <w:rPr>
          <w:rStyle w:val="Emphasis"/>
        </w:rPr>
        <w:t>Different Burdens</w:t>
      </w:r>
    </w:p>
    <w:p w14:paraId="7FE42D6A" w14:textId="2976427B" w:rsidR="00621D20" w:rsidRPr="00621D20" w:rsidRDefault="00621D20" w:rsidP="00621D20">
      <w:pPr>
        <w:rPr>
          <w:sz w:val="16"/>
        </w:rPr>
      </w:pPr>
      <w:r w:rsidRPr="00F631A2">
        <w:rPr>
          <w:rStyle w:val="StyleUnderline"/>
        </w:rPr>
        <w:t>In Steadman v. SEC, the Supreme Court held that Congress intended the Commission</w:t>
      </w:r>
      <w:r w:rsidRPr="008A346F">
        <w:rPr>
          <w:sz w:val="16"/>
        </w:rPr>
        <w:t xml:space="preserve"> to </w:t>
      </w:r>
      <w:r w:rsidRPr="00F631A2">
        <w:rPr>
          <w:rStyle w:val="StyleUnderline"/>
        </w:rPr>
        <w:t>use a preponderance standard</w:t>
      </w:r>
      <w:r w:rsidRPr="008A346F">
        <w:rPr>
          <w:sz w:val="16"/>
        </w:rPr>
        <w:t xml:space="preserve"> in its proceedings. 54  A preponderance standard, </w:t>
      </w:r>
      <w:r w:rsidRPr="00F631A2">
        <w:rPr>
          <w:rStyle w:val="StyleUnderline"/>
        </w:rPr>
        <w:t>seen as the "</w:t>
      </w:r>
      <w:r w:rsidRPr="00111E0B">
        <w:rPr>
          <w:rStyle w:val="Emphasis"/>
        </w:rPr>
        <w:t xml:space="preserve">[l]ightest burden of proof </w:t>
      </w:r>
      <w:r w:rsidRPr="008A346F">
        <w:rPr>
          <w:sz w:val="16"/>
        </w:rPr>
        <w:t xml:space="preserve">to modern law, 55 </w:t>
      </w:r>
      <w:r w:rsidRPr="00F631A2">
        <w:rPr>
          <w:rStyle w:val="StyleUnderline"/>
        </w:rPr>
        <w:t xml:space="preserve">has traditionally been imposed in </w:t>
      </w:r>
      <w:r w:rsidRPr="00111E0B">
        <w:rPr>
          <w:rStyle w:val="Emphasis"/>
        </w:rPr>
        <w:t>civil</w:t>
      </w:r>
      <w:r w:rsidRPr="00F631A2">
        <w:rPr>
          <w:rStyle w:val="StyleUnderline"/>
        </w:rPr>
        <w:t xml:space="preserve"> proceedings.</w:t>
      </w:r>
      <w:r w:rsidRPr="008A346F">
        <w:rPr>
          <w:sz w:val="16"/>
        </w:rPr>
        <w:t xml:space="preserve">56 </w:t>
      </w:r>
      <w:r w:rsidRPr="00F631A2">
        <w:rPr>
          <w:rStyle w:val="StyleUnderline"/>
        </w:rPr>
        <w:t xml:space="preserve">In </w:t>
      </w:r>
      <w:r w:rsidRPr="00111E0B">
        <w:rPr>
          <w:rStyle w:val="Emphasis"/>
        </w:rPr>
        <w:t>criminal</w:t>
      </w:r>
      <w:r w:rsidRPr="00F631A2">
        <w:rPr>
          <w:rStyle w:val="StyleUnderline"/>
        </w:rPr>
        <w:t xml:space="preserve"> actions where the </w:t>
      </w:r>
      <w:r w:rsidRPr="00111E0B">
        <w:rPr>
          <w:rStyle w:val="Emphasis"/>
        </w:rPr>
        <w:t>rule of lenity</w:t>
      </w:r>
      <w:r w:rsidRPr="00F631A2">
        <w:rPr>
          <w:rStyle w:val="StyleUnderline"/>
        </w:rPr>
        <w:t xml:space="preserve"> is applied, elements of securities fraud must be proven</w:t>
      </w:r>
      <w:r w:rsidRPr="008A346F">
        <w:rPr>
          <w:sz w:val="16"/>
        </w:rPr>
        <w:t xml:space="preserve"> by the government </w:t>
      </w:r>
      <w:r w:rsidRPr="00111E0B">
        <w:rPr>
          <w:rStyle w:val="Emphasis"/>
        </w:rPr>
        <w:t>beyond a reasonable doubt</w:t>
      </w:r>
      <w:r w:rsidRPr="008A346F">
        <w:rPr>
          <w:sz w:val="16"/>
        </w:rPr>
        <w:t xml:space="preserve">.5' </w:t>
      </w:r>
      <w:r w:rsidRPr="00F631A2">
        <w:rPr>
          <w:rStyle w:val="StyleUnderline"/>
        </w:rPr>
        <w:t>The DOJ</w:t>
      </w:r>
      <w:r w:rsidRPr="008A346F">
        <w:rPr>
          <w:sz w:val="16"/>
        </w:rPr>
        <w:t xml:space="preserve">, by having to show that the defendant acted "willfully" in committing a violation of a federal securities law, is </w:t>
      </w:r>
      <w:r w:rsidRPr="00F631A2">
        <w:rPr>
          <w:rStyle w:val="StyleUnderline"/>
        </w:rPr>
        <w:t>required to prove a heightened mental state under a higher evidentiary burden.</w:t>
      </w:r>
      <w:r w:rsidRPr="008A346F">
        <w:rPr>
          <w:sz w:val="16"/>
        </w:rPr>
        <w:t xml:space="preserve">58 </w:t>
      </w:r>
      <w:r w:rsidRPr="008A346F">
        <w:rPr>
          <w:rStyle w:val="StyleUnderline"/>
        </w:rPr>
        <w:t>Despite</w:t>
      </w:r>
      <w:r w:rsidRPr="008A346F">
        <w:rPr>
          <w:sz w:val="16"/>
        </w:rPr>
        <w:t xml:space="preserve"> the two agencies' </w:t>
      </w:r>
      <w:r w:rsidRPr="00111E0B">
        <w:rPr>
          <w:rStyle w:val="Emphasis"/>
        </w:rPr>
        <w:t>different burdens of proof</w:t>
      </w:r>
      <w:r w:rsidRPr="008A346F">
        <w:rPr>
          <w:rStyle w:val="StyleUnderline"/>
        </w:rPr>
        <w:t xml:space="preserve">, their investigations of federal securities law violations </w:t>
      </w:r>
      <w:r w:rsidRPr="00EE4566">
        <w:rPr>
          <w:rStyle w:val="Emphasis"/>
        </w:rPr>
        <w:t>frequently intersect</w:t>
      </w:r>
      <w:r w:rsidRPr="008A346F">
        <w:rPr>
          <w:rStyle w:val="StyleUnderline"/>
        </w:rPr>
        <w:t>.</w:t>
      </w:r>
      <w:r w:rsidRPr="008A346F">
        <w:rPr>
          <w:sz w:val="16"/>
        </w:rPr>
        <w:t xml:space="preserve">59  The </w:t>
      </w:r>
      <w:r w:rsidRPr="008A346F">
        <w:rPr>
          <w:rStyle w:val="StyleUnderline"/>
        </w:rPr>
        <w:t>securities laws also allow the Commission to share</w:t>
      </w:r>
      <w:r w:rsidRPr="008A346F">
        <w:rPr>
          <w:sz w:val="16"/>
        </w:rPr>
        <w:t xml:space="preserve"> the </w:t>
      </w:r>
      <w:r w:rsidRPr="008A346F">
        <w:rPr>
          <w:rStyle w:val="StyleUnderline"/>
        </w:rPr>
        <w:t>evidence</w:t>
      </w:r>
      <w:r w:rsidRPr="008A346F">
        <w:rPr>
          <w:sz w:val="16"/>
        </w:rPr>
        <w:t xml:space="preserve"> it accumulates </w:t>
      </w:r>
      <w:r w:rsidRPr="008A346F">
        <w:rPr>
          <w:rStyle w:val="StyleUnderline"/>
        </w:rPr>
        <w:t>while conducting</w:t>
      </w:r>
      <w:r w:rsidRPr="008A346F">
        <w:rPr>
          <w:sz w:val="16"/>
        </w:rPr>
        <w:t xml:space="preserve"> its </w:t>
      </w:r>
      <w:r w:rsidRPr="008A346F">
        <w:rPr>
          <w:rStyle w:val="StyleUnderline"/>
        </w:rPr>
        <w:t>civil investigations with United States Attorneys for</w:t>
      </w:r>
      <w:r w:rsidRPr="008A346F">
        <w:rPr>
          <w:sz w:val="16"/>
        </w:rPr>
        <w:t xml:space="preserve"> the purpose of </w:t>
      </w:r>
      <w:r w:rsidRPr="008A346F">
        <w:rPr>
          <w:rStyle w:val="StyleUnderline"/>
        </w:rPr>
        <w:t>facilitating</w:t>
      </w:r>
      <w:r w:rsidRPr="008A346F">
        <w:rPr>
          <w:sz w:val="16"/>
        </w:rPr>
        <w:t xml:space="preserve"> a </w:t>
      </w:r>
      <w:r w:rsidRPr="008A346F">
        <w:rPr>
          <w:rStyle w:val="StyleUnderline"/>
        </w:rPr>
        <w:t>criminal investigation.</w:t>
      </w:r>
      <w:r w:rsidRPr="008A346F">
        <w:rPr>
          <w:sz w:val="16"/>
        </w:rPr>
        <w:t xml:space="preserve">60 </w:t>
      </w:r>
      <w:r w:rsidRPr="008A346F">
        <w:rPr>
          <w:rStyle w:val="StyleUnderline"/>
        </w:rPr>
        <w:t>In United States v. Stringer, the Ninth Circuit approved the Commission's role in sharing information</w:t>
      </w:r>
      <w:r w:rsidRPr="008A346F">
        <w:rPr>
          <w:sz w:val="16"/>
        </w:rPr>
        <w:t xml:space="preserve"> with the DOJ </w:t>
      </w:r>
      <w:r w:rsidRPr="008A346F">
        <w:rPr>
          <w:rStyle w:val="StyleUnderline"/>
        </w:rPr>
        <w:t>to facilitate</w:t>
      </w:r>
      <w:r w:rsidRPr="008A346F">
        <w:rPr>
          <w:sz w:val="16"/>
        </w:rPr>
        <w:t xml:space="preserve"> the DOJ's own </w:t>
      </w:r>
      <w:r w:rsidRPr="008A346F">
        <w:rPr>
          <w:rStyle w:val="StyleUnderline"/>
        </w:rPr>
        <w:t>investigation and prosecution of crimes.</w:t>
      </w:r>
      <w:r w:rsidRPr="008A346F">
        <w:rPr>
          <w:sz w:val="16"/>
        </w:rPr>
        <w:t xml:space="preserve">61 </w:t>
      </w:r>
      <w:r w:rsidRPr="008A346F">
        <w:rPr>
          <w:rStyle w:val="StyleUnderline"/>
        </w:rPr>
        <w:t>The Commission and</w:t>
      </w:r>
      <w:r w:rsidRPr="008A346F">
        <w:rPr>
          <w:sz w:val="16"/>
        </w:rPr>
        <w:t xml:space="preserve"> the </w:t>
      </w:r>
      <w:r w:rsidRPr="008A346F">
        <w:rPr>
          <w:rStyle w:val="StyleUnderline"/>
        </w:rPr>
        <w:t>DOJ</w:t>
      </w:r>
      <w:r w:rsidRPr="008A346F">
        <w:rPr>
          <w:sz w:val="16"/>
        </w:rPr>
        <w:t xml:space="preserve"> also </w:t>
      </w:r>
      <w:r w:rsidRPr="00111E0B">
        <w:rPr>
          <w:rStyle w:val="Emphasis"/>
        </w:rPr>
        <w:t>liberally share</w:t>
      </w:r>
      <w:r w:rsidRPr="008A346F">
        <w:rPr>
          <w:sz w:val="16"/>
        </w:rPr>
        <w:t xml:space="preserve"> investigation materials. For example, </w:t>
      </w:r>
      <w:r w:rsidRPr="008A346F">
        <w:rPr>
          <w:rStyle w:val="StyleUnderline"/>
        </w:rPr>
        <w:t>Form SEC 1662 is sent to all witnesses</w:t>
      </w:r>
      <w:r w:rsidRPr="008A346F">
        <w:rPr>
          <w:sz w:val="16"/>
        </w:rPr>
        <w:t xml:space="preserve"> who are subpoenaed to 62testify before the Commission, </w:t>
      </w:r>
      <w:r w:rsidRPr="008A346F">
        <w:rPr>
          <w:rStyle w:val="StyleUnderline"/>
        </w:rPr>
        <w:t>and it informs the</w:t>
      </w:r>
      <w:r w:rsidRPr="008A346F">
        <w:rPr>
          <w:sz w:val="16"/>
        </w:rPr>
        <w:t xml:space="preserve"> subpoenaed </w:t>
      </w:r>
      <w:r w:rsidRPr="008A346F">
        <w:rPr>
          <w:rStyle w:val="StyleUnderline"/>
        </w:rPr>
        <w:t>witness that any information obtained may be used in a criminal proceeding.</w:t>
      </w:r>
      <w:r w:rsidRPr="008A346F">
        <w:rPr>
          <w:sz w:val="16"/>
        </w:rPr>
        <w:t>63</w:t>
      </w:r>
    </w:p>
    <w:p w14:paraId="1BDEA0A5" w14:textId="5290668E" w:rsidR="00CB3F1F" w:rsidRDefault="00CB3F1F" w:rsidP="00C72E89">
      <w:pPr>
        <w:pStyle w:val="Heading3"/>
      </w:pPr>
      <w:r>
        <w:t>2AC – IL – AT: PTO</w:t>
      </w:r>
    </w:p>
    <w:p w14:paraId="138F7250" w14:textId="495522A7" w:rsidR="00CB3F1F" w:rsidRPr="00CB3F1F" w:rsidRDefault="00CB3F1F" w:rsidP="00CB3F1F">
      <w:pPr>
        <w:pStyle w:val="Heading4"/>
      </w:pPr>
      <w:r w:rsidRPr="00CB3F1F">
        <w:rPr>
          <w:i/>
          <w:iCs w:val="0"/>
        </w:rPr>
        <w:t>Chevron</w:t>
      </w:r>
      <w:r>
        <w:t xml:space="preserve"> for the PTO is </w:t>
      </w:r>
      <w:r>
        <w:rPr>
          <w:u w:val="single"/>
        </w:rPr>
        <w:t>inconsequential</w:t>
      </w:r>
      <w:r>
        <w:t>.</w:t>
      </w:r>
    </w:p>
    <w:p w14:paraId="012112AD" w14:textId="77777777" w:rsidR="00CB3F1F" w:rsidRPr="00072EF0" w:rsidRDefault="00CB3F1F" w:rsidP="00CB3F1F">
      <w:pPr>
        <w:rPr>
          <w:i/>
          <w:iCs/>
        </w:rPr>
      </w:pPr>
      <w:r w:rsidRPr="00072EF0">
        <w:rPr>
          <w:b/>
          <w:bCs/>
          <w:sz w:val="26"/>
          <w:szCs w:val="26"/>
        </w:rPr>
        <w:t>Golden 13</w:t>
      </w:r>
      <w:r>
        <w:t xml:space="preserve"> - </w:t>
      </w:r>
      <w:r w:rsidRPr="00072EF0">
        <w:t>taught administrative law, contracts, patent law, and writing seminars relating to innovation and intellectual property</w:t>
      </w:r>
      <w:r>
        <w:t xml:space="preserve">, (John M., “The USPTO's Soft Power: Who Needs Chevron Deference,” </w:t>
      </w:r>
      <w:r w:rsidRPr="00072EF0">
        <w:t>66 SMU L. Rev. 541</w:t>
      </w:r>
      <w:r>
        <w:t xml:space="preserve">, 2013, </w:t>
      </w:r>
      <w:hyperlink r:id="rId200" w:history="1">
        <w:r w:rsidRPr="00DC67D3">
          <w:rPr>
            <w:rStyle w:val="Hyperlink"/>
          </w:rPr>
          <w:t>https://scholar.smu.edu/cgi/viewcontent.cgi?article=1120&amp;context=smulr</w:t>
        </w:r>
      </w:hyperlink>
      <w:r>
        <w:t>, Accessed 7-4-20, LASA-AH)</w:t>
      </w:r>
    </w:p>
    <w:p w14:paraId="6CD61F62" w14:textId="77777777" w:rsidR="00CB3F1F" w:rsidRDefault="00CB3F1F" w:rsidP="00CB3F1F">
      <w:r>
        <w:t xml:space="preserve">But I now confess to having seen a greater light. For the most part, </w:t>
      </w:r>
      <w:r w:rsidRPr="00072EF0">
        <w:rPr>
          <w:u w:val="single"/>
        </w:rPr>
        <w:t xml:space="preserve">need we care that much about whether the USPTO gets Chevron deference? </w:t>
      </w:r>
      <w:r>
        <w:t>True, Chevron deference enables an agency to effectively trump prior interpretations of statutes by courts or the agency itself.12 This aspect of a Chevron deference framework can be important where problematic precedent could otherwise prevent an agency from moving toward a more socially optimal way of resolving certain legal questions, as might be the case for issues of subject-matter eligibility in patent law.13</w:t>
      </w:r>
    </w:p>
    <w:p w14:paraId="6D7ED6B4" w14:textId="77777777" w:rsidR="00CB3F1F" w:rsidRDefault="00CB3F1F" w:rsidP="00CB3F1F">
      <w:r w:rsidRPr="00072EF0">
        <w:rPr>
          <w:u w:val="single"/>
        </w:rPr>
        <w:t xml:space="preserve">But agency or judicial precedent commonly leaves much room even for an agency not entitled to Chevron deference to shape courts' later understanding of the laws. </w:t>
      </w:r>
      <w:r>
        <w:t xml:space="preserve">History suggests </w:t>
      </w:r>
      <w:r w:rsidRPr="00072EF0">
        <w:rPr>
          <w:u w:val="single"/>
        </w:rPr>
        <w:t xml:space="preserve">that Chevron deference is </w:t>
      </w:r>
      <w:r w:rsidRPr="00072EF0">
        <w:rPr>
          <w:rStyle w:val="Emphasis"/>
        </w:rPr>
        <w:t>not needed for administrative agencies</w:t>
      </w:r>
      <w:r w:rsidRPr="00072EF0">
        <w:rPr>
          <w:u w:val="single"/>
        </w:rPr>
        <w:t xml:space="preserve"> to be effective.</w:t>
      </w:r>
      <w:r>
        <w:t xml:space="preserve"> Even in the wake of the New Deal, U</w:t>
      </w:r>
      <w:r w:rsidRPr="00072EF0">
        <w:rPr>
          <w:u w:val="single"/>
        </w:rPr>
        <w:t>.S. administrative agencies operated for decades before courts fully awakened to the Chevron principle,</w:t>
      </w:r>
      <w:r>
        <w:t xml:space="preserve"> which Tom Merrill has characterized as sparking something of an accidental revolution in the law. 14 </w:t>
      </w:r>
      <w:r w:rsidRPr="00072EF0">
        <w:rPr>
          <w:u w:val="single"/>
        </w:rPr>
        <w:t>Moreover</w:t>
      </w:r>
      <w:r>
        <w:t xml:space="preserve">, through the adoption of guidelines such as those on the patentability requirements of utility and adequate written description, </w:t>
      </w:r>
      <w:r w:rsidRPr="00072EF0">
        <w:rPr>
          <w:u w:val="single"/>
        </w:rPr>
        <w:t>the USPTO itself has demonstrated a capacity to influence the development of substantive patent law when it has the will to do so.</w:t>
      </w:r>
      <w:r>
        <w:t xml:space="preserve"> 15 Likewise, the Federal Trade Commission, an independent agency without any plausible claim to relevant interpretive authority with respect to U.S. patent law, has shown a capacity to influence patent law's development.16</w:t>
      </w:r>
    </w:p>
    <w:p w14:paraId="08BB4695" w14:textId="19B95CD1" w:rsidR="00CB3F1F" w:rsidRDefault="00CB3F1F" w:rsidP="00CB3F1F">
      <w:pPr>
        <w:rPr>
          <w:u w:val="single"/>
        </w:rPr>
      </w:pPr>
      <w:r>
        <w:t xml:space="preserve">In light of the above, this Essay argues that, </w:t>
      </w:r>
      <w:r w:rsidRPr="00072EF0">
        <w:rPr>
          <w:u w:val="single"/>
        </w:rPr>
        <w:t xml:space="preserve">even without access to Chevron deference, the USPTO </w:t>
      </w:r>
      <w:r w:rsidRPr="00072EF0">
        <w:rPr>
          <w:rStyle w:val="Emphasis"/>
        </w:rPr>
        <w:t>can act to significantly shape</w:t>
      </w:r>
      <w:r w:rsidRPr="00072EF0">
        <w:rPr>
          <w:u w:val="single"/>
        </w:rPr>
        <w:t xml:space="preserve"> the course of patent law's substantive developmen</w:t>
      </w:r>
      <w:r>
        <w:t xml:space="preserve">t. Instead of spilling more ink on what additional powers the USPTO should or could have, commentators and policymakers might better spend their time analyzing what the USPTO should do with the power it already has. </w:t>
      </w:r>
      <w:r w:rsidRPr="00072EF0">
        <w:rPr>
          <w:u w:val="single"/>
        </w:rPr>
        <w:t>Who needs Chevron deference? This rhetorical question overstates the point</w:t>
      </w:r>
      <w:r>
        <w:t xml:space="preserve">. But the bottom line is that </w:t>
      </w:r>
      <w:r w:rsidRPr="00072EF0">
        <w:rPr>
          <w:u w:val="single"/>
        </w:rPr>
        <w:t>the USPTO can accomplish much to improve the workings of patent law by using its existing fact-finding and non-binding rulemaking powers.</w:t>
      </w:r>
    </w:p>
    <w:p w14:paraId="38C29C7E" w14:textId="057EFA47" w:rsidR="00CB3F1F" w:rsidRDefault="00CB3F1F" w:rsidP="00CB3F1F">
      <w:pPr>
        <w:pStyle w:val="Heading4"/>
      </w:pPr>
      <w:r>
        <w:t>BUT deleterious – it destroys innovation.</w:t>
      </w:r>
    </w:p>
    <w:p w14:paraId="1CFA5DA6" w14:textId="77777777" w:rsidR="00CB3F1F" w:rsidRPr="00FE5D10" w:rsidRDefault="00CB3F1F" w:rsidP="00CB3F1F">
      <w:r w:rsidRPr="00FE5D10">
        <w:rPr>
          <w:b/>
          <w:bCs/>
          <w:sz w:val="26"/>
          <w:szCs w:val="26"/>
        </w:rPr>
        <w:t>Kerr 16</w:t>
      </w:r>
      <w:r>
        <w:t xml:space="preserve"> - </w:t>
      </w:r>
      <w:r w:rsidRPr="00FE5D10">
        <w:t>a professor of law at the UC Berkeley School of Law</w:t>
      </w:r>
      <w:r>
        <w:t>, (Orin, “</w:t>
      </w:r>
      <w:r w:rsidRPr="00FE5D10">
        <w:t>The case for patent law and criminal law exceptionalism in the administrative state</w:t>
      </w:r>
      <w:r>
        <w:t xml:space="preserve">,” </w:t>
      </w:r>
      <w:r>
        <w:rPr>
          <w:i/>
          <w:iCs/>
        </w:rPr>
        <w:t>The Washington Post</w:t>
      </w:r>
      <w:r>
        <w:t xml:space="preserve">, 2-12-16, </w:t>
      </w:r>
      <w:hyperlink r:id="rId201" w:history="1">
        <w:r w:rsidRPr="00DC67D3">
          <w:rPr>
            <w:rStyle w:val="Hyperlink"/>
          </w:rPr>
          <w:t>https://www.washingtonpost.com/news/volokh-conspiracy/wp/2016/02/12/the-case-for-patent-law-and-criminal-law-exceptionalism-in-the-administrative-state/</w:t>
        </w:r>
      </w:hyperlink>
      <w:r>
        <w:t>, Accessed 7-4-20, LASA-AH)</w:t>
      </w:r>
    </w:p>
    <w:p w14:paraId="4BE774E8" w14:textId="77777777" w:rsidR="00CB3F1F" w:rsidRDefault="00CB3F1F" w:rsidP="00CB3F1F">
      <w:r>
        <w:t xml:space="preserve">I have a different view. As I see it, </w:t>
      </w:r>
      <w:r w:rsidRPr="00397695">
        <w:rPr>
          <w:u w:val="single"/>
        </w:rPr>
        <w:t>courts generally don’t apply administrative law doctrines when reviewing the decisions of the PTO and DOJ for a good reason:</w:t>
      </w:r>
      <w:r>
        <w:t xml:space="preserve"> </w:t>
      </w:r>
      <w:r w:rsidRPr="00397695">
        <w:rPr>
          <w:u w:val="single"/>
        </w:rPr>
        <w:t xml:space="preserve">Patent law and criminal law </w:t>
      </w:r>
      <w:r w:rsidRPr="00397695">
        <w:rPr>
          <w:rStyle w:val="Emphasis"/>
        </w:rPr>
        <w:t>predate the regulatory state</w:t>
      </w:r>
      <w:r>
        <w:t xml:space="preserve">, and they work using different mechanisms. The deferential doctrines of administrative law, such as </w:t>
      </w:r>
      <w:r w:rsidRPr="00397695">
        <w:rPr>
          <w:u w:val="single"/>
        </w:rPr>
        <w:t>Chevron</w:t>
      </w:r>
      <w:r>
        <w:t xml:space="preserve">, were </w:t>
      </w:r>
      <w:r w:rsidRPr="00397695">
        <w:rPr>
          <w:u w:val="single"/>
        </w:rPr>
        <w:t>designed to review delegations of lawmaking authority by Congress to regulatory agencies</w:t>
      </w:r>
      <w:r>
        <w:t xml:space="preserve">. </w:t>
      </w:r>
      <w:r w:rsidRPr="00397695">
        <w:rPr>
          <w:u w:val="single"/>
        </w:rPr>
        <w:t>Deference is necessary to ensure that the power can be delegated.</w:t>
      </w:r>
      <w:r>
        <w:t xml:space="preserve"> </w:t>
      </w:r>
      <w:r w:rsidRPr="00397695">
        <w:rPr>
          <w:u w:val="single"/>
        </w:rPr>
        <w:t xml:space="preserve">But patent law and criminal law </w:t>
      </w:r>
      <w:r w:rsidRPr="00397695">
        <w:rPr>
          <w:rStyle w:val="Emphasis"/>
        </w:rPr>
        <w:t>do not rely on delegations</w:t>
      </w:r>
      <w:r w:rsidRPr="00397695">
        <w:rPr>
          <w:u w:val="single"/>
        </w:rPr>
        <w:t xml:space="preserve"> of lawmaking authority</w:t>
      </w:r>
      <w:r>
        <w:t>. As a result, I think it would be a bad idea to apply deferential standards in patent law or criminal law.</w:t>
      </w:r>
    </w:p>
    <w:p w14:paraId="097CCCB0" w14:textId="77777777" w:rsidR="00CB3F1F" w:rsidRPr="00397695" w:rsidRDefault="00CB3F1F" w:rsidP="00CB3F1F">
      <w:pPr>
        <w:rPr>
          <w:u w:val="single"/>
        </w:rPr>
      </w:pPr>
      <w:r>
        <w:t xml:space="preserve">Here’s the context, drawn largely from this article. Modern doctrines of administrative law like </w:t>
      </w:r>
      <w:r w:rsidRPr="00397695">
        <w:rPr>
          <w:u w:val="single"/>
        </w:rPr>
        <w:t>Chevron</w:t>
      </w:r>
      <w:r>
        <w:t xml:space="preserve"> </w:t>
      </w:r>
      <w:r w:rsidRPr="00397695">
        <w:rPr>
          <w:u w:val="single"/>
        </w:rPr>
        <w:t>are a response to a specific kind of agency authority</w:t>
      </w:r>
      <w:r>
        <w:t xml:space="preserve">. Starting mostly in the late 19th century, Congress began to create administrative agencies that were designed to have rulemaking power. </w:t>
      </w:r>
      <w:r w:rsidRPr="00397695">
        <w:rPr>
          <w:u w:val="single"/>
        </w:rPr>
        <w:t>Instead of enacting statutory rules in a particular field, Congress would create an agency and tell the agency to go off and regulate, hopefully in some kind of expert way, subject to a broad grant of authority or designation to act in the public interest</w:t>
      </w:r>
      <w:r>
        <w:t xml:space="preserve">. This arrangement didn’t fit particularly well in the three-branch constitutional framework, as it essentially gave the power of all three branches to an agency located in the executive branch. </w:t>
      </w:r>
      <w:r w:rsidRPr="00397695">
        <w:rPr>
          <w:u w:val="single"/>
        </w:rPr>
        <w:t>But the courts ended up fitting this arrangement into the three-branch framework, albeit awkwardly, on the theory that Congress had delegated that power to the agency, subject to some judicial review</w:t>
      </w:r>
      <w:r>
        <w:t xml:space="preserve">. To give those administrative agencies the authority to act in that zone of delegated power, </w:t>
      </w:r>
      <w:r w:rsidRPr="00397695">
        <w:rPr>
          <w:u w:val="single"/>
        </w:rPr>
        <w:t>courts created the deferential standards of administrative law such as Chevron</w:t>
      </w:r>
      <w:r>
        <w:t xml:space="preserve">. Deference created a zone in which the agency would regulate. </w:t>
      </w:r>
      <w:r w:rsidRPr="00397695">
        <w:rPr>
          <w:u w:val="single"/>
        </w:rPr>
        <w:t xml:space="preserve">Deference was necessary not because agencies were experts, but because it was </w:t>
      </w:r>
      <w:r w:rsidRPr="00397695">
        <w:rPr>
          <w:rStyle w:val="Emphasis"/>
        </w:rPr>
        <w:t>necessary step to give agencies</w:t>
      </w:r>
      <w:r w:rsidRPr="00397695">
        <w:rPr>
          <w:u w:val="single"/>
        </w:rPr>
        <w:t xml:space="preserve"> the substantive </w:t>
      </w:r>
      <w:r w:rsidRPr="00397695">
        <w:rPr>
          <w:rStyle w:val="Emphasis"/>
        </w:rPr>
        <w:t>rulemaking powers</w:t>
      </w:r>
      <w:r w:rsidRPr="00397695">
        <w:rPr>
          <w:u w:val="single"/>
        </w:rPr>
        <w:t xml:space="preserve"> they were supposed to exercise.</w:t>
      </w:r>
    </w:p>
    <w:p w14:paraId="13C53EB4" w14:textId="77777777" w:rsidR="00CB3F1F" w:rsidRDefault="00CB3F1F" w:rsidP="00CB3F1F">
      <w:r w:rsidRPr="00397695">
        <w:rPr>
          <w:u w:val="single"/>
        </w:rPr>
        <w:t>Courts</w:t>
      </w:r>
      <w:r>
        <w:t xml:space="preserve"> generally </w:t>
      </w:r>
      <w:r w:rsidRPr="00397695">
        <w:rPr>
          <w:u w:val="single"/>
        </w:rPr>
        <w:t xml:space="preserve">haven’t applied </w:t>
      </w:r>
      <w:r>
        <w:t xml:space="preserve">administrative law </w:t>
      </w:r>
      <w:r w:rsidRPr="00397695">
        <w:rPr>
          <w:u w:val="single"/>
        </w:rPr>
        <w:t xml:space="preserve">doctrines within patent law and criminal law because those fields </w:t>
      </w:r>
      <w:r w:rsidRPr="00397695">
        <w:rPr>
          <w:rStyle w:val="Emphasis"/>
        </w:rPr>
        <w:t>do not rely on delegations of power</w:t>
      </w:r>
      <w:r>
        <w:t xml:space="preserve">. Both systems predate the late 19th century regulatory agency model, and both have retained their earlier mechanisms that work in a pre-regulatory-state way. In the case of criminal law, </w:t>
      </w:r>
      <w:r w:rsidRPr="00397695">
        <w:rPr>
          <w:u w:val="single"/>
        </w:rPr>
        <w:t>Congress doesn’t delegate to DOJ the power to say what the criminal laws mean.</w:t>
      </w:r>
      <w:r>
        <w:t xml:space="preserve"> DOJ can </w:t>
      </w:r>
      <w:r w:rsidRPr="00397695">
        <w:rPr>
          <w:u w:val="single"/>
        </w:rPr>
        <w:t xml:space="preserve">execute the law by bringing a prosecution, based on the state of the law as established by the courts, </w:t>
      </w:r>
      <w:r>
        <w:t>but the power to say what the law is belongs solely to the courts. Similarly</w:t>
      </w:r>
      <w:r w:rsidRPr="00397695">
        <w:rPr>
          <w:u w:val="single"/>
        </w:rPr>
        <w:t xml:space="preserve">, Congress doesn’t delegate to the PTO the power to say what the patent laws mean. </w:t>
      </w:r>
      <w:r>
        <w:t>The PTO reviews patent applications, based on the state of the law as established by the courts, but the power to say what the law is belongs solely to the courts.</w:t>
      </w:r>
    </w:p>
    <w:p w14:paraId="11032CCD" w14:textId="77777777" w:rsidR="00CB3F1F" w:rsidRPr="00397695" w:rsidRDefault="00CB3F1F" w:rsidP="00CB3F1F">
      <w:pPr>
        <w:rPr>
          <w:u w:val="single"/>
        </w:rPr>
      </w:pPr>
      <w:r>
        <w:t xml:space="preserve">You might say, well, yes, this is the way it works now: But should it change? </w:t>
      </w:r>
      <w:r w:rsidRPr="00397695">
        <w:rPr>
          <w:u w:val="single"/>
        </w:rPr>
        <w:t>Should courts start applying administrative law doctrines in criminal law and patent law?</w:t>
      </w:r>
    </w:p>
    <w:p w14:paraId="41DA6ACC" w14:textId="77777777" w:rsidR="00CB3F1F" w:rsidRPr="00397695" w:rsidRDefault="00CB3F1F" w:rsidP="00CB3F1F">
      <w:pPr>
        <w:rPr>
          <w:u w:val="single"/>
        </w:rPr>
      </w:pPr>
      <w:r>
        <w:t xml:space="preserve">I think </w:t>
      </w:r>
      <w:r w:rsidRPr="00397695">
        <w:rPr>
          <w:rStyle w:val="Emphasis"/>
        </w:rPr>
        <w:t>the answer is “no.”</w:t>
      </w:r>
      <w:r>
        <w:t xml:space="preserve"> </w:t>
      </w:r>
      <w:r w:rsidRPr="00397695">
        <w:rPr>
          <w:u w:val="single"/>
        </w:rPr>
        <w:t>Deference doesn’t make sense without a delegation of rulemaking power</w:t>
      </w:r>
      <w:r>
        <w:t xml:space="preserve">. Consider the effect deference to the PTO might have in patent law, an issue I explored in my 2000 article, “Rethinking Patent Law in the Administrative State.” </w:t>
      </w:r>
      <w:r w:rsidRPr="00397695">
        <w:rPr>
          <w:u w:val="single"/>
        </w:rPr>
        <w:t>The idea of the patent laws is that the promise of getting a valuable patent will induce inventors to come with and disclose new inventions.</w:t>
      </w:r>
      <w:r>
        <w:t xml:space="preserve"> The mechanism resembles that of a unilateral contract offer. </w:t>
      </w:r>
      <w:r w:rsidRPr="00397695">
        <w:rPr>
          <w:u w:val="single"/>
        </w:rPr>
        <w:t xml:space="preserve">If the patent applicant can satisfy the terms of the offer, as explained in the Patent Act and interpreted by the courts, the applicant is </w:t>
      </w:r>
      <w:r w:rsidRPr="00397695">
        <w:rPr>
          <w:rStyle w:val="Emphasis"/>
        </w:rPr>
        <w:t>entitled to a patent</w:t>
      </w:r>
      <w:r w:rsidRPr="00397695">
        <w:rPr>
          <w:u w:val="single"/>
        </w:rPr>
        <w:t>.</w:t>
      </w:r>
      <w:r>
        <w:t xml:space="preserve"> It’s kind of like trying to encourage engineers to invent a private space ship by offering a prize of $10 million to the first group that can successfully do so. The promise of the prize is what induces the desirable conduct, with the “prize” in patent law being the intellectual property right of the patent. </w:t>
      </w:r>
      <w:r w:rsidRPr="00397695">
        <w:rPr>
          <w:u w:val="single"/>
        </w:rPr>
        <w:t>The role of the PTO is to act as the agent of the party (Congress) that offered the prize to determine if the prize was won.</w:t>
      </w:r>
    </w:p>
    <w:p w14:paraId="733FE208" w14:textId="77777777" w:rsidR="00CB3F1F" w:rsidRDefault="00CB3F1F" w:rsidP="00CB3F1F">
      <w:pPr>
        <w:rPr>
          <w:u w:val="single"/>
        </w:rPr>
      </w:pPr>
      <w:r>
        <w:t xml:space="preserve">This perspective suggest to me that </w:t>
      </w:r>
      <w:r w:rsidRPr="00397695">
        <w:rPr>
          <w:u w:val="single"/>
        </w:rPr>
        <w:t xml:space="preserve">PTO deference would </w:t>
      </w:r>
      <w:r w:rsidRPr="00397695">
        <w:rPr>
          <w:rStyle w:val="Emphasis"/>
        </w:rPr>
        <w:t>interfere with the goals of patent law</w:t>
      </w:r>
      <w:r>
        <w:t xml:space="preserve">. </w:t>
      </w:r>
      <w:r w:rsidRPr="00397695">
        <w:rPr>
          <w:u w:val="single"/>
        </w:rPr>
        <w:t xml:space="preserve">You wouldn’t want courts to defer to the PTO in patent cases for the same reason you wouldn’t be eager to invest in relying on a prize offer if you knew it was up to the offerer’s discretion to </w:t>
      </w:r>
      <w:r w:rsidRPr="00397695">
        <w:rPr>
          <w:rStyle w:val="Emphasis"/>
        </w:rPr>
        <w:t>decide whether the offer was accepted</w:t>
      </w:r>
      <w:r w:rsidRPr="00397695">
        <w:rPr>
          <w:u w:val="single"/>
        </w:rPr>
        <w:t>.</w:t>
      </w:r>
      <w:r>
        <w:t xml:space="preserve"> The point of making a prize offer is to induce reliance on it. </w:t>
      </w:r>
      <w:r w:rsidRPr="00397695">
        <w:rPr>
          <w:u w:val="single"/>
        </w:rPr>
        <w:t xml:space="preserve">To induce reliance, there has to be a way to make the offer </w:t>
      </w:r>
      <w:r w:rsidRPr="00397695">
        <w:rPr>
          <w:rStyle w:val="Emphasis"/>
        </w:rPr>
        <w:t>enforceable</w:t>
      </w:r>
      <w:r>
        <w:t xml:space="preserve">. With a prize, that way is contract law. </w:t>
      </w:r>
      <w:r w:rsidRPr="00397695">
        <w:rPr>
          <w:u w:val="single"/>
        </w:rPr>
        <w:t>If you satisfy a prize offer, and the offerer decides that in light of his expertise he thinks it better that he not pay, you can go into court and get de novo review</w:t>
      </w:r>
      <w:r>
        <w:t>. And ex ante, if you knew that the offerer had discretion not to pay</w:t>
      </w:r>
      <w:r w:rsidRPr="00FE5D10">
        <w:rPr>
          <w:u w:val="single"/>
        </w:rPr>
        <w:t>, you would be less eager to invest your time and energy trying to satisfy the prize</w:t>
      </w:r>
      <w:r>
        <w:t xml:space="preserve">. I think a similar dynamic explains why </w:t>
      </w:r>
      <w:r w:rsidRPr="00397695">
        <w:rPr>
          <w:u w:val="single"/>
        </w:rPr>
        <w:t>PTO deference would generally be a bad idea in patent law</w:t>
      </w:r>
      <w:r>
        <w:t xml:space="preserve">. At the margins, </w:t>
      </w:r>
      <w:r w:rsidRPr="00397695">
        <w:rPr>
          <w:u w:val="single"/>
        </w:rPr>
        <w:t>deference to the PTO as to whether it has to pay out by conferring a patent would just discourage reliance on the patent system’s offer.</w:t>
      </w:r>
    </w:p>
    <w:p w14:paraId="772A852E" w14:textId="00102B6C" w:rsidR="00CB3F1F" w:rsidRDefault="00CB3F1F" w:rsidP="00CB3F1F">
      <w:pPr>
        <w:pStyle w:val="Heading3"/>
      </w:pPr>
      <w:r>
        <w:t>1AR – IL – AT: PTO</w:t>
      </w:r>
    </w:p>
    <w:p w14:paraId="5074CB59" w14:textId="77777777" w:rsidR="00CB3F1F" w:rsidRDefault="00CB3F1F" w:rsidP="00CB3F1F">
      <w:pPr>
        <w:pStyle w:val="Heading4"/>
      </w:pPr>
      <w:r>
        <w:t xml:space="preserve">The USPTO already has </w:t>
      </w:r>
      <w:r>
        <w:rPr>
          <w:u w:val="single"/>
        </w:rPr>
        <w:t>sufficient</w:t>
      </w:r>
      <w:r>
        <w:t xml:space="preserve"> rule making powers and anything it’s missing </w:t>
      </w:r>
      <w:r>
        <w:rPr>
          <w:u w:val="single"/>
        </w:rPr>
        <w:t>can’t be solved</w:t>
      </w:r>
      <w:r>
        <w:t xml:space="preserve"> by Chevron</w:t>
      </w:r>
    </w:p>
    <w:p w14:paraId="2BAA0273" w14:textId="77777777" w:rsidR="00CB3F1F" w:rsidRPr="00966CD2" w:rsidRDefault="00CB3F1F" w:rsidP="00CB3F1F">
      <w:pPr>
        <w:rPr>
          <w:i/>
          <w:iCs/>
        </w:rPr>
      </w:pPr>
      <w:r w:rsidRPr="00072EF0">
        <w:rPr>
          <w:b/>
          <w:bCs/>
          <w:sz w:val="26"/>
          <w:szCs w:val="26"/>
        </w:rPr>
        <w:t>Golden 13</w:t>
      </w:r>
      <w:r>
        <w:t xml:space="preserve"> - </w:t>
      </w:r>
      <w:r w:rsidRPr="00072EF0">
        <w:t>taught administrative law, contracts, patent law, and writing seminars relating to innovation and intellectual property</w:t>
      </w:r>
      <w:r>
        <w:t xml:space="preserve">, (John M., “The USPTO's Soft Power: Who Needs Chevron Deference,” </w:t>
      </w:r>
      <w:r w:rsidRPr="00072EF0">
        <w:t>66 SMU L. Rev. 541</w:t>
      </w:r>
      <w:r>
        <w:t xml:space="preserve">, 2013, </w:t>
      </w:r>
      <w:hyperlink r:id="rId202" w:history="1">
        <w:r w:rsidRPr="00DC67D3">
          <w:rPr>
            <w:rStyle w:val="Hyperlink"/>
          </w:rPr>
          <w:t>https://scholar.smu.edu/cgi/viewcontent.cgi?article=1120&amp;context=smulr</w:t>
        </w:r>
      </w:hyperlink>
      <w:r>
        <w:t>, Accessed 7-4-20, LASA-AH)</w:t>
      </w:r>
    </w:p>
    <w:p w14:paraId="342CB35F" w14:textId="77777777" w:rsidR="00CB3F1F" w:rsidRDefault="00CB3F1F" w:rsidP="00CB3F1F">
      <w:r w:rsidRPr="00966CD2">
        <w:rPr>
          <w:u w:val="single"/>
        </w:rPr>
        <w:t>The USPTO already has the power to make rules, even rules on questions of "substantive patent law</w:t>
      </w:r>
      <w:r>
        <w:t xml:space="preserve">," such as whether a claimed invention is nonobvious."7 </w:t>
      </w:r>
      <w:r w:rsidRPr="00966CD2">
        <w:rPr>
          <w:u w:val="single"/>
        </w:rPr>
        <w:t xml:space="preserve">Congress has </w:t>
      </w:r>
      <w:r w:rsidRPr="00966CD2">
        <w:rPr>
          <w:rStyle w:val="Emphasis"/>
        </w:rPr>
        <w:t>explicitly authorized the USPTO</w:t>
      </w:r>
      <w:r w:rsidRPr="00966CD2">
        <w:rPr>
          <w:u w:val="single"/>
        </w:rPr>
        <w:t xml:space="preserve"> to issue regulations "govern[ing] the conduct of proceedings in the Office."'</w:t>
      </w:r>
      <w:r>
        <w:t xml:space="preserve">, Moreover, </w:t>
      </w:r>
      <w:r w:rsidRPr="00966CD2">
        <w:rPr>
          <w:u w:val="single"/>
        </w:rPr>
        <w:t>the USPTO is charged with the initial screening of patent applications19-which today number in the hundreds of thousands per year.2</w:t>
      </w:r>
      <w:r>
        <w:t xml:space="preserve">0 This task </w:t>
      </w:r>
      <w:r w:rsidRPr="00966CD2">
        <w:rPr>
          <w:u w:val="single"/>
        </w:rPr>
        <w:t>necessarily requires the USPTO to address patentability questions,</w:t>
      </w:r>
      <w:r>
        <w:t xml:space="preserve"> such as whether an invention is obvious over prior art21 -i.e., to provide answers to "substantive" questions of patent law. At the very least, </w:t>
      </w:r>
      <w:r w:rsidRPr="00966CD2">
        <w:rPr>
          <w:u w:val="single"/>
        </w:rPr>
        <w:t>because the USPTO is constantly confronting new technologies in making these determinations, USPTO personnel are continually having to engage in some form of interpretation of various substantive aspects of patent law-</w:t>
      </w:r>
      <w:r>
        <w:t>whether of statutory language itself, prior judicial precedents interpreting or applying such language, or the USPTO's own prior decisions and guidelines. The Manual of Patent Examining Procedure (</w:t>
      </w:r>
      <w:r w:rsidRPr="00966CD2">
        <w:rPr>
          <w:u w:val="single"/>
        </w:rPr>
        <w:t>MPEP</w:t>
      </w:r>
      <w:r>
        <w:t xml:space="preserve">), a several-hundred-page tome </w:t>
      </w:r>
      <w:r w:rsidRPr="00966CD2">
        <w:rPr>
          <w:u w:val="single"/>
        </w:rPr>
        <w:t>designed to provide instruction to examiners and those who appear before them</w:t>
      </w:r>
      <w:r>
        <w:t xml:space="preserve">,22 is in large part </w:t>
      </w:r>
      <w:r w:rsidRPr="00966CD2">
        <w:rPr>
          <w:u w:val="single"/>
        </w:rPr>
        <w:t>a monument to the USPTO's inescapable involvement in substantive interpretive activity and the demand</w:t>
      </w:r>
      <w:r>
        <w:t>, if not absolute need, for the USPTO to provide guidelines-one form of rulemaking23-for its several thousand examiners and the applicants and patent agents with whom these examiners interact.24 Yet in many respects, even the voluminous MPEP is merely a fragment, a shadow, of the mass of interpretive activity in which the USPTO's thousands of employees are regularly involved.</w:t>
      </w:r>
    </w:p>
    <w:p w14:paraId="31EA02D4" w14:textId="77777777" w:rsidR="00CB3F1F" w:rsidRPr="00966CD2" w:rsidRDefault="00CB3F1F" w:rsidP="00CB3F1F">
      <w:pPr>
        <w:rPr>
          <w:u w:val="single"/>
        </w:rPr>
      </w:pPr>
      <w:r>
        <w:t xml:space="preserve">In sum, </w:t>
      </w:r>
      <w:r w:rsidRPr="00966CD2">
        <w:rPr>
          <w:u w:val="single"/>
        </w:rPr>
        <w:t xml:space="preserve">the bare statement that the USPTO lacks substantive rulemaking authority </w:t>
      </w:r>
      <w:r w:rsidRPr="00966CD2">
        <w:rPr>
          <w:rStyle w:val="Emphasis"/>
        </w:rPr>
        <w:t>can be misleading</w:t>
      </w:r>
      <w:r>
        <w:t xml:space="preserve">. Inherent in a combination of the </w:t>
      </w:r>
      <w:r w:rsidRPr="00966CD2">
        <w:rPr>
          <w:u w:val="single"/>
        </w:rPr>
        <w:t xml:space="preserve">USPTO's authority to decide questions of patentability and its duty to act </w:t>
      </w:r>
      <w:r>
        <w:t xml:space="preserve">in accordance with general administrative law norms of consistency and due process is an authority to develop policies, guidelines, and internal agency precedent that operates on matters of substance and does so in the nature of a "rule"" 25 in the somewhat oracular words of the Adminis trative Procedure Act, "the whole or a part of an agency statement of general or particular applicability and future effect designed to implement, interpret, or prescribe law or policy or describing the organization, procedure, or practice requirements of an agency." 26 According to current judicial precedent, 27 </w:t>
      </w:r>
      <w:r w:rsidRPr="00966CD2">
        <w:rPr>
          <w:u w:val="single"/>
        </w:rPr>
        <w:t>what the USPTO really lacks is the capacity to issue binding substantive rules-i.e., so-called "legislative rules" on substantive questions of patent law that "carry[] the force of law" 2 8 and would be presumptively binding both within the USPTO itself and externally upon courts charged with reviewing its actions.2</w:t>
      </w:r>
      <w:r>
        <w:rPr>
          <w:u w:val="single"/>
        </w:rPr>
        <w:t>9</w:t>
      </w:r>
    </w:p>
    <w:p w14:paraId="445E197C" w14:textId="77777777" w:rsidR="00CB3F1F" w:rsidRDefault="00CB3F1F" w:rsidP="00CB3F1F">
      <w:pPr>
        <w:pStyle w:val="Heading4"/>
      </w:pPr>
      <w:r>
        <w:t xml:space="preserve">Chevron deference in the USPTO </w:t>
      </w:r>
      <w:r>
        <w:rPr>
          <w:u w:val="single"/>
        </w:rPr>
        <w:t>undercuts</w:t>
      </w:r>
      <w:r>
        <w:t xml:space="preserve"> stability in patent law</w:t>
      </w:r>
    </w:p>
    <w:p w14:paraId="6904727E" w14:textId="77777777" w:rsidR="00CB3F1F" w:rsidRPr="00072EF0" w:rsidRDefault="00CB3F1F" w:rsidP="00CB3F1F">
      <w:r w:rsidRPr="00072EF0">
        <w:rPr>
          <w:b/>
          <w:bCs/>
          <w:sz w:val="26"/>
          <w:szCs w:val="26"/>
        </w:rPr>
        <w:t>Micheals 19</w:t>
      </w:r>
      <w:r>
        <w:t xml:space="preserve"> - </w:t>
      </w:r>
      <w:r w:rsidRPr="00072EF0">
        <w:t>an Assistant Professor of Law at University of Houston Law Center, where he currently teaches Patent Law, Intellectual Property Survey, and Statutory Interpretation &amp; Regulatio</w:t>
      </w:r>
      <w:r>
        <w:t>n, (Andrew, “</w:t>
      </w:r>
      <w:r w:rsidRPr="00072EF0">
        <w:t>Examining the USPTO’s Bid for Adjudicatory Chevron Deference</w:t>
      </w:r>
      <w:r>
        <w:t xml:space="preserve">,” </w:t>
      </w:r>
      <w:r>
        <w:rPr>
          <w:i/>
          <w:iCs/>
        </w:rPr>
        <w:t>IP Watchdog</w:t>
      </w:r>
      <w:r>
        <w:t xml:space="preserve">, 10-1-19, </w:t>
      </w:r>
      <w:hyperlink r:id="rId203" w:history="1">
        <w:r w:rsidRPr="00DC67D3">
          <w:rPr>
            <w:rStyle w:val="Hyperlink"/>
          </w:rPr>
          <w:t>https://www.ipwatchdog.com/2019/10/01/examining-usptos-bid-adjudicatory-chevron-deference/id=114132/</w:t>
        </w:r>
      </w:hyperlink>
      <w:r>
        <w:t>, Accessed 7-4-20, LASA-AH)</w:t>
      </w:r>
    </w:p>
    <w:p w14:paraId="6AA92F20" w14:textId="77777777" w:rsidR="00CB3F1F" w:rsidRDefault="00CB3F1F" w:rsidP="00CB3F1F">
      <w:r>
        <w:t xml:space="preserve">By contrast, </w:t>
      </w:r>
      <w:r w:rsidRPr="00072EF0">
        <w:rPr>
          <w:u w:val="single"/>
        </w:rPr>
        <w:t xml:space="preserve">the USPTO has </w:t>
      </w:r>
      <w:r w:rsidRPr="00072EF0">
        <w:rPr>
          <w:rStyle w:val="Emphasis"/>
        </w:rPr>
        <w:t>no such general rulemaking power</w:t>
      </w:r>
      <w:r w:rsidRPr="00072EF0">
        <w:rPr>
          <w:u w:val="single"/>
        </w:rPr>
        <w:t xml:space="preserve"> on issues of substantive patent law</w:t>
      </w:r>
      <w:r>
        <w:t xml:space="preserve">. So even if the PTAB precedential adjudications are considered to be “relatively formal,” (which they arguably are), </w:t>
      </w:r>
      <w:r w:rsidRPr="00072EF0">
        <w:rPr>
          <w:u w:val="single"/>
        </w:rPr>
        <w:t xml:space="preserve">the first requirement for Chevron deference </w:t>
      </w:r>
      <w:r w:rsidRPr="00072EF0">
        <w:rPr>
          <w:rStyle w:val="Emphasis"/>
        </w:rPr>
        <w:t>is still missing</w:t>
      </w:r>
      <w:r w:rsidRPr="00072EF0">
        <w:rPr>
          <w:u w:val="single"/>
        </w:rPr>
        <w:t xml:space="preserve"> when it comes to substantive patent law. </w:t>
      </w:r>
      <w:r>
        <w:t xml:space="preserve">Even on procedural issues where the USPTO does enjoy a grant of authority to issue regulations, </w:t>
      </w:r>
      <w:r w:rsidRPr="00072EF0">
        <w:rPr>
          <w:u w:val="single"/>
        </w:rPr>
        <w:t>it is questionable whether precedential PTAB adjudication would qualify as a proper exercise of that authority.</w:t>
      </w:r>
      <w:r>
        <w:t xml:space="preserve"> See Aqua Prods. v. Matal, 872 F.3d 1290, 1333 (Fed. Cir. 2017) (en banc) (Moore, J., dissenting) (“where Congress delegated the agency rulemaking authority to be exercised through regulation, I cannot agree to extend Chevron deference to agency rulemaking through other means”). Deferring to PTAB adjudications could encourage the USPTO to avoid the notice and comment rulemaking process.</w:t>
      </w:r>
    </w:p>
    <w:p w14:paraId="7781D948" w14:textId="77777777" w:rsidR="00CB3F1F" w:rsidRDefault="00CB3F1F" w:rsidP="00CB3F1F">
      <w:r>
        <w:t xml:space="preserve">Furthermore, </w:t>
      </w:r>
      <w:r w:rsidRPr="00072EF0">
        <w:rPr>
          <w:u w:val="single"/>
        </w:rPr>
        <w:t>even “precedential” PTAB adjudication deviates from the requirements for “formal adjudication</w:t>
      </w:r>
      <w:r>
        <w:t xml:space="preserve">” </w:t>
      </w:r>
      <w:r w:rsidRPr="00072EF0">
        <w:rPr>
          <w:u w:val="single"/>
        </w:rPr>
        <w:t>under the Administrative Procedure Act (APA)</w:t>
      </w:r>
      <w:r>
        <w:t xml:space="preserve"> in multiple ways: (1) </w:t>
      </w:r>
      <w:r w:rsidRPr="00072EF0">
        <w:rPr>
          <w:u w:val="single"/>
        </w:rPr>
        <w:t>it uses Administrative Patent Judges employed directly by the USPTO, rather than the more insulated Administrative Law Judges employed by the Office of Personnel Management</w:t>
      </w:r>
      <w:r>
        <w:t xml:space="preserve">, and (2) </w:t>
      </w:r>
      <w:r w:rsidRPr="00072EF0">
        <w:rPr>
          <w:u w:val="single"/>
        </w:rPr>
        <w:t>appeals from PTAB opinions go directly to the Federal Circuit; there is no ability to appeal for review within the agency as a whole</w:t>
      </w:r>
      <w:r>
        <w:t>. See John M. Golden, Working Without Chevron: The PTO As Primer Mover, 65 Duke L. J. 1657, 1658 (2016) (explaining that PTAB adjudication is “not technically ‘formal’ in the standard APA sense”).</w:t>
      </w:r>
    </w:p>
    <w:p w14:paraId="4B798642" w14:textId="77777777" w:rsidR="00CB3F1F" w:rsidRDefault="00CB3F1F" w:rsidP="00CB3F1F">
      <w:r>
        <w:t xml:space="preserve">These deviations from technically formal adjudication under the APA arguably mean that the </w:t>
      </w:r>
      <w:r w:rsidRPr="00072EF0">
        <w:rPr>
          <w:u w:val="single"/>
        </w:rPr>
        <w:t>PTAB cannot speak with the force of law through adjudication even on issues where it has the authority to do so through regulation</w:t>
      </w:r>
      <w:r>
        <w:t xml:space="preserve">. But even if not, </w:t>
      </w:r>
      <w:r w:rsidRPr="00072EF0">
        <w:rPr>
          <w:u w:val="single"/>
        </w:rPr>
        <w:t>they should confirm that authority to speak with force of law on issues of substantive patent law cannot be inferred from the PTAB’s ability</w:t>
      </w:r>
      <w:r>
        <w:t xml:space="preserve"> to engage in formal-like adjudication. </w:t>
      </w:r>
      <w:r w:rsidRPr="00072EF0">
        <w:rPr>
          <w:u w:val="single"/>
        </w:rPr>
        <w:t>Such an inference is even more implausible given that Congress created the Federal Circuit to be the primary authority</w:t>
      </w:r>
      <w:r>
        <w:t xml:space="preserve"> (aside from the Supreme Court) </w:t>
      </w:r>
      <w:r w:rsidRPr="00072EF0">
        <w:rPr>
          <w:u w:val="single"/>
        </w:rPr>
        <w:t xml:space="preserve">on issues of </w:t>
      </w:r>
      <w:r w:rsidRPr="00072EF0">
        <w:rPr>
          <w:rStyle w:val="Emphasis"/>
        </w:rPr>
        <w:t>substantive patent law</w:t>
      </w:r>
      <w:r w:rsidRPr="00072EF0">
        <w:rPr>
          <w:u w:val="single"/>
        </w:rPr>
        <w:t xml:space="preserve">. </w:t>
      </w:r>
      <w:r>
        <w:t>Cf. Cleveland Clinic Found. v. True Health Diagnostic LLC, 760 Fed. Appx. 1013, 1020 (Fed. Cir. Apr. 1, 2019) (nonprecedential) (“While we greatly respect the PTO’s expertise on all matters relating to patentability, including patent eligibility, we are not bound by its guidance.”); In re Diagnostics, 800 F.2d 1077, 1084 (Fed. Cir. 1986) (Markey, J.) (discussing “the congressionally envisioned role of this court, i.e., to contribute to doctrinal stability in the field of patent law”).</w:t>
      </w:r>
    </w:p>
    <w:p w14:paraId="1020696C" w14:textId="77777777" w:rsidR="00CB3F1F" w:rsidRDefault="00CB3F1F" w:rsidP="00CB3F1F">
      <w:r>
        <w:t>A Threat to Consistency in Patent Law</w:t>
      </w:r>
    </w:p>
    <w:p w14:paraId="075E872F" w14:textId="6711EBC9" w:rsidR="00CB3F1F" w:rsidRDefault="00CB3F1F" w:rsidP="00CB3F1F">
      <w:pPr>
        <w:rPr>
          <w:u w:val="single"/>
        </w:rPr>
      </w:pPr>
      <w:r w:rsidRPr="00072EF0">
        <w:rPr>
          <w:u w:val="single"/>
        </w:rPr>
        <w:t xml:space="preserve">The position of the USPTO could potentially change with each presidential administration, and stability in patent law could thus be </w:t>
      </w:r>
      <w:r w:rsidRPr="00072EF0">
        <w:rPr>
          <w:rStyle w:val="Emphasis"/>
        </w:rPr>
        <w:t>significantly undercut</w:t>
      </w:r>
      <w:r w:rsidRPr="00072EF0">
        <w:rPr>
          <w:u w:val="single"/>
        </w:rPr>
        <w:t xml:space="preserve"> if the courts were required to defer to such shifting positions on issues of substantive patent law.</w:t>
      </w:r>
      <w:r>
        <w:t xml:space="preserve"> The USPTO in its brief to the Federal Circuit argues that </w:t>
      </w:r>
      <w:r w:rsidRPr="00072EF0">
        <w:rPr>
          <w:u w:val="single"/>
        </w:rPr>
        <w:t>Chevron deference is “particularly sensible” where the issue is “one governing the process of adjudication itself.</w:t>
      </w:r>
      <w:r>
        <w:t xml:space="preserve">”  See Windy City, supra, at *9. But </w:t>
      </w:r>
      <w:r w:rsidRPr="00072EF0">
        <w:rPr>
          <w:u w:val="single"/>
        </w:rPr>
        <w:t xml:space="preserve">Chevron deference is at most sensible only on such issues, </w:t>
      </w:r>
      <w:r>
        <w:t xml:space="preserve">and </w:t>
      </w:r>
      <w:r w:rsidRPr="00072EF0">
        <w:rPr>
          <w:u w:val="single"/>
        </w:rPr>
        <w:t>any Federal Circuit opinion accepting the USPTO’s position should be very careful to make clear that it is not endorsing the USPTO’s argument with respect to issues of substantive patent law, so as to ensure that the Federal Circuit can continue to fulfill its role as the authority on such issues.</w:t>
      </w:r>
    </w:p>
    <w:p w14:paraId="5835B891" w14:textId="351E8F80" w:rsidR="00417BAB" w:rsidRPr="00417BAB" w:rsidRDefault="00417BAB" w:rsidP="00417BAB">
      <w:pPr>
        <w:pStyle w:val="Heading4"/>
      </w:pPr>
      <w:r>
        <w:t xml:space="preserve">Patent instability </w:t>
      </w:r>
      <w:r>
        <w:rPr>
          <w:u w:val="single"/>
        </w:rPr>
        <w:t>now</w:t>
      </w:r>
      <w:r>
        <w:t>.</w:t>
      </w:r>
    </w:p>
    <w:p w14:paraId="1FF66C71" w14:textId="77777777" w:rsidR="00417BAB" w:rsidRPr="003302D6" w:rsidRDefault="00417BAB" w:rsidP="00417BAB">
      <w:r w:rsidRPr="003302D6">
        <w:rPr>
          <w:b/>
          <w:bCs/>
          <w:sz w:val="26"/>
          <w:szCs w:val="26"/>
        </w:rPr>
        <w:t>Holman 11</w:t>
      </w:r>
      <w:r>
        <w:t xml:space="preserve"> - </w:t>
      </w:r>
      <w:r w:rsidRPr="003302D6">
        <w:t>University of Missouri - Kansas City School of Law</w:t>
      </w:r>
      <w:r>
        <w:t>, (Christopher M., “</w:t>
      </w:r>
      <w:r w:rsidRPr="003302D6">
        <w:t>Unpredictability in patent law and its effect on pharmaceutical innovation</w:t>
      </w:r>
      <w:r>
        <w:t xml:space="preserve">,” </w:t>
      </w:r>
      <w:r w:rsidRPr="003302D6">
        <w:t>Missouri Law Review(Vol. 76, Issue 3)</w:t>
      </w:r>
      <w:r>
        <w:t xml:space="preserve">, Summer 2011, </w:t>
      </w:r>
      <w:hyperlink r:id="rId204" w:history="1">
        <w:r w:rsidRPr="00DC67D3">
          <w:rPr>
            <w:rStyle w:val="Hyperlink"/>
          </w:rPr>
          <w:t>https://www.researchgate.net/publication/265179404_Unpredictability_in_Patent_Law_and_Its_Effect_on_Pharmaceutical_Innovation</w:t>
        </w:r>
      </w:hyperlink>
      <w:r>
        <w:t>, Accessed 7-4-20, LASA-AH)</w:t>
      </w:r>
    </w:p>
    <w:p w14:paraId="4BAAF5C1" w14:textId="77777777" w:rsidR="00417BAB" w:rsidRPr="00344C08" w:rsidRDefault="00417BAB" w:rsidP="00417BAB">
      <w:r>
        <w:t xml:space="preserve">In recent years, the </w:t>
      </w:r>
      <w:r w:rsidRPr="00344C08">
        <w:rPr>
          <w:u w:val="single"/>
        </w:rPr>
        <w:t>major innovator pharmaceutical companies have experienced two pronounced and significant trends: a decreasing output of innovative new drugs and cutbacks in research and development (R&amp;D) investment</w:t>
      </w:r>
      <w:r>
        <w:t>. The two phenomena probably are not unrelated and raise significant concerns for a society intent upon providing affordable health care for an aging population.</w:t>
      </w:r>
    </w:p>
    <w:p w14:paraId="358F5ED4" w14:textId="22A1A1A4" w:rsidR="00417BAB" w:rsidRDefault="00417BAB" w:rsidP="00CB3F1F">
      <w:pPr>
        <w:rPr>
          <w:u w:val="single"/>
        </w:rPr>
      </w:pPr>
      <w:r w:rsidRPr="00344C08">
        <w:rPr>
          <w:u w:val="single"/>
        </w:rPr>
        <w:t xml:space="preserve">While the root causes of these trends are complex and diverse, we should not overlook the </w:t>
      </w:r>
      <w:r w:rsidRPr="00344C08">
        <w:rPr>
          <w:rStyle w:val="Emphasis"/>
        </w:rPr>
        <w:t>critical role patents play</w:t>
      </w:r>
      <w:r>
        <w:t xml:space="preserve"> </w:t>
      </w:r>
      <w:r w:rsidRPr="00344C08">
        <w:rPr>
          <w:u w:val="single"/>
        </w:rPr>
        <w:t>in creating the necessary incentives for</w:t>
      </w:r>
      <w:r>
        <w:t xml:space="preserve"> the substantial </w:t>
      </w:r>
      <w:r w:rsidRPr="00344C08">
        <w:rPr>
          <w:u w:val="single"/>
        </w:rPr>
        <w:t>investment required to develop pharmaceutically-interesting chemical compounds</w:t>
      </w:r>
      <w:r>
        <w:t xml:space="preserve"> into actual drugs and to take them through the clinical trials necessary for Food and Drug Administration (FDA) approval. In a recent presentation, Robert Armitage, Senior Vice President and General counsel for Eli Lilly and co. (Lilly), identified </w:t>
      </w:r>
      <w:r w:rsidRPr="00344C08">
        <w:rPr>
          <w:u w:val="single"/>
        </w:rPr>
        <w:t xml:space="preserve">the high level of unpredictability in today's patent law as a </w:t>
      </w:r>
      <w:r w:rsidRPr="00344C08">
        <w:rPr>
          <w:rStyle w:val="Emphasis"/>
        </w:rPr>
        <w:t>significant impediment</w:t>
      </w:r>
      <w:r w:rsidRPr="00344C08">
        <w:rPr>
          <w:u w:val="single"/>
        </w:rPr>
        <w:t xml:space="preserve"> to the development of new medicines.</w:t>
      </w:r>
      <w:r>
        <w:t xml:space="preserve"> (1) This Article discusses various </w:t>
      </w:r>
      <w:r w:rsidRPr="00344C08">
        <w:rPr>
          <w:u w:val="single"/>
        </w:rPr>
        <w:t>forms of unpredictability in patent law and how they impact innovators, particularly in the pharmaceutical sector, and provides some ideas for addressing the problem.</w:t>
      </w:r>
    </w:p>
    <w:p w14:paraId="293D8154" w14:textId="0D94CFBD" w:rsidR="00A41F85" w:rsidRPr="00175A75" w:rsidRDefault="00A41F85" w:rsidP="00A41F85">
      <w:pPr>
        <w:pStyle w:val="Heading4"/>
      </w:pPr>
      <w:r>
        <w:t>Circuits already mess it up.</w:t>
      </w:r>
    </w:p>
    <w:p w14:paraId="37974BEF" w14:textId="77777777" w:rsidR="00A41F85" w:rsidRPr="006E4139" w:rsidRDefault="00A41F85" w:rsidP="00A41F85">
      <w:r w:rsidRPr="00063017">
        <w:rPr>
          <w:b/>
          <w:bCs/>
          <w:sz w:val="26"/>
          <w:szCs w:val="26"/>
        </w:rPr>
        <w:t>Masur et al. 10</w:t>
      </w:r>
      <w:r>
        <w:t xml:space="preserve"> - r</w:t>
      </w:r>
      <w:r w:rsidRPr="00063017">
        <w:t>eceived a BS in physics and an AB in political science from Stanford University in 1999 and his JD from Harvard Law School in 2003</w:t>
      </w:r>
      <w:r>
        <w:t xml:space="preserve">, (Jonathon, James B. Speta is a </w:t>
      </w:r>
      <w:r w:rsidRPr="00063017">
        <w:t>Professor</w:t>
      </w:r>
      <w:r>
        <w:t xml:space="preserve"> at</w:t>
      </w:r>
      <w:r w:rsidRPr="00063017">
        <w:t xml:space="preserve"> Northwestern University School of Law</w:t>
      </w:r>
      <w:r>
        <w:t xml:space="preserve">, </w:t>
      </w:r>
      <w:r w:rsidRPr="00063017">
        <w:t>Nicholas M. Zovko</w:t>
      </w:r>
      <w:r>
        <w:t xml:space="preserve"> is </w:t>
      </w:r>
      <w:r w:rsidRPr="00063017">
        <w:t>an attorney at the law firm Knobbe Martens</w:t>
      </w:r>
      <w:r>
        <w:t xml:space="preserve">, </w:t>
      </w:r>
      <w:r w:rsidRPr="00063017">
        <w:t>Donald L. Zuhn, Jr is a partner at McDonnell Boehnen Hulbert &amp; Berghoff LLP, where his practice focuses on biotechnology and pharmaceutical patent</w:t>
      </w:r>
      <w:r>
        <w:t xml:space="preserve"> law, “Who Defines the Law? USPTO Rulemaking Authority,” </w:t>
      </w:r>
      <w:r>
        <w:rPr>
          <w:i/>
          <w:iCs/>
        </w:rPr>
        <w:t>Northwestern Journal of Technology and Intellectual Property, Volume 8 Issue 3</w:t>
      </w:r>
      <w:r>
        <w:t xml:space="preserve">, Summer 2010, </w:t>
      </w:r>
      <w:hyperlink r:id="rId205" w:history="1">
        <w:r w:rsidRPr="00DC67D3">
          <w:rPr>
            <w:rStyle w:val="Hyperlink"/>
          </w:rPr>
          <w:t>https://scholarlycommons.law.northwestern.edu/cgi/viewcontent.cgi?article=1113&amp;context=njtip</w:t>
        </w:r>
      </w:hyperlink>
      <w:r>
        <w:t>, Accessed 7-4-20, LASA-AH)</w:t>
      </w:r>
    </w:p>
    <w:p w14:paraId="4248D030" w14:textId="77777777" w:rsidR="00A41F85" w:rsidRPr="00F84F7A" w:rsidRDefault="00A41F85" w:rsidP="00A41F85">
      <w:r w:rsidRPr="00F84F7A">
        <w:t>PROFESSOR SPETA: But starting from first principles of administrative law</w:t>
      </w:r>
      <w:r w:rsidRPr="00F84F7A">
        <w:rPr>
          <w:u w:val="single"/>
        </w:rPr>
        <w:t>, I don't understand why this isn't a great case for Chevron deference. Here we have a statute that's ambiguous. We have an agency that administers the statute</w:t>
      </w:r>
      <w:r w:rsidRPr="00F84F7A">
        <w:t xml:space="preserve">. We have an agency that has substantial expertise in the statutory subject matter, and deference would create uniformity, right? </w:t>
      </w:r>
      <w:r w:rsidRPr="00F84F7A">
        <w:rPr>
          <w:u w:val="single"/>
        </w:rPr>
        <w:t>Substantial uniformity that the Federal Circuit itself cannot provide,</w:t>
      </w:r>
      <w:r w:rsidRPr="00F84F7A">
        <w:t xml:space="preserve"> at least on a case-by-case basis. </w:t>
      </w:r>
      <w:r w:rsidRPr="00F84F7A">
        <w:rPr>
          <w:u w:val="single"/>
        </w:rPr>
        <w:t xml:space="preserve">Many people have criticized the patent litigation process as resulting in just far </w:t>
      </w:r>
      <w:r w:rsidRPr="00F84F7A">
        <w:rPr>
          <w:rStyle w:val="Emphasis"/>
        </w:rPr>
        <w:t>too many appeals to the Federal Circuit.</w:t>
      </w:r>
      <w:r w:rsidRPr="00F84F7A">
        <w:t xml:space="preserve"> </w:t>
      </w:r>
      <w:r w:rsidRPr="00F84F7A">
        <w:rPr>
          <w:u w:val="single"/>
        </w:rPr>
        <w:t xml:space="preserve">Chevron deference would at </w:t>
      </w:r>
      <w:r w:rsidRPr="00F84F7A">
        <w:rPr>
          <w:rStyle w:val="Emphasis"/>
        </w:rPr>
        <w:t>least tip the balance in the other direction</w:t>
      </w:r>
      <w:r w:rsidRPr="00F84F7A">
        <w:t xml:space="preserve">. And, in fact, </w:t>
      </w:r>
      <w:r w:rsidRPr="00F84F7A">
        <w:rPr>
          <w:u w:val="single"/>
        </w:rPr>
        <w:t>there are deep reasons, from a public choice perspective, to be suspicious of the Federal Circuit interpreting the statute not to give Chevron deference to the administrative agency</w:t>
      </w:r>
      <w:r w:rsidRPr="00F84F7A">
        <w:t>, because if the administrative agency doesn't have interpretive authority</w:t>
      </w:r>
      <w:r w:rsidRPr="00F84F7A">
        <w:rPr>
          <w:u w:val="single"/>
        </w:rPr>
        <w:t>, it all ends up in the lap of the Federal Circui</w:t>
      </w:r>
      <w:r w:rsidRPr="00F84F7A">
        <w:t xml:space="preserve">t. I'm not saying it's a conflict of interest, but one might be suspicious. So when at least this administrative law professor looks at Section 2(B) of the Patent Act, which says that </w:t>
      </w:r>
      <w:r w:rsidRPr="00F84F7A">
        <w:rPr>
          <w:u w:val="single"/>
        </w:rPr>
        <w:t>the PTO "may establish regulations, not inconsistent with law, which shall govern the conduct of proceedings in the Office,"</w:t>
      </w:r>
      <w:r w:rsidRPr="00F84F7A">
        <w:t xml:space="preserve"> that does not immediately say to me that that only includes procedural regulations.</w:t>
      </w:r>
    </w:p>
    <w:p w14:paraId="7E679C66" w14:textId="77777777" w:rsidR="00A41F85" w:rsidRPr="00F84F7A" w:rsidRDefault="00A41F85" w:rsidP="00A41F85">
      <w:r w:rsidRPr="00F84F7A">
        <w:t xml:space="preserve">¶19 Of course, the language "the conduct of proceedings in the Office" sounds like procedural rules, but I think </w:t>
      </w:r>
      <w:r w:rsidRPr="00F84F7A">
        <w:rPr>
          <w:u w:val="single"/>
        </w:rPr>
        <w:t>a broader reading is possible when one considers the particular manner in which the PTO acts</w:t>
      </w:r>
      <w:r w:rsidRPr="00F84F7A">
        <w:t xml:space="preserve">; that is, the PTO acts, of course, </w:t>
      </w:r>
      <w:r w:rsidRPr="00F84F7A">
        <w:rPr>
          <w:u w:val="single"/>
        </w:rPr>
        <w:t>through the grant or denial of patent applications</w:t>
      </w:r>
      <w:r w:rsidRPr="00F84F7A">
        <w:t xml:space="preserve">. In administrative law terms, it </w:t>
      </w:r>
      <w:r w:rsidRPr="00F84F7A">
        <w:rPr>
          <w:u w:val="single"/>
        </w:rPr>
        <w:t xml:space="preserve">has consequences in the real world </w:t>
      </w:r>
      <w:r w:rsidRPr="00F84F7A">
        <w:rPr>
          <w:rStyle w:val="Emphasis"/>
        </w:rPr>
        <w:t>only through adjudications</w:t>
      </w:r>
      <w:r w:rsidRPr="00F84F7A">
        <w:t xml:space="preserve">. There are no provisions of the Patent Act such as there are in the securities laws that state that certain behavior is illegal if it has been defined as illegal by the agency through a rulemaking. Thus, of course, </w:t>
      </w:r>
      <w:r w:rsidRPr="00F84F7A">
        <w:rPr>
          <w:u w:val="single"/>
        </w:rPr>
        <w:t>a patent is issued through an adjudication, and such an adjudication is certainly, quote, "a proceeding" in the Office</w:t>
      </w:r>
      <w:r w:rsidRPr="00F84F7A">
        <w:t xml:space="preserve">. So rules promulgated pursuant to 2(A) could do two things. They could, of course, </w:t>
      </w:r>
      <w:r w:rsidRPr="00F84F7A">
        <w:rPr>
          <w:u w:val="single"/>
        </w:rPr>
        <w:t>just set procedural requirements in the classic description of procedural rules, how an applicant presents its case to the PTO.</w:t>
      </w:r>
      <w:r w:rsidRPr="00F84F7A">
        <w:t xml:space="preserve"> But rules that "govern the conduct of</w:t>
      </w:r>
    </w:p>
    <w:p w14:paraId="67E7E286" w14:textId="77777777" w:rsidR="00A41F85" w:rsidRPr="00F84F7A" w:rsidRDefault="00A41F85" w:rsidP="00A41F85">
      <w:r w:rsidRPr="00F84F7A">
        <w:t xml:space="preserve">If you take a step back from 2(A), one could ask the broader question which is informed by the Supreme Court's decision in Meade v. United States, whether the grant or denial of a patent application has the force and effect of law. Here again, there is evidence that it does although, perhaps, the matter is not one-sided. </w:t>
      </w:r>
      <w:r w:rsidRPr="00F84F7A">
        <w:rPr>
          <w:u w:val="single"/>
        </w:rPr>
        <w:t>The grant of a patent undeniably has legal effect. It confers on the grantee certain exclusive rights, and the rest of the world is bound to respect those rights and bound by civil and criminal penalties in the statute</w:t>
      </w:r>
      <w:r w:rsidRPr="00F84F7A">
        <w:rPr>
          <w:rStyle w:val="Emphasis"/>
        </w:rPr>
        <w:t>. This goes beyond Meade</w:t>
      </w:r>
      <w:r w:rsidRPr="00F84F7A">
        <w:t xml:space="preserve">. There, </w:t>
      </w:r>
      <w:r w:rsidRPr="00F84F7A">
        <w:rPr>
          <w:u w:val="single"/>
        </w:rPr>
        <w:t>the Court said that the Customs Office letters at issue did not seem like law because they had</w:t>
      </w:r>
      <w:r w:rsidRPr="00F84F7A">
        <w:t xml:space="preserve">, at most, </w:t>
      </w:r>
      <w:r w:rsidRPr="00F84F7A">
        <w:rPr>
          <w:u w:val="single"/>
        </w:rPr>
        <w:t>effect between the Customs Service and the particular importer as to a particular shipment of goods</w:t>
      </w:r>
      <w:r w:rsidRPr="00F84F7A">
        <w:t xml:space="preserve">. </w:t>
      </w:r>
      <w:r w:rsidRPr="00F84F7A">
        <w:rPr>
          <w:u w:val="single"/>
        </w:rPr>
        <w:t>The grant of a patent</w:t>
      </w:r>
      <w:r w:rsidRPr="00F84F7A">
        <w:t xml:space="preserve">, by contrast, </w:t>
      </w:r>
      <w:r w:rsidRPr="00F84F7A">
        <w:rPr>
          <w:rStyle w:val="Emphasis"/>
        </w:rPr>
        <w:t>has effects on third parties.</w:t>
      </w:r>
      <w:r w:rsidRPr="00F84F7A">
        <w:t xml:space="preserve"> </w:t>
      </w:r>
      <w:r w:rsidRPr="00F84F7A">
        <w:rPr>
          <w:u w:val="single"/>
        </w:rPr>
        <w:t>It has effects on the entire world</w:t>
      </w:r>
      <w:r w:rsidRPr="00F84F7A">
        <w:t>, backed up by legal sanctions, and that means that a Patent Office adjudication has the force and effect of law.</w:t>
      </w:r>
    </w:p>
    <w:p w14:paraId="45EA170E" w14:textId="77777777" w:rsidR="00A41F85" w:rsidRPr="00F84F7A" w:rsidRDefault="00A41F85" w:rsidP="00A41F85">
      <w:r w:rsidRPr="00F84F7A">
        <w:t>¶21 Of course, there could be other indications in the statute that the Patent Office issuance of a patent is merely provisional. Here again, Meade provides an interesting contrast. In Meade, the Supreme Court concluded that Custom Service ruling letters don't have legal effect, because the statute's judicial review provisions indicate that the Court of international trade made a de novo decision based on a record developed at the Court, instead of deciding deferentially based only on the record created at the administrative agency.</w:t>
      </w:r>
    </w:p>
    <w:p w14:paraId="40834EE6" w14:textId="77777777" w:rsidR="00A41F85" w:rsidRPr="00F84F7A" w:rsidRDefault="00A41F85" w:rsidP="00A41F85">
      <w:r w:rsidRPr="00F84F7A">
        <w:t xml:space="preserve">¶22 And now, it gets even uglier. Because </w:t>
      </w:r>
      <w:r w:rsidRPr="00F84F7A">
        <w:rPr>
          <w:u w:val="single"/>
        </w:rPr>
        <w:t>the patent statute provides a presumption of validity in infringement litigation which, of course, has been interpreted to require clear and convincing evidence of invalidity,</w:t>
      </w:r>
      <w:r w:rsidRPr="00F84F7A">
        <w:t xml:space="preserve"> and that's a deferential standard to the agency's determination. But, on the other hand</w:t>
      </w:r>
      <w:r w:rsidRPr="00F84F7A">
        <w:rPr>
          <w:u w:val="single"/>
        </w:rPr>
        <w:t>, it is also clear that a Court may build an independent record on the issue of invalidity in part because grant proceedings do not include the third parties on whom the grant has the legal effect.</w:t>
      </w:r>
      <w:r w:rsidRPr="00F84F7A">
        <w:t xml:space="preserve"> But on the whole, since Congress says the agency shall act through an adjudication and that adjudication has legal effect backed up by criminal and civil penalties, it seems to me, on the whole, </w:t>
      </w:r>
      <w:r w:rsidRPr="00F84F7A">
        <w:rPr>
          <w:u w:val="single"/>
        </w:rPr>
        <w:t>the grant of a patent is a proceeding that has the force and effect of law</w:t>
      </w:r>
      <w:r w:rsidRPr="00F84F7A">
        <w:t>. And so when the Patent Office decides how to interpret the Patent Act in granting a patent</w:t>
      </w:r>
      <w:r w:rsidRPr="00F84F7A">
        <w:rPr>
          <w:u w:val="single"/>
        </w:rPr>
        <w:t>, it would seem to me that that should be an action which has the force and effect of law</w:t>
      </w:r>
      <w:r w:rsidRPr="00F84F7A">
        <w:t xml:space="preserve">. I think the only way out of this predicament inside the statute is </w:t>
      </w:r>
      <w:r w:rsidRPr="00F84F7A">
        <w:rPr>
          <w:u w:val="single"/>
        </w:rPr>
        <w:t>to widen the lens even further, to ask the even more basic question of what interpretive mode you are in</w:t>
      </w:r>
      <w:r w:rsidRPr="00F84F7A">
        <w:t xml:space="preserve"> when you are asking questions about what the ultimate authority of the administrative agency is.</w:t>
      </w:r>
    </w:p>
    <w:p w14:paraId="2DC2E7A5" w14:textId="20F23D2F" w:rsidR="00A41F85" w:rsidRPr="00A41F85" w:rsidRDefault="00A41F85" w:rsidP="00CB3F1F">
      <w:pPr>
        <w:rPr>
          <w:b/>
          <w:iCs/>
          <w:sz w:val="24"/>
          <w:u w:val="single"/>
          <w:bdr w:val="single" w:sz="8" w:space="0" w:color="auto"/>
        </w:rPr>
      </w:pPr>
      <w:r w:rsidRPr="00F84F7A">
        <w:t xml:space="preserve">¶23 Of course, again, </w:t>
      </w:r>
      <w:r w:rsidRPr="00F84F7A">
        <w:rPr>
          <w:u w:val="single"/>
        </w:rPr>
        <w:t>if you believe in a broad version of the Chevron doctrine</w:t>
      </w:r>
      <w:r w:rsidRPr="00F84F7A">
        <w:t xml:space="preserve">, if you are Justice Scalia, for example, </w:t>
      </w:r>
      <w:r w:rsidRPr="00F84F7A">
        <w:rPr>
          <w:u w:val="single"/>
        </w:rPr>
        <w:t>the answer flows from the Patent Office's administration of the statute.</w:t>
      </w:r>
      <w:r w:rsidRPr="00F84F7A">
        <w:t xml:space="preserve"> If you are a believer in the broader version of the Chevron doctrine, </w:t>
      </w:r>
      <w:r w:rsidRPr="00F84F7A">
        <w:rPr>
          <w:u w:val="single"/>
        </w:rPr>
        <w:t>you would give Chevron deference even to interpretative rules, and the PTO can, without doubt, issue interpretative rules that bind its own people even if it doesn't bind the rest of the world</w:t>
      </w:r>
      <w:r w:rsidRPr="00F84F7A">
        <w:t xml:space="preserve">. And then, the issue of whether they have legal effect on third parties collapses together. On the other hand, if you think congressional delegations of law-making authority on administrative agencies are truly extraordinary matters that require a clear expression of Congress's intent to do so, then you are less deferential on matters of authority and more likely to attend to matters of history and consistency. And here, the Courts have decided so many issues of the Patent Act, interpreting the Patent Act, without deferring to the PTO's interpretation that maximal deference on Chevron would seem to be a fundamental change in the rules of the game. </w:t>
      </w:r>
      <w:r w:rsidRPr="00F84F7A">
        <w:rPr>
          <w:u w:val="single"/>
        </w:rPr>
        <w:t>For this administrative law professor, then, coming back to first principles, we have a Patent Act which is ambiguous in substantial regard. We have administration by an expert agency,</w:t>
      </w:r>
      <w:r w:rsidRPr="00F84F7A">
        <w:t xml:space="preserve"> and there would be substantial practical benefits in terms of uniformity from deferring to that administrative agency. So my bottom line is that </w:t>
      </w:r>
      <w:r w:rsidRPr="00F84F7A">
        <w:rPr>
          <w:u w:val="single"/>
        </w:rPr>
        <w:t xml:space="preserve">the Federal Circuit's clear precedents saying that there's no substantive rulemaking authority for the PTO </w:t>
      </w:r>
      <w:r w:rsidRPr="00F84F7A">
        <w:rPr>
          <w:rStyle w:val="Emphasis"/>
        </w:rPr>
        <w:t>shouldn't be taken as quite so clear.</w:t>
      </w:r>
    </w:p>
    <w:p w14:paraId="1B802077" w14:textId="42FD5CF1" w:rsidR="00456038" w:rsidRDefault="00456038" w:rsidP="00C72E89">
      <w:pPr>
        <w:pStyle w:val="Heading3"/>
      </w:pPr>
      <w:r>
        <w:t>2AC – IL – AT: Patents</w:t>
      </w:r>
    </w:p>
    <w:p w14:paraId="0F6EF2CF" w14:textId="11DC01A0" w:rsidR="00456038" w:rsidRDefault="00456038" w:rsidP="00456038">
      <w:pPr>
        <w:pStyle w:val="Heading4"/>
      </w:pPr>
      <w:r>
        <w:t xml:space="preserve">Patents are </w:t>
      </w:r>
      <w:r>
        <w:rPr>
          <w:u w:val="single"/>
        </w:rPr>
        <w:t>worse</w:t>
      </w:r>
      <w:r>
        <w:t xml:space="preserve"> for innovation.</w:t>
      </w:r>
    </w:p>
    <w:p w14:paraId="2E65B09D" w14:textId="77777777" w:rsidR="00456038" w:rsidRPr="00205FB6" w:rsidRDefault="00456038" w:rsidP="00456038">
      <w:r w:rsidRPr="00205FB6">
        <w:rPr>
          <w:b/>
          <w:bCs/>
          <w:sz w:val="26"/>
          <w:szCs w:val="26"/>
        </w:rPr>
        <w:t>Wadhwa 15</w:t>
      </w:r>
      <w:r>
        <w:t xml:space="preserve"> - </w:t>
      </w:r>
      <w:r w:rsidRPr="00205FB6">
        <w:t>a Distinguished Fellow at Harvard Law School's Labor and Worklife Program and a Distinguished Fellow and Professor at Carnegie Mellon</w:t>
      </w:r>
      <w:r>
        <w:t xml:space="preserve"> University, (Vivek, “</w:t>
      </w:r>
      <w:r w:rsidRPr="00205FB6">
        <w:t>Here’s why patents are innovation’s worst enemy</w:t>
      </w:r>
      <w:r>
        <w:t xml:space="preserve">,” </w:t>
      </w:r>
      <w:r>
        <w:rPr>
          <w:i/>
          <w:iCs/>
        </w:rPr>
        <w:t>The Washington Post</w:t>
      </w:r>
      <w:r>
        <w:t xml:space="preserve">, 3-11-15, </w:t>
      </w:r>
      <w:hyperlink r:id="rId206" w:history="1">
        <w:r w:rsidRPr="00ED36A1">
          <w:rPr>
            <w:rStyle w:val="Hyperlink"/>
          </w:rPr>
          <w:t>https://www.washingtonpost.com/news/innovations/wp/2015/03/11/heres-why-patents-are-innovations-worst-enemy/</w:t>
        </w:r>
      </w:hyperlink>
      <w:r>
        <w:t>, Accessed 7-7-20, LASA-AH)</w:t>
      </w:r>
    </w:p>
    <w:p w14:paraId="0E354078" w14:textId="77777777" w:rsidR="00456038" w:rsidRDefault="00456038" w:rsidP="00456038">
      <w:r>
        <w:t>The Founding Fathers of the United States considered intellectual property so important that they gave it a special place in the Constitution: “To promote the progress of science and useful arts, by securing for limited times to authors and inventors the exclusive right to their respective writings and discoveries.”</w:t>
      </w:r>
    </w:p>
    <w:p w14:paraId="2BF6EF5F" w14:textId="77777777" w:rsidR="00456038" w:rsidRDefault="00456038" w:rsidP="00456038">
      <w:r>
        <w:t xml:space="preserve">The framers of the U.S. Constitution were not wrong. </w:t>
      </w:r>
      <w:r w:rsidRPr="00310B47">
        <w:rPr>
          <w:u w:val="single"/>
        </w:rPr>
        <w:t>Patents did serve an important purpose during the days when technology advances happened over decades or centuries</w:t>
      </w:r>
      <w:r w:rsidRPr="00310B47">
        <w:t xml:space="preserve">. </w:t>
      </w:r>
      <w:r w:rsidRPr="00310B47">
        <w:rPr>
          <w:u w:val="single"/>
        </w:rPr>
        <w:t xml:space="preserve">In today’s era of exponentially advancing technologies, however, patents have become </w:t>
      </w:r>
      <w:r w:rsidRPr="00310B47">
        <w:rPr>
          <w:rStyle w:val="Emphasis"/>
        </w:rPr>
        <w:t xml:space="preserve">the greatest inhibitor to innovation </w:t>
      </w:r>
      <w:r w:rsidRPr="00310B47">
        <w:rPr>
          <w:u w:val="single"/>
        </w:rPr>
        <w:t>and are holding the United States back</w:t>
      </w:r>
      <w:r>
        <w:t>. The only way of staying ahead is to out-innovate a competitor; speed to market and constant reinvention are critical</w:t>
      </w:r>
      <w:r w:rsidRPr="00310B47">
        <w:rPr>
          <w:u w:val="single"/>
        </w:rPr>
        <w:t xml:space="preserve">. Patents do the reverse; they </w:t>
      </w:r>
      <w:r w:rsidRPr="00310B47">
        <w:rPr>
          <w:rStyle w:val="Emphasis"/>
        </w:rPr>
        <w:t>create disincentives</w:t>
      </w:r>
      <w:r w:rsidRPr="00310B47">
        <w:rPr>
          <w:u w:val="single"/>
        </w:rPr>
        <w:t xml:space="preserve"> to innovate and slow down innovators by allowing technology laggards and extortionists to sue them.</w:t>
      </w:r>
    </w:p>
    <w:p w14:paraId="3B49D6B2" w14:textId="77777777" w:rsidR="00456038" w:rsidRPr="00310B47" w:rsidRDefault="00456038" w:rsidP="00456038">
      <w:pPr>
        <w:rPr>
          <w:u w:val="single"/>
        </w:rPr>
      </w:pPr>
      <w:r w:rsidRPr="00310B47">
        <w:rPr>
          <w:u w:val="single"/>
        </w:rPr>
        <w:t>A new paper</w:t>
      </w:r>
      <w:r>
        <w:t xml:space="preserve">, Does Patent Licensing Mean Innovation, by Robin Feldman, of the University of California-Hastings Law School, and my colleague Mark Lemley, of Stanford Law School, dispels what doubt there may have been about the innovation value of patents. They </w:t>
      </w:r>
      <w:r w:rsidRPr="00310B47">
        <w:rPr>
          <w:u w:val="single"/>
        </w:rPr>
        <w:t>analyzed the experience of real companies to see how often patent licenses actually spur innovation or technology transfer when patent holders assert their patents against companies</w:t>
      </w:r>
      <w:r>
        <w:t xml:space="preserve">. They found that almost </w:t>
      </w:r>
      <w:r w:rsidRPr="00310B47">
        <w:rPr>
          <w:rStyle w:val="Emphasis"/>
        </w:rPr>
        <w:t>no new innovation resulted</w:t>
      </w:r>
      <w:r>
        <w:t xml:space="preserve">. </w:t>
      </w:r>
      <w:r w:rsidRPr="00310B47">
        <w:rPr>
          <w:u w:val="single"/>
        </w:rPr>
        <w:t>When patents were licensed</w:t>
      </w:r>
      <w:r>
        <w:t xml:space="preserve">, regardless of whether they were licensed from companies, patent trolls, or universities, </w:t>
      </w:r>
      <w:r w:rsidRPr="00310B47">
        <w:rPr>
          <w:u w:val="single"/>
        </w:rPr>
        <w:t xml:space="preserve">they were </w:t>
      </w:r>
      <w:r w:rsidRPr="00310B47">
        <w:rPr>
          <w:rStyle w:val="Emphasis"/>
        </w:rPr>
        <w:t>practically worthless</w:t>
      </w:r>
      <w:r w:rsidRPr="00310B47">
        <w:rPr>
          <w:u w:val="single"/>
        </w:rPr>
        <w:t xml:space="preserve"> in enabling innovation.</w:t>
      </w:r>
    </w:p>
    <w:p w14:paraId="1ABE3392" w14:textId="77777777" w:rsidR="00456038" w:rsidRDefault="00456038" w:rsidP="00456038">
      <w:r>
        <w:t>The study underscores the need to broaden the focus of patent-reform efforts.</w:t>
      </w:r>
    </w:p>
    <w:p w14:paraId="0DCD37C4" w14:textId="77777777" w:rsidR="00456038" w:rsidRDefault="00456038" w:rsidP="00456038">
      <w:r>
        <w:t>Instead of looking at licensing revenue and patent filings, as most academic research papers do, Feldman and Lemley did something unusual: they surveyed 188 technology-development companies in 11 different industry sectors, including computers and electronics, semiconductors, pharmaceuticals, medical devices, biotechnology, communications and energy. They asked detailed questions about patent licensing, lawsuits and how often patent licenses spur innovation or technology transfer. In other words, the value provided by technology that was licensed.</w:t>
      </w:r>
    </w:p>
    <w:p w14:paraId="54C57539" w14:textId="1A5D8C4C" w:rsidR="00456038" w:rsidRPr="00456038" w:rsidRDefault="00456038" w:rsidP="00456038">
      <w:r>
        <w:t xml:space="preserve">They learned that </w:t>
      </w:r>
      <w:r w:rsidRPr="00310B47">
        <w:rPr>
          <w:u w:val="single"/>
        </w:rPr>
        <w:t xml:space="preserve">when patent holders approached companies to demand they obtain a license, even if the companies agreed to do this, it </w:t>
      </w:r>
      <w:r w:rsidRPr="00310B47">
        <w:rPr>
          <w:rStyle w:val="Emphasis"/>
        </w:rPr>
        <w:t>rarely led to any new products</w:t>
      </w:r>
      <w:r w:rsidRPr="00310B47">
        <w:rPr>
          <w:u w:val="single"/>
        </w:rPr>
        <w:t xml:space="preserve"> or other markers of innovation</w:t>
      </w:r>
      <w:r>
        <w:t xml:space="preserve"> (including transfers of technology or of personnel and joint ventures). Most </w:t>
      </w:r>
      <w:r w:rsidRPr="00310B47">
        <w:rPr>
          <w:u w:val="single"/>
        </w:rPr>
        <w:t>companies</w:t>
      </w:r>
      <w:r>
        <w:t xml:space="preserve"> </w:t>
      </w:r>
      <w:r w:rsidRPr="00310B47">
        <w:rPr>
          <w:u w:val="single"/>
        </w:rPr>
        <w:t xml:space="preserve">simply paid for the freedom to keep doing what they were </w:t>
      </w:r>
      <w:r w:rsidRPr="00310B47">
        <w:rPr>
          <w:rStyle w:val="Emphasis"/>
        </w:rPr>
        <w:t>already doing</w:t>
      </w:r>
      <w:r>
        <w:t xml:space="preserve"> with technology that they had independently developed.</w:t>
      </w:r>
    </w:p>
    <w:p w14:paraId="21B40486" w14:textId="7F1AB815" w:rsidR="00456038" w:rsidRDefault="00456038" w:rsidP="00C72E89">
      <w:pPr>
        <w:pStyle w:val="Heading3"/>
      </w:pPr>
      <w:r>
        <w:t>1AR – IL – AT: Patents</w:t>
      </w:r>
    </w:p>
    <w:p w14:paraId="2118E033" w14:textId="726C83F2" w:rsidR="00456038" w:rsidRDefault="00456038" w:rsidP="00456038">
      <w:pPr>
        <w:pStyle w:val="Heading4"/>
      </w:pPr>
      <w:r>
        <w:t xml:space="preserve">Patents are </w:t>
      </w:r>
      <w:r>
        <w:rPr>
          <w:u w:val="single"/>
        </w:rPr>
        <w:t>ineffective</w:t>
      </w:r>
      <w:r>
        <w:t xml:space="preserve"> at spurring innovation.</w:t>
      </w:r>
    </w:p>
    <w:p w14:paraId="525DB5D4" w14:textId="77777777" w:rsidR="00456038" w:rsidRPr="00205FB6" w:rsidRDefault="00456038" w:rsidP="00456038">
      <w:r w:rsidRPr="00205FB6">
        <w:rPr>
          <w:b/>
          <w:bCs/>
          <w:sz w:val="26"/>
          <w:szCs w:val="26"/>
        </w:rPr>
        <w:t>Boldrin and Levine 12</w:t>
      </w:r>
      <w:r>
        <w:t xml:space="preserve"> -  a</w:t>
      </w:r>
      <w:r w:rsidRPr="00205FB6">
        <w:t>n Italian-born politician and economist, expert in economic growth, business cycles, technological progress and intellectual property</w:t>
      </w:r>
      <w:r>
        <w:t xml:space="preserve">, </w:t>
      </w:r>
      <w:r w:rsidRPr="00205FB6">
        <w:t>department of Economics and Robert Schuman Center for Advanced Study Joint Chair at the European University Institute</w:t>
      </w:r>
      <w:r>
        <w:t>, (Michele and David K., “</w:t>
      </w:r>
      <w:r w:rsidRPr="00205FB6">
        <w:t>The Case Against Patents</w:t>
      </w:r>
      <w:r>
        <w:t xml:space="preserve">,” </w:t>
      </w:r>
      <w:r>
        <w:rPr>
          <w:i/>
          <w:iCs/>
        </w:rPr>
        <w:t>Federal Reserve Bank of St. Louis</w:t>
      </w:r>
      <w:r>
        <w:t xml:space="preserve">, September 2012, </w:t>
      </w:r>
      <w:hyperlink r:id="rId207" w:history="1">
        <w:r w:rsidRPr="00ED36A1">
          <w:rPr>
            <w:rStyle w:val="Hyperlink"/>
          </w:rPr>
          <w:t>https://s3.amazonaws.com/real.stlouisfed.org/wp/2012/2012-035.pdf</w:t>
        </w:r>
      </w:hyperlink>
      <w:r>
        <w:t>, Accessed 7-7-20, LASA-AH)</w:t>
      </w:r>
    </w:p>
    <w:p w14:paraId="701573C8" w14:textId="77777777" w:rsidR="00456038" w:rsidRDefault="00456038" w:rsidP="00456038">
      <w:r>
        <w:t xml:space="preserve">The </w:t>
      </w:r>
      <w:r w:rsidRPr="00205FB6">
        <w:rPr>
          <w:u w:val="single"/>
        </w:rPr>
        <w:t>case against patents can be summarized briefly</w:t>
      </w:r>
      <w:r>
        <w:t xml:space="preserve">: </w:t>
      </w:r>
      <w:r w:rsidRPr="00205FB6">
        <w:rPr>
          <w:u w:val="single"/>
        </w:rPr>
        <w:t xml:space="preserve">there is </w:t>
      </w:r>
      <w:r w:rsidRPr="00205FB6">
        <w:rPr>
          <w:rStyle w:val="Emphasis"/>
        </w:rPr>
        <w:t>no empirical evidence</w:t>
      </w:r>
      <w:r w:rsidRPr="00205FB6">
        <w:rPr>
          <w:u w:val="single"/>
        </w:rPr>
        <w:t xml:space="preserve"> that they serve to increase innovation and productivity, </w:t>
      </w:r>
      <w:r>
        <w:t xml:space="preserve">unless the latter is identified with the number of patents awarded – which, as evidence shows, has no correlation with measured productivity. This is at the root of the “patent puzzle”: </w:t>
      </w:r>
      <w:r w:rsidRPr="00205FB6">
        <w:rPr>
          <w:u w:val="single"/>
        </w:rPr>
        <w:t xml:space="preserve">in spite of the enormeous increase in the number of patents and in the strength of their legal protection we have </w:t>
      </w:r>
      <w:r w:rsidRPr="00205FB6">
        <w:rPr>
          <w:rStyle w:val="Emphasis"/>
        </w:rPr>
        <w:t>neither seen a dramatic acceleration</w:t>
      </w:r>
      <w:r w:rsidRPr="00205FB6">
        <w:rPr>
          <w:u w:val="single"/>
        </w:rPr>
        <w:t xml:space="preserve"> in the rate of technological progress </w:t>
      </w:r>
      <w:r w:rsidRPr="00205FB6">
        <w:rPr>
          <w:rStyle w:val="Emphasis"/>
        </w:rPr>
        <w:t>nor a major increase</w:t>
      </w:r>
      <w:r w:rsidRPr="00205FB6">
        <w:rPr>
          <w:u w:val="single"/>
        </w:rPr>
        <w:t xml:space="preserve"> in the levels of R&amp;D expenditure</w:t>
      </w:r>
      <w:r>
        <w:t xml:space="preserve"> – in addition to the discussion in this paper, see Lerner [2009] and literature therein. As we shall see, </w:t>
      </w:r>
      <w:r w:rsidRPr="00205FB6">
        <w:rPr>
          <w:u w:val="single"/>
        </w:rPr>
        <w:t xml:space="preserve">there is strong evidence, instead, that </w:t>
      </w:r>
      <w:r w:rsidRPr="00205FB6">
        <w:rPr>
          <w:rStyle w:val="Emphasis"/>
        </w:rPr>
        <w:t>patents have many negative consequences</w:t>
      </w:r>
      <w:r>
        <w:t xml:space="preserve">. Both of these observations, the evidence in support of which has grown steadily over time, are </w:t>
      </w:r>
      <w:r w:rsidRPr="00205FB6">
        <w:rPr>
          <w:u w:val="single"/>
        </w:rPr>
        <w:t>consistent with theories of innovation that emphasize competition and first-mover advantage as the main drivers of innovation and directly contradict “Schumpeterian” theories postulating that government granted monopolies are crucial in order to provide incentives for innovation</w:t>
      </w:r>
      <w:r>
        <w:t xml:space="preserve">. The differing predictive and explanatory powers of the two alternative classes of models persist when attention is shifted to the historical evidence on the life-cycle of industries. </w:t>
      </w:r>
      <w:r w:rsidRPr="00205FB6">
        <w:rPr>
          <w:u w:val="single"/>
        </w:rPr>
        <w:t xml:space="preserve">The initial eruption of small and large innovations leading to the creation of a new industry </w:t>
      </w:r>
      <w:r>
        <w:t xml:space="preserve">– from chemicals to cars, from radio and TV to personal computers and investment banking – is seldom, if ever, </w:t>
      </w:r>
      <w:r w:rsidRPr="00205FB6">
        <w:rPr>
          <w:u w:val="single"/>
        </w:rPr>
        <w:t>born out of patent protection</w:t>
      </w:r>
      <w:r>
        <w:t xml:space="preserve"> and </w:t>
      </w:r>
      <w:r w:rsidRPr="00205FB6">
        <w:rPr>
          <w:u w:val="single"/>
        </w:rPr>
        <w:t xml:space="preserve">is, instead, the fruits of </w:t>
      </w:r>
      <w:r w:rsidRPr="00205FB6">
        <w:rPr>
          <w:rStyle w:val="Emphasis"/>
        </w:rPr>
        <w:t>highly competitive-cooperative environments</w:t>
      </w:r>
      <w:r w:rsidRPr="00205FB6">
        <w:rPr>
          <w:u w:val="single"/>
        </w:rPr>
        <w:t>.</w:t>
      </w:r>
      <w:r>
        <w:t xml:space="preserve"> It is only after the initial stages of explosive innovation and rampant growth end that mature industries turn toward the legal protection of patents, usually because their internal grow potential diminishes and the industry structure become concentrated.</w:t>
      </w:r>
    </w:p>
    <w:p w14:paraId="0207C3D5" w14:textId="480EC696" w:rsidR="00456038" w:rsidRDefault="00456038" w:rsidP="00456038">
      <w:pPr>
        <w:pStyle w:val="Heading4"/>
      </w:pPr>
      <w:r>
        <w:t xml:space="preserve">Current patent law </w:t>
      </w:r>
      <w:r>
        <w:rPr>
          <w:u w:val="single"/>
        </w:rPr>
        <w:t>prevents</w:t>
      </w:r>
      <w:r>
        <w:t xml:space="preserve"> innovation on valuable drugs.</w:t>
      </w:r>
    </w:p>
    <w:p w14:paraId="7EF085BC" w14:textId="77777777" w:rsidR="00456038" w:rsidRPr="00205FB6" w:rsidRDefault="00456038" w:rsidP="00456038">
      <w:r w:rsidRPr="00205FB6">
        <w:rPr>
          <w:b/>
          <w:bCs/>
          <w:sz w:val="26"/>
          <w:szCs w:val="26"/>
        </w:rPr>
        <w:t>Frakt 15</w:t>
      </w:r>
      <w:r>
        <w:t xml:space="preserve"> - </w:t>
      </w:r>
      <w:r w:rsidRPr="00205FB6">
        <w:t>director of the Partnered Evidence-Based Policy Resource Center at the V.A. Boston Healthcare System; associate professor with Boston University’s School of Public Health; and a senior research scientist with the Harvard T.H. Chan School of Public Health</w:t>
      </w:r>
      <w:r>
        <w:t>, (Austin, “</w:t>
      </w:r>
      <w:r w:rsidRPr="00205FB6">
        <w:t>How Patent Law Can Block Even Lifesaving Drugs</w:t>
      </w:r>
      <w:r>
        <w:t xml:space="preserve">,” </w:t>
      </w:r>
      <w:r>
        <w:rPr>
          <w:i/>
          <w:iCs/>
        </w:rPr>
        <w:t>The New York Times</w:t>
      </w:r>
      <w:r>
        <w:t xml:space="preserve">, 9-28-15, </w:t>
      </w:r>
      <w:hyperlink r:id="rId208" w:history="1">
        <w:r w:rsidRPr="00ED36A1">
          <w:rPr>
            <w:rStyle w:val="Hyperlink"/>
          </w:rPr>
          <w:t>https://www.nytimes.com/2015/09/29/upshot/how-patent-law-can-block-even-lifesaving-drugs.html</w:t>
        </w:r>
      </w:hyperlink>
      <w:r>
        <w:t>, Accessed 7-7-20, LASA-AH)</w:t>
      </w:r>
    </w:p>
    <w:p w14:paraId="6C4788D0" w14:textId="77777777" w:rsidR="00456038" w:rsidRPr="00205FB6" w:rsidRDefault="00456038" w:rsidP="00456038">
      <w:pPr>
        <w:rPr>
          <w:b/>
          <w:iCs/>
          <w:u w:val="single"/>
        </w:rPr>
      </w:pPr>
      <w:r>
        <w:t xml:space="preserve">Hillary Rodham Clinton’s prescription drug policy proposal, released last week, would hold drug manufacturers accountable to their level of investment in research. But </w:t>
      </w:r>
      <w:r w:rsidRPr="00205FB6">
        <w:rPr>
          <w:u w:val="single"/>
        </w:rPr>
        <w:t xml:space="preserve">there are some potentially valuable drugs we’ll never get drug companies to invest in — those that </w:t>
      </w:r>
      <w:r w:rsidRPr="00205FB6">
        <w:rPr>
          <w:rStyle w:val="Emphasis"/>
        </w:rPr>
        <w:t>cannot be patented.</w:t>
      </w:r>
    </w:p>
    <w:p w14:paraId="0F588CBA" w14:textId="77777777" w:rsidR="00456038" w:rsidRPr="00205FB6" w:rsidRDefault="00456038" w:rsidP="00456038">
      <w:pPr>
        <w:rPr>
          <w:u w:val="single"/>
        </w:rPr>
      </w:pPr>
      <w:r>
        <w:t xml:space="preserve">By granting temporary monopolies to innovators, </w:t>
      </w:r>
      <w:r w:rsidRPr="00205FB6">
        <w:rPr>
          <w:u w:val="single"/>
        </w:rPr>
        <w:t xml:space="preserve">the patent system is widely credited with protecting and promoting innovation. But when it comes to pharmaceuticals, it may be </w:t>
      </w:r>
      <w:r w:rsidRPr="00205FB6">
        <w:rPr>
          <w:rStyle w:val="Emphasis"/>
        </w:rPr>
        <w:t>preventing valuable therapies</w:t>
      </w:r>
      <w:r w:rsidRPr="00205FB6">
        <w:rPr>
          <w:u w:val="single"/>
        </w:rPr>
        <w:t xml:space="preserve"> from coming to market.</w:t>
      </w:r>
    </w:p>
    <w:p w14:paraId="531B641B" w14:textId="77777777" w:rsidR="00456038" w:rsidRDefault="00456038" w:rsidP="00456038">
      <w:r>
        <w:t xml:space="preserve">To see evidence of this, just look at the behavior of pharmaceutical firms. When </w:t>
      </w:r>
      <w:r w:rsidRPr="00205FB6">
        <w:rPr>
          <w:u w:val="single"/>
        </w:rPr>
        <w:t>Benjamin Roin,</w:t>
      </w:r>
      <w:r>
        <w:t xml:space="preserve"> assistant professor of technological innovation, entrepreneurship, and strategic management at M.I.T., </w:t>
      </w:r>
      <w:r w:rsidRPr="00205FB6">
        <w:rPr>
          <w:u w:val="single"/>
        </w:rPr>
        <w:t xml:space="preserve">did so, he discovered that drug companies </w:t>
      </w:r>
      <w:r w:rsidRPr="00205FB6">
        <w:rPr>
          <w:rStyle w:val="Emphasis"/>
        </w:rPr>
        <w:t>discard many potentially good idea</w:t>
      </w:r>
      <w:r w:rsidRPr="00205FB6">
        <w:rPr>
          <w:u w:val="single"/>
        </w:rPr>
        <w:t>s because they’re unpatentable</w:t>
      </w:r>
      <w:r>
        <w:t>. By interviewing academic researchers and industry insiders and scouring medicinal-chemistry textbooks, Mr. Roin learned that “</w:t>
      </w:r>
      <w:r w:rsidRPr="00205FB6">
        <w:rPr>
          <w:u w:val="single"/>
        </w:rPr>
        <w:t>pharmaceutical companies systematically screen their drug candidates to exclude the ones lacking strong patent protection.”</w:t>
      </w:r>
    </w:p>
    <w:p w14:paraId="5CDC43E9" w14:textId="77777777" w:rsidR="00456038" w:rsidRDefault="00456038" w:rsidP="00456038">
      <w:r>
        <w:t xml:space="preserve">It’s obvious why drug </w:t>
      </w:r>
      <w:r w:rsidRPr="00205FB6">
        <w:rPr>
          <w:u w:val="single"/>
        </w:rPr>
        <w:t>innovators would avoid unpatentable ideas: Bringing a drug to market is expensive</w:t>
      </w:r>
      <w:r>
        <w:t xml:space="preserve">. In addition to the </w:t>
      </w:r>
      <w:r w:rsidRPr="00205FB6">
        <w:rPr>
          <w:u w:val="single"/>
        </w:rPr>
        <w:t>costs of scientists and laboratories to discover and sift through potentially therapeutic compounds in the first place, demonstrating efficacy and safety to the Food and Drug Administration requires costly clinical trials</w:t>
      </w:r>
      <w:r>
        <w:t>. Without F.D.A. approval, a drug cannot be marketed.</w:t>
      </w:r>
    </w:p>
    <w:p w14:paraId="09263543" w14:textId="77777777" w:rsidR="00456038" w:rsidRDefault="00456038" w:rsidP="00456038">
      <w:r>
        <w:t>The expense of prescription drugs has come to the forefront in the presidential campaign with proposals by Bernie Sanders and Mrs. Clinton to rein in drug prices.</w:t>
      </w:r>
    </w:p>
    <w:p w14:paraId="19D6093C" w14:textId="77777777" w:rsidR="00456038" w:rsidRPr="00205FB6" w:rsidRDefault="00456038" w:rsidP="00456038">
      <w:pPr>
        <w:rPr>
          <w:u w:val="single"/>
        </w:rPr>
      </w:pPr>
      <w:r w:rsidRPr="00205FB6">
        <w:rPr>
          <w:u w:val="single"/>
        </w:rPr>
        <w:t>Patent law</w:t>
      </w:r>
      <w:r>
        <w:t xml:space="preserve"> also </w:t>
      </w:r>
      <w:r w:rsidRPr="00205FB6">
        <w:rPr>
          <w:u w:val="single"/>
        </w:rPr>
        <w:t>plays a big role in the debate over drug price</w:t>
      </w:r>
      <w:r>
        <w:t xml:space="preserve">s, though it is not directly addressed by the two Democratic candidates. </w:t>
      </w:r>
      <w:r w:rsidRPr="00205FB6">
        <w:rPr>
          <w:u w:val="single"/>
        </w:rPr>
        <w:t>Drug manufacturers say that they need to recoup the high cost of drug development by charging high prices during the period they hold effective monopolies.</w:t>
      </w:r>
      <w:r>
        <w:t xml:space="preserve"> A recent estimate, though contested, put the price of developing a drug from scratch as high as $2.6 billion. Other estimates suggest it could be as low as $161 million. Either way, it’s a lot of money. </w:t>
      </w:r>
      <w:r w:rsidRPr="00205FB6">
        <w:rPr>
          <w:u w:val="single"/>
        </w:rPr>
        <w:t>Without regulatory constraints, results from such an investment could be used by anyone to develop and market drugs.</w:t>
      </w:r>
    </w:p>
    <w:p w14:paraId="432CF79F" w14:textId="77777777" w:rsidR="00456038" w:rsidRDefault="00456038" w:rsidP="00456038">
      <w:r>
        <w:t xml:space="preserve">And that’s why </w:t>
      </w:r>
      <w:r w:rsidRPr="00205FB6">
        <w:rPr>
          <w:u w:val="single"/>
        </w:rPr>
        <w:t>pharmaceutical innovators pursue leads that can be patented.</w:t>
      </w:r>
      <w:r>
        <w:t xml:space="preserve"> A drug patent, along with subsequent F.D.A. approval and granting of market exclusivity, </w:t>
      </w:r>
      <w:r w:rsidRPr="00205FB6">
        <w:rPr>
          <w:u w:val="single"/>
        </w:rPr>
        <w:t>offers the patent holder a period of time during which it may market the drug without competition. Even though the information about the efficacy and safety of the drug is available after clinical trials have been run, no other organization may use it to secure F.D.A. approval during the patent protection period</w:t>
      </w:r>
      <w:r>
        <w:t>. Typically, a drug reaches the market with about 13 years left on its original patent, though in some cases it can be extended longer.</w:t>
      </w:r>
    </w:p>
    <w:p w14:paraId="2F246AC6" w14:textId="77777777" w:rsidR="00456038" w:rsidRPr="00205FB6" w:rsidRDefault="00456038" w:rsidP="00456038">
      <w:pPr>
        <w:rPr>
          <w:u w:val="single"/>
        </w:rPr>
      </w:pPr>
      <w:r>
        <w:t xml:space="preserve">During the granted period of market exclusivity, </w:t>
      </w:r>
      <w:r w:rsidRPr="00205FB6">
        <w:rPr>
          <w:u w:val="single"/>
        </w:rPr>
        <w:t>pharmaceutical manufacturers can price drugs higher than they could if there were competition from firms marketing the same molecule</w:t>
      </w:r>
      <w:r>
        <w:t xml:space="preserve">. By doing so, they recover their investment and make a profit. Though many people are shocked by the high prices of some prescription drugs — like Gilead Sciences’ Sovaldi, a new and effective treatment for hepatitis C that can cost $84,000 per treatment — </w:t>
      </w:r>
      <w:r w:rsidRPr="00205FB6">
        <w:rPr>
          <w:u w:val="single"/>
        </w:rPr>
        <w:t xml:space="preserve">they’re the </w:t>
      </w:r>
      <w:r w:rsidRPr="00205FB6">
        <w:rPr>
          <w:rStyle w:val="Emphasis"/>
        </w:rPr>
        <w:t>inducement for innovation</w:t>
      </w:r>
      <w:r w:rsidRPr="00205FB6">
        <w:rPr>
          <w:u w:val="single"/>
        </w:rPr>
        <w:t>.</w:t>
      </w:r>
    </w:p>
    <w:p w14:paraId="232109DE" w14:textId="77777777" w:rsidR="00456038" w:rsidRPr="00205FB6" w:rsidRDefault="00456038" w:rsidP="00456038">
      <w:pPr>
        <w:rPr>
          <w:rStyle w:val="Emphasis"/>
        </w:rPr>
      </w:pPr>
      <w:r w:rsidRPr="00205FB6">
        <w:rPr>
          <w:u w:val="single"/>
        </w:rPr>
        <w:t>Profits made during their period of market exclusivity are, in large part, why new drugs exist</w:t>
      </w:r>
      <w:r>
        <w:t xml:space="preserve">, though an argument could be made that the rewards far outstrip development costs. Nevertheless, </w:t>
      </w:r>
      <w:r w:rsidRPr="00205FB6">
        <w:rPr>
          <w:u w:val="single"/>
        </w:rPr>
        <w:t xml:space="preserve">few companies will sink hundreds of millions of dollars into even a potentially lifesaving idea without the promise of a return on investment, </w:t>
      </w:r>
      <w:r w:rsidRPr="00205FB6">
        <w:rPr>
          <w:rStyle w:val="Emphasis"/>
        </w:rPr>
        <w:t>nor should we reasonably expect them to.</w:t>
      </w:r>
    </w:p>
    <w:p w14:paraId="45845E9E" w14:textId="77777777" w:rsidR="00456038" w:rsidRDefault="00456038" w:rsidP="00456038">
      <w:r w:rsidRPr="00205FB6">
        <w:rPr>
          <w:u w:val="single"/>
        </w:rPr>
        <w:t>That’s</w:t>
      </w:r>
      <w:r>
        <w:t xml:space="preserve"> </w:t>
      </w:r>
      <w:r w:rsidRPr="00205FB6">
        <w:rPr>
          <w:u w:val="single"/>
        </w:rPr>
        <w:t>why</w:t>
      </w:r>
      <w:r>
        <w:t xml:space="preserve"> </w:t>
      </w:r>
      <w:r w:rsidRPr="00205FB6">
        <w:rPr>
          <w:u w:val="single"/>
        </w:rPr>
        <w:t>we provide patents for good ideas (</w:t>
      </w:r>
      <w:r>
        <w:t>and, yes, some not-so-good ideas, too).</w:t>
      </w:r>
    </w:p>
    <w:p w14:paraId="022EAC7E" w14:textId="77777777" w:rsidR="00456038" w:rsidRDefault="00456038" w:rsidP="00456038">
      <w:r w:rsidRPr="00205FB6">
        <w:rPr>
          <w:rStyle w:val="Emphasis"/>
        </w:rPr>
        <w:t>Except sometimes we don’t.</w:t>
      </w:r>
      <w:r>
        <w:t xml:space="preserve"> By law, </w:t>
      </w:r>
      <w:r w:rsidRPr="00205FB6">
        <w:rPr>
          <w:u w:val="single"/>
        </w:rPr>
        <w:t>patents can be denied for ideas that may be good, but are not novel or are obvious.</w:t>
      </w:r>
      <w:r>
        <w:t xml:space="preserve"> This sounds completely sensible, until you think through the consequences. It means that even </w:t>
      </w:r>
      <w:r w:rsidRPr="00205FB6">
        <w:rPr>
          <w:u w:val="single"/>
        </w:rPr>
        <w:t xml:space="preserve">potentially great drugs </w:t>
      </w:r>
      <w:r w:rsidRPr="00205FB6">
        <w:rPr>
          <w:rStyle w:val="Emphasis"/>
        </w:rPr>
        <w:t>might not come to market</w:t>
      </w:r>
      <w:r w:rsidRPr="00205FB6">
        <w:rPr>
          <w:u w:val="single"/>
        </w:rPr>
        <w:t xml:space="preserve"> because they were disclosed in the past</w:t>
      </w:r>
      <w:r>
        <w:t xml:space="preserve"> — so they’re now not novel — or because they are a natural extension of existing knowledge — so they’re now obvious.</w:t>
      </w:r>
    </w:p>
    <w:p w14:paraId="539C1020" w14:textId="77777777" w:rsidR="00456038" w:rsidRDefault="00456038" w:rsidP="00456038">
      <w:r>
        <w:t>Prior disclosure can come in the form of an obscure research article; an old, expired patent; or inclusion of a chemical structure in a giant online database, for example. (When it comes to obviousness, there’s a tension. We don’t want to provide patent protection for profit-increasing activities that do not benefit patients, like “me too” drugs — drugs that are only trivially different from existing ones. But some things that are obvious also might be beneficial, and for those we’d want to encourage development.)</w:t>
      </w:r>
    </w:p>
    <w:p w14:paraId="252377DE" w14:textId="77777777" w:rsidR="00456038" w:rsidRDefault="00456038" w:rsidP="00456038">
      <w:r>
        <w:t xml:space="preserve">The crux of the problem is this: </w:t>
      </w:r>
      <w:r w:rsidRPr="00205FB6">
        <w:rPr>
          <w:u w:val="single"/>
        </w:rPr>
        <w:t>For pharmaceuticals, patent protection is used as a means for innovators to recoup the costly investments that drug development requires</w:t>
      </w:r>
      <w:r>
        <w:t>. But th</w:t>
      </w:r>
      <w:r w:rsidRPr="00205FB6">
        <w:rPr>
          <w:u w:val="single"/>
        </w:rPr>
        <w:t>e patent system was not devised to solve this specific problem. It’s a broader system intended to encourage innovation</w:t>
      </w:r>
      <w:r>
        <w:t>, which it does, while at the same time permitting individuals and firms to exploit obvious and old ideas freely, which is generally a valuable protection.</w:t>
      </w:r>
    </w:p>
    <w:p w14:paraId="5CBA3AC4" w14:textId="77777777" w:rsidR="00456038" w:rsidRPr="00205FB6" w:rsidRDefault="00456038" w:rsidP="00456038">
      <w:pPr>
        <w:rPr>
          <w:u w:val="single"/>
        </w:rPr>
      </w:pPr>
      <w:r>
        <w:t xml:space="preserve">When it comes to drugs, some of those obvious, </w:t>
      </w:r>
      <w:r w:rsidRPr="00205FB6">
        <w:t>old ideas that cannot be patented have not been clinically tested</w:t>
      </w:r>
      <w:r>
        <w:t xml:space="preserve">, as required for F.D.A. approval. </w:t>
      </w:r>
      <w:r w:rsidRPr="00205FB6">
        <w:rPr>
          <w:u w:val="single"/>
        </w:rPr>
        <w:t>That takes money, which nobody will invest without a patent</w:t>
      </w:r>
      <w:r>
        <w:t xml:space="preserve">. </w:t>
      </w:r>
      <w:r w:rsidRPr="00205FB6">
        <w:rPr>
          <w:u w:val="single"/>
        </w:rPr>
        <w:t xml:space="preserve">It’s a </w:t>
      </w:r>
      <w:r w:rsidRPr="00205FB6">
        <w:rPr>
          <w:rStyle w:val="Emphasis"/>
        </w:rPr>
        <w:t>Catch-22</w:t>
      </w:r>
      <w:r w:rsidRPr="00205FB6">
        <w:rPr>
          <w:u w:val="single"/>
        </w:rPr>
        <w:t xml:space="preserve"> that ends up </w:t>
      </w:r>
      <w:r w:rsidRPr="00205FB6">
        <w:rPr>
          <w:rStyle w:val="Emphasis"/>
        </w:rPr>
        <w:t>excluding potentially valuable drugs</w:t>
      </w:r>
      <w:r w:rsidRPr="00205FB6">
        <w:rPr>
          <w:u w:val="single"/>
        </w:rPr>
        <w:t xml:space="preserve"> from ever even being considered for development.</w:t>
      </w:r>
    </w:p>
    <w:p w14:paraId="6F6D571A" w14:textId="77777777" w:rsidR="00456038" w:rsidRDefault="00456038" w:rsidP="00456038">
      <w:pPr>
        <w:rPr>
          <w:u w:val="single"/>
        </w:rPr>
      </w:pPr>
      <w:r>
        <w:t xml:space="preserve">There’s evidence that the </w:t>
      </w:r>
      <w:r w:rsidRPr="00205FB6">
        <w:rPr>
          <w:u w:val="single"/>
        </w:rPr>
        <w:t>provision of patents only for nonobvious and novel innovations affects drug development</w:t>
      </w:r>
      <w:r>
        <w:t>. In a paper published in the Texas Law Review, Mr. Roin documents many examples of patent invalidation on these grounds — importantly, even for ideas that had never been developed into drugs and that still required clinical trials for F.D.A. approval. For example</w:t>
      </w:r>
      <w:r w:rsidRPr="00205FB6">
        <w:rPr>
          <w:u w:val="single"/>
        </w:rPr>
        <w:t>, the patent of an anti-inflammatory drug was invalidated because it had been disclosed in a prior academic article. A patent for a hypertension drug was invalidated because it was deemed to have been created by a well-known process.</w:t>
      </w:r>
    </w:p>
    <w:p w14:paraId="50B381D9" w14:textId="79E54314" w:rsidR="00456038" w:rsidRDefault="00456038" w:rsidP="00456038">
      <w:pPr>
        <w:pStyle w:val="Heading4"/>
      </w:pPr>
      <w:r>
        <w:t xml:space="preserve">Pharmaceutical innovation is more efficient </w:t>
      </w:r>
      <w:r>
        <w:rPr>
          <w:u w:val="single"/>
        </w:rPr>
        <w:t>without</w:t>
      </w:r>
      <w:r>
        <w:t xml:space="preserve"> patents – empirics prove.</w:t>
      </w:r>
    </w:p>
    <w:p w14:paraId="11892FFC" w14:textId="77777777" w:rsidR="00456038" w:rsidRPr="00957472" w:rsidRDefault="00456038" w:rsidP="00456038">
      <w:r w:rsidRPr="00957472">
        <w:rPr>
          <w:b/>
          <w:bCs/>
          <w:sz w:val="26"/>
          <w:szCs w:val="26"/>
        </w:rPr>
        <w:t>Lowe 13</w:t>
      </w:r>
      <w:r w:rsidRPr="00957472">
        <w:rPr>
          <w:sz w:val="26"/>
          <w:szCs w:val="26"/>
        </w:rPr>
        <w:t xml:space="preserve"> </w:t>
      </w:r>
      <w:r>
        <w:t xml:space="preserve">- </w:t>
      </w:r>
      <w:r w:rsidRPr="00957472">
        <w:t>got his BA from Hendrix College and his PhD in organic chemistry from Duke before spending time in Germany on a Humboldt Fellowship on his post-doc</w:t>
      </w:r>
      <w:r>
        <w:t>, (Derek, “</w:t>
      </w:r>
      <w:r w:rsidRPr="00957472">
        <w:t>The Problem With Patents</w:t>
      </w:r>
      <w:r>
        <w:t xml:space="preserve">,” </w:t>
      </w:r>
      <w:r>
        <w:rPr>
          <w:i/>
          <w:iCs/>
        </w:rPr>
        <w:t>Science Translational Medicine</w:t>
      </w:r>
      <w:r>
        <w:t xml:space="preserve">, 8-13-15, </w:t>
      </w:r>
      <w:hyperlink r:id="rId209" w:history="1">
        <w:r w:rsidRPr="00ED36A1">
          <w:rPr>
            <w:rStyle w:val="Hyperlink"/>
          </w:rPr>
          <w:t>https://blogs.sciencemag.org/pipeline/archives/2015/08/13/the-problem-with-patents</w:t>
        </w:r>
      </w:hyperlink>
      <w:r>
        <w:t>, Accessed 7-7-20, LASA-AH)</w:t>
      </w:r>
    </w:p>
    <w:p w14:paraId="57029B54" w14:textId="77777777" w:rsidR="00456038" w:rsidRPr="00957472" w:rsidRDefault="00456038" w:rsidP="00456038">
      <w:pPr>
        <w:rPr>
          <w:u w:val="single"/>
        </w:rPr>
      </w:pPr>
      <w:r w:rsidRPr="00957472">
        <w:rPr>
          <w:u w:val="single"/>
        </w:rPr>
        <w:t>Here’s a case against the whole idea of patents</w:t>
      </w:r>
      <w:r>
        <w:t xml:space="preserve">, from some economists at the Federal Reserve. </w:t>
      </w:r>
      <w:r w:rsidRPr="00957472">
        <w:rPr>
          <w:u w:val="single"/>
        </w:rPr>
        <w:t xml:space="preserve">The ties between patent regimes and innovation in general are </w:t>
      </w:r>
      <w:r w:rsidRPr="00957472">
        <w:rPr>
          <w:rStyle w:val="Emphasis"/>
        </w:rPr>
        <w:t>not as strong as you might think</w:t>
      </w:r>
      <w:r w:rsidRPr="00957472">
        <w:rPr>
          <w:u w:val="single"/>
        </w:rPr>
        <w:t xml:space="preserve">, </w:t>
      </w:r>
      <w:r>
        <w:t xml:space="preserve">as they show with a good deal of evidence. And there’s no doubt that </w:t>
      </w:r>
      <w:r w:rsidRPr="00957472">
        <w:rPr>
          <w:u w:val="single"/>
        </w:rPr>
        <w:t>patents</w:t>
      </w:r>
      <w:r>
        <w:t xml:space="preserve">, as a proxy for innovation itself, </w:t>
      </w:r>
      <w:r w:rsidRPr="00957472">
        <w:rPr>
          <w:rStyle w:val="Emphasis"/>
        </w:rPr>
        <w:t>aren’t much use</w:t>
      </w:r>
      <w:r>
        <w:t xml:space="preserve">. That’s partly an observer effect – </w:t>
      </w:r>
      <w:r w:rsidRPr="00957472">
        <w:rPr>
          <w:u w:val="single"/>
        </w:rPr>
        <w:t>some companies, universities, and whole countries have decided that since patents are correlated with invention</w:t>
      </w:r>
      <w:r>
        <w:t xml:space="preserve"> (</w:t>
      </w:r>
      <w:r w:rsidRPr="00957472">
        <w:rPr>
          <w:u w:val="single"/>
        </w:rPr>
        <w:t>dubious assumption</w:t>
      </w:r>
      <w:r>
        <w:t xml:space="preserve"> though that may be), that if they can just file more patent applications, then they must be innovating more. It’s so convenient, too, because you can get an exact count of just how innovative you’re being! </w:t>
      </w:r>
      <w:r w:rsidRPr="00957472">
        <w:rPr>
          <w:u w:val="single"/>
        </w:rPr>
        <w:t>This is an ancient mistake, applicable to more than patents, and any medicinal chemist who’s worked in a department where people were rewarded for sheer number of compounds synthesized will know it well.</w:t>
      </w:r>
    </w:p>
    <w:p w14:paraId="1A0DDBFB" w14:textId="77777777" w:rsidR="00456038" w:rsidRDefault="00456038" w:rsidP="00456038">
      <w:r>
        <w:t>The Economist does get around to the drug-patenting system, of course:</w:t>
      </w:r>
    </w:p>
    <w:p w14:paraId="20BCE655" w14:textId="77777777" w:rsidR="00456038" w:rsidRDefault="00456038" w:rsidP="00456038">
      <w:r w:rsidRPr="00957472">
        <w:rPr>
          <w:u w:val="single"/>
        </w:rPr>
        <w:t xml:space="preserve">Even if many industries </w:t>
      </w:r>
      <w:r w:rsidRPr="00957472">
        <w:rPr>
          <w:rStyle w:val="Emphasis"/>
        </w:rPr>
        <w:t>do not really need patents</w:t>
      </w:r>
      <w:r>
        <w:t>—and a fair few might be better off without them—</w:t>
      </w:r>
      <w:r w:rsidRPr="00957472">
        <w:rPr>
          <w:u w:val="single"/>
        </w:rPr>
        <w:t>there is still a strong belief that in some businesses they are vital.</w:t>
      </w:r>
      <w:r>
        <w:t xml:space="preserve"> </w:t>
      </w:r>
      <w:r w:rsidRPr="00957472">
        <w:rPr>
          <w:u w:val="single"/>
        </w:rPr>
        <w:t>The example</w:t>
      </w:r>
      <w:r>
        <w:t xml:space="preserve"> always touted </w:t>
      </w:r>
      <w:r w:rsidRPr="00957472">
        <w:rPr>
          <w:u w:val="single"/>
        </w:rPr>
        <w:t>is pharmaceuticals</w:t>
      </w:r>
      <w:r>
        <w:t>. Drugs have to undergo exceptionally expensive and long-drawn-out testing procedures to demonstrate that they are safe and effective. And once a company has laboriously demonstrated that a molecule does its job with few or manageable ill effects, its rivals could make far cheaper copies were it not for patent protection. . .</w:t>
      </w:r>
    </w:p>
    <w:p w14:paraId="3F14EEC5" w14:textId="7DD1BDD5" w:rsidR="00456038" w:rsidRPr="00456038" w:rsidRDefault="00456038" w:rsidP="00456038">
      <w:r>
        <w:t xml:space="preserve">However, </w:t>
      </w:r>
      <w:r w:rsidRPr="00957472">
        <w:rPr>
          <w:u w:val="single"/>
        </w:rPr>
        <w:t>the history of the industry raises doubts about such arguments</w:t>
      </w:r>
      <w:r>
        <w:t xml:space="preserve">. </w:t>
      </w:r>
      <w:r w:rsidRPr="00957472">
        <w:rPr>
          <w:u w:val="single"/>
        </w:rPr>
        <w:t xml:space="preserve">Until 1967 German drug companies could only patent the way they made drugs, not the formulae of the drugs themselves. </w:t>
      </w:r>
      <w:r w:rsidRPr="00957472">
        <w:t>Anyone</w:t>
      </w:r>
      <w:r>
        <w:t xml:space="preserve"> could sell copies of the medicines if they found another method of making them. </w:t>
      </w:r>
      <w:r w:rsidRPr="00957472">
        <w:rPr>
          <w:u w:val="single"/>
        </w:rPr>
        <w:t>Yet Mr Boldrin and Mr Levine</w:t>
      </w:r>
      <w:r>
        <w:t xml:space="preserve"> [the Federal Reserve link above – DBL] </w:t>
      </w:r>
      <w:r w:rsidRPr="00957472">
        <w:rPr>
          <w:u w:val="single"/>
        </w:rPr>
        <w:t xml:space="preserve">say German drugmakers produced </w:t>
      </w:r>
      <w:r w:rsidRPr="00957472">
        <w:rPr>
          <w:rStyle w:val="Emphasis"/>
        </w:rPr>
        <w:t>more innovations</w:t>
      </w:r>
      <w:r w:rsidRPr="00957472">
        <w:rPr>
          <w:u w:val="single"/>
        </w:rPr>
        <w:t xml:space="preserve"> than British ones</w:t>
      </w:r>
      <w:r>
        <w:t xml:space="preserve"> (remember where aspirin was invented). Another </w:t>
      </w:r>
      <w:r w:rsidRPr="00957472">
        <w:rPr>
          <w:u w:val="single"/>
        </w:rPr>
        <w:t>interesting case is Italy, which had no patent protection for drugs until 1978</w:t>
      </w:r>
      <w:r>
        <w:t xml:space="preserve">. One study showed it </w:t>
      </w:r>
      <w:r w:rsidRPr="00957472">
        <w:rPr>
          <w:u w:val="single"/>
        </w:rPr>
        <w:t>invented a larger proportion of the world’s new medicines before that date than afterward</w:t>
      </w:r>
      <w:r>
        <w:t xml:space="preserve">s. Before the “reform” it had lots of copycat firms, but </w:t>
      </w:r>
      <w:r w:rsidRPr="00957472">
        <w:rPr>
          <w:u w:val="single"/>
        </w:rPr>
        <w:t>the biggest of these also did research on drugs of their own</w:t>
      </w:r>
      <w:r>
        <w:t>. They were largely wiped out once they had to pay royalties on their copycat drugs.</w:t>
      </w:r>
    </w:p>
    <w:p w14:paraId="4DC483CB" w14:textId="4E760BEB" w:rsidR="000B26B7" w:rsidRDefault="000B26B7" w:rsidP="00C72E89">
      <w:pPr>
        <w:pStyle w:val="Heading3"/>
      </w:pPr>
      <w:r>
        <w:t>2AC – IL – AT: EPA</w:t>
      </w:r>
    </w:p>
    <w:p w14:paraId="07B240F8" w14:textId="659D4D49" w:rsidR="000B26B7" w:rsidRPr="000F6819" w:rsidRDefault="000B26B7" w:rsidP="000B26B7">
      <w:pPr>
        <w:pStyle w:val="Heading4"/>
        <w:rPr>
          <w:b w:val="0"/>
          <w:bCs/>
        </w:rPr>
      </w:pPr>
      <w:r>
        <w:t xml:space="preserve">Ending Chevron </w:t>
      </w:r>
      <w:r>
        <w:rPr>
          <w:u w:val="single"/>
        </w:rPr>
        <w:t>improves</w:t>
      </w:r>
      <w:r>
        <w:t xml:space="preserve"> environmental protections.</w:t>
      </w:r>
      <w:r>
        <w:rPr>
          <w:b w:val="0"/>
          <w:bCs/>
        </w:rPr>
        <w:t xml:space="preserve"> </w:t>
      </w:r>
    </w:p>
    <w:p w14:paraId="5C7328A8" w14:textId="77777777" w:rsidR="000B26B7" w:rsidRPr="009A1683" w:rsidRDefault="000B26B7" w:rsidP="000B26B7">
      <w:r w:rsidRPr="002A6FFA">
        <w:rPr>
          <w:rStyle w:val="Style13ptBold"/>
        </w:rPr>
        <w:t>Shogren 17</w:t>
      </w:r>
      <w:r>
        <w:rPr>
          <w:rStyle w:val="Style13ptBold"/>
        </w:rPr>
        <w:t xml:space="preserve"> — </w:t>
      </w:r>
      <w:r>
        <w:t>Elizabeth Shogren is a</w:t>
      </w:r>
      <w:r w:rsidRPr="009A1683">
        <w:t xml:space="preserve"> Washington correspondent, internally citing Donald J. Kochan, a law professor at Chapman University</w:t>
      </w:r>
      <w:r>
        <w:t>. (</w:t>
      </w:r>
      <w:r w:rsidRPr="009A1683">
        <w:t>“Should courts defer to the expertise of agencies?”</w:t>
      </w:r>
      <w:r>
        <w:t xml:space="preserve"> High Country News, April 17, 2017.</w:t>
      </w:r>
      <w:r w:rsidRPr="009A1683">
        <w:t xml:space="preserve"> </w:t>
      </w:r>
      <w:hyperlink r:id="rId210" w:history="1">
        <w:r w:rsidRPr="009A1683">
          <w:rPr>
            <w:rStyle w:val="Hyperlink"/>
          </w:rPr>
          <w:t>https://www.hcn.org/issues/49.7/should-courts-defer-to-federal-agencies-our-new-supreme-court-justice-doesnt-think-so</w:t>
        </w:r>
      </w:hyperlink>
      <w:r w:rsidRPr="009A1683">
        <w:t>)</w:t>
      </w:r>
      <w:r>
        <w:t>//JLPark</w:t>
      </w:r>
    </w:p>
    <w:p w14:paraId="48EBA892" w14:textId="77777777" w:rsidR="000B26B7" w:rsidRPr="008B1FAB" w:rsidRDefault="000B26B7" w:rsidP="000B26B7">
      <w:pPr>
        <w:rPr>
          <w:sz w:val="14"/>
        </w:rPr>
      </w:pPr>
      <w:r w:rsidRPr="008B1FAB">
        <w:rPr>
          <w:sz w:val="14"/>
        </w:rPr>
        <w:t xml:space="preserve">Under </w:t>
      </w:r>
      <w:r w:rsidRPr="008B1FAB">
        <w:rPr>
          <w:rStyle w:val="StyleUnderline"/>
        </w:rPr>
        <w:t>Chevron</w:t>
      </w:r>
      <w:r w:rsidRPr="008B1FAB">
        <w:rPr>
          <w:sz w:val="14"/>
        </w:rPr>
        <w:t xml:space="preserve">, courts </w:t>
      </w:r>
      <w:r w:rsidRPr="008B1FAB">
        <w:rPr>
          <w:rStyle w:val="StyleUnderline"/>
        </w:rPr>
        <w:t>have given agencies</w:t>
      </w:r>
      <w:r w:rsidRPr="008B1FAB">
        <w:rPr>
          <w:sz w:val="14"/>
        </w:rPr>
        <w:t xml:space="preserve"> wide </w:t>
      </w:r>
      <w:r w:rsidRPr="008B1FAB">
        <w:rPr>
          <w:rStyle w:val="StyleUnderline"/>
        </w:rPr>
        <w:t xml:space="preserve">leeway to interpret </w:t>
      </w:r>
      <w:r w:rsidRPr="008B1FAB">
        <w:rPr>
          <w:sz w:val="14"/>
        </w:rPr>
        <w:t>ambiguous</w:t>
      </w:r>
      <w:r w:rsidRPr="008B1FAB">
        <w:rPr>
          <w:rStyle w:val="StyleUnderline"/>
        </w:rPr>
        <w:t xml:space="preserve"> statutes</w:t>
      </w:r>
      <w:r w:rsidRPr="008B1FAB">
        <w:rPr>
          <w:sz w:val="14"/>
        </w:rPr>
        <w:t>. Gorsuch wrote that the doctrine has allowed “executive bureaucracies to swallow huge amounts of core judicial and legislative power and concentrate federal power in a way that seems more than a little difficult to square with the Constitution.”</w:t>
      </w:r>
    </w:p>
    <w:p w14:paraId="13AEC654" w14:textId="77777777" w:rsidR="000B26B7" w:rsidRPr="008B1FAB" w:rsidRDefault="000B26B7" w:rsidP="000B26B7">
      <w:pPr>
        <w:rPr>
          <w:sz w:val="14"/>
        </w:rPr>
      </w:pPr>
      <w:r w:rsidRPr="008B1FAB">
        <w:rPr>
          <w:sz w:val="14"/>
        </w:rPr>
        <w:t xml:space="preserve">Chevron has been pivotal in upholding key environmental regulations, from protecting habitat for endangered species to regulating pollution. Gorsuch’s aversion to it worries some Western legal experts, who fear that </w:t>
      </w:r>
      <w:r w:rsidRPr="008B1FAB">
        <w:rPr>
          <w:rStyle w:val="StyleUnderline"/>
        </w:rPr>
        <w:t>the</w:t>
      </w:r>
      <w:r w:rsidRPr="008B1FAB">
        <w:rPr>
          <w:sz w:val="14"/>
        </w:rPr>
        <w:t xml:space="preserve"> nation’s highest </w:t>
      </w:r>
      <w:r w:rsidRPr="008B1FAB">
        <w:rPr>
          <w:rStyle w:val="StyleUnderline"/>
        </w:rPr>
        <w:t>court will no longer permit federal agencies to create safeguards</w:t>
      </w:r>
      <w:r w:rsidRPr="008B1FAB">
        <w:rPr>
          <w:sz w:val="14"/>
        </w:rPr>
        <w:t xml:space="preserve"> for the West’s lands, waters, air and wildlife that are not explicitly required by Congress. “The statutory mandate of land-management agencies like the Forest Service, Bureau of Land Management and Park Service is old and creaky,” said Fred Cheever, a professor of natural resources and environmental law at the University of Denver Law School. “</w:t>
      </w:r>
      <w:r w:rsidRPr="008B1FAB">
        <w:rPr>
          <w:rStyle w:val="StyleUnderline"/>
        </w:rPr>
        <w:t>The combination of lack of deference and antiquated laws creates a potential conflict that may dramatically impact</w:t>
      </w:r>
      <w:r w:rsidRPr="008B1FAB">
        <w:rPr>
          <w:sz w:val="14"/>
        </w:rPr>
        <w:t xml:space="preserve"> the West.”</w:t>
      </w:r>
    </w:p>
    <w:p w14:paraId="32FB3D76" w14:textId="77777777" w:rsidR="000B26B7" w:rsidRPr="008B1FAB" w:rsidRDefault="000B26B7" w:rsidP="000B26B7">
      <w:pPr>
        <w:rPr>
          <w:sz w:val="14"/>
          <w:szCs w:val="14"/>
        </w:rPr>
      </w:pPr>
      <w:r w:rsidRPr="008B1FAB">
        <w:rPr>
          <w:sz w:val="14"/>
          <w:szCs w:val="14"/>
        </w:rPr>
        <w:t>And because of Gorsuch’s Western roots, Cheever says, other justices may follow his lead on regional issues as they followed former Western members of the court, such as Justice Sandra Day O’Connor. While the Denver-born Gorsuch, who served on the 10th Circuit since 2006, may have more insight into conflicts over public lands than most Eastern judges, other experts scoff at Gorsuch’s Western credentials. Gorsuch has spent much of his life in Washington, D.C., moving there as a teenager in the early 1980s, when his mother, Anne Gorsuch Burford, headed President Ronald Reagan’s Environmental Protection Agency. He attended high school, college and law school on the East Coast and spent his early legal career in the nation’s capital.</w:t>
      </w:r>
    </w:p>
    <w:p w14:paraId="6B71B381" w14:textId="77777777" w:rsidR="000B26B7" w:rsidRPr="008B1FAB" w:rsidRDefault="000B26B7" w:rsidP="000B26B7">
      <w:pPr>
        <w:rPr>
          <w:sz w:val="14"/>
          <w:szCs w:val="14"/>
        </w:rPr>
      </w:pPr>
      <w:r w:rsidRPr="008B1FAB">
        <w:rPr>
          <w:sz w:val="14"/>
          <w:szCs w:val="14"/>
        </w:rPr>
        <w:t>Gorsuch joins the Supreme Court at a time when there is growing criticism of Chevron. Though the majority of the court relied on Chevron and deferred to the Federal Communications Commission in the 2013 case City of Arlington v. FCC, Chief Justice John Roberts wrote a strongly worded dissent, warning of “the danger posed by the growing power of the administrative state.” In a 2015 case upholding the Affordable Care Act, Roberts expressly stated that the court wasn’t deferring to the agency under Chevron, as a lower court had, but instead was resolving the ambiguity in the statute itself. Meanwhile, congressional Republicans are trying to get rid of it altogether. The House passed a law in January that would instruct courts not to defer to agencies’ interpretations of ambiguous laws. The Senate has yet to act.</w:t>
      </w:r>
    </w:p>
    <w:p w14:paraId="04003B53" w14:textId="77777777" w:rsidR="000B26B7" w:rsidRPr="008B1FAB" w:rsidRDefault="000B26B7" w:rsidP="000B26B7">
      <w:pPr>
        <w:rPr>
          <w:rStyle w:val="StyleUnderline"/>
        </w:rPr>
      </w:pPr>
      <w:r w:rsidRPr="008B1FAB">
        <w:rPr>
          <w:rStyle w:val="StyleUnderline"/>
        </w:rPr>
        <w:t>Environmental groups</w:t>
      </w:r>
      <w:r w:rsidRPr="008B1FAB">
        <w:rPr>
          <w:sz w:val="14"/>
        </w:rPr>
        <w:t xml:space="preserve"> likely </w:t>
      </w:r>
      <w:r w:rsidRPr="008B1FAB">
        <w:rPr>
          <w:rStyle w:val="StyleUnderline"/>
        </w:rPr>
        <w:t>would cite Chevron in defending</w:t>
      </w:r>
      <w:r w:rsidRPr="008B1FAB">
        <w:rPr>
          <w:sz w:val="14"/>
        </w:rPr>
        <w:t xml:space="preserve"> the Obama administration’s environmental rules, including the EPA’s Clean Water and Clean Power Plants rules and the BLM’s methane and hydraulic fracturing rules. </w:t>
      </w:r>
      <w:r w:rsidRPr="008B1FAB">
        <w:rPr>
          <w:rStyle w:val="StyleUnderline"/>
        </w:rPr>
        <w:t>But those cases may not make it to the</w:t>
      </w:r>
      <w:r w:rsidRPr="008B1FAB">
        <w:rPr>
          <w:sz w:val="14"/>
        </w:rPr>
        <w:t xml:space="preserve"> Supreme </w:t>
      </w:r>
      <w:r w:rsidRPr="008B1FAB">
        <w:rPr>
          <w:rStyle w:val="StyleUnderline"/>
        </w:rPr>
        <w:t>Court</w:t>
      </w:r>
      <w:r w:rsidRPr="008B1FAB">
        <w:rPr>
          <w:sz w:val="14"/>
        </w:rPr>
        <w:t xml:space="preserve">; President Donald </w:t>
      </w:r>
      <w:r w:rsidRPr="008B1FAB">
        <w:rPr>
          <w:rStyle w:val="StyleUnderline"/>
        </w:rPr>
        <w:t>Trump</w:t>
      </w:r>
      <w:r w:rsidRPr="008B1FAB">
        <w:rPr>
          <w:sz w:val="14"/>
        </w:rPr>
        <w:t xml:space="preserve"> already </w:t>
      </w:r>
      <w:r w:rsidRPr="008B1FAB">
        <w:rPr>
          <w:rStyle w:val="StyleUnderline"/>
        </w:rPr>
        <w:t xml:space="preserve">is trying to rollback many of these regulations. </w:t>
      </w:r>
    </w:p>
    <w:p w14:paraId="17F0A284" w14:textId="77777777" w:rsidR="000B26B7" w:rsidRPr="008B1FAB" w:rsidRDefault="000B26B7" w:rsidP="000B26B7">
      <w:pPr>
        <w:rPr>
          <w:sz w:val="14"/>
        </w:rPr>
      </w:pPr>
      <w:r w:rsidRPr="008B1FAB">
        <w:rPr>
          <w:rStyle w:val="StyleUnderline"/>
        </w:rPr>
        <w:t>Chevron deference benefits whatever administration is in powe</w:t>
      </w:r>
      <w:r w:rsidRPr="008B1FAB">
        <w:rPr>
          <w:sz w:val="14"/>
        </w:rPr>
        <w:t xml:space="preserve">r — and consequently Gorsuch’s resistance to it could backfire on Republicans. In the original 1984 case, Chevron U.S.A. Inc. v. Natural Resources Defense Council Inc., </w:t>
      </w:r>
      <w:r w:rsidRPr="008B1FAB">
        <w:rPr>
          <w:rStyle w:val="StyleUnderline"/>
        </w:rPr>
        <w:t>the Supreme Court upheld an EPA air pollution rule</w:t>
      </w:r>
      <w:r w:rsidRPr="008B1FAB">
        <w:rPr>
          <w:sz w:val="14"/>
        </w:rPr>
        <w:t xml:space="preserve"> — crafted while Gorsuch’s mother headed the agency — </w:t>
      </w:r>
      <w:r w:rsidRPr="008B1FAB">
        <w:rPr>
          <w:rStyle w:val="StyleUnderline"/>
        </w:rPr>
        <w:t>that benefitted industry, allowing more air pollution</w:t>
      </w:r>
      <w:r w:rsidRPr="008B1FAB">
        <w:rPr>
          <w:sz w:val="14"/>
        </w:rPr>
        <w:t xml:space="preserve">. </w:t>
      </w:r>
      <w:r w:rsidRPr="008B1FAB">
        <w:rPr>
          <w:rStyle w:val="StyleUnderline"/>
        </w:rPr>
        <w:t>That’s</w:t>
      </w:r>
      <w:r w:rsidRPr="008B1FAB">
        <w:rPr>
          <w:sz w:val="14"/>
        </w:rPr>
        <w:t xml:space="preserve"> just </w:t>
      </w:r>
      <w:r w:rsidRPr="008B1FAB">
        <w:rPr>
          <w:rStyle w:val="StyleUnderline"/>
        </w:rPr>
        <w:t>the</w:t>
      </w:r>
      <w:r w:rsidRPr="008B1FAB">
        <w:rPr>
          <w:sz w:val="14"/>
        </w:rPr>
        <w:t xml:space="preserve"> kind of </w:t>
      </w:r>
      <w:r w:rsidRPr="008B1FAB">
        <w:rPr>
          <w:rStyle w:val="StyleUnderline"/>
        </w:rPr>
        <w:t>regulation the Trump administration could be expected to write</w:t>
      </w:r>
      <w:r w:rsidRPr="008B1FAB">
        <w:rPr>
          <w:sz w:val="14"/>
        </w:rPr>
        <w:t xml:space="preserve">. But </w:t>
      </w:r>
      <w:r w:rsidRPr="008B1FAB">
        <w:rPr>
          <w:rStyle w:val="StyleUnderline"/>
        </w:rPr>
        <w:t>if the court,</w:t>
      </w:r>
      <w:r w:rsidRPr="008B1FAB">
        <w:rPr>
          <w:sz w:val="14"/>
        </w:rPr>
        <w:t xml:space="preserve"> under Gorsuch’s influence, </w:t>
      </w:r>
      <w:r w:rsidRPr="008B1FAB">
        <w:rPr>
          <w:rStyle w:val="StyleUnderline"/>
        </w:rPr>
        <w:t>becomes increasingly reluctant to defer to agencies, that could make it harder for Trump</w:t>
      </w:r>
      <w:r w:rsidRPr="008B1FAB">
        <w:rPr>
          <w:sz w:val="14"/>
        </w:rPr>
        <w:t xml:space="preserve">’s team </w:t>
      </w:r>
      <w:r w:rsidRPr="008B1FAB">
        <w:rPr>
          <w:rStyle w:val="StyleUnderline"/>
        </w:rPr>
        <w:t>to write rules that benefit industry, or even to eliminate existing environmental and safety regulations. When those decisions are challenged</w:t>
      </w:r>
      <w:r w:rsidRPr="008B1FAB">
        <w:rPr>
          <w:sz w:val="14"/>
        </w:rPr>
        <w:t xml:space="preserve"> in court, the </w:t>
      </w:r>
      <w:r w:rsidRPr="008B1FAB">
        <w:rPr>
          <w:rStyle w:val="StyleUnderline"/>
        </w:rPr>
        <w:t>Trump</w:t>
      </w:r>
      <w:r w:rsidRPr="008B1FAB">
        <w:rPr>
          <w:sz w:val="14"/>
        </w:rPr>
        <w:t xml:space="preserve"> administration may be hampered by having to use other legal arguments </w:t>
      </w:r>
      <w:r w:rsidRPr="008B1FAB">
        <w:rPr>
          <w:rStyle w:val="StyleUnderline"/>
        </w:rPr>
        <w:t xml:space="preserve">instead of </w:t>
      </w:r>
      <w:r w:rsidRPr="008B1FAB">
        <w:rPr>
          <w:sz w:val="14"/>
        </w:rPr>
        <w:t xml:space="preserve">simply </w:t>
      </w:r>
      <w:r w:rsidRPr="008B1FAB">
        <w:rPr>
          <w:rStyle w:val="StyleUnderline"/>
        </w:rPr>
        <w:t>relying on Chevron</w:t>
      </w:r>
      <w:r w:rsidRPr="008B1FAB">
        <w:rPr>
          <w:sz w:val="14"/>
        </w:rPr>
        <w:t xml:space="preserve"> deference. “</w:t>
      </w:r>
      <w:r w:rsidRPr="008B1FAB">
        <w:rPr>
          <w:rStyle w:val="StyleUnderline"/>
        </w:rPr>
        <w:t>Those who dislike Trump’s policies may find a friend in Gorsuch’s views on Chevron</w:t>
      </w:r>
      <w:r w:rsidRPr="008B1FAB">
        <w:rPr>
          <w:sz w:val="14"/>
        </w:rPr>
        <w:t>,” said Donald J. Kochan, law professor at</w:t>
      </w:r>
      <w:r w:rsidRPr="008B1FAB">
        <w:rPr>
          <w:rFonts w:ascii="Tahoma" w:hAnsi="Tahoma" w:cs="Tahoma"/>
          <w:sz w:val="14"/>
        </w:rPr>
        <w:t> </w:t>
      </w:r>
      <w:r w:rsidRPr="008B1FAB">
        <w:rPr>
          <w:sz w:val="14"/>
        </w:rPr>
        <w:t>Chapman University, in Orange, California.</w:t>
      </w:r>
    </w:p>
    <w:p w14:paraId="059760BF" w14:textId="77777777" w:rsidR="000B26B7" w:rsidRPr="008B1FAB" w:rsidRDefault="000B26B7" w:rsidP="000B26B7">
      <w:pPr>
        <w:rPr>
          <w:sz w:val="14"/>
        </w:rPr>
      </w:pPr>
      <w:r w:rsidRPr="008B1FAB">
        <w:rPr>
          <w:sz w:val="14"/>
        </w:rPr>
        <w:t xml:space="preserve">Gorsuch is only 49 and could be on the court for decades. How might his presence there determine what happens when future administrations try to expand protections for the West’s public lands and environment? That answer depends on unpredictable factors, including whether Trump has by then appointed additional justices who share Gorsuch’s antipathy for Chevron. What is clear is that Gorsuch will be pushing </w:t>
      </w:r>
      <w:r w:rsidRPr="008B1FAB">
        <w:rPr>
          <w:rStyle w:val="StyleUnderline"/>
        </w:rPr>
        <w:t>the court</w:t>
      </w:r>
      <w:r w:rsidRPr="008B1FAB">
        <w:rPr>
          <w:sz w:val="14"/>
        </w:rPr>
        <w:t xml:space="preserve"> to reassert its role in interpreting statues — and </w:t>
      </w:r>
      <w:r w:rsidRPr="008B1FAB">
        <w:rPr>
          <w:rStyle w:val="StyleUnderline"/>
        </w:rPr>
        <w:t>will block agencies that try to regulate based on their own interpretations</w:t>
      </w:r>
      <w:r w:rsidRPr="008B1FAB">
        <w:rPr>
          <w:sz w:val="14"/>
        </w:rPr>
        <w:t>.</w:t>
      </w:r>
    </w:p>
    <w:p w14:paraId="1B673B1B" w14:textId="2ABB72C8" w:rsidR="000B26B7" w:rsidRDefault="000B26B7" w:rsidP="000B26B7">
      <w:pPr>
        <w:pStyle w:val="Heading3"/>
      </w:pPr>
      <w:r>
        <w:t>1AR – IL – AT: EPA</w:t>
      </w:r>
    </w:p>
    <w:p w14:paraId="62534BBB" w14:textId="32AC4D00" w:rsidR="000B26B7" w:rsidRPr="000B26B7" w:rsidRDefault="000B26B7" w:rsidP="000B26B7">
      <w:pPr>
        <w:pStyle w:val="Heading4"/>
      </w:pPr>
      <w:r>
        <w:t xml:space="preserve">Environmental regulations fail – </w:t>
      </w:r>
      <w:r>
        <w:rPr>
          <w:u w:val="single"/>
        </w:rPr>
        <w:t>lenity</w:t>
      </w:r>
      <w:r>
        <w:t xml:space="preserve"> solves.</w:t>
      </w:r>
    </w:p>
    <w:p w14:paraId="308D255E" w14:textId="77777777" w:rsidR="000B26B7" w:rsidRPr="007D607C" w:rsidRDefault="000B26B7" w:rsidP="000B26B7">
      <w:r>
        <w:rPr>
          <w:rStyle w:val="Style13ptBold"/>
        </w:rPr>
        <w:t xml:space="preserve">Marzulla 12 — </w:t>
      </w:r>
      <w:r w:rsidRPr="007D607C">
        <w:t>Roger J. Marzulla is one of the nation’s leading environmental, water, and property lawyers. As Assistant Attorney General in charge of the U.S. Justice Department’s Environment and Natural Resources Division</w:t>
      </w:r>
      <w:r>
        <w:t>. JD and BA from Santa Clara University. (“Lenity: An Essential Rule for Interpreting Environmental Crimes Statutes” The Federalist Society, Vol. 13, Iss. 3, October 31, 2012. https://fedsoc.org/commentary/publications/lenity-an-essential-rule-for-interpreting-environmental-crimes-statutes)JLPark</w:t>
      </w:r>
    </w:p>
    <w:p w14:paraId="31DF5839" w14:textId="77777777" w:rsidR="000B26B7" w:rsidRPr="00E574C4" w:rsidRDefault="000B26B7" w:rsidP="000B26B7">
      <w:pPr>
        <w:rPr>
          <w:sz w:val="14"/>
        </w:rPr>
      </w:pPr>
      <w:r w:rsidRPr="00E574C4">
        <w:rPr>
          <w:rStyle w:val="StyleUnderline"/>
        </w:rPr>
        <w:t xml:space="preserve">Unclear environmental </w:t>
      </w:r>
      <w:r w:rsidRPr="00E574C4">
        <w:rPr>
          <w:sz w:val="14"/>
        </w:rPr>
        <w:t xml:space="preserve">laws and </w:t>
      </w:r>
      <w:r w:rsidRPr="00E574C4">
        <w:rPr>
          <w:rStyle w:val="StyleUnderline"/>
        </w:rPr>
        <w:t xml:space="preserve">vague </w:t>
      </w:r>
      <w:r w:rsidRPr="0093198F">
        <w:rPr>
          <w:rStyle w:val="StyleUnderline"/>
        </w:rPr>
        <w:t>regulations defeat</w:t>
      </w:r>
      <w:r w:rsidRPr="00E574C4">
        <w:rPr>
          <w:sz w:val="14"/>
        </w:rPr>
        <w:t xml:space="preserve"> their stated purpose—</w:t>
      </w:r>
      <w:r w:rsidRPr="00E574C4">
        <w:rPr>
          <w:rStyle w:val="StyleUnderline"/>
        </w:rPr>
        <w:t xml:space="preserve">environmental </w:t>
      </w:r>
      <w:r w:rsidRPr="0093198F">
        <w:rPr>
          <w:rStyle w:val="StyleUnderline"/>
        </w:rPr>
        <w:t>protection</w:t>
      </w:r>
      <w:r w:rsidRPr="00E574C4">
        <w:rPr>
          <w:sz w:val="14"/>
        </w:rPr>
        <w:t xml:space="preserve">. </w:t>
      </w:r>
      <w:r w:rsidRPr="00E574C4">
        <w:rPr>
          <w:rStyle w:val="StyleUnderline"/>
        </w:rPr>
        <w:t xml:space="preserve">The success of our </w:t>
      </w:r>
      <w:r w:rsidRPr="00E574C4">
        <w:rPr>
          <w:sz w:val="14"/>
        </w:rPr>
        <w:t xml:space="preserve">framework of </w:t>
      </w:r>
      <w:r w:rsidRPr="00E574C4">
        <w:rPr>
          <w:rStyle w:val="StyleUnderline"/>
        </w:rPr>
        <w:t>environmental laws and regulations depends on how</w:t>
      </w:r>
      <w:r w:rsidRPr="00E574C4">
        <w:rPr>
          <w:sz w:val="14"/>
        </w:rPr>
        <w:t xml:space="preserve"> well </w:t>
      </w:r>
      <w:r w:rsidRPr="00E574C4">
        <w:rPr>
          <w:rStyle w:val="StyleUnderline"/>
        </w:rPr>
        <w:t>people follow the regulations</w:t>
      </w:r>
      <w:r w:rsidRPr="00E574C4">
        <w:rPr>
          <w:sz w:val="14"/>
        </w:rPr>
        <w:t xml:space="preserve">’ mandates and prohibitions. But </w:t>
      </w:r>
      <w:r w:rsidRPr="00E574C4">
        <w:rPr>
          <w:rStyle w:val="StyleUnderline"/>
        </w:rPr>
        <w:t>if no one</w:t>
      </w:r>
      <w:r w:rsidRPr="00E574C4">
        <w:rPr>
          <w:sz w:val="14"/>
        </w:rPr>
        <w:t xml:space="preserve"> can </w:t>
      </w:r>
      <w:r w:rsidRPr="00E574C4">
        <w:rPr>
          <w:rStyle w:val="StyleUnderline"/>
        </w:rPr>
        <w:t>understand</w:t>
      </w:r>
      <w:r w:rsidRPr="00E574C4">
        <w:rPr>
          <w:sz w:val="14"/>
        </w:rPr>
        <w:t xml:space="preserve"> them, </w:t>
      </w:r>
      <w:r w:rsidRPr="00E574C4">
        <w:rPr>
          <w:rStyle w:val="StyleUnderline"/>
        </w:rPr>
        <w:t>and no one knows what is required or prohibited</w:t>
      </w:r>
      <w:r w:rsidRPr="00E574C4">
        <w:rPr>
          <w:sz w:val="14"/>
        </w:rPr>
        <w:t xml:space="preserve">, </w:t>
      </w:r>
      <w:r w:rsidRPr="00E574C4">
        <w:rPr>
          <w:rStyle w:val="StyleUnderline"/>
        </w:rPr>
        <w:t xml:space="preserve">these laws </w:t>
      </w:r>
      <w:r w:rsidRPr="0093198F">
        <w:rPr>
          <w:rStyle w:val="Emphasis"/>
        </w:rPr>
        <w:t>will not achieve their intended result</w:t>
      </w:r>
      <w:r w:rsidRPr="00E574C4">
        <w:rPr>
          <w:sz w:val="14"/>
        </w:rPr>
        <w:t xml:space="preserve">. The more complex the regulatory regime, the less clear the laws and regulations, and the more difficult it is for the most well-intentioned individual to comply because he or she cannot ascertain what is expected. </w:t>
      </w:r>
      <w:r w:rsidRPr="00E574C4">
        <w:rPr>
          <w:rStyle w:val="StyleUnderline"/>
        </w:rPr>
        <w:t>Imprisoning people for unintentional violation of ambiguous laws and regulations undermine</w:t>
      </w:r>
      <w:r w:rsidRPr="00E574C4">
        <w:rPr>
          <w:sz w:val="14"/>
        </w:rPr>
        <w:t xml:space="preserve">s the principles of fairness, </w:t>
      </w:r>
      <w:r w:rsidRPr="00E574C4">
        <w:rPr>
          <w:rStyle w:val="StyleUnderline"/>
        </w:rPr>
        <w:t>due process, and</w:t>
      </w:r>
      <w:r w:rsidRPr="00E574C4">
        <w:rPr>
          <w:sz w:val="14"/>
        </w:rPr>
        <w:t xml:space="preserve"> respect for the </w:t>
      </w:r>
      <w:r w:rsidRPr="00E574C4">
        <w:rPr>
          <w:rStyle w:val="StyleUnderline"/>
        </w:rPr>
        <w:t>law</w:t>
      </w:r>
      <w:r w:rsidRPr="00E574C4">
        <w:rPr>
          <w:sz w:val="14"/>
        </w:rPr>
        <w:t>—</w:t>
      </w:r>
      <w:r w:rsidRPr="00E574C4">
        <w:rPr>
          <w:rStyle w:val="StyleUnderline"/>
        </w:rPr>
        <w:t>all</w:t>
      </w:r>
      <w:r w:rsidRPr="00E574C4">
        <w:rPr>
          <w:sz w:val="14"/>
        </w:rPr>
        <w:t xml:space="preserve"> of </w:t>
      </w:r>
      <w:r w:rsidRPr="00E574C4">
        <w:rPr>
          <w:rStyle w:val="StyleUnderline"/>
        </w:rPr>
        <w:t>which underlie</w:t>
      </w:r>
      <w:r w:rsidRPr="00E574C4">
        <w:rPr>
          <w:sz w:val="14"/>
        </w:rPr>
        <w:t xml:space="preserve"> the legal rule called “</w:t>
      </w:r>
      <w:r w:rsidRPr="00E574C4">
        <w:rPr>
          <w:rStyle w:val="StyleUnderline"/>
        </w:rPr>
        <w:t>lenity</w:t>
      </w:r>
      <w:r w:rsidRPr="00E574C4">
        <w:rPr>
          <w:sz w:val="14"/>
        </w:rPr>
        <w:t>.”</w:t>
      </w:r>
    </w:p>
    <w:p w14:paraId="60484AB6" w14:textId="77777777" w:rsidR="000B26B7" w:rsidRPr="00A62217" w:rsidRDefault="000B26B7" w:rsidP="000B26B7">
      <w:pPr>
        <w:rPr>
          <w:sz w:val="14"/>
          <w:szCs w:val="14"/>
        </w:rPr>
      </w:pPr>
      <w:r w:rsidRPr="00A62217">
        <w:rPr>
          <w:sz w:val="14"/>
          <w:szCs w:val="14"/>
        </w:rPr>
        <w:t>The Rule of Lenity</w:t>
      </w:r>
    </w:p>
    <w:p w14:paraId="5067174F" w14:textId="77777777" w:rsidR="000B26B7" w:rsidRPr="00A62217" w:rsidRDefault="000B26B7" w:rsidP="000B26B7">
      <w:pPr>
        <w:rPr>
          <w:sz w:val="14"/>
          <w:szCs w:val="14"/>
        </w:rPr>
      </w:pPr>
      <w:r w:rsidRPr="00A62217">
        <w:rPr>
          <w:sz w:val="14"/>
          <w:szCs w:val="14"/>
        </w:rPr>
        <w:t>The rule of lenity is a judicial doctrine that requires ambiguous criminal laws to be interpreted in favor of persons subjected to them.</w:t>
      </w:r>
    </w:p>
    <w:p w14:paraId="1DF620D2" w14:textId="77777777" w:rsidR="000B26B7" w:rsidRPr="00A62217" w:rsidRDefault="000B26B7" w:rsidP="000B26B7">
      <w:pPr>
        <w:rPr>
          <w:sz w:val="14"/>
          <w:szCs w:val="14"/>
        </w:rPr>
      </w:pPr>
      <w:r w:rsidRPr="00A62217">
        <w:rPr>
          <w:sz w:val="14"/>
          <w:szCs w:val="14"/>
        </w:rPr>
        <w:t>This venerable rule not only vindicates the fundamental principle that no citizen should be held accountable for a violation of a statute whose commands are uncertain, or subjected to punishment that is not clearly prescribed. It also places the weight of inertia upon the party that can best induce Congress to speak more clearly and keeps courts from making criminal law in Congress’s stead.1</w:t>
      </w:r>
    </w:p>
    <w:p w14:paraId="0655DA14" w14:textId="77777777" w:rsidR="000B26B7" w:rsidRPr="00A62217" w:rsidRDefault="000B26B7" w:rsidP="000B26B7">
      <w:pPr>
        <w:rPr>
          <w:sz w:val="14"/>
          <w:szCs w:val="14"/>
        </w:rPr>
      </w:pPr>
      <w:r w:rsidRPr="00A62217">
        <w:rPr>
          <w:sz w:val="14"/>
          <w:szCs w:val="14"/>
        </w:rPr>
        <w:t>Reasons for the Rule of Lenity</w:t>
      </w:r>
    </w:p>
    <w:p w14:paraId="269BF72D" w14:textId="77777777" w:rsidR="000B26B7" w:rsidRPr="00A62217" w:rsidRDefault="000B26B7" w:rsidP="000B26B7">
      <w:pPr>
        <w:rPr>
          <w:sz w:val="14"/>
          <w:szCs w:val="14"/>
        </w:rPr>
      </w:pPr>
      <w:r w:rsidRPr="00A62217">
        <w:rPr>
          <w:sz w:val="14"/>
          <w:szCs w:val="14"/>
        </w:rPr>
        <w:t>• Due process: It is unfair to convict a person who cannot determine what the law requires.</w:t>
      </w:r>
    </w:p>
    <w:p w14:paraId="48663EE2" w14:textId="77777777" w:rsidR="000B26B7" w:rsidRPr="00A62217" w:rsidRDefault="000B26B7" w:rsidP="000B26B7">
      <w:pPr>
        <w:rPr>
          <w:sz w:val="14"/>
          <w:szCs w:val="14"/>
        </w:rPr>
      </w:pPr>
      <w:r w:rsidRPr="00A62217">
        <w:rPr>
          <w:sz w:val="14"/>
          <w:szCs w:val="14"/>
        </w:rPr>
        <w:t>• Deterrence: A person cannot act in accordance with a statute that is unclear; therefore, the statute will not have the desired deterrent effect.</w:t>
      </w:r>
    </w:p>
    <w:p w14:paraId="15872D29" w14:textId="77777777" w:rsidR="000B26B7" w:rsidRPr="00A62217" w:rsidRDefault="000B26B7" w:rsidP="000B26B7">
      <w:pPr>
        <w:rPr>
          <w:sz w:val="14"/>
          <w:szCs w:val="14"/>
        </w:rPr>
      </w:pPr>
      <w:r w:rsidRPr="00A62217">
        <w:rPr>
          <w:sz w:val="14"/>
          <w:szCs w:val="14"/>
        </w:rPr>
        <w:t>• Separation of powers: Congress, and not the courts, must decide what conduct is criminal under our constitutional system.</w:t>
      </w:r>
    </w:p>
    <w:p w14:paraId="7DDC3530" w14:textId="77777777" w:rsidR="000B26B7" w:rsidRPr="00A62217" w:rsidRDefault="000B26B7" w:rsidP="000B26B7">
      <w:pPr>
        <w:rPr>
          <w:sz w:val="14"/>
          <w:szCs w:val="14"/>
        </w:rPr>
      </w:pPr>
      <w:r w:rsidRPr="00A62217">
        <w:rPr>
          <w:sz w:val="14"/>
          <w:szCs w:val="14"/>
        </w:rPr>
        <w:t>The Rule of Lenity and Environmental Crimes</w:t>
      </w:r>
    </w:p>
    <w:p w14:paraId="03F17498" w14:textId="77777777" w:rsidR="000B26B7" w:rsidRPr="00A62217" w:rsidRDefault="000B26B7" w:rsidP="000B26B7">
      <w:pPr>
        <w:rPr>
          <w:sz w:val="14"/>
        </w:rPr>
      </w:pPr>
      <w:r w:rsidRPr="00A62217">
        <w:rPr>
          <w:sz w:val="14"/>
        </w:rPr>
        <w:t xml:space="preserve">Some </w:t>
      </w:r>
      <w:r w:rsidRPr="00E574C4">
        <w:rPr>
          <w:rStyle w:val="StyleUnderline"/>
        </w:rPr>
        <w:t xml:space="preserve">aspects of important </w:t>
      </w:r>
      <w:r w:rsidRPr="0093198F">
        <w:rPr>
          <w:rStyle w:val="StyleUnderline"/>
        </w:rPr>
        <w:t>environmental statutes are ambiguous</w:t>
      </w:r>
      <w:r w:rsidRPr="00E574C4">
        <w:rPr>
          <w:rStyle w:val="StyleUnderline"/>
        </w:rPr>
        <w:t xml:space="preserve">. </w:t>
      </w:r>
      <w:r w:rsidRPr="00A62217">
        <w:rPr>
          <w:sz w:val="14"/>
        </w:rPr>
        <w:t xml:space="preserve">Consider, </w:t>
      </w:r>
      <w:r w:rsidRPr="00A62217">
        <w:rPr>
          <w:rStyle w:val="StyleUnderline"/>
        </w:rPr>
        <w:t>for example</w:t>
      </w:r>
      <w:r w:rsidRPr="00A62217">
        <w:rPr>
          <w:sz w:val="14"/>
        </w:rPr>
        <w:t xml:space="preserve">, </w:t>
      </w:r>
      <w:r w:rsidRPr="00A62217">
        <w:rPr>
          <w:rStyle w:val="StyleUnderline"/>
        </w:rPr>
        <w:t>the statutory definitions of “wetlands,” “take”</w:t>
      </w:r>
      <w:r w:rsidRPr="00A62217">
        <w:rPr>
          <w:sz w:val="14"/>
        </w:rPr>
        <w:t xml:space="preserve"> (of endangered species), </w:t>
      </w:r>
      <w:r w:rsidRPr="00A62217">
        <w:rPr>
          <w:rStyle w:val="StyleUnderline"/>
        </w:rPr>
        <w:t>or “hazardous waste,” all of which have been repeatedly defined by regulations, agency interpretative memoranda, as well as</w:t>
      </w:r>
      <w:r w:rsidRPr="00A62217">
        <w:rPr>
          <w:sz w:val="14"/>
        </w:rPr>
        <w:t xml:space="preserve"> often- conflicting </w:t>
      </w:r>
      <w:r w:rsidRPr="00A62217">
        <w:rPr>
          <w:rStyle w:val="StyleUnderline"/>
        </w:rPr>
        <w:t>court decisions</w:t>
      </w:r>
      <w:r w:rsidRPr="00A62217">
        <w:rPr>
          <w:sz w:val="14"/>
        </w:rPr>
        <w:t>. Consider the example given by leading environmental criminal attorney, Judson Starr:</w:t>
      </w:r>
    </w:p>
    <w:p w14:paraId="61128BF6" w14:textId="77777777" w:rsidR="000B26B7" w:rsidRPr="00A62217" w:rsidRDefault="000B26B7" w:rsidP="000B26B7">
      <w:pPr>
        <w:rPr>
          <w:sz w:val="14"/>
          <w:szCs w:val="14"/>
        </w:rPr>
      </w:pPr>
      <w:r w:rsidRPr="00A62217">
        <w:rPr>
          <w:sz w:val="14"/>
          <w:szCs w:val="14"/>
        </w:rPr>
        <w:t>If [a] solvent is poured first on the machinery and then wiped with a clean rag, the rag is a hazardous waste. However, if the solvent is poured first on the rag and then is used to wipe the machinery clean, the rag is not a hazardous waste. Go figure.2</w:t>
      </w:r>
    </w:p>
    <w:p w14:paraId="1F9044AB" w14:textId="77777777" w:rsidR="000B26B7" w:rsidRPr="00A62217" w:rsidRDefault="000B26B7" w:rsidP="000B26B7">
      <w:pPr>
        <w:rPr>
          <w:sz w:val="14"/>
        </w:rPr>
      </w:pPr>
      <w:r w:rsidRPr="00A62217">
        <w:rPr>
          <w:sz w:val="14"/>
        </w:rPr>
        <w:t xml:space="preserve">According to Don R. Clay, former Assistant Administrator for the </w:t>
      </w:r>
      <w:r w:rsidRPr="00A62217">
        <w:rPr>
          <w:rStyle w:val="StyleUnderline"/>
        </w:rPr>
        <w:t>EPA</w:t>
      </w:r>
      <w:r w:rsidRPr="00A62217">
        <w:rPr>
          <w:sz w:val="14"/>
        </w:rPr>
        <w:t xml:space="preserve"> Office of Solid Waste and Emergency Response, </w:t>
      </w:r>
      <w:r w:rsidRPr="00A62217">
        <w:rPr>
          <w:rStyle w:val="StyleUnderline"/>
        </w:rPr>
        <w:t>only</w:t>
      </w:r>
      <w:r w:rsidRPr="00A62217">
        <w:rPr>
          <w:sz w:val="14"/>
        </w:rPr>
        <w:t xml:space="preserve"> about </w:t>
      </w:r>
      <w:r w:rsidRPr="00A62217">
        <w:rPr>
          <w:rStyle w:val="StyleUnderline"/>
        </w:rPr>
        <w:t>five people</w:t>
      </w:r>
      <w:r w:rsidRPr="00A62217">
        <w:rPr>
          <w:sz w:val="14"/>
        </w:rPr>
        <w:t xml:space="preserve"> in the agency actually </w:t>
      </w:r>
      <w:r w:rsidRPr="00A62217">
        <w:rPr>
          <w:rStyle w:val="StyleUnderline"/>
        </w:rPr>
        <w:t>know what a hazardous waste is</w:t>
      </w:r>
      <w:r w:rsidRPr="00A62217">
        <w:rPr>
          <w:sz w:val="14"/>
        </w:rPr>
        <w:t>.3</w:t>
      </w:r>
    </w:p>
    <w:p w14:paraId="7CA727F6" w14:textId="77777777" w:rsidR="000B26B7" w:rsidRPr="006738CA" w:rsidRDefault="000B26B7" w:rsidP="000B26B7">
      <w:pPr>
        <w:rPr>
          <w:sz w:val="14"/>
        </w:rPr>
      </w:pPr>
      <w:r w:rsidRPr="00A62217">
        <w:rPr>
          <w:rStyle w:val="StyleUnderline"/>
        </w:rPr>
        <w:t>Environmental issues</w:t>
      </w:r>
      <w:r w:rsidRPr="006738CA">
        <w:rPr>
          <w:sz w:val="14"/>
        </w:rPr>
        <w:t xml:space="preserve">, which are often contentious in Congress, can </w:t>
      </w:r>
      <w:r w:rsidRPr="00A62217">
        <w:rPr>
          <w:rStyle w:val="StyleUnderline"/>
        </w:rPr>
        <w:t>result in a compromise statute that is less than clear</w:t>
      </w:r>
      <w:r w:rsidRPr="006738CA">
        <w:rPr>
          <w:sz w:val="14"/>
        </w:rPr>
        <w:t>. For example, the Supreme</w:t>
      </w:r>
      <w:r w:rsidRPr="006738CA">
        <w:rPr>
          <w:rStyle w:val="StyleUnderline"/>
        </w:rPr>
        <w:t xml:space="preserve"> Court has twice re-defined “navigable waters” in the Clean Water Act</w:t>
      </w:r>
      <w:r w:rsidRPr="006738CA">
        <w:rPr>
          <w:sz w:val="14"/>
        </w:rPr>
        <w:t>,4 yet Congress has not yet mustered the support to adopt a definition.</w:t>
      </w:r>
    </w:p>
    <w:p w14:paraId="33B51263" w14:textId="77777777" w:rsidR="000B26B7" w:rsidRPr="006738CA" w:rsidRDefault="000B26B7" w:rsidP="000B26B7">
      <w:pPr>
        <w:rPr>
          <w:sz w:val="14"/>
        </w:rPr>
      </w:pPr>
      <w:r w:rsidRPr="006738CA">
        <w:rPr>
          <w:rStyle w:val="StyleUnderline"/>
        </w:rPr>
        <w:t>Environmental law is often aspirational</w:t>
      </w:r>
      <w:r w:rsidRPr="006738CA">
        <w:rPr>
          <w:sz w:val="14"/>
        </w:rPr>
        <w:t xml:space="preserve">. The Clean Water Act, for example, prohibits discharge of all pollutants (even water that is cleaner than the stream it is discharged into) and required the cessation of all discharges by 1985.5 But as of the date of this article, discharges are still occurring. This physical </w:t>
      </w:r>
      <w:r w:rsidRPr="006738CA">
        <w:rPr>
          <w:rStyle w:val="StyleUnderline"/>
        </w:rPr>
        <w:t>inability of entities to comply with</w:t>
      </w:r>
      <w:r w:rsidRPr="006738CA">
        <w:rPr>
          <w:sz w:val="14"/>
        </w:rPr>
        <w:t xml:space="preserve"> certain </w:t>
      </w:r>
      <w:r w:rsidRPr="006738CA">
        <w:rPr>
          <w:rStyle w:val="StyleUnderline"/>
        </w:rPr>
        <w:t>environmental statutes and regulations breeds</w:t>
      </w:r>
      <w:r w:rsidRPr="006738CA">
        <w:rPr>
          <w:sz w:val="14"/>
        </w:rPr>
        <w:t xml:space="preserve"> a level of disregard and even </w:t>
      </w:r>
      <w:r w:rsidRPr="006738CA">
        <w:rPr>
          <w:rStyle w:val="StyleUnderline"/>
        </w:rPr>
        <w:t>disrespect for environmental regulatory regimes</w:t>
      </w:r>
      <w:r w:rsidRPr="006738CA">
        <w:rPr>
          <w:sz w:val="14"/>
        </w:rPr>
        <w:t>.</w:t>
      </w:r>
    </w:p>
    <w:p w14:paraId="448F29EB" w14:textId="77777777" w:rsidR="000B26B7" w:rsidRPr="006738CA" w:rsidRDefault="000B26B7" w:rsidP="000B26B7">
      <w:pPr>
        <w:rPr>
          <w:sz w:val="14"/>
        </w:rPr>
      </w:pPr>
      <w:r w:rsidRPr="0093198F">
        <w:rPr>
          <w:rStyle w:val="Emphasis"/>
        </w:rPr>
        <w:t>Environmental protection</w:t>
      </w:r>
      <w:r w:rsidRPr="006738CA">
        <w:rPr>
          <w:sz w:val="14"/>
        </w:rPr>
        <w:t xml:space="preserve">, which requires clarity in prescribing conduct, </w:t>
      </w:r>
      <w:r w:rsidRPr="0093198F">
        <w:rPr>
          <w:rStyle w:val="Emphasis"/>
        </w:rPr>
        <w:t>is lost</w:t>
      </w:r>
      <w:r w:rsidRPr="006738CA">
        <w:rPr>
          <w:rStyle w:val="StyleUnderline"/>
        </w:rPr>
        <w:t xml:space="preserve"> when regulated companies and individuals are convicted of acts that they could not know were criminal</w:t>
      </w:r>
      <w:r w:rsidRPr="006738CA">
        <w:rPr>
          <w:sz w:val="14"/>
        </w:rPr>
        <w:t>—or even against the law. As one federal judge stated:</w:t>
      </w:r>
    </w:p>
    <w:p w14:paraId="434800ED" w14:textId="77777777" w:rsidR="000B26B7" w:rsidRPr="0093198F" w:rsidRDefault="000B26B7" w:rsidP="000B26B7">
      <w:pPr>
        <w:rPr>
          <w:sz w:val="14"/>
          <w:szCs w:val="14"/>
        </w:rPr>
      </w:pPr>
      <w:r w:rsidRPr="0093198F">
        <w:rPr>
          <w:sz w:val="14"/>
          <w:szCs w:val="14"/>
        </w:rPr>
        <w:t>In a reversal of terms that is worthy of Alice in Wonderland, the regulatory hydra which emerged from the Clean Water Act mandates in this case that a land owner who places clean fill dirt on a plot of subdivided dry land may be imprisoned for the statutory felony offense of “discharging pollutants into the navigable waters of the United States.”6</w:t>
      </w:r>
    </w:p>
    <w:p w14:paraId="3C5854CC" w14:textId="77777777" w:rsidR="000B26B7" w:rsidRPr="0093198F" w:rsidRDefault="000B26B7" w:rsidP="000B26B7">
      <w:pPr>
        <w:rPr>
          <w:sz w:val="14"/>
          <w:szCs w:val="14"/>
        </w:rPr>
      </w:pPr>
      <w:r w:rsidRPr="0093198F">
        <w:rPr>
          <w:sz w:val="14"/>
          <w:szCs w:val="14"/>
        </w:rPr>
        <w:t>The Prosecution of Ambiguity</w:t>
      </w:r>
    </w:p>
    <w:p w14:paraId="23B9E1A4" w14:textId="77777777" w:rsidR="000B26B7" w:rsidRPr="0093198F" w:rsidRDefault="000B26B7" w:rsidP="000B26B7">
      <w:pPr>
        <w:rPr>
          <w:sz w:val="14"/>
        </w:rPr>
      </w:pPr>
      <w:r w:rsidRPr="0093198F">
        <w:rPr>
          <w:sz w:val="14"/>
        </w:rPr>
        <w:t xml:space="preserve">In the 1980s </w:t>
      </w:r>
      <w:r w:rsidRPr="005525D6">
        <w:rPr>
          <w:rStyle w:val="StyleUnderline"/>
        </w:rPr>
        <w:t xml:space="preserve">Congress passed laws making violation of many environmental statutes and </w:t>
      </w:r>
      <w:r w:rsidRPr="0093198F">
        <w:rPr>
          <w:rStyle w:val="StyleUnderline"/>
        </w:rPr>
        <w:t>regulations felonies, punishable by hard prison time. These crimes do not require any damage to people or the environment</w:t>
      </w:r>
      <w:r w:rsidRPr="0093198F">
        <w:rPr>
          <w:sz w:val="14"/>
        </w:rPr>
        <w:t>. In turn, EPA created its Office of Criminal Enforcement and the Justice Department created its Environmental Crimes Section, both dedicated exclusively to prosecuting such felonies. The success of these environmental crimes programs is generally measured by the number of convictions, the years in jail, and the fines that they collect.</w:t>
      </w:r>
    </w:p>
    <w:p w14:paraId="2D1207A7" w14:textId="77777777" w:rsidR="000B26B7" w:rsidRPr="0093198F" w:rsidRDefault="000B26B7" w:rsidP="000B26B7">
      <w:pPr>
        <w:rPr>
          <w:sz w:val="12"/>
        </w:rPr>
      </w:pPr>
      <w:r w:rsidRPr="0093198F">
        <w:rPr>
          <w:sz w:val="12"/>
        </w:rPr>
        <w:t xml:space="preserve">Those who intentionally violate environmental statutes and endanger others or destroy valuable natural resources should be criminally prosecuted. </w:t>
      </w:r>
      <w:r w:rsidRPr="0093198F">
        <w:rPr>
          <w:rStyle w:val="StyleUnderline"/>
        </w:rPr>
        <w:t xml:space="preserve">But some proportion of environmental criminal prosecutions are for paperwork violations of ambiguous regulations. Although these prosecutions give the illusion of protecting the environment, </w:t>
      </w:r>
      <w:r w:rsidRPr="0093198F">
        <w:rPr>
          <w:rStyle w:val="Emphasis"/>
        </w:rPr>
        <w:t>they violate the rule of lenity</w:t>
      </w:r>
      <w:r w:rsidRPr="0093198F">
        <w:rPr>
          <w:rStyle w:val="StyleUnderline"/>
        </w:rPr>
        <w:t xml:space="preserve"> while fostering </w:t>
      </w:r>
      <w:r w:rsidRPr="0093198F">
        <w:rPr>
          <w:rStyle w:val="Emphasis"/>
        </w:rPr>
        <w:t>disrespect for environmental protection</w:t>
      </w:r>
      <w:r w:rsidRPr="0093198F">
        <w:rPr>
          <w:sz w:val="12"/>
        </w:rPr>
        <w:t>. As one federal judge who wrestled with EPA’s hazardous waste regulations finally stated: “The people who wrote this ought to go to jail. They ought not to be indicted, that’s not enough.”7</w:t>
      </w:r>
    </w:p>
    <w:p w14:paraId="27BC588D" w14:textId="77777777" w:rsidR="000B26B7" w:rsidRPr="0093198F" w:rsidRDefault="000B26B7" w:rsidP="000B26B7">
      <w:pPr>
        <w:rPr>
          <w:sz w:val="14"/>
          <w:szCs w:val="14"/>
        </w:rPr>
      </w:pPr>
      <w:r w:rsidRPr="0093198F">
        <w:rPr>
          <w:sz w:val="14"/>
          <w:szCs w:val="14"/>
        </w:rPr>
        <w:t>Conclusion</w:t>
      </w:r>
    </w:p>
    <w:p w14:paraId="7F9DEC9D" w14:textId="77777777" w:rsidR="000B26B7" w:rsidRPr="0093198F" w:rsidRDefault="000B26B7" w:rsidP="000B26B7">
      <w:pPr>
        <w:rPr>
          <w:sz w:val="14"/>
        </w:rPr>
      </w:pPr>
      <w:r w:rsidRPr="0093198F">
        <w:rPr>
          <w:sz w:val="14"/>
        </w:rPr>
        <w:t xml:space="preserve">The rule of lenity is violated when people go to prison for breaking ambiguous laws and regulations. </w:t>
      </w:r>
      <w:r w:rsidRPr="0093198F">
        <w:rPr>
          <w:rStyle w:val="StyleUnderline"/>
        </w:rPr>
        <w:t>The imposition of fines and penalties upon those who are unable to comply with unclear regulations undermines the legitimacy of the very program it is intended to advance</w:t>
      </w:r>
      <w:r w:rsidRPr="0093198F">
        <w:rPr>
          <w:sz w:val="14"/>
        </w:rPr>
        <w:t>. This problem is particularly acute in the environmental realm.</w:t>
      </w:r>
    </w:p>
    <w:p w14:paraId="7163409A" w14:textId="1712C85B" w:rsidR="000B26B7" w:rsidRPr="000B26B7" w:rsidRDefault="000B26B7" w:rsidP="000B26B7">
      <w:pPr>
        <w:rPr>
          <w:u w:val="single"/>
        </w:rPr>
      </w:pPr>
      <w:r w:rsidRPr="0093198F">
        <w:rPr>
          <w:sz w:val="14"/>
        </w:rPr>
        <w:t>Such pro</w:t>
      </w:r>
      <w:r w:rsidRPr="0093198F">
        <w:rPr>
          <w:rStyle w:val="StyleUnderline"/>
        </w:rPr>
        <w:t xml:space="preserve">secutions of </w:t>
      </w:r>
      <w:r w:rsidRPr="00F446D3">
        <w:rPr>
          <w:rStyle w:val="Emphasis"/>
        </w:rPr>
        <w:t>ambiguous laws and regulations undermine</w:t>
      </w:r>
      <w:r w:rsidRPr="0093198F">
        <w:rPr>
          <w:rStyle w:val="StyleUnderline"/>
        </w:rPr>
        <w:t xml:space="preserve"> the clarity and due process requirements of</w:t>
      </w:r>
      <w:r w:rsidRPr="0093198F">
        <w:rPr>
          <w:sz w:val="14"/>
        </w:rPr>
        <w:t xml:space="preserve"> the rule of </w:t>
      </w:r>
      <w:r w:rsidRPr="0093198F">
        <w:rPr>
          <w:rStyle w:val="StyleUnderline"/>
        </w:rPr>
        <w:t>lenity and</w:t>
      </w:r>
      <w:r w:rsidRPr="0093198F">
        <w:rPr>
          <w:sz w:val="14"/>
        </w:rPr>
        <w:t xml:space="preserve"> actually </w:t>
      </w:r>
      <w:r w:rsidRPr="0093198F">
        <w:rPr>
          <w:rStyle w:val="StyleUnderline"/>
        </w:rPr>
        <w:t>discourage citizens from complying by making it virtually impossible for them to do so.</w:t>
      </w:r>
    </w:p>
    <w:p w14:paraId="69BED153" w14:textId="3D10EF99" w:rsidR="00805A42" w:rsidRDefault="00805A42" w:rsidP="00C72E89">
      <w:pPr>
        <w:pStyle w:val="Heading3"/>
      </w:pPr>
      <w:r>
        <w:t>2AC – IL – Disease</w:t>
      </w:r>
    </w:p>
    <w:p w14:paraId="38203D5F" w14:textId="77777777" w:rsidR="00805A42" w:rsidRDefault="00805A42" w:rsidP="00805A42">
      <w:pPr>
        <w:pStyle w:val="Heading4"/>
      </w:pPr>
      <w:r>
        <w:t xml:space="preserve">International cooperation </w:t>
      </w:r>
      <w:r>
        <w:rPr>
          <w:u w:val="single"/>
        </w:rPr>
        <w:t>solves</w:t>
      </w:r>
      <w:r>
        <w:t xml:space="preserve"> innovation</w:t>
      </w:r>
    </w:p>
    <w:p w14:paraId="47DF3D41" w14:textId="77777777" w:rsidR="00805A42" w:rsidRPr="00645473" w:rsidRDefault="00805A42" w:rsidP="00805A42">
      <w:r w:rsidRPr="004C689A">
        <w:rPr>
          <w:b/>
          <w:bCs/>
          <w:sz w:val="26"/>
          <w:szCs w:val="26"/>
        </w:rPr>
        <w:t>Frost 20</w:t>
      </w:r>
      <w:r>
        <w:t xml:space="preserve"> - </w:t>
      </w:r>
      <w:r w:rsidRPr="00645473">
        <w:t>the Chief Executive Officer and founder of diversity and inclusion consultancy Frost Included</w:t>
      </w:r>
      <w:r>
        <w:t>, (Stephen, “</w:t>
      </w:r>
      <w:r w:rsidRPr="00645473">
        <w:t>Radical innovation occurs when pharma looks outside its own world</w:t>
      </w:r>
      <w:r>
        <w:t xml:space="preserve">,” </w:t>
      </w:r>
      <w:r>
        <w:rPr>
          <w:i/>
          <w:iCs/>
        </w:rPr>
        <w:t>European Pharmeceutical Review</w:t>
      </w:r>
      <w:r>
        <w:t xml:space="preserve">, 6-18-20, </w:t>
      </w:r>
      <w:hyperlink r:id="rId211" w:history="1">
        <w:r w:rsidRPr="00C07183">
          <w:rPr>
            <w:rStyle w:val="Hyperlink"/>
          </w:rPr>
          <w:t>https://www.europeanpharmaceuticalreview.com/article/120696/radical-innovation-occurs-when-pharma-looks-outside-its-own-world/</w:t>
        </w:r>
      </w:hyperlink>
      <w:r>
        <w:t>, Accessed 6-28-20, LASA-AH)</w:t>
      </w:r>
    </w:p>
    <w:p w14:paraId="5A3DB4FD" w14:textId="77777777" w:rsidR="00805A42" w:rsidRDefault="00805A42" w:rsidP="00805A42">
      <w:r>
        <w:t xml:space="preserve">Recently, </w:t>
      </w:r>
      <w:r w:rsidRPr="00645473">
        <w:rPr>
          <w:u w:val="single"/>
        </w:rPr>
        <w:t xml:space="preserve">AstraZeneca announced its partnership with Oxford University to </w:t>
      </w:r>
      <w:r w:rsidRPr="00645473">
        <w:rPr>
          <w:rStyle w:val="Emphasis"/>
        </w:rPr>
        <w:t>combat COVID-19 infection</w:t>
      </w:r>
      <w:r w:rsidRPr="00645473">
        <w:rPr>
          <w:u w:val="single"/>
        </w:rPr>
        <w:t xml:space="preserve"> from SARS-CoV-2</w:t>
      </w:r>
      <w:r>
        <w:t xml:space="preserve">. The idea is to </w:t>
      </w:r>
      <w:r w:rsidRPr="00645473">
        <w:rPr>
          <w:u w:val="single"/>
        </w:rPr>
        <w:t>divert from the usual linear process of bringing drugs to market</w:t>
      </w:r>
      <w:r>
        <w:t xml:space="preserve"> and have various workstreams and pathways running alongside each other in parallel, </w:t>
      </w:r>
      <w:r w:rsidRPr="00645473">
        <w:rPr>
          <w:u w:val="single"/>
        </w:rPr>
        <w:t>enabled by the radical innovation circumstances we now find ourselves in.</w:t>
      </w:r>
      <w:r>
        <w:t xml:space="preserve"> The university brings the vaccine while the pharma company facilitates the development, manufacturing and distribution. </w:t>
      </w:r>
      <w:r w:rsidRPr="00645473">
        <w:rPr>
          <w:u w:val="single"/>
        </w:rPr>
        <w:t xml:space="preserve">The result is a </w:t>
      </w:r>
      <w:r w:rsidRPr="00645473">
        <w:rPr>
          <w:rStyle w:val="Emphasis"/>
        </w:rPr>
        <w:t>creative and different application of academia</w:t>
      </w:r>
      <w:r w:rsidRPr="00645473">
        <w:rPr>
          <w:u w:val="single"/>
        </w:rPr>
        <w:t xml:space="preserve">, science and business partnering together. </w:t>
      </w:r>
      <w:r>
        <w:t>The potential vaccine entered Phase I clinical trials in late April and  data could potentially become available in June, with advancement to late-stage trials occurring by the end of the summer.</w:t>
      </w:r>
    </w:p>
    <w:p w14:paraId="0C55279A" w14:textId="77777777" w:rsidR="00805A42" w:rsidRDefault="00805A42" w:rsidP="00805A42">
      <w:r>
        <w:t xml:space="preserve">This did not just happen. Two months prior, during China’s COVID-19 peak, </w:t>
      </w:r>
      <w:r w:rsidRPr="00645473">
        <w:rPr>
          <w:u w:val="single"/>
        </w:rPr>
        <w:t>AstraZeneca established a different approach in its China operations; breaking down the usual hierarchy,</w:t>
      </w:r>
      <w:r>
        <w:t xml:space="preserve"> the company hosted over 20 online town halls, where participants were encouraged to speak up on three areas: protecting employees, finding new ways to drive the business and supporting customers. </w:t>
      </w:r>
      <w:r w:rsidRPr="00645473">
        <w:rPr>
          <w:u w:val="single"/>
        </w:rPr>
        <w:t xml:space="preserve">This flat hierarchy and inclusive crowdsourcing of ideas contributed to a fast and agile response, </w:t>
      </w:r>
      <w:r w:rsidRPr="00645473">
        <w:rPr>
          <w:rStyle w:val="Emphasis"/>
        </w:rPr>
        <w:t>highlighting how inclusion enables innovation</w:t>
      </w:r>
      <w:r>
        <w:t>. Over 220,000 masks and 40,000 vitamin C tablets were delivered to employees, online opportunities were captured through digital channels and there were no stock-outs.</w:t>
      </w:r>
    </w:p>
    <w:p w14:paraId="39DD02AE" w14:textId="77777777" w:rsidR="00805A42" w:rsidRDefault="00805A42" w:rsidP="00805A42">
      <w:r>
        <w:rPr>
          <w:rFonts w:hint="eastAsia"/>
        </w:rPr>
        <w:t>In 2011, an AstraZeneca cancer drug programme was set to close after results from a Phase II trial. Susan Galbraith, Senior Vice President of Early Tumor‐Derived Exosomes (TDE) in Oncology R&amp;D, argued for further analysis of a particular genetic status. Sh</w:t>
      </w:r>
      <w:r>
        <w:t>e had noted the multiple stories where patients had seen positive results from the cancer drug. Further analysis demonstrated the cancer drug substantially improved progression-free survival (PFS) in a subset of patients with this mutation. The data subsequently led to approval, ensuring the cancer drug reached patients. Had Susan not spoken up, and had she not been heard, this opportunity to benefit patient lives would have been lost.</w:t>
      </w:r>
    </w:p>
    <w:p w14:paraId="6EBCAED7" w14:textId="77777777" w:rsidR="00805A42" w:rsidRPr="00645473" w:rsidRDefault="00805A42" w:rsidP="00805A42">
      <w:r w:rsidRPr="00645473">
        <w:rPr>
          <w:u w:val="single"/>
        </w:rPr>
        <w:t xml:space="preserve">There is a correlation between </w:t>
      </w:r>
      <w:r w:rsidRPr="00645473">
        <w:rPr>
          <w:rStyle w:val="Emphasis"/>
        </w:rPr>
        <w:t>inclusive cultures and innovative outputs</w:t>
      </w:r>
      <w:r>
        <w:t xml:space="preserve">; we know that inclusive teams gain new perspectives and can be significantly more productive. When </w:t>
      </w:r>
      <w:r w:rsidRPr="00645473">
        <w:rPr>
          <w:u w:val="single"/>
        </w:rPr>
        <w:t xml:space="preserve">Pascal Soriot spearheaded an inclusive leadership culture change, he was aiming to improve psychological safety and encourage people to challenge the status quo. This had direct results in terms of innovation. </w:t>
      </w:r>
      <w:r>
        <w:t>For example, staff working on Calquence, a leukaemia drug, challenged norms and implemented a novel supply change design which resulted in a 70 percent reduction in batch cycle time and a 90 percent &gt; 0 percent batch failure rate. In August 2017, Calquence was granted breakthrough therapy designation (BTD) and priority review for chronic myeloid leukaemia (CML) by the US Food and Drug Administration (FDA) and the overall development time was reduced from five years to 15 months.</w:t>
      </w:r>
    </w:p>
    <w:p w14:paraId="74F08A7B" w14:textId="77777777" w:rsidR="00805A42" w:rsidRPr="00805A42" w:rsidRDefault="00805A42" w:rsidP="00805A42"/>
    <w:p w14:paraId="0866B62E" w14:textId="3FD73246" w:rsidR="005E222A" w:rsidRDefault="005E222A" w:rsidP="00A41D4B">
      <w:pPr>
        <w:pStyle w:val="Heading3"/>
      </w:pPr>
      <w:r>
        <w:t>1AR – IL – Disease</w:t>
      </w:r>
    </w:p>
    <w:p w14:paraId="3DB06D1D" w14:textId="585CC862" w:rsidR="005E222A" w:rsidRDefault="005E222A" w:rsidP="005E222A">
      <w:pPr>
        <w:pStyle w:val="Heading4"/>
      </w:pPr>
      <w:r>
        <w:t xml:space="preserve">Post-COVID policies </w:t>
      </w:r>
      <w:r w:rsidRPr="00421B4F">
        <w:t>prevent</w:t>
      </w:r>
      <w:r>
        <w:t xml:space="preserve"> pandemics </w:t>
      </w:r>
      <w:r w:rsidRPr="00421B4F">
        <w:rPr>
          <w:u w:val="single"/>
        </w:rPr>
        <w:t>before</w:t>
      </w:r>
      <w:r>
        <w:t xml:space="preserve"> they </w:t>
      </w:r>
      <w:r w:rsidRPr="00421B4F">
        <w:t>even start</w:t>
      </w:r>
      <w:r w:rsidR="00456038">
        <w:t>.</w:t>
      </w:r>
    </w:p>
    <w:p w14:paraId="3456C887" w14:textId="77777777" w:rsidR="005E222A" w:rsidRPr="00421B4F" w:rsidRDefault="005E222A" w:rsidP="005E222A">
      <w:r w:rsidRPr="00421B4F">
        <w:rPr>
          <w:b/>
          <w:bCs/>
          <w:sz w:val="26"/>
          <w:szCs w:val="26"/>
        </w:rPr>
        <w:t>Osak</w:t>
      </w:r>
      <w:r>
        <w:rPr>
          <w:b/>
          <w:bCs/>
          <w:sz w:val="26"/>
          <w:szCs w:val="26"/>
        </w:rPr>
        <w:t>a</w:t>
      </w:r>
      <w:r w:rsidRPr="00421B4F">
        <w:rPr>
          <w:b/>
          <w:bCs/>
          <w:sz w:val="26"/>
          <w:szCs w:val="26"/>
        </w:rPr>
        <w:t xml:space="preserve"> 20</w:t>
      </w:r>
      <w:r>
        <w:t xml:space="preserve"> - </w:t>
      </w:r>
      <w:r w:rsidRPr="00421B4F">
        <w:t>Grist's editorial intern</w:t>
      </w:r>
      <w:r>
        <w:t>, (Shannon, “</w:t>
      </w:r>
      <w:r w:rsidRPr="00421B4F">
        <w:t>These Scientists Saw COVID-19 Coming. Now They’re Trying to Stop the Next Pandemic Before It Starts.</w:t>
      </w:r>
      <w:r>
        <w:t xml:space="preserve">,” </w:t>
      </w:r>
      <w:r>
        <w:rPr>
          <w:i/>
          <w:iCs/>
        </w:rPr>
        <w:t>Mother Jones</w:t>
      </w:r>
      <w:r>
        <w:t xml:space="preserve">, 5-2-20, </w:t>
      </w:r>
      <w:hyperlink r:id="rId212" w:history="1">
        <w:r w:rsidRPr="00ED36A1">
          <w:rPr>
            <w:rStyle w:val="Hyperlink"/>
          </w:rPr>
          <w:t>https://www.motherjones.com/environment/2020/05/these-scientists-saw-covid-19-coming-now-theyre-trying-to-stop-the-next-pandemic-before-it-starts/</w:t>
        </w:r>
      </w:hyperlink>
      <w:r>
        <w:t>, Accessed 7-7-20, LASA-AH)</w:t>
      </w:r>
    </w:p>
    <w:p w14:paraId="0057B877" w14:textId="77777777" w:rsidR="005E222A" w:rsidRDefault="005E222A" w:rsidP="005E222A">
      <w:r>
        <w:t>As COVID-19 spreads across the globe, infecting almost 3 million people worldwide and killing over 200,000, public health officials, policymakers, and journalists are analyzing what went wrong. Why was the world so unprepared? Should countries have higher national stockpiles of ventilators, masks, ICU beds? Should stay-at-home orders have been issued earlier?</w:t>
      </w:r>
    </w:p>
    <w:p w14:paraId="404C6367" w14:textId="77777777" w:rsidR="005E222A" w:rsidRPr="00421B4F" w:rsidRDefault="005E222A" w:rsidP="005E222A">
      <w:pPr>
        <w:rPr>
          <w:b/>
          <w:iCs/>
          <w:u w:val="single"/>
        </w:rPr>
      </w:pPr>
      <w:r w:rsidRPr="00421B4F">
        <w:rPr>
          <w:u w:val="single"/>
        </w:rPr>
        <w:t>These are all measures for after an epidemic has begun</w:t>
      </w:r>
      <w:r>
        <w:t xml:space="preserve">, after an enterprising virus has leapt from an animal to a human (a phenomenon scientists call “spillover“). But a </w:t>
      </w:r>
      <w:r w:rsidRPr="00421B4F">
        <w:rPr>
          <w:u w:val="single"/>
        </w:rPr>
        <w:t>small group of ecologists, epidemiologists, and veterinarians have spent the last decade attacking pandemics from another angle</w:t>
      </w:r>
      <w:r>
        <w:t xml:space="preserve">. Epstein and </w:t>
      </w:r>
      <w:r w:rsidRPr="00421B4F">
        <w:rPr>
          <w:u w:val="single"/>
        </w:rPr>
        <w:t>other researchers have been out in the field, testing bats in Bangladesh and pigs in West Africa, trying to catalog a huge number of viruses in the hopes of preventing a spillover into human populations</w:t>
      </w:r>
      <w:r>
        <w:t xml:space="preserve">. </w:t>
      </w:r>
      <w:r w:rsidRPr="00421B4F">
        <w:rPr>
          <w:u w:val="single"/>
        </w:rPr>
        <w:t xml:space="preserve">Because there’s no outbreak </w:t>
      </w:r>
      <w:r w:rsidRPr="00421B4F">
        <w:rPr>
          <w:rStyle w:val="Emphasis"/>
        </w:rPr>
        <w:t>if the virus never makes the jump.</w:t>
      </w:r>
    </w:p>
    <w:p w14:paraId="4D8E4CC5" w14:textId="77777777" w:rsidR="005E222A" w:rsidRDefault="005E222A" w:rsidP="005E222A">
      <w:r>
        <w:t xml:space="preserve">In 2005, a strain of </w:t>
      </w:r>
      <w:r w:rsidRPr="00421B4F">
        <w:rPr>
          <w:u w:val="single"/>
        </w:rPr>
        <w:t>avian influenza</w:t>
      </w:r>
      <w:r>
        <w:t xml:space="preserve"> called the H5N1 virus </w:t>
      </w:r>
      <w:r w:rsidRPr="00421B4F">
        <w:rPr>
          <w:u w:val="single"/>
        </w:rPr>
        <w:t>began spreading across Southeast Asia towards Eastern Europe</w:t>
      </w:r>
      <w:r>
        <w:t xml:space="preserve">. The disease was rare, but it could be fatal: Roughly </w:t>
      </w:r>
      <w:r w:rsidRPr="00421B4F">
        <w:rPr>
          <w:u w:val="single"/>
        </w:rPr>
        <w:t>60 percent of those infected died</w:t>
      </w:r>
      <w:r>
        <w:t>. Experts were concerned that they could be looking at a “potentially historic event.”</w:t>
      </w:r>
    </w:p>
    <w:p w14:paraId="67240E6F" w14:textId="77777777" w:rsidR="005E222A" w:rsidRDefault="005E222A" w:rsidP="005E222A">
      <w:r>
        <w:t xml:space="preserve">At the time, Carroll was at USAID as a senior infectious disease specialist working on the organization’s response. </w:t>
      </w:r>
      <w:r w:rsidRPr="00421B4F">
        <w:rPr>
          <w:u w:val="single"/>
        </w:rPr>
        <w:t>His focus was on malaria and tuberculosis, diseases that are well-known—if not well-managed—everywhere in the world</w:t>
      </w:r>
      <w:r>
        <w:t>. Luckily, H5N1 did not turn into a global pandemic, but the experience changed Carroll’s perspective on the risks. In the 1960s, there were a few hundred million poultry produced in China; by the 2000s, when the country’s population had nearly doubled, China was producing billions of chickens, ducks, and turkeys every year. Carroll realized that as the human population grew, so would the odds of a deadly pandemic. “It was really a profound eye-opener for me,” he said.</w:t>
      </w:r>
    </w:p>
    <w:p w14:paraId="6D4AB59A" w14:textId="77777777" w:rsidR="005E222A" w:rsidRDefault="005E222A" w:rsidP="005E222A">
      <w:r>
        <w:t>Carroll suspected that there were many more viruses like the avian flu lying in wait, looking for a chance to make the jump to humans. But at the time, there was little understanding of how many dangerous viral illnesses existed. “It was an open question of what the ‘viral dark matter’ circulating in wildlife was,” he said. “Are we talking about a hundred viruses? Or something different?”</w:t>
      </w:r>
    </w:p>
    <w:p w14:paraId="6625C9C2" w14:textId="77777777" w:rsidR="005E222A" w:rsidRDefault="005E222A" w:rsidP="005E222A">
      <w:r>
        <w:t xml:space="preserve">That question became </w:t>
      </w:r>
      <w:r w:rsidRPr="00421B4F">
        <w:rPr>
          <w:u w:val="single"/>
        </w:rPr>
        <w:t>the basis of PREDICT, a kind of catch-and-release project for viruses that Carroll championed from within USAID.</w:t>
      </w:r>
      <w:r>
        <w:t xml:space="preserve"> The program, launched in 2009, included scientists and researchers from the University of California, Davis and EcoHealth Alliance—all with the singular goal of discovering new viruses before they spill over into people.</w:t>
      </w:r>
    </w:p>
    <w:p w14:paraId="45C1368F" w14:textId="4373F633" w:rsidR="005E222A" w:rsidRPr="005E222A" w:rsidRDefault="005E222A" w:rsidP="005E222A">
      <w:pPr>
        <w:rPr>
          <w:u w:val="single"/>
        </w:rPr>
      </w:pPr>
      <w:r>
        <w:t xml:space="preserve">It was an enormous undertaking. </w:t>
      </w:r>
      <w:r w:rsidRPr="00421B4F">
        <w:rPr>
          <w:u w:val="single"/>
        </w:rPr>
        <w:t>With an annual budget of around $20 million, researchers identified potential viral “hotspots” around the world, contacted local governments, and surveyed key species that could be carrying novel diseases.</w:t>
      </w:r>
      <w:r>
        <w:t xml:space="preserve"> They also began training locals in more than 30 countries around the world, including in Sierra Leone, Uganda, and Bangladesh. On</w:t>
      </w:r>
      <w:r w:rsidRPr="00421B4F">
        <w:rPr>
          <w:u w:val="single"/>
        </w:rPr>
        <w:t>-the-ground experts like Epstein, the wildlife veterinarian, taught locals to capture animals, take blood samples to test for novel viruses, and release them back into the wild.</w:t>
      </w:r>
    </w:p>
    <w:p w14:paraId="52279928" w14:textId="79388582" w:rsidR="006D1153" w:rsidRDefault="006D1153" w:rsidP="00A41D4B">
      <w:pPr>
        <w:pStyle w:val="Heading3"/>
      </w:pPr>
      <w:r>
        <w:t>2AC – IL – Tech Race</w:t>
      </w:r>
    </w:p>
    <w:p w14:paraId="3F366ED2" w14:textId="0E3B722E" w:rsidR="006D1153" w:rsidRPr="001332E4" w:rsidRDefault="006D1153" w:rsidP="006D1153">
      <w:pPr>
        <w:pStyle w:val="Heading4"/>
      </w:pPr>
      <w:r>
        <w:t xml:space="preserve">China can’t catch up – </w:t>
      </w:r>
      <w:r w:rsidRPr="006D1153">
        <w:rPr>
          <w:u w:val="single"/>
        </w:rPr>
        <w:t>even with</w:t>
      </w:r>
      <w:r>
        <w:t xml:space="preserve"> </w:t>
      </w:r>
      <w:r w:rsidRPr="006D1153">
        <w:t>EVERY advantage</w:t>
      </w:r>
      <w:r>
        <w:t>.</w:t>
      </w:r>
    </w:p>
    <w:p w14:paraId="264643B3" w14:textId="77777777" w:rsidR="006D1153" w:rsidRDefault="006D1153" w:rsidP="006D1153">
      <w:r>
        <w:rPr>
          <w:rStyle w:val="Style13ptBold"/>
        </w:rPr>
        <w:t>Gilli and Gilli 18</w:t>
      </w:r>
      <w:r>
        <w:t xml:space="preserve"> – Andrea Gilli, senior researcher at the NATO Defense College in Rome, and Mauro Gilli, senior researcher at the Center for Security Studies at the Swiss Federal Institute of Technology in Zurich, Winter ("Why China Has Not Caught Up Yet: Military-Technological Superiority and the Limits of Imitation, Reverse Engineering, and Cyber Espionage," International Security, vol. 43, no. 3, pg. 177-188, available online at https://www.mitpressjournals.org/doi/full/10.1162/isec_a_00337, accessed 7-7-2020) LR</w:t>
      </w:r>
    </w:p>
    <w:p w14:paraId="709FF747" w14:textId="77777777" w:rsidR="006D1153" w:rsidRPr="00F10DB0" w:rsidRDefault="006D1153" w:rsidP="006D1153">
      <w:pPr>
        <w:rPr>
          <w:sz w:val="16"/>
        </w:rPr>
      </w:pPr>
      <w:r w:rsidRPr="00F10DB0">
        <w:rPr>
          <w:sz w:val="16"/>
        </w:rPr>
        <w:t xml:space="preserve">The </w:t>
      </w:r>
      <w:r w:rsidRPr="00F10DB0">
        <w:rPr>
          <w:rStyle w:val="StyleUnderline"/>
        </w:rPr>
        <w:t>U</w:t>
      </w:r>
      <w:r w:rsidRPr="00F10DB0">
        <w:rPr>
          <w:sz w:val="16"/>
        </w:rPr>
        <w:t xml:space="preserve">nited </w:t>
      </w:r>
      <w:r w:rsidRPr="00F10DB0">
        <w:rPr>
          <w:rStyle w:val="StyleUnderline"/>
        </w:rPr>
        <w:t>S</w:t>
      </w:r>
      <w:r w:rsidRPr="00F10DB0">
        <w:rPr>
          <w:sz w:val="16"/>
        </w:rPr>
        <w:t xml:space="preserve">tates </w:t>
      </w:r>
      <w:r w:rsidRPr="00F10DB0">
        <w:rPr>
          <w:rStyle w:val="StyleUnderline"/>
        </w:rPr>
        <w:t>commissioned</w:t>
      </w:r>
      <w:r w:rsidRPr="00F10DB0">
        <w:rPr>
          <w:sz w:val="16"/>
        </w:rPr>
        <w:t xml:space="preserve"> its </w:t>
      </w:r>
      <w:r w:rsidRPr="00F10DB0">
        <w:rPr>
          <w:rStyle w:val="StyleUnderline"/>
        </w:rPr>
        <w:t>fifth-generation stealth fighter, the F-22</w:t>
      </w:r>
      <w:r w:rsidRPr="00F10DB0">
        <w:rPr>
          <w:sz w:val="16"/>
        </w:rPr>
        <w:t xml:space="preserve">/A Raptor, </w:t>
      </w:r>
      <w:r w:rsidRPr="00F10DB0">
        <w:rPr>
          <w:rStyle w:val="StyleUnderline"/>
        </w:rPr>
        <w:t>in 2005.</w:t>
      </w:r>
      <w:r w:rsidRPr="00F10DB0">
        <w:rPr>
          <w:sz w:val="16"/>
        </w:rPr>
        <w:t xml:space="preserve"> Like Dreadnought, </w:t>
      </w:r>
      <w:r w:rsidRPr="00F10DB0">
        <w:rPr>
          <w:rStyle w:val="StyleUnderline"/>
        </w:rPr>
        <w:t xml:space="preserve">the F-22 had </w:t>
      </w:r>
      <w:r w:rsidRPr="002E3220">
        <w:rPr>
          <w:rStyle w:val="Emphasis"/>
        </w:rPr>
        <w:t>no match</w:t>
      </w:r>
      <w:r w:rsidRPr="00F10DB0">
        <w:rPr>
          <w:rStyle w:val="StyleUnderline"/>
        </w:rPr>
        <w:t xml:space="preserve"> when it was fielded</w:t>
      </w:r>
      <w:r w:rsidRPr="00F10DB0">
        <w:rPr>
          <w:sz w:val="16"/>
        </w:rPr>
        <w:t>, specifically because of its "first-look, first-shoot, first-kill" capabilities.264 To begin, the application of stealth technology reduces by several orders of magnitude the observability of the F-22 to enemy sensors.265 In addition, with its supercruising thrust-vectoring engines, the F-22 can achieve fuel-efficient supersonic speed and high maneuverability, enhancing its performance [End Page 178] against enemy fighters.266 Finally, the F-22 possesses superior and longer-range situational awareness thanks to its advanced onboard computer systems, software, and data-fusion capabilities: these attributes enable the collection, rapid processing, and exploitation of large amounts of different types of data that ultimately increase the F-22's battlefield performance.267</w:t>
      </w:r>
    </w:p>
    <w:p w14:paraId="43DE430C" w14:textId="77777777" w:rsidR="006D1153" w:rsidRPr="00F10DB0" w:rsidRDefault="006D1153" w:rsidP="006D1153">
      <w:pPr>
        <w:rPr>
          <w:sz w:val="16"/>
          <w:szCs w:val="16"/>
        </w:rPr>
      </w:pPr>
      <w:r w:rsidRPr="00F10DB0">
        <w:rPr>
          <w:sz w:val="16"/>
          <w:szCs w:val="16"/>
        </w:rPr>
        <w:t>ABSORPTIVE CAPACITY</w:t>
      </w:r>
    </w:p>
    <w:p w14:paraId="40BEFEB2" w14:textId="77777777" w:rsidR="006D1153" w:rsidRPr="00F10DB0" w:rsidRDefault="006D1153" w:rsidP="006D1153">
      <w:pPr>
        <w:rPr>
          <w:sz w:val="16"/>
        </w:rPr>
      </w:pPr>
      <w:r w:rsidRPr="00F10DB0">
        <w:rPr>
          <w:rStyle w:val="StyleUnderline"/>
        </w:rPr>
        <w:t>When</w:t>
      </w:r>
      <w:r w:rsidRPr="00F10DB0">
        <w:rPr>
          <w:sz w:val="16"/>
        </w:rPr>
        <w:t xml:space="preserve"> in the late 1990s </w:t>
      </w:r>
      <w:r w:rsidRPr="00F10DB0">
        <w:rPr>
          <w:rStyle w:val="StyleUnderline"/>
        </w:rPr>
        <w:t xml:space="preserve">China started work to develop a fifth-generation fighter, its </w:t>
      </w:r>
      <w:r w:rsidRPr="002E3220">
        <w:rPr>
          <w:rStyle w:val="Emphasis"/>
        </w:rPr>
        <w:t>absorptive capacity</w:t>
      </w:r>
      <w:r w:rsidRPr="00F10DB0">
        <w:rPr>
          <w:sz w:val="16"/>
        </w:rPr>
        <w:t xml:space="preserve"> in the military aviation domain </w:t>
      </w:r>
      <w:r w:rsidRPr="00F10DB0">
        <w:rPr>
          <w:rStyle w:val="StyleUnderline"/>
        </w:rPr>
        <w:t>was</w:t>
      </w:r>
      <w:r w:rsidRPr="00F10DB0">
        <w:rPr>
          <w:sz w:val="16"/>
        </w:rPr>
        <w:t xml:space="preserve"> relatively </w:t>
      </w:r>
      <w:r w:rsidRPr="002E3220">
        <w:rPr>
          <w:rStyle w:val="Emphasis"/>
        </w:rPr>
        <w:t>limited</w:t>
      </w:r>
      <w:r w:rsidRPr="00F10DB0">
        <w:rPr>
          <w:rStyle w:val="StyleUnderline"/>
        </w:rPr>
        <w:t>.</w:t>
      </w:r>
      <w:r w:rsidRPr="00F10DB0">
        <w:rPr>
          <w:sz w:val="16"/>
        </w:rPr>
        <w:t xml:space="preserve">268 China could assemble modern foreign weapon systems, but its experience with combat aircraft production was restricted to Soviet designs from the 1950s and 1960s.269 The </w:t>
      </w:r>
      <w:r w:rsidRPr="00F10DB0">
        <w:rPr>
          <w:rStyle w:val="StyleUnderline"/>
        </w:rPr>
        <w:t xml:space="preserve">reasons for </w:t>
      </w:r>
      <w:r w:rsidRPr="002E3220">
        <w:rPr>
          <w:rStyle w:val="Emphasis"/>
        </w:rPr>
        <w:t>China's delay</w:t>
      </w:r>
      <w:r w:rsidRPr="00F10DB0">
        <w:rPr>
          <w:sz w:val="16"/>
        </w:rPr>
        <w:t xml:space="preserve"> in combat aircraft production </w:t>
      </w:r>
      <w:r w:rsidRPr="00F10DB0">
        <w:rPr>
          <w:rStyle w:val="StyleUnderline"/>
        </w:rPr>
        <w:t xml:space="preserve">include </w:t>
      </w:r>
      <w:r w:rsidRPr="002E3220">
        <w:rPr>
          <w:rStyle w:val="Emphasis"/>
        </w:rPr>
        <w:t>economic backwardness</w:t>
      </w:r>
      <w:r w:rsidRPr="00F10DB0">
        <w:rPr>
          <w:rStyle w:val="StyleUnderline"/>
        </w:rPr>
        <w:t xml:space="preserve">, a </w:t>
      </w:r>
      <w:r w:rsidRPr="002E3220">
        <w:rPr>
          <w:rStyle w:val="Emphasis"/>
        </w:rPr>
        <w:t>command economy</w:t>
      </w:r>
      <w:r w:rsidRPr="00F10DB0">
        <w:rPr>
          <w:rStyle w:val="StyleUnderline"/>
        </w:rPr>
        <w:t>,</w:t>
      </w:r>
      <w:r w:rsidRPr="00F10DB0">
        <w:rPr>
          <w:sz w:val="16"/>
        </w:rPr>
        <w:t xml:space="preserve"> and its </w:t>
      </w:r>
      <w:r w:rsidRPr="002E3220">
        <w:rPr>
          <w:rStyle w:val="Emphasis"/>
        </w:rPr>
        <w:t>international isolation</w:t>
      </w:r>
      <w:r w:rsidRPr="00F10DB0">
        <w:rPr>
          <w:sz w:val="16"/>
        </w:rPr>
        <w:t xml:space="preserve">, as well as some particular political choices, such as </w:t>
      </w:r>
      <w:r w:rsidRPr="00F10DB0">
        <w:rPr>
          <w:rStyle w:val="StyleUnderline"/>
        </w:rPr>
        <w:t>limiting</w:t>
      </w:r>
      <w:r w:rsidRPr="00F10DB0">
        <w:rPr>
          <w:sz w:val="16"/>
        </w:rPr>
        <w:t xml:space="preserve"> the </w:t>
      </w:r>
      <w:r w:rsidRPr="00F10DB0">
        <w:rPr>
          <w:rStyle w:val="StyleUnderline"/>
        </w:rPr>
        <w:t>amount of attention paid to military</w:t>
      </w:r>
      <w:r w:rsidRPr="00F10DB0">
        <w:rPr>
          <w:sz w:val="16"/>
        </w:rPr>
        <w:t xml:space="preserve"> aviation during the Cold War, especially when compared to missiles or warships.270 China did not start from scratch, however. During the 1970s and 1980s, the Chinese defense industry worked on several programs, accruing some experience in military aviation.271 Moreover, since the 1970s and in particular since the 1990s, China's industrial base has benefited tremendously from FDI, R&amp;D joint ventures, and mergers and acquisitions with Western aerospace companies.272 Most of the world's major jet engine producers, airline manufacturers, and companies specializing in avionics and aerospace component technologies have established a presence in China.273 Chinese companies have also purchased machinery to "manufacture sophisticated weapon systems and related components."274 [End Page 179]</w:t>
      </w:r>
    </w:p>
    <w:p w14:paraId="7A3DDC9C" w14:textId="77777777" w:rsidR="006D1153" w:rsidRPr="00F10DB0" w:rsidRDefault="006D1153" w:rsidP="006D1153">
      <w:pPr>
        <w:rPr>
          <w:sz w:val="16"/>
          <w:szCs w:val="16"/>
        </w:rPr>
      </w:pPr>
      <w:r w:rsidRPr="00F10DB0">
        <w:rPr>
          <w:sz w:val="16"/>
          <w:szCs w:val="16"/>
        </w:rPr>
        <w:t>ACCESS TO FOREIGN TECHNOLOGICAL KNOWLEDGE</w:t>
      </w:r>
    </w:p>
    <w:p w14:paraId="324546BB" w14:textId="77777777" w:rsidR="006D1153" w:rsidRPr="00F10DB0" w:rsidRDefault="006D1153" w:rsidP="006D1153">
      <w:pPr>
        <w:rPr>
          <w:sz w:val="16"/>
          <w:szCs w:val="16"/>
        </w:rPr>
      </w:pPr>
      <w:r w:rsidRPr="00F10DB0">
        <w:rPr>
          <w:sz w:val="16"/>
          <w:szCs w:val="16"/>
        </w:rPr>
        <w:t>Unlike Imperial Germany and its efforts to imitate the Dreadnought battleship, China has benefited from massive access to foreign technological knowledge in its attempt to imitate U.S. advanced jet fighters.</w:t>
      </w:r>
    </w:p>
    <w:p w14:paraId="26B749BA" w14:textId="77777777" w:rsidR="006D1153" w:rsidRPr="00F10DB0" w:rsidRDefault="006D1153" w:rsidP="006D1153">
      <w:pPr>
        <w:rPr>
          <w:sz w:val="16"/>
        </w:rPr>
      </w:pPr>
      <w:r w:rsidRPr="00F10DB0">
        <w:rPr>
          <w:rStyle w:val="StyleUnderline"/>
        </w:rPr>
        <w:t>China has engaged</w:t>
      </w:r>
      <w:r w:rsidRPr="00F10DB0">
        <w:rPr>
          <w:sz w:val="16"/>
        </w:rPr>
        <w:t xml:space="preserve"> more </w:t>
      </w:r>
      <w:r w:rsidRPr="00F10DB0">
        <w:rPr>
          <w:rStyle w:val="StyleUnderline"/>
        </w:rPr>
        <w:t xml:space="preserve">extensively in </w:t>
      </w:r>
      <w:r w:rsidRPr="002E3220">
        <w:rPr>
          <w:rStyle w:val="Emphasis"/>
        </w:rPr>
        <w:t>cyber espionage</w:t>
      </w:r>
      <w:r w:rsidRPr="00F10DB0">
        <w:rPr>
          <w:sz w:val="16"/>
        </w:rPr>
        <w:t xml:space="preserve"> than any other country.275 In 2007, 2009, and 2011, </w:t>
      </w:r>
      <w:r w:rsidRPr="00F10DB0">
        <w:rPr>
          <w:rStyle w:val="StyleUnderline"/>
        </w:rPr>
        <w:t>Chinese hackers</w:t>
      </w:r>
      <w:r w:rsidRPr="00F10DB0">
        <w:rPr>
          <w:sz w:val="16"/>
        </w:rPr>
        <w:t xml:space="preserve"> entered the servers of the Pentagon and </w:t>
      </w:r>
      <w:r w:rsidRPr="00F10DB0">
        <w:rPr>
          <w:rStyle w:val="StyleUnderline"/>
        </w:rPr>
        <w:t xml:space="preserve">gained access to </w:t>
      </w:r>
      <w:r w:rsidRPr="00F10DB0">
        <w:rPr>
          <w:sz w:val="16"/>
        </w:rPr>
        <w:t xml:space="preserve">some fifty terabytes of </w:t>
      </w:r>
      <w:r w:rsidRPr="00F10DB0">
        <w:rPr>
          <w:rStyle w:val="StyleUnderline"/>
        </w:rPr>
        <w:t>data containing</w:t>
      </w:r>
      <w:r w:rsidRPr="00F10DB0">
        <w:rPr>
          <w:sz w:val="16"/>
        </w:rPr>
        <w:t xml:space="preserve"> the </w:t>
      </w:r>
      <w:r w:rsidRPr="00F10DB0">
        <w:rPr>
          <w:rStyle w:val="StyleUnderline"/>
        </w:rPr>
        <w:t>designs and blueprints of U.S. stealth fighters</w:t>
      </w:r>
      <w:r w:rsidRPr="00F10DB0">
        <w:rPr>
          <w:sz w:val="16"/>
        </w:rPr>
        <w:t xml:space="preserve">, as well as other critical information.276 China has </w:t>
      </w:r>
      <w:r w:rsidRPr="00F10DB0">
        <w:rPr>
          <w:rStyle w:val="StyleUnderline"/>
        </w:rPr>
        <w:t>also relied</w:t>
      </w:r>
      <w:r w:rsidRPr="00F10DB0">
        <w:rPr>
          <w:sz w:val="16"/>
        </w:rPr>
        <w:t xml:space="preserve"> extensively </w:t>
      </w:r>
      <w:r w:rsidRPr="00F10DB0">
        <w:rPr>
          <w:rStyle w:val="StyleUnderline"/>
        </w:rPr>
        <w:t>on traditional industrial espionage</w:t>
      </w:r>
      <w:r w:rsidRPr="00F10DB0">
        <w:rPr>
          <w:sz w:val="16"/>
        </w:rPr>
        <w:t xml:space="preserve">, including the </w:t>
      </w:r>
      <w:r w:rsidRPr="00F10DB0">
        <w:rPr>
          <w:rStyle w:val="StyleUnderline"/>
        </w:rPr>
        <w:t>recruitment of former engineers and scientists</w:t>
      </w:r>
      <w:r w:rsidRPr="00F10DB0">
        <w:rPr>
          <w:sz w:val="16"/>
        </w:rPr>
        <w:t xml:space="preserve"> who worked for Western aerospace organizations.277 Together, industrial and cyber espionage have given China extensive access to American know-how. Moreover, </w:t>
      </w:r>
      <w:r w:rsidRPr="00F10DB0">
        <w:rPr>
          <w:rStyle w:val="StyleUnderline"/>
        </w:rPr>
        <w:t>China managed to obtain an F-117 that crashed in Serbia</w:t>
      </w:r>
      <w:r w:rsidRPr="00F10DB0">
        <w:rPr>
          <w:sz w:val="16"/>
        </w:rPr>
        <w:t xml:space="preserve"> in 1999, </w:t>
      </w:r>
      <w:r w:rsidRPr="00F10DB0">
        <w:rPr>
          <w:rStyle w:val="StyleUnderline"/>
        </w:rPr>
        <w:t>allowing it to</w:t>
      </w:r>
      <w:r w:rsidRPr="00F10DB0">
        <w:rPr>
          <w:sz w:val="16"/>
        </w:rPr>
        <w:t xml:space="preserve"> inspect, analyze, and </w:t>
      </w:r>
      <w:r w:rsidRPr="00F10DB0">
        <w:rPr>
          <w:rStyle w:val="StyleUnderline"/>
        </w:rPr>
        <w:t>possibly reverse engineer</w:t>
      </w:r>
      <w:r w:rsidRPr="00F10DB0">
        <w:rPr>
          <w:sz w:val="16"/>
        </w:rPr>
        <w:t xml:space="preserve"> the aircraft's stealth features.278</w:t>
      </w:r>
    </w:p>
    <w:p w14:paraId="60943D95" w14:textId="77777777" w:rsidR="006D1153" w:rsidRPr="00356ECF" w:rsidRDefault="006D1153" w:rsidP="006D1153">
      <w:pPr>
        <w:rPr>
          <w:sz w:val="16"/>
        </w:rPr>
      </w:pPr>
      <w:r w:rsidRPr="00356ECF">
        <w:rPr>
          <w:sz w:val="16"/>
        </w:rPr>
        <w:t xml:space="preserve">Further, since the 1960s, </w:t>
      </w:r>
      <w:r w:rsidRPr="00F10DB0">
        <w:rPr>
          <w:rStyle w:val="StyleUnderline"/>
        </w:rPr>
        <w:t xml:space="preserve">China has benefited from </w:t>
      </w:r>
      <w:r w:rsidRPr="002E3220">
        <w:rPr>
          <w:rStyle w:val="Emphasis"/>
        </w:rPr>
        <w:t>significant transfers of tech</w:t>
      </w:r>
      <w:r w:rsidRPr="00356ECF">
        <w:rPr>
          <w:sz w:val="16"/>
        </w:rPr>
        <w:t xml:space="preserve">nology </w:t>
      </w:r>
      <w:r w:rsidRPr="00356ECF">
        <w:rPr>
          <w:rStyle w:val="StyleUnderline"/>
        </w:rPr>
        <w:t>from more advanced countries.</w:t>
      </w:r>
      <w:r w:rsidRPr="00356ECF">
        <w:rPr>
          <w:sz w:val="16"/>
        </w:rPr>
        <w:t xml:space="preserve">279 In the 1970s, it had access to turbofan engines developed by Rolls-Royce.280 In the 1980s, </w:t>
      </w:r>
      <w:r w:rsidRPr="00356ECF">
        <w:rPr>
          <w:rStyle w:val="StyleUnderline"/>
        </w:rPr>
        <w:t>Israel provided extensive "weapon-making know-how"</w:t>
      </w:r>
      <w:r w:rsidRPr="00356ECF">
        <w:rPr>
          <w:sz w:val="16"/>
        </w:rPr>
        <w:t xml:space="preserve"> useful in the design, fire control, avionics, and radar capabilities of China's fourth-generation aircraft.281 </w:t>
      </w:r>
      <w:r w:rsidRPr="00356ECF">
        <w:rPr>
          <w:rStyle w:val="StyleUnderline"/>
        </w:rPr>
        <w:t>Through Pakistan, China gained access to U.S. F-16</w:t>
      </w:r>
      <w:r w:rsidRPr="00356ECF">
        <w:rPr>
          <w:sz w:val="16"/>
        </w:rPr>
        <w:t xml:space="preserve"> Fighting Falcon jet fighters.282 After the end of the Cold War, China signed an agreement with Pakistan [End Page 180] to coproduce Pakistan's fourth-generation fighter, itself the result of a co-production project with the American Grumman Aerospace Corporation (the F-7P Sabre II "Super 7");283 it also reached a </w:t>
      </w:r>
      <w:r w:rsidRPr="00356ECF">
        <w:rPr>
          <w:rStyle w:val="StyleUnderline"/>
        </w:rPr>
        <w:t>licensing agreement with Russia</w:t>
      </w:r>
      <w:r w:rsidRPr="00356ECF">
        <w:rPr>
          <w:sz w:val="16"/>
        </w:rPr>
        <w:t xml:space="preserve"> for the production of its fourth-generation aircraft (the Sukhoi Su-27).284 Russian experts have also provided Chinese workers and engineers "with the know-how to assemble Su-27 fighter aircraft using imported materials and equipment," and have trained them to "domestically manufacture key materials."285 China has also been purchasing engines, radars, and other systems and subsystems from abroad in order to analyze and possibly replicate them.286</w:t>
      </w:r>
    </w:p>
    <w:p w14:paraId="320B753D" w14:textId="77777777" w:rsidR="006D1153" w:rsidRPr="00356ECF" w:rsidRDefault="006D1153" w:rsidP="006D1153">
      <w:pPr>
        <w:rPr>
          <w:sz w:val="16"/>
          <w:szCs w:val="16"/>
        </w:rPr>
      </w:pPr>
      <w:r w:rsidRPr="00356ECF">
        <w:rPr>
          <w:sz w:val="16"/>
          <w:szCs w:val="16"/>
        </w:rPr>
        <w:t>OUTCOME</w:t>
      </w:r>
    </w:p>
    <w:p w14:paraId="7C9D8584" w14:textId="77777777" w:rsidR="006D1153" w:rsidRPr="00356ECF" w:rsidRDefault="006D1153" w:rsidP="006D1153">
      <w:pPr>
        <w:rPr>
          <w:sz w:val="16"/>
        </w:rPr>
      </w:pPr>
      <w:r w:rsidRPr="00356ECF">
        <w:rPr>
          <w:rStyle w:val="Emphasis"/>
        </w:rPr>
        <w:t>Nevertheless</w:t>
      </w:r>
      <w:r w:rsidRPr="00356ECF">
        <w:rPr>
          <w:rStyle w:val="StyleUnderline"/>
        </w:rPr>
        <w:t xml:space="preserve">, China's aerospace industry has </w:t>
      </w:r>
      <w:r w:rsidRPr="00356ECF">
        <w:rPr>
          <w:rStyle w:val="Emphasis"/>
        </w:rPr>
        <w:t xml:space="preserve">struggled enormously </w:t>
      </w:r>
      <w:r w:rsidRPr="00356ECF">
        <w:rPr>
          <w:rStyle w:val="StyleUnderline"/>
        </w:rPr>
        <w:t>to imitate U.S. technology. In 2017, China commissioned</w:t>
      </w:r>
      <w:r w:rsidRPr="00356ECF">
        <w:rPr>
          <w:sz w:val="16"/>
        </w:rPr>
        <w:t xml:space="preserve"> the </w:t>
      </w:r>
      <w:r w:rsidRPr="00356ECF">
        <w:rPr>
          <w:rStyle w:val="StyleUnderline"/>
        </w:rPr>
        <w:t>J-20</w:t>
      </w:r>
      <w:r w:rsidRPr="00356ECF">
        <w:rPr>
          <w:sz w:val="16"/>
        </w:rPr>
        <w:t xml:space="preserve"> Black Eagle, a step that many analysts viewed as the end of the U.S. monopoly on fifth-generation fighters.287 Yet, </w:t>
      </w:r>
      <w:r w:rsidRPr="00356ECF">
        <w:rPr>
          <w:rStyle w:val="StyleUnderline"/>
        </w:rPr>
        <w:t>serious doubts persist about whether the performance of the J-20 comes even close to</w:t>
      </w:r>
      <w:r w:rsidRPr="00356ECF">
        <w:rPr>
          <w:sz w:val="16"/>
        </w:rPr>
        <w:t xml:space="preserve"> that of the </w:t>
      </w:r>
      <w:r w:rsidRPr="00356ECF">
        <w:rPr>
          <w:rStyle w:val="StyleUnderline"/>
        </w:rPr>
        <w:t>F-22.</w:t>
      </w:r>
      <w:r w:rsidRPr="00356ECF">
        <w:rPr>
          <w:sz w:val="16"/>
        </w:rPr>
        <w:t xml:space="preserve"> In fact, anonymous </w:t>
      </w:r>
      <w:r w:rsidRPr="00356ECF">
        <w:rPr>
          <w:rStyle w:val="StyleUnderline"/>
        </w:rPr>
        <w:t>Chinese sources</w:t>
      </w:r>
      <w:r w:rsidRPr="00356ECF">
        <w:rPr>
          <w:sz w:val="16"/>
        </w:rPr>
        <w:t xml:space="preserve"> have </w:t>
      </w:r>
      <w:r w:rsidRPr="00356ECF">
        <w:rPr>
          <w:rStyle w:val="StyleUnderline"/>
        </w:rPr>
        <w:t>admitted</w:t>
      </w:r>
      <w:r w:rsidRPr="00356ECF">
        <w:rPr>
          <w:sz w:val="16"/>
        </w:rPr>
        <w:t xml:space="preserve"> that </w:t>
      </w:r>
      <w:r w:rsidRPr="00356ECF">
        <w:rPr>
          <w:rStyle w:val="StyleUnderline"/>
        </w:rPr>
        <w:t>China rushed the J-20</w:t>
      </w:r>
      <w:r w:rsidRPr="00356ECF">
        <w:rPr>
          <w:sz w:val="16"/>
        </w:rPr>
        <w:t xml:space="preserve"> into service in response to increasing tensions in the South China Sea, </w:t>
      </w:r>
      <w:r w:rsidRPr="00356ECF">
        <w:rPr>
          <w:rStyle w:val="StyleUnderline"/>
        </w:rPr>
        <w:t xml:space="preserve">despite </w:t>
      </w:r>
      <w:r w:rsidRPr="002E3220">
        <w:rPr>
          <w:rStyle w:val="Emphasis"/>
        </w:rPr>
        <w:t xml:space="preserve">capability gaps </w:t>
      </w:r>
      <w:r w:rsidRPr="00356ECF">
        <w:rPr>
          <w:rStyle w:val="StyleUnderline"/>
        </w:rPr>
        <w:t>that make it inferior</w:t>
      </w:r>
      <w:r w:rsidRPr="00356ECF">
        <w:rPr>
          <w:sz w:val="16"/>
        </w:rPr>
        <w:t xml:space="preserve"> to the F-22.288</w:t>
      </w:r>
    </w:p>
    <w:p w14:paraId="4218096C" w14:textId="77777777" w:rsidR="006D1153" w:rsidRPr="00356ECF" w:rsidRDefault="006D1153" w:rsidP="006D1153">
      <w:pPr>
        <w:rPr>
          <w:sz w:val="16"/>
        </w:rPr>
      </w:pPr>
      <w:r w:rsidRPr="00356ECF">
        <w:rPr>
          <w:rStyle w:val="StyleUnderline"/>
        </w:rPr>
        <w:t>First, because of design similarities</w:t>
      </w:r>
      <w:r w:rsidRPr="00356ECF">
        <w:rPr>
          <w:sz w:val="16"/>
        </w:rPr>
        <w:t xml:space="preserve"> between the U.S. F-22 and the Chinese J-20, </w:t>
      </w:r>
      <w:r w:rsidRPr="00356ECF">
        <w:rPr>
          <w:rStyle w:val="StyleUnderline"/>
        </w:rPr>
        <w:t>many observers have concluded</w:t>
      </w:r>
      <w:r w:rsidRPr="00356ECF">
        <w:rPr>
          <w:sz w:val="16"/>
        </w:rPr>
        <w:t xml:space="preserve"> that </w:t>
      </w:r>
      <w:r w:rsidRPr="00356ECF">
        <w:rPr>
          <w:rStyle w:val="StyleUnderline"/>
        </w:rPr>
        <w:t>China</w:t>
      </w:r>
      <w:r w:rsidRPr="00356ECF">
        <w:rPr>
          <w:sz w:val="16"/>
        </w:rPr>
        <w:t xml:space="preserve"> has been </w:t>
      </w:r>
      <w:r w:rsidRPr="00356ECF">
        <w:rPr>
          <w:rStyle w:val="StyleUnderline"/>
        </w:rPr>
        <w:t>able to quickly replicate U.S. tech</w:t>
      </w:r>
      <w:r w:rsidRPr="00356ECF">
        <w:rPr>
          <w:sz w:val="16"/>
        </w:rPr>
        <w:t xml:space="preserve">nology.289 </w:t>
      </w:r>
      <w:r w:rsidRPr="00356ECF">
        <w:rPr>
          <w:rStyle w:val="Emphasis"/>
        </w:rPr>
        <w:t>A closer examination suggests otherwise</w:t>
      </w:r>
      <w:r w:rsidRPr="00356ECF">
        <w:rPr>
          <w:rStyle w:val="StyleUnderline"/>
        </w:rPr>
        <w:t>. The J-20 displays several</w:t>
      </w:r>
      <w:r w:rsidRPr="00356ECF">
        <w:rPr>
          <w:sz w:val="16"/>
        </w:rPr>
        <w:t xml:space="preserve"> design </w:t>
      </w:r>
      <w:r w:rsidRPr="00356ECF">
        <w:rPr>
          <w:rStyle w:val="StyleUnderline"/>
        </w:rPr>
        <w:t>flaws</w:t>
      </w:r>
      <w:r w:rsidRPr="00356ECF">
        <w:rPr>
          <w:sz w:val="16"/>
        </w:rPr>
        <w:t xml:space="preserve"> and non-stealthy features </w:t>
      </w:r>
      <w:r w:rsidRPr="00356ECF">
        <w:rPr>
          <w:rStyle w:val="StyleUnderline"/>
        </w:rPr>
        <w:t>on the sides and</w:t>
      </w:r>
      <w:r w:rsidRPr="00356ECF">
        <w:rPr>
          <w:sz w:val="16"/>
        </w:rPr>
        <w:t xml:space="preserve"> in the </w:t>
      </w:r>
      <w:r w:rsidRPr="00356ECF">
        <w:rPr>
          <w:rStyle w:val="StyleUnderline"/>
        </w:rPr>
        <w:t>rear</w:t>
      </w:r>
      <w:r w:rsidRPr="00356ECF">
        <w:rPr>
          <w:sz w:val="16"/>
        </w:rPr>
        <w:t xml:space="preserve"> of the fighter </w:t>
      </w:r>
      <w:r w:rsidRPr="00356ECF">
        <w:rPr>
          <w:rStyle w:val="StyleUnderline"/>
        </w:rPr>
        <w:t>that dramatically increase its detectability</w:t>
      </w:r>
      <w:r w:rsidRPr="00356ECF">
        <w:rPr>
          <w:sz w:val="16"/>
        </w:rPr>
        <w:t xml:space="preserve"> to both radar and thermal sensors.290 These limitations would represent a critical liability in air-to-air engagements with U.S. fifth-generation jet fighters.291 Moreover, the J-20 [End Page 181] displays two small wing projections (canards) forward of the main wings. Generally intended to help the longitudinal equilibrium, and static and dynamic stability, of an aircraft, the canards also increase its frontal radar cross section, thus </w:t>
      </w:r>
      <w:r w:rsidRPr="00356ECF">
        <w:rPr>
          <w:rStyle w:val="StyleUnderline"/>
        </w:rPr>
        <w:t>limiting its overall capabilities.</w:t>
      </w:r>
      <w:r w:rsidRPr="00356ECF">
        <w:rPr>
          <w:sz w:val="16"/>
        </w:rPr>
        <w:t xml:space="preserve">292 From an industrial perspective, that the J-20 carries canards suggests poor design.293 As noted, little can be done about poor designs, which, once adopted, </w:t>
      </w:r>
      <w:r w:rsidRPr="00356ECF">
        <w:rPr>
          <w:rStyle w:val="StyleUnderline"/>
        </w:rPr>
        <w:t>can be improved only marginally</w:t>
      </w:r>
      <w:r w:rsidRPr="00356ECF">
        <w:rPr>
          <w:sz w:val="16"/>
        </w:rPr>
        <w:t xml:space="preserve">.294 </w:t>
      </w:r>
      <w:r w:rsidRPr="00356ECF">
        <w:rPr>
          <w:rStyle w:val="StyleUnderline"/>
        </w:rPr>
        <w:t>These flaws</w:t>
      </w:r>
      <w:r w:rsidRPr="00356ECF">
        <w:rPr>
          <w:sz w:val="16"/>
        </w:rPr>
        <w:t xml:space="preserve"> and features </w:t>
      </w:r>
      <w:r w:rsidRPr="00356ECF">
        <w:rPr>
          <w:rStyle w:val="StyleUnderline"/>
        </w:rPr>
        <w:t xml:space="preserve">convey a more important message: China has been </w:t>
      </w:r>
      <w:r w:rsidRPr="00356ECF">
        <w:rPr>
          <w:rStyle w:val="Emphasis"/>
        </w:rPr>
        <w:t>unable</w:t>
      </w:r>
      <w:r w:rsidRPr="00356ECF">
        <w:rPr>
          <w:rStyle w:val="StyleUnderline"/>
        </w:rPr>
        <w:t xml:space="preserve"> to</w:t>
      </w:r>
      <w:r w:rsidRPr="00356ECF">
        <w:rPr>
          <w:sz w:val="16"/>
        </w:rPr>
        <w:t xml:space="preserve"> fully </w:t>
      </w:r>
      <w:r w:rsidRPr="00356ECF">
        <w:rPr>
          <w:rStyle w:val="StyleUnderline"/>
        </w:rPr>
        <w:t>copy U.S. stealth designs and tech</w:t>
      </w:r>
      <w:r w:rsidRPr="00356ECF">
        <w:rPr>
          <w:sz w:val="16"/>
        </w:rPr>
        <w:t xml:space="preserve">nology. Instead, it has had to engage in extensive experimentation, prototyping, and refinement, </w:t>
      </w:r>
      <w:r w:rsidRPr="00356ECF">
        <w:rPr>
          <w:rStyle w:val="Emphasis"/>
        </w:rPr>
        <w:t>inevitably encountering problems</w:t>
      </w:r>
      <w:r w:rsidRPr="00356ECF">
        <w:rPr>
          <w:rStyle w:val="StyleUnderline"/>
        </w:rPr>
        <w:t xml:space="preserve"> in the process.</w:t>
      </w:r>
      <w:r w:rsidRPr="00356ECF">
        <w:rPr>
          <w:sz w:val="16"/>
        </w:rPr>
        <w:t>295</w:t>
      </w:r>
    </w:p>
    <w:p w14:paraId="2F2E4070" w14:textId="77777777" w:rsidR="006D1153" w:rsidRPr="00356ECF" w:rsidRDefault="006D1153" w:rsidP="006D1153">
      <w:pPr>
        <w:rPr>
          <w:sz w:val="16"/>
        </w:rPr>
      </w:pPr>
      <w:r w:rsidRPr="00356ECF">
        <w:rPr>
          <w:rStyle w:val="StyleUnderline"/>
        </w:rPr>
        <w:t xml:space="preserve">Second, China has faced </w:t>
      </w:r>
      <w:r w:rsidRPr="002E3220">
        <w:rPr>
          <w:rStyle w:val="Emphasis"/>
        </w:rPr>
        <w:t>enormous challenges</w:t>
      </w:r>
      <w:r w:rsidRPr="00356ECF">
        <w:rPr>
          <w:sz w:val="16"/>
        </w:rPr>
        <w:t xml:space="preserve"> in </w:t>
      </w:r>
      <w:r w:rsidRPr="00356ECF">
        <w:rPr>
          <w:rStyle w:val="StyleUnderline"/>
        </w:rPr>
        <w:t>developing one of the most important systems</w:t>
      </w:r>
      <w:r w:rsidRPr="00356ECF">
        <w:rPr>
          <w:sz w:val="16"/>
        </w:rPr>
        <w:t xml:space="preserve"> of modern jet fighters—</w:t>
      </w:r>
      <w:r w:rsidRPr="00356ECF">
        <w:rPr>
          <w:rStyle w:val="StyleUnderline"/>
        </w:rPr>
        <w:t>powerful and reliable thrust-vectoring turbofan engines capable of supercruise.</w:t>
      </w:r>
      <w:r w:rsidRPr="00356ECF">
        <w:rPr>
          <w:sz w:val="16"/>
        </w:rPr>
        <w:t xml:space="preserve"> According to experts, </w:t>
      </w:r>
      <w:r w:rsidRPr="00356ECF">
        <w:rPr>
          <w:rStyle w:val="StyleUnderline"/>
        </w:rPr>
        <w:t>this failing represents</w:t>
      </w:r>
      <w:r w:rsidRPr="00356ECF">
        <w:rPr>
          <w:sz w:val="16"/>
        </w:rPr>
        <w:t xml:space="preserve"> probably "</w:t>
      </w:r>
      <w:r w:rsidRPr="00356ECF">
        <w:rPr>
          <w:rStyle w:val="StyleUnderline"/>
        </w:rPr>
        <w:t>the most glaring weakness of China's aviation industry</w:t>
      </w:r>
      <w:r w:rsidRPr="00356ECF">
        <w:rPr>
          <w:sz w:val="16"/>
        </w:rPr>
        <w:t xml:space="preserve">."296 For this reason, China has so far relied on compromises. For its early prototypes, from 2010 to 2017, it relied on Russian underpowered engines that provide neither supercruise nor thrust-vectoring capabilities and that left a visible trail.297 Subsequently, China decided to commission the J-20 into service by mounting indigenous but older and underpowered engines that also lack supercruise and thrust-vectoring capabilities.298 This solution was intended to be temporary while work on the engines originally intended for the J-20 continued. These </w:t>
      </w:r>
      <w:r w:rsidRPr="00356ECF">
        <w:rPr>
          <w:rStyle w:val="StyleUnderline"/>
        </w:rPr>
        <w:t xml:space="preserve">more advanced engines have experienced "critical problems," </w:t>
      </w:r>
      <w:r w:rsidRPr="00356ECF">
        <w:rPr>
          <w:sz w:val="16"/>
        </w:rPr>
        <w:t xml:space="preserve">however, including an explosion during a ground test in 2015.299 According to an anonymous source, as of 2018, "engineers ha[d] failed [End Page 182] to find the key reason for the[se] problems,"300 and apparently "there [was] </w:t>
      </w:r>
      <w:r w:rsidRPr="00E91755">
        <w:rPr>
          <w:rStyle w:val="Emphasis"/>
        </w:rPr>
        <w:t>no fundamental solution</w:t>
      </w:r>
      <w:r w:rsidRPr="00356ECF">
        <w:rPr>
          <w:rStyle w:val="StyleUnderline"/>
        </w:rPr>
        <w:t xml:space="preserve"> to overcome [them</w:t>
      </w:r>
      <w:r w:rsidRPr="00356ECF">
        <w:rPr>
          <w:sz w:val="16"/>
        </w:rPr>
        <w:t>]."301 In November 2018, China switched back to Russian engines for three of the four J-20s that performed at the biannual Airshow China in Zhuhai—an event China uses to showcase its aerospace accomplishments. This decision suggests that the "temporary" indigenous engines are not deemed very reliable.302</w:t>
      </w:r>
    </w:p>
    <w:p w14:paraId="1C6AD81D" w14:textId="77777777" w:rsidR="006D1153" w:rsidRDefault="006D1153" w:rsidP="006D1153">
      <w:pPr>
        <w:rPr>
          <w:sz w:val="16"/>
        </w:rPr>
      </w:pPr>
      <w:r w:rsidRPr="00356ECF">
        <w:rPr>
          <w:rStyle w:val="StyleUnderline"/>
        </w:rPr>
        <w:t xml:space="preserve">China's </w:t>
      </w:r>
      <w:r w:rsidRPr="00E91755">
        <w:rPr>
          <w:rStyle w:val="Emphasis"/>
        </w:rPr>
        <w:t>struggle to</w:t>
      </w:r>
      <w:r w:rsidRPr="00356ECF">
        <w:rPr>
          <w:rStyle w:val="StyleUnderline"/>
        </w:rPr>
        <w:t xml:space="preserve"> indigenously </w:t>
      </w:r>
      <w:r w:rsidRPr="00E91755">
        <w:rPr>
          <w:rStyle w:val="Emphasis"/>
        </w:rPr>
        <w:t>develop aircraft engines</w:t>
      </w:r>
      <w:r w:rsidRPr="00356ECF">
        <w:rPr>
          <w:sz w:val="16"/>
        </w:rPr>
        <w:t xml:space="preserve"> thus </w:t>
      </w:r>
      <w:r w:rsidRPr="00356ECF">
        <w:rPr>
          <w:rStyle w:val="StyleUnderline"/>
        </w:rPr>
        <w:t>throws into question the growing belief</w:t>
      </w:r>
      <w:r w:rsidRPr="00356ECF">
        <w:rPr>
          <w:sz w:val="16"/>
        </w:rPr>
        <w:t xml:space="preserve"> among observers </w:t>
      </w:r>
      <w:r w:rsidRPr="00356ECF">
        <w:rPr>
          <w:rStyle w:val="StyleUnderline"/>
        </w:rPr>
        <w:t>that China has closed the military-tech</w:t>
      </w:r>
      <w:r w:rsidRPr="00356ECF">
        <w:rPr>
          <w:sz w:val="16"/>
        </w:rPr>
        <w:t xml:space="preserve">nological </w:t>
      </w:r>
      <w:r w:rsidRPr="00356ECF">
        <w:rPr>
          <w:rStyle w:val="StyleUnderline"/>
        </w:rPr>
        <w:t>gap with the U</w:t>
      </w:r>
      <w:r w:rsidRPr="00356ECF">
        <w:rPr>
          <w:sz w:val="16"/>
        </w:rPr>
        <w:t xml:space="preserve">nited </w:t>
      </w:r>
      <w:r w:rsidRPr="00356ECF">
        <w:rPr>
          <w:rStyle w:val="StyleUnderline"/>
        </w:rPr>
        <w:t>S</w:t>
      </w:r>
      <w:r w:rsidRPr="00356ECF">
        <w:rPr>
          <w:sz w:val="16"/>
        </w:rPr>
        <w:t xml:space="preserve">tates </w:t>
      </w:r>
      <w:r w:rsidRPr="00356ECF">
        <w:rPr>
          <w:rStyle w:val="StyleUnderline"/>
        </w:rPr>
        <w:t>with respect to fifth-generation fighters.</w:t>
      </w:r>
      <w:r w:rsidRPr="00356ECF">
        <w:rPr>
          <w:sz w:val="16"/>
        </w:rPr>
        <w:t xml:space="preserve">303 Possibly more important, </w:t>
      </w:r>
      <w:r w:rsidRPr="00356ECF">
        <w:rPr>
          <w:rStyle w:val="StyleUnderline"/>
        </w:rPr>
        <w:t>it</w:t>
      </w:r>
      <w:r w:rsidRPr="00356ECF">
        <w:rPr>
          <w:sz w:val="16"/>
        </w:rPr>
        <w:t xml:space="preserve"> also </w:t>
      </w:r>
      <w:r w:rsidRPr="00356ECF">
        <w:rPr>
          <w:rStyle w:val="StyleUnderline"/>
        </w:rPr>
        <w:t>illustrates</w:t>
      </w:r>
      <w:r w:rsidRPr="00356ECF">
        <w:rPr>
          <w:sz w:val="16"/>
        </w:rPr>
        <w:t xml:space="preserve"> that </w:t>
      </w:r>
      <w:r w:rsidRPr="00356ECF">
        <w:rPr>
          <w:rStyle w:val="StyleUnderline"/>
        </w:rPr>
        <w:t>the advantages of imitation</w:t>
      </w:r>
      <w:r w:rsidRPr="00356ECF">
        <w:rPr>
          <w:sz w:val="16"/>
        </w:rPr>
        <w:t xml:space="preserve"> that </w:t>
      </w:r>
      <w:r w:rsidRPr="00356ECF">
        <w:rPr>
          <w:rStyle w:val="StyleUnderline"/>
        </w:rPr>
        <w:t>China has enjoyed have inevitably been limited.</w:t>
      </w:r>
      <w:r w:rsidRPr="00356ECF">
        <w:rPr>
          <w:sz w:val="16"/>
        </w:rPr>
        <w:t xml:space="preserve"> As mentioned earlier, several factors significantly facilitated China's efforts to develop turbofan engines; and from 2010 to 2015, it spent some $22 billion to develop an indigenous engine for its combat aircraft.304 Yet, as of 2019, it continues to struggle.305 According to an executive with a Chinese engine manufacturer, "The road to success is filled with setbacks and failures," and far from being able to take a shortcut, China has experienced the same problems of "each of the world's engine powers."306 It is unknown how </w:t>
      </w:r>
      <w:r w:rsidRPr="00356ECF">
        <w:rPr>
          <w:rStyle w:val="StyleUnderline"/>
        </w:rPr>
        <w:t xml:space="preserve">Chinese engines </w:t>
      </w:r>
      <w:r w:rsidRPr="00356ECF">
        <w:rPr>
          <w:sz w:val="16"/>
        </w:rPr>
        <w:t>will perform and when they will be operational.307 According to defense industry experts Tai Ming Cheung, Thomas Mahnken, and Andrew Ross, they "</w:t>
      </w:r>
      <w:r w:rsidRPr="00E91755">
        <w:rPr>
          <w:rStyle w:val="Emphasis"/>
        </w:rPr>
        <w:t>lag one to two generations behind</w:t>
      </w:r>
      <w:r w:rsidRPr="00356ECF">
        <w:rPr>
          <w:rStyle w:val="StyleUnderline"/>
        </w:rPr>
        <w:t xml:space="preserve"> leading international competitors, and the</w:t>
      </w:r>
      <w:r w:rsidRPr="00356ECF">
        <w:rPr>
          <w:sz w:val="16"/>
        </w:rPr>
        <w:t xml:space="preserve"> near-term </w:t>
      </w:r>
      <w:r w:rsidRPr="00356ECF">
        <w:rPr>
          <w:rStyle w:val="StyleUnderline"/>
        </w:rPr>
        <w:t>prospects of narrowing this gap are poor</w:t>
      </w:r>
      <w:r w:rsidRPr="00356ECF">
        <w:rPr>
          <w:sz w:val="16"/>
        </w:rPr>
        <w:t xml:space="preserve">."308 In fact, </w:t>
      </w:r>
      <w:r w:rsidRPr="00356ECF">
        <w:rPr>
          <w:rStyle w:val="StyleUnderline"/>
        </w:rPr>
        <w:t>the engine China is developing</w:t>
      </w:r>
      <w:r w:rsidRPr="00356ECF">
        <w:rPr>
          <w:sz w:val="16"/>
        </w:rPr>
        <w:t xml:space="preserve"> might </w:t>
      </w:r>
      <w:r w:rsidRPr="00356ECF">
        <w:rPr>
          <w:rStyle w:val="StyleUnderline"/>
        </w:rPr>
        <w:t>not</w:t>
      </w:r>
      <w:r w:rsidRPr="00356ECF">
        <w:rPr>
          <w:sz w:val="16"/>
        </w:rPr>
        <w:t xml:space="preserve"> be </w:t>
      </w:r>
      <w:r w:rsidRPr="00356ECF">
        <w:rPr>
          <w:rStyle w:val="StyleUnderline"/>
        </w:rPr>
        <w:t>sufficiently powerful to make the J-20 a "viable</w:t>
      </w:r>
      <w:r w:rsidRPr="00356ECF">
        <w:rPr>
          <w:sz w:val="16"/>
        </w:rPr>
        <w:t xml:space="preserve"> … air combat </w:t>
      </w:r>
      <w:r w:rsidRPr="00356ECF">
        <w:rPr>
          <w:rStyle w:val="StyleUnderline"/>
        </w:rPr>
        <w:t>fighter</w:t>
      </w:r>
      <w:r w:rsidRPr="00356ECF">
        <w:rPr>
          <w:sz w:val="16"/>
        </w:rPr>
        <w:t>."309 [End Page 183]</w:t>
      </w:r>
    </w:p>
    <w:p w14:paraId="49F198B1" w14:textId="77777777" w:rsidR="006D1153" w:rsidRPr="00356ECF" w:rsidRDefault="006D1153" w:rsidP="006D1153">
      <w:pPr>
        <w:rPr>
          <w:b/>
          <w:bCs/>
        </w:rPr>
      </w:pPr>
      <w:r>
        <w:rPr>
          <w:b/>
          <w:bCs/>
        </w:rPr>
        <w:t>&lt;&lt;insert footnote 303&gt;&gt;</w:t>
      </w:r>
    </w:p>
    <w:p w14:paraId="547B9511" w14:textId="77777777" w:rsidR="006D1153" w:rsidRPr="00356ECF" w:rsidRDefault="006D1153" w:rsidP="006D1153">
      <w:pPr>
        <w:rPr>
          <w:rStyle w:val="StyleUnderline"/>
        </w:rPr>
      </w:pPr>
      <w:r w:rsidRPr="00356ECF">
        <w:rPr>
          <w:sz w:val="16"/>
        </w:rPr>
        <w:t xml:space="preserve">303. </w:t>
      </w:r>
      <w:r w:rsidRPr="00356ECF">
        <w:rPr>
          <w:rStyle w:val="StyleUnderline"/>
        </w:rPr>
        <w:t xml:space="preserve">The J-20 does not possess supercruise capabilities, so it is </w:t>
      </w:r>
      <w:r w:rsidRPr="002E3220">
        <w:rPr>
          <w:rStyle w:val="Emphasis"/>
        </w:rPr>
        <w:t>not a fifth-generation fighter</w:t>
      </w:r>
      <w:r w:rsidRPr="00356ECF">
        <w:rPr>
          <w:rStyle w:val="StyleUnderline"/>
        </w:rPr>
        <w:t>.</w:t>
      </w:r>
    </w:p>
    <w:p w14:paraId="2412940E" w14:textId="77777777" w:rsidR="006D1153" w:rsidRPr="00356ECF" w:rsidRDefault="006D1153" w:rsidP="006D1153">
      <w:pPr>
        <w:rPr>
          <w:b/>
          <w:bCs/>
        </w:rPr>
      </w:pPr>
      <w:r>
        <w:rPr>
          <w:b/>
          <w:bCs/>
        </w:rPr>
        <w:t>&lt;&lt;end footnote 303&gt;&gt;</w:t>
      </w:r>
    </w:p>
    <w:p w14:paraId="77C69F9F" w14:textId="77777777" w:rsidR="006D1153" w:rsidRPr="00356ECF" w:rsidRDefault="006D1153" w:rsidP="006D1153">
      <w:pPr>
        <w:rPr>
          <w:sz w:val="16"/>
        </w:rPr>
      </w:pPr>
      <w:r w:rsidRPr="00356ECF">
        <w:rPr>
          <w:rStyle w:val="StyleUnderline"/>
        </w:rPr>
        <w:t>Third, military experts agree</w:t>
      </w:r>
      <w:r w:rsidRPr="00356ECF">
        <w:rPr>
          <w:sz w:val="16"/>
        </w:rPr>
        <w:t xml:space="preserve"> that </w:t>
      </w:r>
      <w:r w:rsidRPr="00356ECF">
        <w:rPr>
          <w:rStyle w:val="StyleUnderline"/>
        </w:rPr>
        <w:t>China is also lagging in</w:t>
      </w:r>
      <w:r w:rsidRPr="00356ECF">
        <w:rPr>
          <w:sz w:val="16"/>
        </w:rPr>
        <w:t xml:space="preserve"> another key realm of fifth-generation fighters—</w:t>
      </w:r>
      <w:r w:rsidRPr="00356ECF">
        <w:rPr>
          <w:rStyle w:val="StyleUnderline"/>
        </w:rPr>
        <w:t>avionics.</w:t>
      </w:r>
      <w:r w:rsidRPr="00356ECF">
        <w:rPr>
          <w:sz w:val="16"/>
        </w:rPr>
        <w:t xml:space="preserve">310 China's difficulties in this realm stem from the fact that </w:t>
      </w:r>
      <w:r w:rsidRPr="00356ECF">
        <w:rPr>
          <w:rStyle w:val="StyleUnderline"/>
        </w:rPr>
        <w:t>aerospace sensors and software development currently pose some of the most daunting engineering challenges</w:t>
      </w:r>
      <w:r w:rsidRPr="00356ECF">
        <w:rPr>
          <w:sz w:val="16"/>
        </w:rPr>
        <w:t xml:space="preserve">.311 Software problems, in fact, are very difficult to anticipate: testing and refining must continue until the software is perfected, given that when the aerospace software fails, it fails "catastrophically."312 Because </w:t>
      </w:r>
      <w:r w:rsidRPr="00356ECF">
        <w:rPr>
          <w:rStyle w:val="StyleUnderline"/>
        </w:rPr>
        <w:t>China has</w:t>
      </w:r>
      <w:r w:rsidRPr="00356ECF">
        <w:rPr>
          <w:sz w:val="16"/>
        </w:rPr>
        <w:t xml:space="preserve"> thus far </w:t>
      </w:r>
      <w:r w:rsidRPr="00356ECF">
        <w:rPr>
          <w:rStyle w:val="StyleUnderline"/>
        </w:rPr>
        <w:t xml:space="preserve">been </w:t>
      </w:r>
      <w:r w:rsidRPr="00E91755">
        <w:rPr>
          <w:rStyle w:val="Emphasis"/>
        </w:rPr>
        <w:t xml:space="preserve">unable to copy </w:t>
      </w:r>
      <w:r w:rsidRPr="00356ECF">
        <w:rPr>
          <w:rStyle w:val="StyleUnderline"/>
        </w:rPr>
        <w:t>U.S. aircraft design and engines, there is little reason to believe</w:t>
      </w:r>
      <w:r w:rsidRPr="00356ECF">
        <w:rPr>
          <w:sz w:val="16"/>
        </w:rPr>
        <w:t xml:space="preserve"> that </w:t>
      </w:r>
      <w:r w:rsidRPr="00356ECF">
        <w:rPr>
          <w:rStyle w:val="StyleUnderline"/>
        </w:rPr>
        <w:t>it has been</w:t>
      </w:r>
      <w:r w:rsidRPr="00356ECF">
        <w:rPr>
          <w:sz w:val="16"/>
        </w:rPr>
        <w:t xml:space="preserve"> more </w:t>
      </w:r>
      <w:r w:rsidRPr="00356ECF">
        <w:rPr>
          <w:rStyle w:val="StyleUnderline"/>
        </w:rPr>
        <w:t>successful in this much more challenging realm.</w:t>
      </w:r>
      <w:r w:rsidRPr="00356ECF">
        <w:rPr>
          <w:sz w:val="16"/>
        </w:rPr>
        <w:t xml:space="preserve"> An additional consideration supports this assessment. The complexity of modern aerospace software is unprecedented.313 Flight control software has become exponentially more complex, eliminating trade-offs in design—for example, between observability to radar and aerodynamic efficiency. In other words, complexity has moved from hardware to software.314 In addition, software has taken over an increasing number of more complex functions—most prominently, automatic long-range enemy detection, geolocation, high-confidence identification, and accurate target tracking.315 Little information is available on Chinese radar operation and data-fusion capabilities, but we can use available evidence on Chinese flight control as a proxy. This proxy is valid, because developing flight control software is far less demanding than software for radar operation and data fusion.316 According to Chinese media, the J-20 still faces problems with its flight control software. </w:t>
      </w:r>
      <w:r w:rsidRPr="00356ECF">
        <w:rPr>
          <w:rStyle w:val="StyleUnderline"/>
        </w:rPr>
        <w:t>There is</w:t>
      </w:r>
      <w:r w:rsidRPr="00356ECF">
        <w:rPr>
          <w:sz w:val="16"/>
        </w:rPr>
        <w:t xml:space="preserve"> thus </w:t>
      </w:r>
      <w:r w:rsidRPr="00356ECF">
        <w:rPr>
          <w:rStyle w:val="StyleUnderline"/>
        </w:rPr>
        <w:t xml:space="preserve">little reason to believe that China has been able to </w:t>
      </w:r>
      <w:r w:rsidRPr="00E91755">
        <w:rPr>
          <w:rStyle w:val="StyleUnderline"/>
        </w:rPr>
        <w:t>develop</w:t>
      </w:r>
      <w:r w:rsidRPr="00356ECF">
        <w:rPr>
          <w:sz w:val="16"/>
        </w:rPr>
        <w:t xml:space="preserve"> the most challenging part of </w:t>
      </w:r>
      <w:r w:rsidRPr="00356ECF">
        <w:rPr>
          <w:rStyle w:val="StyleUnderline"/>
        </w:rPr>
        <w:t>the J-20s'</w:t>
      </w:r>
      <w:r w:rsidRPr="00356ECF">
        <w:rPr>
          <w:sz w:val="16"/>
        </w:rPr>
        <w:t xml:space="preserve"> onboard </w:t>
      </w:r>
      <w:r w:rsidRPr="00356ECF">
        <w:rPr>
          <w:rStyle w:val="StyleUnderline"/>
        </w:rPr>
        <w:t>software.</w:t>
      </w:r>
      <w:r w:rsidRPr="00356ECF">
        <w:rPr>
          <w:sz w:val="16"/>
        </w:rPr>
        <w:t>317</w:t>
      </w:r>
    </w:p>
    <w:p w14:paraId="19E67BFE" w14:textId="77777777" w:rsidR="006D1153" w:rsidRPr="002E3220" w:rsidRDefault="006D1153" w:rsidP="006D1153">
      <w:pPr>
        <w:rPr>
          <w:sz w:val="16"/>
        </w:rPr>
      </w:pPr>
      <w:r w:rsidRPr="002E3220">
        <w:rPr>
          <w:rStyle w:val="StyleUnderline"/>
        </w:rPr>
        <w:t>Fourth, the difficulties</w:t>
      </w:r>
      <w:r w:rsidRPr="002E3220">
        <w:rPr>
          <w:sz w:val="16"/>
        </w:rPr>
        <w:t xml:space="preserve"> that </w:t>
      </w:r>
      <w:r w:rsidRPr="002E3220">
        <w:rPr>
          <w:rStyle w:val="StyleUnderline"/>
        </w:rPr>
        <w:t>China has encountered with</w:t>
      </w:r>
      <w:r w:rsidRPr="002E3220">
        <w:rPr>
          <w:sz w:val="16"/>
        </w:rPr>
        <w:t xml:space="preserve"> the </w:t>
      </w:r>
      <w:r w:rsidRPr="002E3220">
        <w:rPr>
          <w:rStyle w:val="StyleUnderline"/>
        </w:rPr>
        <w:t>development of less advanced fourth-generation fighters</w:t>
      </w:r>
      <w:r w:rsidRPr="002E3220">
        <w:rPr>
          <w:sz w:val="16"/>
        </w:rPr>
        <w:t xml:space="preserve"> further corroborate our argument. </w:t>
      </w:r>
      <w:r w:rsidRPr="002E3220">
        <w:rPr>
          <w:rStyle w:val="StyleUnderline"/>
        </w:rPr>
        <w:t>Despite</w:t>
      </w:r>
      <w:r w:rsidRPr="002E3220">
        <w:rPr>
          <w:sz w:val="16"/>
        </w:rPr>
        <w:t xml:space="preserve"> the </w:t>
      </w:r>
      <w:r w:rsidRPr="002E3220">
        <w:rPr>
          <w:rStyle w:val="StyleUnderline"/>
        </w:rPr>
        <w:t>significant transfer of tech</w:t>
      </w:r>
      <w:r w:rsidRPr="002E3220">
        <w:rPr>
          <w:sz w:val="16"/>
        </w:rPr>
        <w:t xml:space="preserve">nology </w:t>
      </w:r>
      <w:r w:rsidRPr="002E3220">
        <w:rPr>
          <w:rStyle w:val="StyleUnderline"/>
        </w:rPr>
        <w:t>and support</w:t>
      </w:r>
      <w:r w:rsidRPr="002E3220">
        <w:rPr>
          <w:sz w:val="16"/>
        </w:rPr>
        <w:t xml:space="preserve"> that China has received from Russia, Israel, and various European countries, </w:t>
      </w:r>
      <w:r w:rsidRPr="002E3220">
        <w:rPr>
          <w:rStyle w:val="StyleUnderline"/>
        </w:rPr>
        <w:t xml:space="preserve">its </w:t>
      </w:r>
      <w:r w:rsidRPr="00E91755">
        <w:rPr>
          <w:rStyle w:val="Emphasis"/>
        </w:rPr>
        <w:t>industry has struggled</w:t>
      </w:r>
      <w:r w:rsidRPr="002E3220">
        <w:rPr>
          <w:sz w:val="16"/>
        </w:rPr>
        <w:t xml:space="preserve"> in this domain.318 For instance, in 2004 China suddenly broke a [End Page 184] licensing agreement with Russia on the Sukhoi Su-27, with the aim of exploiting the experience it had already gained to produce </w:t>
      </w:r>
      <w:r w:rsidRPr="002E3220">
        <w:rPr>
          <w:sz w:val="16"/>
          <w:szCs w:val="16"/>
        </w:rPr>
        <w:t>independently an indigenous version, the Shenyang J-11.319 The production process did not go smoothly, however. For example, at "one point the [Chinese engines] were reportedly requiring overhauls every thirty hours of flight time, compared to four hundred hours for … the Su-27."320 Similarly, according to U.S. sources, some variants of this aircraft have been "in big trouble," as technical malfunctions have led to several crash landings.321 Additionally, in 2016 China bought twenty-four new, heavily upgraded derivatives of the very aircraft it had copied from Russia (the Sukhoi Su-35).322 Although we do not know the reasons for this purchase, it is further indicative of China's inability to produce a copy of this aircraft—or even a more advanced one such as fifth-generation jet fighters.323 China has experienced similar problems with its carrier-based fighter aircraft</w:t>
      </w:r>
      <w:r w:rsidRPr="002E3220">
        <w:rPr>
          <w:sz w:val="16"/>
        </w:rPr>
        <w:t>, the Shenyang J-15 Flying Shark, a reverse-engineered version of a Russian fighter (the Sukhoi Su-33) that is more than thirty years old and that China purchased from Ukraine.324 Because of the thrust constraints of its engine, the J-15 can take off from an aircraft carrier ski-jump with only half a fuel load or with only four missiles, thus limiting either its range or its capabilities.325 Even the Chinese media criticized it as a "flopping fish."326 Because of recurrent fatal accidents and crashes, China recently decided to look for a replacement for this aircraft.327</w:t>
      </w:r>
    </w:p>
    <w:p w14:paraId="3A2F8209" w14:textId="77777777" w:rsidR="006D1153" w:rsidRPr="00E91755" w:rsidRDefault="006D1153" w:rsidP="006D1153">
      <w:pPr>
        <w:rPr>
          <w:sz w:val="16"/>
        </w:rPr>
      </w:pPr>
      <w:r w:rsidRPr="00E91755">
        <w:rPr>
          <w:rStyle w:val="StyleUnderline"/>
        </w:rPr>
        <w:t xml:space="preserve">Fifth, China has derived </w:t>
      </w:r>
      <w:r w:rsidRPr="00E91755">
        <w:rPr>
          <w:rStyle w:val="Emphasis"/>
        </w:rPr>
        <w:t>only limited cost and time advantages</w:t>
      </w:r>
      <w:r w:rsidRPr="00E91755">
        <w:rPr>
          <w:rStyle w:val="StyleUnderline"/>
        </w:rPr>
        <w:t xml:space="preserve"> from its imitation efforts.</w:t>
      </w:r>
      <w:r w:rsidRPr="00E91755">
        <w:rPr>
          <w:sz w:val="16"/>
        </w:rPr>
        <w:t xml:space="preserve"> According to Gabe Collins and Andrew Erickson, it is "reasonable to assume the J-20 has a unit cost of somewhere from US$100-to$120 million … By contrast, the F-22 costs around US$143 million per [End Page 185] plane."328 These estimates show that </w:t>
      </w:r>
      <w:r w:rsidRPr="00E91755">
        <w:rPr>
          <w:rStyle w:val="StyleUnderline"/>
        </w:rPr>
        <w:t xml:space="preserve">China has derived a cost advantage of just 14 to 20 percent, which is </w:t>
      </w:r>
      <w:r w:rsidRPr="00E91755">
        <w:rPr>
          <w:rStyle w:val="Emphasis"/>
        </w:rPr>
        <w:t>hardly impressive</w:t>
      </w:r>
      <w:r w:rsidRPr="00E91755">
        <w:rPr>
          <w:rStyle w:val="StyleUnderline"/>
        </w:rPr>
        <w:t xml:space="preserve"> given</w:t>
      </w:r>
      <w:r w:rsidRPr="00E91755">
        <w:rPr>
          <w:sz w:val="16"/>
        </w:rPr>
        <w:t xml:space="preserve"> that </w:t>
      </w:r>
      <w:r w:rsidRPr="00E91755">
        <w:rPr>
          <w:rStyle w:val="StyleUnderline"/>
        </w:rPr>
        <w:t>China</w:t>
      </w:r>
      <w:r w:rsidRPr="00E91755">
        <w:rPr>
          <w:sz w:val="16"/>
        </w:rPr>
        <w:t xml:space="preserve"> is the country that has </w:t>
      </w:r>
      <w:r w:rsidRPr="00E91755">
        <w:rPr>
          <w:rStyle w:val="StyleUnderline"/>
        </w:rPr>
        <w:t>relied most extensively on both industrial and cyber espionage, and</w:t>
      </w:r>
      <w:r w:rsidRPr="00E91755">
        <w:rPr>
          <w:sz w:val="16"/>
        </w:rPr>
        <w:t xml:space="preserve"> that </w:t>
      </w:r>
      <w:r w:rsidRPr="00E91755">
        <w:rPr>
          <w:rStyle w:val="StyleUnderline"/>
        </w:rPr>
        <w:t>has benefited massively from the transfer of tech</w:t>
      </w:r>
      <w:r w:rsidRPr="00E91755">
        <w:rPr>
          <w:sz w:val="16"/>
        </w:rPr>
        <w:t xml:space="preserve">nology through FDI, mergers and acquisitions, and the purchase of foreign components. </w:t>
      </w:r>
      <w:r w:rsidRPr="00E91755">
        <w:rPr>
          <w:rStyle w:val="StyleUnderline"/>
        </w:rPr>
        <w:t>Such a cost advantage is even less impressive given</w:t>
      </w:r>
      <w:r w:rsidRPr="00E91755">
        <w:rPr>
          <w:sz w:val="16"/>
        </w:rPr>
        <w:t xml:space="preserve"> that the </w:t>
      </w:r>
      <w:r w:rsidRPr="00E91755">
        <w:rPr>
          <w:rStyle w:val="StyleUnderline"/>
        </w:rPr>
        <w:t>F-22 is now twelve years old, that the J-20 has significant deficiencies, and that its costs will inevitably increase</w:t>
      </w:r>
      <w:r w:rsidRPr="00E91755">
        <w:rPr>
          <w:sz w:val="16"/>
        </w:rPr>
        <w:t xml:space="preserve"> further as China attempts to fix its problems and improve its performance. The latter point is critical, because "the final 10 percent striving towards maximum perfection costs 40% of the total expenditure on most projects."329 The same is true with regard to time. The F-22 became operational in 2005—about twenty years after the project started.330 Launched in the late 1990s and tested in 2010, the J-20 was officially commissioned in the fall of 2017.331 Still, </w:t>
      </w:r>
      <w:r w:rsidRPr="00E91755">
        <w:rPr>
          <w:rStyle w:val="StyleUnderline"/>
        </w:rPr>
        <w:t xml:space="preserve">it is not yet fully operational and </w:t>
      </w:r>
      <w:r w:rsidRPr="00E91755">
        <w:rPr>
          <w:rStyle w:val="Emphasis"/>
        </w:rPr>
        <w:t>remains inferior</w:t>
      </w:r>
      <w:r w:rsidRPr="00E91755">
        <w:rPr>
          <w:sz w:val="16"/>
        </w:rPr>
        <w:t xml:space="preserve"> to the F-22 on several dimensions: in other words, after more than twenty years, </w:t>
      </w:r>
      <w:r w:rsidRPr="00E91755">
        <w:rPr>
          <w:rStyle w:val="Emphasis"/>
        </w:rPr>
        <w:t>China has not</w:t>
      </w:r>
      <w:r w:rsidRPr="00E91755">
        <w:rPr>
          <w:sz w:val="16"/>
        </w:rPr>
        <w:t xml:space="preserve"> yet </w:t>
      </w:r>
      <w:r w:rsidRPr="00E91755">
        <w:rPr>
          <w:rStyle w:val="Emphasis"/>
        </w:rPr>
        <w:t>closed the gap</w:t>
      </w:r>
      <w:r w:rsidRPr="00E91755">
        <w:rPr>
          <w:rStyle w:val="StyleUnderline"/>
        </w:rPr>
        <w:t xml:space="preserve"> with the U</w:t>
      </w:r>
      <w:r w:rsidRPr="00E91755">
        <w:rPr>
          <w:sz w:val="16"/>
        </w:rPr>
        <w:t xml:space="preserve">nited </w:t>
      </w:r>
      <w:r w:rsidRPr="00E91755">
        <w:rPr>
          <w:rStyle w:val="StyleUnderline"/>
        </w:rPr>
        <w:t>S</w:t>
      </w:r>
      <w:r w:rsidRPr="00E91755">
        <w:rPr>
          <w:sz w:val="16"/>
        </w:rPr>
        <w:t>tates.332</w:t>
      </w:r>
    </w:p>
    <w:p w14:paraId="4B9C670A" w14:textId="77777777" w:rsidR="006D1153" w:rsidRPr="002E3220" w:rsidRDefault="006D1153" w:rsidP="006D1153">
      <w:pPr>
        <w:rPr>
          <w:sz w:val="16"/>
          <w:szCs w:val="16"/>
        </w:rPr>
      </w:pPr>
      <w:r w:rsidRPr="002E3220">
        <w:rPr>
          <w:sz w:val="16"/>
          <w:szCs w:val="16"/>
        </w:rPr>
        <w:t>A skeptical reader might wonder whether a more advanced country would have accomplished better results than China in imitating the F-22. The hardest case for our theory would be if the imitating country had the same aerospace capabilities as the United States and if it had access to all the technological knowledge related to the F-22. This case exists. In 2011, the U.S. government interrupted production of the F-22. In 2017, the U.S. Air Force commissioned a study to understand how much it would cost to restart production. In other words, the United States wanted to know what it would take to copy its own technology from just six years before. The findings are sobering: the same country that created the F-22 would have to spend $10 billion to restart the production of its fifth-generation fighter—equivalent to 25 percent of the total procurement cost for 194 aircraft.333 [End Page 186]</w:t>
      </w:r>
    </w:p>
    <w:p w14:paraId="4A29C752" w14:textId="77777777" w:rsidR="006D1153" w:rsidRPr="002E3220" w:rsidRDefault="006D1153" w:rsidP="006D1153">
      <w:pPr>
        <w:rPr>
          <w:sz w:val="16"/>
        </w:rPr>
      </w:pPr>
      <w:r w:rsidRPr="002E3220">
        <w:rPr>
          <w:sz w:val="16"/>
        </w:rPr>
        <w:t xml:space="preserve">In sum, over the past twenty years, China has made impressive accomplishments </w:t>
      </w:r>
      <w:r w:rsidRPr="002E3220">
        <w:rPr>
          <w:sz w:val="16"/>
          <w:szCs w:val="16"/>
        </w:rPr>
        <w:t>in modernizing its aerospace industry. Given the extent to which it has benefited from globalization and cyber espionage, however, the evidence casts serious doubt on the claim that these two factors have brought about a revolutionary transformation that makes the imitation of foreign weapon</w:t>
      </w:r>
      <w:r w:rsidRPr="002E3220">
        <w:rPr>
          <w:sz w:val="16"/>
        </w:rPr>
        <w:t xml:space="preserve"> systems much easier than it used to be.334</w:t>
      </w:r>
    </w:p>
    <w:p w14:paraId="3FD062B7" w14:textId="77777777" w:rsidR="006D1153" w:rsidRPr="002E3220" w:rsidRDefault="006D1153" w:rsidP="006D1153">
      <w:pPr>
        <w:rPr>
          <w:sz w:val="16"/>
          <w:szCs w:val="16"/>
        </w:rPr>
      </w:pPr>
      <w:r w:rsidRPr="002E3220">
        <w:rPr>
          <w:sz w:val="16"/>
          <w:szCs w:val="16"/>
        </w:rPr>
        <w:t>Conclusion</w:t>
      </w:r>
    </w:p>
    <w:p w14:paraId="3867DCB9" w14:textId="77777777" w:rsidR="006D1153" w:rsidRPr="002E3220" w:rsidRDefault="006D1153" w:rsidP="006D1153">
      <w:pPr>
        <w:rPr>
          <w:rStyle w:val="StyleUnderline"/>
        </w:rPr>
      </w:pPr>
      <w:r w:rsidRPr="002E3220">
        <w:rPr>
          <w:sz w:val="16"/>
        </w:rPr>
        <w:t xml:space="preserve">In his seminal article "Command of the Commons," Barry Posen argued that </w:t>
      </w:r>
      <w:r w:rsidRPr="002E3220">
        <w:rPr>
          <w:rStyle w:val="StyleUnderline"/>
        </w:rPr>
        <w:t xml:space="preserve">the </w:t>
      </w:r>
      <w:r w:rsidRPr="00E91755">
        <w:rPr>
          <w:rStyle w:val="Emphasis"/>
        </w:rPr>
        <w:t>unrivaled military-tech</w:t>
      </w:r>
      <w:r w:rsidRPr="002E3220">
        <w:rPr>
          <w:sz w:val="16"/>
          <w:szCs w:val="16"/>
        </w:rPr>
        <w:t xml:space="preserve">nological </w:t>
      </w:r>
      <w:r w:rsidRPr="00E91755">
        <w:rPr>
          <w:rStyle w:val="Emphasis"/>
        </w:rPr>
        <w:t>superiority</w:t>
      </w:r>
      <w:r w:rsidRPr="002E3220">
        <w:rPr>
          <w:rStyle w:val="StyleUnderline"/>
        </w:rPr>
        <w:t xml:space="preserve"> of the U</w:t>
      </w:r>
      <w:r w:rsidRPr="002E3220">
        <w:rPr>
          <w:sz w:val="16"/>
        </w:rPr>
        <w:t xml:space="preserve">nited </w:t>
      </w:r>
      <w:r w:rsidRPr="002E3220">
        <w:rPr>
          <w:rStyle w:val="StyleUnderline"/>
        </w:rPr>
        <w:t>S</w:t>
      </w:r>
      <w:r w:rsidRPr="002E3220">
        <w:rPr>
          <w:sz w:val="16"/>
        </w:rPr>
        <w:t xml:space="preserve">tates </w:t>
      </w:r>
      <w:r w:rsidRPr="002E3220">
        <w:rPr>
          <w:rStyle w:val="StyleUnderline"/>
        </w:rPr>
        <w:t>gives it a key advantage</w:t>
      </w:r>
      <w:r w:rsidRPr="002E3220">
        <w:rPr>
          <w:sz w:val="16"/>
        </w:rPr>
        <w:t xml:space="preserve"> over other countries.335 According to the literature in international relations theory, however, such advantages should be temporary, especially </w:t>
      </w:r>
      <w:r w:rsidRPr="002E3220">
        <w:rPr>
          <w:rStyle w:val="StyleUnderline"/>
        </w:rPr>
        <w:t>in an era</w:t>
      </w:r>
      <w:r w:rsidRPr="002E3220">
        <w:rPr>
          <w:sz w:val="16"/>
        </w:rPr>
        <w:t xml:space="preserve"> of globalization, real-time communications, and </w:t>
      </w:r>
      <w:r w:rsidRPr="002E3220">
        <w:rPr>
          <w:rStyle w:val="StyleUnderline"/>
        </w:rPr>
        <w:t>dual-use tech</w:t>
      </w:r>
      <w:r w:rsidRPr="002E3220">
        <w:rPr>
          <w:sz w:val="16"/>
        </w:rPr>
        <w:t xml:space="preserve">nologies: knowledge allegedly diffuses quickly, thus undermining one of the sources of U.S. hegemony—superiority in military technology. In this article, we have provided a theoretical explanation for why, three decades after the fall of the Berlin Wall and more than fifteen years after the publication of Posen's article, </w:t>
      </w:r>
      <w:r w:rsidRPr="002E3220">
        <w:rPr>
          <w:rStyle w:val="StyleUnderline"/>
        </w:rPr>
        <w:t>U.S. weapon systems</w:t>
      </w:r>
      <w:r w:rsidRPr="002E3220">
        <w:rPr>
          <w:sz w:val="16"/>
          <w:szCs w:val="16"/>
        </w:rPr>
        <w:t xml:space="preserve"> largely</w:t>
      </w:r>
      <w:r w:rsidRPr="002E3220">
        <w:t xml:space="preserve"> </w:t>
      </w:r>
      <w:r w:rsidRPr="002E3220">
        <w:rPr>
          <w:rStyle w:val="StyleUnderline"/>
        </w:rPr>
        <w:t xml:space="preserve">remain </w:t>
      </w:r>
      <w:r w:rsidRPr="00E91755">
        <w:rPr>
          <w:rStyle w:val="Emphasis"/>
        </w:rPr>
        <w:t>unrivaled</w:t>
      </w:r>
      <w:r w:rsidRPr="002E3220">
        <w:rPr>
          <w:rStyle w:val="StyleUnderline"/>
        </w:rPr>
        <w:t>.</w:t>
      </w:r>
    </w:p>
    <w:p w14:paraId="038B81AC" w14:textId="77777777" w:rsidR="006D1153" w:rsidRPr="002E3220" w:rsidRDefault="006D1153" w:rsidP="006D1153">
      <w:pPr>
        <w:rPr>
          <w:sz w:val="16"/>
        </w:rPr>
      </w:pPr>
      <w:r w:rsidRPr="002E3220">
        <w:rPr>
          <w:sz w:val="16"/>
        </w:rPr>
        <w:t xml:space="preserve">We have argued that the dramatic increase in the complexity of military technology observed over the twentieth century has significantly shrunk the advantage of backwardness described by Gerschenkron. On the one hand, the requirements for imitating modern weapon systems have become harder to meet. On the other, the technological knowledge of how to design, develop, and produce modern weapon systems has become less likely to diffuse. As a result, compared to the pre–World War I period, today </w:t>
      </w:r>
      <w:r w:rsidRPr="002E3220">
        <w:rPr>
          <w:rStyle w:val="StyleUnderline"/>
        </w:rPr>
        <w:t>imitating foreign weapon systems is</w:t>
      </w:r>
      <w:r w:rsidRPr="002E3220">
        <w:rPr>
          <w:sz w:val="16"/>
        </w:rPr>
        <w:t xml:space="preserve"> more </w:t>
      </w:r>
      <w:r w:rsidRPr="002E3220">
        <w:rPr>
          <w:rStyle w:val="StyleUnderline"/>
        </w:rPr>
        <w:t xml:space="preserve">difficult. Countries </w:t>
      </w:r>
      <w:r w:rsidRPr="00E91755">
        <w:rPr>
          <w:rStyle w:val="Emphasis"/>
        </w:rPr>
        <w:t>cannot simply free ride</w:t>
      </w:r>
      <w:r w:rsidRPr="002E3220">
        <w:rPr>
          <w:rStyle w:val="StyleUnderline"/>
        </w:rPr>
        <w:t xml:space="preserve"> on </w:t>
      </w:r>
      <w:r w:rsidRPr="002E3220">
        <w:rPr>
          <w:sz w:val="16"/>
        </w:rPr>
        <w:t xml:space="preserve">the </w:t>
      </w:r>
      <w:r w:rsidRPr="002E3220">
        <w:rPr>
          <w:rStyle w:val="StyleUnderline"/>
        </w:rPr>
        <w:t>research and development of the most advanced states</w:t>
      </w:r>
      <w:r w:rsidRPr="002E3220">
        <w:rPr>
          <w:sz w:val="16"/>
        </w:rPr>
        <w:t>: they first have to develop the industrial, scientific, and technological capabilities required for becoming first-tier weapons manufacturers; then, they must go through extensive trial and error to address the multitude of extremely small but challenging problems that weapons development entails.</w:t>
      </w:r>
    </w:p>
    <w:p w14:paraId="05E8634F" w14:textId="34BBA378" w:rsidR="006D1153" w:rsidRPr="006D1153" w:rsidRDefault="006D1153" w:rsidP="006D1153">
      <w:pPr>
        <w:rPr>
          <w:b/>
          <w:iCs/>
          <w:sz w:val="24"/>
          <w:u w:val="single"/>
          <w:bdr w:val="single" w:sz="8" w:space="0" w:color="auto"/>
        </w:rPr>
      </w:pPr>
      <w:r w:rsidRPr="00D02C70">
        <w:rPr>
          <w:sz w:val="16"/>
        </w:rPr>
        <w:t xml:space="preserve">The evidence we presented shows that in comparison to the early twentieth century, when Germany could quickly catch up with Great Britain in all-biggun battleships, in recent years </w:t>
      </w:r>
      <w:r w:rsidRPr="00D02C70">
        <w:rPr>
          <w:rStyle w:val="StyleUnderline"/>
        </w:rPr>
        <w:t xml:space="preserve">China has faced </w:t>
      </w:r>
      <w:r w:rsidRPr="00D02C70">
        <w:rPr>
          <w:rStyle w:val="Emphasis"/>
        </w:rPr>
        <w:t>enormous hurdles</w:t>
      </w:r>
      <w:r w:rsidRPr="00D02C70">
        <w:rPr>
          <w:rStyle w:val="StyleUnderline"/>
        </w:rPr>
        <w:t xml:space="preserve"> in closing</w:t>
      </w:r>
      <w:r w:rsidRPr="00D02C70">
        <w:rPr>
          <w:sz w:val="16"/>
        </w:rPr>
        <w:t xml:space="preserve"> [End Page 187] </w:t>
      </w:r>
      <w:r w:rsidRPr="00D02C70">
        <w:rPr>
          <w:rStyle w:val="StyleUnderline"/>
        </w:rPr>
        <w:t>the military-tech</w:t>
      </w:r>
      <w:r w:rsidRPr="00D02C70">
        <w:rPr>
          <w:sz w:val="16"/>
        </w:rPr>
        <w:t xml:space="preserve">nological </w:t>
      </w:r>
      <w:r w:rsidRPr="00D02C70">
        <w:rPr>
          <w:rStyle w:val="StyleUnderline"/>
        </w:rPr>
        <w:t>gap</w:t>
      </w:r>
      <w:r w:rsidRPr="00D02C70">
        <w:rPr>
          <w:sz w:val="16"/>
        </w:rPr>
        <w:t xml:space="preserve"> both </w:t>
      </w:r>
      <w:r w:rsidRPr="00D02C70">
        <w:rPr>
          <w:rStyle w:val="StyleUnderline"/>
        </w:rPr>
        <w:t>with the U</w:t>
      </w:r>
      <w:r w:rsidRPr="00D02C70">
        <w:rPr>
          <w:sz w:val="16"/>
        </w:rPr>
        <w:t xml:space="preserve">nited </w:t>
      </w:r>
      <w:r w:rsidRPr="00D02C70">
        <w:rPr>
          <w:rStyle w:val="StyleUnderline"/>
        </w:rPr>
        <w:t>S</w:t>
      </w:r>
      <w:r w:rsidRPr="00D02C70">
        <w:rPr>
          <w:sz w:val="16"/>
        </w:rPr>
        <w:t xml:space="preserve">tates in fifth-generation aircraft and even with Russia in fourth-generation jet fighters. </w:t>
      </w:r>
      <w:r w:rsidRPr="00D02C70">
        <w:rPr>
          <w:rStyle w:val="StyleUnderline"/>
        </w:rPr>
        <w:t xml:space="preserve">China has </w:t>
      </w:r>
      <w:r w:rsidRPr="00D02C70">
        <w:rPr>
          <w:rStyle w:val="Emphasis"/>
        </w:rPr>
        <w:t>struggled to achieve success despite</w:t>
      </w:r>
      <w:r w:rsidRPr="00D02C70">
        <w:rPr>
          <w:sz w:val="16"/>
        </w:rPr>
        <w:t xml:space="preserve"> its </w:t>
      </w:r>
      <w:r w:rsidRPr="00D02C70">
        <w:rPr>
          <w:rStyle w:val="StyleUnderline"/>
        </w:rPr>
        <w:t xml:space="preserve">massive </w:t>
      </w:r>
      <w:r w:rsidRPr="00D02C70">
        <w:rPr>
          <w:rStyle w:val="Emphasis"/>
        </w:rPr>
        <w:t>cyber theft</w:t>
      </w:r>
      <w:r w:rsidRPr="00D02C70">
        <w:rPr>
          <w:rStyle w:val="StyleUnderline"/>
        </w:rPr>
        <w:t xml:space="preserve"> activities</w:t>
      </w:r>
      <w:r w:rsidRPr="00D02C70">
        <w:rPr>
          <w:sz w:val="16"/>
        </w:rPr>
        <w:t xml:space="preserve">, the </w:t>
      </w:r>
      <w:r w:rsidRPr="00D02C70">
        <w:rPr>
          <w:rStyle w:val="StyleUnderline"/>
        </w:rPr>
        <w:t>benefits</w:t>
      </w:r>
      <w:r w:rsidRPr="00D02C70">
        <w:rPr>
          <w:sz w:val="16"/>
        </w:rPr>
        <w:t xml:space="preserve"> it has derived </w:t>
      </w:r>
      <w:r w:rsidRPr="00D02C70">
        <w:rPr>
          <w:rStyle w:val="StyleUnderline"/>
        </w:rPr>
        <w:t xml:space="preserve">from </w:t>
      </w:r>
      <w:r w:rsidRPr="00D02C70">
        <w:rPr>
          <w:rStyle w:val="Emphasis"/>
        </w:rPr>
        <w:t>globalization</w:t>
      </w:r>
      <w:r w:rsidRPr="00D02C70">
        <w:rPr>
          <w:sz w:val="16"/>
        </w:rPr>
        <w:t xml:space="preserve">, its </w:t>
      </w:r>
      <w:r w:rsidRPr="00D02C70">
        <w:rPr>
          <w:rStyle w:val="Emphasis"/>
        </w:rPr>
        <w:t>acquisition of foreign companies</w:t>
      </w:r>
      <w:r w:rsidRPr="00D02C70">
        <w:rPr>
          <w:rStyle w:val="StyleUnderline"/>
        </w:rPr>
        <w:t xml:space="preserve"> and tech</w:t>
      </w:r>
      <w:r w:rsidRPr="00D02C70">
        <w:rPr>
          <w:sz w:val="16"/>
        </w:rPr>
        <w:t xml:space="preserve">nology, </w:t>
      </w:r>
      <w:r w:rsidRPr="00D02C70">
        <w:rPr>
          <w:rStyle w:val="StyleUnderline"/>
        </w:rPr>
        <w:t xml:space="preserve">and an </w:t>
      </w:r>
      <w:r w:rsidRPr="00D02C70">
        <w:rPr>
          <w:rStyle w:val="Emphasis"/>
        </w:rPr>
        <w:t>unprecedented inflow</w:t>
      </w:r>
      <w:r w:rsidRPr="00D02C70">
        <w:rPr>
          <w:rStyle w:val="StyleUnderline"/>
        </w:rPr>
        <w:t xml:space="preserve"> of </w:t>
      </w:r>
      <w:r w:rsidRPr="00D02C70">
        <w:rPr>
          <w:rStyle w:val="Emphasis"/>
        </w:rPr>
        <w:t>f</w:t>
      </w:r>
      <w:r w:rsidRPr="00D02C70">
        <w:rPr>
          <w:sz w:val="16"/>
        </w:rPr>
        <w:t xml:space="preserve">oreign </w:t>
      </w:r>
      <w:r w:rsidRPr="00D02C70">
        <w:rPr>
          <w:rStyle w:val="Emphasis"/>
        </w:rPr>
        <w:t>d</w:t>
      </w:r>
      <w:r w:rsidRPr="00D02C70">
        <w:rPr>
          <w:sz w:val="16"/>
        </w:rPr>
        <w:t xml:space="preserve">irect </w:t>
      </w:r>
      <w:r w:rsidRPr="00D02C70">
        <w:rPr>
          <w:rStyle w:val="Emphasis"/>
        </w:rPr>
        <w:t>i</w:t>
      </w:r>
      <w:r w:rsidRPr="00D02C70">
        <w:rPr>
          <w:sz w:val="16"/>
        </w:rPr>
        <w:t>nvestments.</w:t>
      </w:r>
    </w:p>
    <w:p w14:paraId="34789E82" w14:textId="72195D92" w:rsidR="00A41D4B" w:rsidRPr="00637702" w:rsidRDefault="00A41D4B" w:rsidP="00A41D4B">
      <w:pPr>
        <w:pStyle w:val="Heading3"/>
      </w:pPr>
      <w:r>
        <w:t>2AC – Impact – AT: Emerging Threats</w:t>
      </w:r>
    </w:p>
    <w:p w14:paraId="1265B2FA" w14:textId="77777777" w:rsidR="00A41D4B" w:rsidRDefault="00A41D4B" w:rsidP="00A41D4B">
      <w:pPr>
        <w:pStyle w:val="Heading4"/>
      </w:pPr>
      <w:r>
        <w:t xml:space="preserve">Emerging tech regulation </w:t>
      </w:r>
      <w:r w:rsidRPr="007E1BF3">
        <w:rPr>
          <w:u w:val="single"/>
        </w:rPr>
        <w:t>fails</w:t>
      </w:r>
      <w:r>
        <w:t xml:space="preserve"> AND </w:t>
      </w:r>
      <w:r w:rsidRPr="007E1BF3">
        <w:rPr>
          <w:u w:val="single"/>
        </w:rPr>
        <w:t>no impact</w:t>
      </w:r>
      <w:r>
        <w:t>.</w:t>
      </w:r>
    </w:p>
    <w:p w14:paraId="628FDAD0" w14:textId="77777777" w:rsidR="00A41D4B" w:rsidRPr="007E1BF3" w:rsidRDefault="00A41D4B" w:rsidP="00A41D4B">
      <w:r w:rsidRPr="007E1BF3">
        <w:rPr>
          <w:rStyle w:val="Style13ptBold"/>
        </w:rPr>
        <w:t>Allenby 16</w:t>
      </w:r>
      <w:r>
        <w:t xml:space="preserve"> – Brad Allenby, an American environmental scientist, environmental attorney and Professor of Civil and Environmental Engineering, and of Law, at Arizona State University. [Emerging technologies and the future of humanity, Bulletin of the Atomic Scientists, 71(6), https://journals.sagepub.com/doi/full/10.1177/0096340215611087]//BPS</w:t>
      </w:r>
    </w:p>
    <w:p w14:paraId="43CA4E08" w14:textId="77777777" w:rsidR="00A41D4B" w:rsidRDefault="00A41D4B" w:rsidP="00A41D4B">
      <w:pPr>
        <w:rPr>
          <w:rStyle w:val="StyleUnderline"/>
        </w:rPr>
      </w:pPr>
      <w:r w:rsidRPr="007E1BF3">
        <w:rPr>
          <w:sz w:val="16"/>
        </w:rPr>
        <w:t xml:space="preserve">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w:t>
      </w:r>
      <w:r w:rsidRPr="007E1BF3">
        <w:rPr>
          <w:rStyle w:val="StyleUnderline"/>
        </w:rPr>
        <w:t>is this the end of humanity?</w:t>
      </w:r>
    </w:p>
    <w:p w14:paraId="43205509" w14:textId="77777777" w:rsidR="00A41D4B" w:rsidRPr="007E1BF3" w:rsidRDefault="00A41D4B" w:rsidP="00A41D4B">
      <w:pPr>
        <w:rPr>
          <w:sz w:val="16"/>
        </w:rPr>
      </w:pPr>
      <w:r w:rsidRPr="007E1BF3">
        <w:rPr>
          <w:sz w:val="16"/>
        </w:rPr>
        <w:t>What can we do about it?</w:t>
      </w:r>
    </w:p>
    <w:p w14:paraId="4A6B02BA" w14:textId="77777777" w:rsidR="00A41D4B" w:rsidRPr="007E1BF3" w:rsidRDefault="00A41D4B" w:rsidP="00A41D4B">
      <w:pPr>
        <w:rPr>
          <w:sz w:val="16"/>
        </w:rPr>
      </w:pPr>
      <w:r w:rsidRPr="007E1BF3">
        <w:rPr>
          <w:sz w:val="16"/>
        </w:rPr>
        <w:t xml:space="preserve">Precisely because new technologies are disruptive, they inevitably call forth opposition, both by conservative social forces and by threatened economic interests. Historical examples abound. </w:t>
      </w:r>
      <w:r w:rsidRPr="007E1BF3">
        <w:rPr>
          <w:rStyle w:val="StyleUnderline"/>
        </w:rPr>
        <w:t>With railroad technology</w:t>
      </w:r>
      <w:r w:rsidRPr="007E1BF3">
        <w:rPr>
          <w:sz w:val="16"/>
        </w:rPr>
        <w:t xml:space="preserve">, for example, conservative states such as the Austro-Hungarian Empire and Russia resisted rapid deployment, in part because </w:t>
      </w:r>
      <w:r w:rsidRPr="007E1BF3">
        <w:rPr>
          <w:rStyle w:val="StyleUnderline"/>
        </w:rPr>
        <w:t xml:space="preserve">it was </w:t>
      </w:r>
      <w:r w:rsidRPr="00456038">
        <w:rPr>
          <w:rStyle w:val="StyleUnderline"/>
          <w:highlight w:val="cyan"/>
        </w:rPr>
        <w:t>feared</w:t>
      </w:r>
      <w:r w:rsidRPr="007E1BF3">
        <w:rPr>
          <w:sz w:val="16"/>
        </w:rPr>
        <w:t xml:space="preserve"> that </w:t>
      </w:r>
      <w:r w:rsidRPr="00456038">
        <w:rPr>
          <w:rStyle w:val="StyleUnderline"/>
          <w:highlight w:val="cyan"/>
        </w:rPr>
        <w:t>railroads</w:t>
      </w:r>
      <w:r w:rsidRPr="007E1BF3">
        <w:rPr>
          <w:rStyle w:val="StyleUnderline"/>
        </w:rPr>
        <w:t xml:space="preserve"> might </w:t>
      </w:r>
      <w:r w:rsidRPr="00456038">
        <w:rPr>
          <w:rStyle w:val="StyleUnderline"/>
          <w:highlight w:val="cyan"/>
        </w:rPr>
        <w:t>create</w:t>
      </w:r>
      <w:r w:rsidRPr="007E1BF3">
        <w:rPr>
          <w:rStyle w:val="StyleUnderline"/>
        </w:rPr>
        <w:t xml:space="preserve"> </w:t>
      </w:r>
      <w:r w:rsidRPr="007E1BF3">
        <w:rPr>
          <w:rStyle w:val="Emphasis"/>
        </w:rPr>
        <w:t xml:space="preserve">social </w:t>
      </w:r>
      <w:r w:rsidRPr="00456038">
        <w:rPr>
          <w:rStyle w:val="Emphasis"/>
          <w:highlight w:val="cyan"/>
        </w:rPr>
        <w:t>unrest</w:t>
      </w:r>
      <w:r w:rsidRPr="007E1BF3">
        <w:rPr>
          <w:sz w:val="16"/>
        </w:rPr>
        <w:t xml:space="preserve">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w:t>
      </w:r>
      <w:r w:rsidRPr="007E1BF3">
        <w:rPr>
          <w:rStyle w:val="StyleUnderline"/>
        </w:rPr>
        <w:t>thousands</w:t>
      </w:r>
      <w:r w:rsidRPr="007E1BF3">
        <w:rPr>
          <w:sz w:val="16"/>
        </w:rPr>
        <w:t xml:space="preserve"> of people </w:t>
      </w:r>
      <w:r w:rsidRPr="007E1BF3">
        <w:rPr>
          <w:rStyle w:val="StyleUnderline"/>
        </w:rPr>
        <w:t>sued by the Recording Industry</w:t>
      </w:r>
      <w:r w:rsidRPr="007E1BF3">
        <w:rPr>
          <w:sz w:val="16"/>
        </w:rPr>
        <w:t xml:space="preserve"> Association of America in its vain effort </w:t>
      </w:r>
      <w:r w:rsidRPr="007E1BF3">
        <w:rPr>
          <w:rStyle w:val="StyleUnderline"/>
        </w:rPr>
        <w:t xml:space="preserve">to defend </w:t>
      </w:r>
      <w:r w:rsidRPr="007E1BF3">
        <w:rPr>
          <w:rStyle w:val="Emphasis"/>
        </w:rPr>
        <w:t>a technologically obsolete business model</w:t>
      </w:r>
      <w:r w:rsidRPr="007E1BF3">
        <w:rPr>
          <w:sz w:val="16"/>
        </w:rPr>
        <w:t xml:space="preserve"> for the distribution of music. There are plenty of reasons, in other words, why emerging technologies might be regarded as dangerous and disruptive, and thus worth stifling.</w:t>
      </w:r>
    </w:p>
    <w:p w14:paraId="065465DA" w14:textId="77777777" w:rsidR="00A41D4B" w:rsidRPr="007E1BF3" w:rsidRDefault="00A41D4B" w:rsidP="00A41D4B">
      <w:pPr>
        <w:rPr>
          <w:sz w:val="16"/>
        </w:rPr>
      </w:pPr>
      <w:r w:rsidRPr="007E1BF3">
        <w:rPr>
          <w:sz w:val="16"/>
        </w:rPr>
        <w:t>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w:t>
      </w:r>
    </w:p>
    <w:p w14:paraId="6ED40C39" w14:textId="77777777" w:rsidR="00A41D4B" w:rsidRPr="007E1BF3" w:rsidRDefault="00A41D4B" w:rsidP="00A41D4B">
      <w:pPr>
        <w:rPr>
          <w:sz w:val="16"/>
        </w:rPr>
      </w:pPr>
      <w:r w:rsidRPr="007E1BF3">
        <w:rPr>
          <w:sz w:val="16"/>
        </w:rPr>
        <w:t xml:space="preserve">Especially </w:t>
      </w:r>
      <w:r w:rsidRPr="00456038">
        <w:rPr>
          <w:rStyle w:val="StyleUnderline"/>
          <w:highlight w:val="cyan"/>
        </w:rPr>
        <w:t>given today’s</w:t>
      </w:r>
      <w:r w:rsidRPr="007E1BF3">
        <w:rPr>
          <w:rStyle w:val="StyleUnderline"/>
        </w:rPr>
        <w:t xml:space="preserve"> </w:t>
      </w:r>
      <w:r w:rsidRPr="007E1BF3">
        <w:rPr>
          <w:rStyle w:val="Emphasis"/>
        </w:rPr>
        <w:t xml:space="preserve">globalized </w:t>
      </w:r>
      <w:r w:rsidRPr="00456038">
        <w:rPr>
          <w:rStyle w:val="Emphasis"/>
          <w:highlight w:val="cyan"/>
        </w:rPr>
        <w:t>culture</w:t>
      </w:r>
      <w:r w:rsidRPr="00456038">
        <w:rPr>
          <w:rStyle w:val="StyleUnderline"/>
          <w:highlight w:val="cyan"/>
        </w:rPr>
        <w:t>, and</w:t>
      </w:r>
      <w:r w:rsidRPr="007E1BF3">
        <w:rPr>
          <w:rStyle w:val="StyleUnderline"/>
        </w:rPr>
        <w:t xml:space="preserve"> </w:t>
      </w:r>
      <w:r w:rsidRPr="007E1BF3">
        <w:rPr>
          <w:rStyle w:val="Emphasis"/>
        </w:rPr>
        <w:t xml:space="preserve">the strategic and </w:t>
      </w:r>
      <w:r w:rsidRPr="00456038">
        <w:rPr>
          <w:rStyle w:val="Emphasis"/>
          <w:highlight w:val="cyan"/>
        </w:rPr>
        <w:t>military</w:t>
      </w:r>
      <w:r w:rsidRPr="007E1BF3">
        <w:rPr>
          <w:rStyle w:val="Emphasis"/>
        </w:rPr>
        <w:t xml:space="preserve"> advantages</w:t>
      </w:r>
      <w:r w:rsidRPr="007E1BF3">
        <w:rPr>
          <w:rStyle w:val="StyleUnderline"/>
        </w:rPr>
        <w:t xml:space="preserve"> that </w:t>
      </w:r>
      <w:r w:rsidRPr="00456038">
        <w:rPr>
          <w:rStyle w:val="StyleUnderline"/>
          <w:highlight w:val="cyan"/>
        </w:rPr>
        <w:t>emerging tech</w:t>
      </w:r>
      <w:r w:rsidRPr="007E1BF3">
        <w:rPr>
          <w:rStyle w:val="StyleUnderline"/>
        </w:rPr>
        <w:t xml:space="preserve">nologies can </w:t>
      </w:r>
      <w:r w:rsidRPr="00456038">
        <w:rPr>
          <w:rStyle w:val="StyleUnderline"/>
          <w:highlight w:val="cyan"/>
        </w:rPr>
        <w:t>provide, it is</w:t>
      </w:r>
      <w:r w:rsidRPr="007E1BF3">
        <w:rPr>
          <w:rStyle w:val="StyleUnderline"/>
        </w:rPr>
        <w:t xml:space="preserve"> </w:t>
      </w:r>
      <w:r w:rsidRPr="007E1BF3">
        <w:rPr>
          <w:rStyle w:val="Emphasis"/>
        </w:rPr>
        <w:t xml:space="preserve">highly </w:t>
      </w:r>
      <w:r w:rsidRPr="00456038">
        <w:rPr>
          <w:rStyle w:val="Emphasis"/>
          <w:highlight w:val="cyan"/>
        </w:rPr>
        <w:t>unlikely</w:t>
      </w:r>
      <w:r w:rsidRPr="007E1BF3">
        <w:rPr>
          <w:sz w:val="16"/>
        </w:rPr>
        <w:t xml:space="preserve"> that meaningful </w:t>
      </w:r>
      <w:r w:rsidRPr="00456038">
        <w:rPr>
          <w:rStyle w:val="StyleUnderline"/>
          <w:highlight w:val="cyan"/>
        </w:rPr>
        <w:t>constraints on tech</w:t>
      </w:r>
      <w:r w:rsidRPr="007E1BF3">
        <w:rPr>
          <w:rStyle w:val="StyleUnderline"/>
        </w:rPr>
        <w:t>nological evolution</w:t>
      </w:r>
      <w:r w:rsidRPr="007E1BF3">
        <w:rPr>
          <w:sz w:val="16"/>
        </w:rPr>
        <w:t xml:space="preserve">, whether derived from cultural, competitive, or religious foundations, </w:t>
      </w:r>
      <w:r w:rsidRPr="00456038">
        <w:rPr>
          <w:rStyle w:val="StyleUnderline"/>
          <w:highlight w:val="cyan"/>
        </w:rPr>
        <w:t>will be successful</w:t>
      </w:r>
      <w:r w:rsidRPr="007E1BF3">
        <w:rPr>
          <w:sz w:val="16"/>
        </w:rPr>
        <w:t xml:space="preserve">. That is particularly true as </w:t>
      </w:r>
      <w:r w:rsidRPr="007E1BF3">
        <w:rPr>
          <w:rStyle w:val="StyleUnderline"/>
        </w:rPr>
        <w:t>all playe</w:t>
      </w:r>
      <w:r w:rsidRPr="00B462E2">
        <w:rPr>
          <w:rStyle w:val="StyleUnderline"/>
        </w:rPr>
        <w:t xml:space="preserve">rs in </w:t>
      </w:r>
      <w:r w:rsidRPr="00B462E2">
        <w:rPr>
          <w:rStyle w:val="Emphasis"/>
        </w:rPr>
        <w:t>the global Great Game</w:t>
      </w:r>
      <w:r w:rsidRPr="00B462E2">
        <w:rPr>
          <w:rStyle w:val="StyleUnderline"/>
        </w:rPr>
        <w:t xml:space="preserve"> understan</w:t>
      </w:r>
      <w:r w:rsidRPr="007E1BF3">
        <w:rPr>
          <w:rStyle w:val="StyleUnderline"/>
        </w:rPr>
        <w:t>d</w:t>
      </w:r>
      <w:r w:rsidRPr="007E1BF3">
        <w:rPr>
          <w:sz w:val="16"/>
        </w:rPr>
        <w:t xml:space="preserve"> that </w:t>
      </w:r>
      <w:r w:rsidRPr="007E1BF3">
        <w:rPr>
          <w:rStyle w:val="Emphasis"/>
        </w:rPr>
        <w:t>leadership</w:t>
      </w:r>
      <w:r w:rsidRPr="007E1BF3">
        <w:rPr>
          <w:rStyle w:val="StyleUnderline"/>
        </w:rPr>
        <w:t xml:space="preserve"> in </w:t>
      </w:r>
      <w:r w:rsidRPr="007E1BF3">
        <w:rPr>
          <w:rStyle w:val="Emphasis"/>
        </w:rPr>
        <w:t>s</w:t>
      </w:r>
      <w:r w:rsidRPr="007E1BF3">
        <w:rPr>
          <w:sz w:val="16"/>
        </w:rPr>
        <w:t xml:space="preserve">cience </w:t>
      </w:r>
      <w:r w:rsidRPr="007E1BF3">
        <w:rPr>
          <w:rStyle w:val="StyleUnderline"/>
        </w:rPr>
        <w:t xml:space="preserve">and </w:t>
      </w:r>
      <w:r w:rsidRPr="007E1BF3">
        <w:rPr>
          <w:rStyle w:val="Emphasis"/>
        </w:rPr>
        <w:t>t</w:t>
      </w:r>
      <w:r w:rsidRPr="007E1BF3">
        <w:rPr>
          <w:sz w:val="16"/>
        </w:rPr>
        <w:t xml:space="preserve">echnology domains </w:t>
      </w:r>
      <w:r w:rsidRPr="007E1BF3">
        <w:rPr>
          <w:rStyle w:val="StyleUnderline"/>
        </w:rPr>
        <w:t>is</w:t>
      </w:r>
      <w:r w:rsidRPr="007E1BF3">
        <w:rPr>
          <w:sz w:val="16"/>
        </w:rPr>
        <w:t xml:space="preserve"> a </w:t>
      </w:r>
      <w:r w:rsidRPr="007E1BF3">
        <w:rPr>
          <w:rStyle w:val="StyleUnderline"/>
        </w:rPr>
        <w:t>necessary</w:t>
      </w:r>
      <w:r w:rsidRPr="007E1BF3">
        <w:rPr>
          <w:sz w:val="16"/>
        </w:rPr>
        <w:t>,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w:t>
      </w:r>
    </w:p>
    <w:p w14:paraId="57E5D11B" w14:textId="77777777" w:rsidR="00A41D4B" w:rsidRPr="007E1BF3" w:rsidRDefault="00A41D4B" w:rsidP="00A41D4B">
      <w:pPr>
        <w:rPr>
          <w:sz w:val="16"/>
        </w:rPr>
      </w:pPr>
      <w:r w:rsidRPr="007E1BF3">
        <w:rPr>
          <w:sz w:val="16"/>
        </w:rPr>
        <w:t>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w:t>
      </w:r>
    </w:p>
    <w:p w14:paraId="2693CFF4" w14:textId="77777777" w:rsidR="00A41D4B" w:rsidRPr="007E1BF3" w:rsidRDefault="00A41D4B" w:rsidP="00A41D4B">
      <w:pPr>
        <w:rPr>
          <w:sz w:val="16"/>
        </w:rPr>
      </w:pPr>
      <w:r w:rsidRPr="007E1BF3">
        <w:rPr>
          <w:sz w:val="16"/>
        </w:rPr>
        <w:t>Beyond simplistic dystopianism</w:t>
      </w:r>
    </w:p>
    <w:p w14:paraId="0F9D80A3" w14:textId="77777777" w:rsidR="00A41D4B" w:rsidRPr="007E1BF3" w:rsidRDefault="00A41D4B" w:rsidP="00A41D4B">
      <w:pPr>
        <w:rPr>
          <w:sz w:val="16"/>
        </w:rPr>
      </w:pPr>
      <w:r w:rsidRPr="007E1BF3">
        <w:rPr>
          <w:sz w:val="16"/>
        </w:rPr>
        <w:t xml:space="preserve">This analysis suggests that, </w:t>
      </w:r>
      <w:r w:rsidRPr="007E1BF3">
        <w:rPr>
          <w:rStyle w:val="StyleUnderline"/>
        </w:rPr>
        <w:t>as dystopians might argue, emerging technologies are</w:t>
      </w:r>
      <w:r w:rsidRPr="007E1BF3">
        <w:rPr>
          <w:sz w:val="16"/>
        </w:rPr>
        <w:t xml:space="preserve"> indeed </w:t>
      </w:r>
      <w:r w:rsidRPr="007E1BF3">
        <w:rPr>
          <w:rStyle w:val="Emphasis"/>
        </w:rPr>
        <w:t>potent</w:t>
      </w:r>
      <w:r w:rsidRPr="007E1BF3">
        <w:rPr>
          <w:sz w:val="16"/>
        </w:rPr>
        <w:t xml:space="preserve">, and that, especially as the human is becoming an active design space, </w:t>
      </w:r>
      <w:r w:rsidRPr="00456038">
        <w:rPr>
          <w:rStyle w:val="StyleUnderline"/>
          <w:highlight w:val="cyan"/>
        </w:rPr>
        <w:t>if AI doesn’t destroy humanity, something will</w:t>
      </w:r>
      <w:r w:rsidRPr="007E1BF3">
        <w:rPr>
          <w:sz w:val="16"/>
        </w:rPr>
        <w:t xml:space="preserve">. But </w:t>
      </w:r>
      <w:r w:rsidRPr="00456038">
        <w:rPr>
          <w:rStyle w:val="StyleUnderline"/>
          <w:highlight w:val="cyan"/>
        </w:rPr>
        <w:t>this is</w:t>
      </w:r>
      <w:r w:rsidRPr="007E1BF3">
        <w:rPr>
          <w:rStyle w:val="StyleUnderline"/>
        </w:rPr>
        <w:t xml:space="preserve"> </w:t>
      </w:r>
      <w:r w:rsidRPr="007E1BF3">
        <w:rPr>
          <w:rStyle w:val="Emphasis"/>
        </w:rPr>
        <w:t xml:space="preserve">a grossly </w:t>
      </w:r>
      <w:r w:rsidRPr="00456038">
        <w:rPr>
          <w:rStyle w:val="Emphasis"/>
          <w:highlight w:val="cyan"/>
        </w:rPr>
        <w:t>incomplete</w:t>
      </w:r>
      <w:r w:rsidRPr="007E1BF3">
        <w:rPr>
          <w:rStyle w:val="StyleUnderline"/>
        </w:rPr>
        <w:t xml:space="preserve"> perspective</w:t>
      </w:r>
      <w:r w:rsidRPr="007E1BF3">
        <w:rPr>
          <w:sz w:val="16"/>
        </w:rPr>
        <w:t>.</w:t>
      </w:r>
    </w:p>
    <w:p w14:paraId="285C9B26" w14:textId="77777777" w:rsidR="00A41D4B" w:rsidRPr="007E1BF3" w:rsidRDefault="00A41D4B" w:rsidP="00A41D4B">
      <w:pPr>
        <w:rPr>
          <w:sz w:val="16"/>
        </w:rPr>
      </w:pPr>
      <w:r w:rsidRPr="00456038">
        <w:rPr>
          <w:rStyle w:val="StyleUnderline"/>
          <w:highlight w:val="cyan"/>
        </w:rPr>
        <w:t>Humanity,</w:t>
      </w:r>
      <w:r w:rsidRPr="00323D64">
        <w:rPr>
          <w:rStyle w:val="StyleUnderline"/>
        </w:rPr>
        <w:t xml:space="preserve"> as it appears at </w:t>
      </w:r>
      <w:r w:rsidRPr="00323D64">
        <w:rPr>
          <w:rStyle w:val="Emphasis"/>
        </w:rPr>
        <w:t>any particular time</w:t>
      </w:r>
      <w:r w:rsidRPr="00323D64">
        <w:rPr>
          <w:rStyle w:val="StyleUnderline"/>
        </w:rPr>
        <w:t xml:space="preserve">, </w:t>
      </w:r>
      <w:r w:rsidRPr="00456038">
        <w:rPr>
          <w:rStyle w:val="StyleUnderline"/>
          <w:highlight w:val="cyan"/>
        </w:rPr>
        <w:t xml:space="preserve">is </w:t>
      </w:r>
      <w:r w:rsidRPr="00456038">
        <w:rPr>
          <w:rStyle w:val="Emphasis"/>
          <w:highlight w:val="cyan"/>
        </w:rPr>
        <w:t>always doomed</w:t>
      </w:r>
      <w:r w:rsidRPr="007E1BF3">
        <w:rPr>
          <w:sz w:val="16"/>
        </w:rPr>
        <w:t>. Foragers and hunter-gatherers were doomed, as were the serfs of medieval Europe with their small plots a</w:t>
      </w:r>
      <w:r w:rsidRPr="00B462E2">
        <w:rPr>
          <w:sz w:val="16"/>
        </w:rPr>
        <w:t xml:space="preserve">nd lives lived within a radius of a few miles of where they were born. And so, in our turn, are we. </w:t>
      </w:r>
      <w:r w:rsidRPr="00B462E2">
        <w:rPr>
          <w:rStyle w:val="StyleUnderline"/>
        </w:rPr>
        <w:t>Doom is</w:t>
      </w:r>
      <w:r w:rsidRPr="00B462E2">
        <w:rPr>
          <w:sz w:val="16"/>
        </w:rPr>
        <w:t xml:space="preserve">, in other words, </w:t>
      </w:r>
      <w:r w:rsidRPr="00B462E2">
        <w:rPr>
          <w:rStyle w:val="Emphasis"/>
        </w:rPr>
        <w:t>evolution</w:t>
      </w:r>
      <w:r w:rsidRPr="00B462E2">
        <w:rPr>
          <w:sz w:val="16"/>
        </w:rPr>
        <w:t xml:space="preserve">, and </w:t>
      </w:r>
      <w:r w:rsidRPr="00B462E2">
        <w:rPr>
          <w:rStyle w:val="StyleUnderline"/>
        </w:rPr>
        <w:t xml:space="preserve">it is </w:t>
      </w:r>
      <w:r w:rsidRPr="00B462E2">
        <w:rPr>
          <w:rStyle w:val="Emphasis"/>
        </w:rPr>
        <w:t>unlikely</w:t>
      </w:r>
      <w:r w:rsidRPr="00B462E2">
        <w:rPr>
          <w:sz w:val="16"/>
        </w:rPr>
        <w:t xml:space="preserve"> that </w:t>
      </w:r>
      <w:r w:rsidRPr="00B462E2">
        <w:rPr>
          <w:rStyle w:val="StyleUnderline"/>
        </w:rPr>
        <w:t>we will stop it</w:t>
      </w:r>
      <w:r w:rsidRPr="00B462E2">
        <w:rPr>
          <w:sz w:val="16"/>
        </w:rPr>
        <w: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w:t>
      </w:r>
      <w:r w:rsidRPr="007E1BF3">
        <w:rPr>
          <w:sz w:val="16"/>
        </w:rPr>
        <w:t>ltural landscape we live in now to propagate into tomorrow, because we all unconsciously privilege the present, but that is not how complex systems work. They evolve, and indeed our world is evolving at a remarkable and accelerating clip.</w:t>
      </w:r>
    </w:p>
    <w:p w14:paraId="03B8C18C" w14:textId="77777777" w:rsidR="00A41D4B" w:rsidRPr="007E1BF3" w:rsidRDefault="00A41D4B" w:rsidP="00A41D4B">
      <w:pPr>
        <w:rPr>
          <w:sz w:val="16"/>
        </w:rPr>
      </w:pPr>
      <w:r w:rsidRPr="00323D64">
        <w:rPr>
          <w:rStyle w:val="Emphasis"/>
        </w:rPr>
        <w:t xml:space="preserve">The </w:t>
      </w:r>
      <w:r w:rsidRPr="00456038">
        <w:rPr>
          <w:rStyle w:val="Emphasis"/>
          <w:highlight w:val="cyan"/>
        </w:rPr>
        <w:t>fallacy</w:t>
      </w:r>
      <w:r w:rsidRPr="00323D64">
        <w:rPr>
          <w:rStyle w:val="StyleUnderline"/>
        </w:rPr>
        <w:t xml:space="preserve"> of the dystopians</w:t>
      </w:r>
      <w:r w:rsidRPr="007E1BF3">
        <w:rPr>
          <w:sz w:val="16"/>
        </w:rPr>
        <w:t xml:space="preserve">, then, is not in their analysis of the power of technology, or the accelerating and destabilizing rates of change. The fallacy </w:t>
      </w:r>
      <w:r w:rsidRPr="00456038">
        <w:rPr>
          <w:rStyle w:val="StyleUnderline"/>
          <w:highlight w:val="cyan"/>
        </w:rPr>
        <w:t>is</w:t>
      </w:r>
      <w:r w:rsidRPr="00323D64">
        <w:rPr>
          <w:rStyle w:val="StyleUnderline"/>
        </w:rPr>
        <w:t xml:space="preserve"> in </w:t>
      </w:r>
      <w:r w:rsidRPr="00456038">
        <w:rPr>
          <w:rStyle w:val="StyleUnderline"/>
          <w:highlight w:val="cyan"/>
        </w:rPr>
        <w:t xml:space="preserve">equating </w:t>
      </w:r>
      <w:r w:rsidRPr="00456038">
        <w:rPr>
          <w:rStyle w:val="Emphasis"/>
          <w:highlight w:val="cyan"/>
        </w:rPr>
        <w:t>evolution with dystopia</w:t>
      </w:r>
      <w:r w:rsidRPr="00323D64">
        <w:rPr>
          <w:rStyle w:val="StyleUnderline"/>
        </w:rPr>
        <w:t>, and</w:t>
      </w:r>
      <w:r w:rsidRPr="007E1BF3">
        <w:rPr>
          <w:sz w:val="16"/>
        </w:rPr>
        <w:t xml:space="preserve">, without admitting it, </w:t>
      </w:r>
      <w:r w:rsidRPr="00323D64">
        <w:rPr>
          <w:rStyle w:val="StyleUnderline"/>
        </w:rPr>
        <w:t>privileging the present over the promise</w:t>
      </w:r>
      <w:r w:rsidRPr="007E1BF3">
        <w:rPr>
          <w:sz w:val="16"/>
        </w:rPr>
        <w:t xml:space="preserve"> and inevitability </w:t>
      </w:r>
      <w:r w:rsidRPr="00323D64">
        <w:rPr>
          <w:rStyle w:val="StyleUnderline"/>
        </w:rPr>
        <w:t>of the future</w:t>
      </w:r>
      <w:r w:rsidRPr="007E1BF3">
        <w:rPr>
          <w:sz w:val="16"/>
        </w:rPr>
        <w:t>.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w:t>
      </w:r>
    </w:p>
    <w:p w14:paraId="61E5C8F0" w14:textId="77777777" w:rsidR="00A41D4B" w:rsidRPr="007E1BF3" w:rsidRDefault="00A41D4B" w:rsidP="00A41D4B">
      <w:pPr>
        <w:rPr>
          <w:sz w:val="16"/>
        </w:rPr>
      </w:pPr>
      <w:r w:rsidRPr="007E1BF3">
        <w:rPr>
          <w:sz w:val="16"/>
        </w:rPr>
        <w:t xml:space="preserve">Our only </w:t>
      </w:r>
      <w:r w:rsidRPr="00323D64">
        <w:rPr>
          <w:rStyle w:val="StyleUnderline"/>
        </w:rPr>
        <w:t xml:space="preserve">recourse is neither </w:t>
      </w:r>
      <w:r w:rsidRPr="00323D64">
        <w:rPr>
          <w:rStyle w:val="Emphasis"/>
        </w:rPr>
        <w:t>technological fatalism</w:t>
      </w:r>
      <w:r w:rsidRPr="00323D64">
        <w:rPr>
          <w:rStyle w:val="StyleUnderline"/>
        </w:rPr>
        <w:t xml:space="preserve"> nor </w:t>
      </w:r>
      <w:r w:rsidRPr="00323D64">
        <w:rPr>
          <w:rStyle w:val="Emphasis"/>
        </w:rPr>
        <w:t>ethical relativism</w:t>
      </w:r>
      <w:r w:rsidRPr="007E1BF3">
        <w:rPr>
          <w:sz w:val="16"/>
        </w:rPr>
        <w:t>.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the experience with nuclear weapons is instructive: They are not a problem that can be unmade, but they are a condition that can be, and has so far been, relatively successfully managed.</w:t>
      </w:r>
    </w:p>
    <w:p w14:paraId="475A780D" w14:textId="77777777" w:rsidR="00A41D4B" w:rsidRPr="007E1BF3" w:rsidRDefault="00A41D4B" w:rsidP="00A41D4B">
      <w:pPr>
        <w:rPr>
          <w:sz w:val="16"/>
        </w:rPr>
      </w:pPr>
      <w:r w:rsidRPr="007E1BF3">
        <w:rPr>
          <w:sz w:val="16"/>
        </w:rPr>
        <w:t>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w:t>
      </w:r>
    </w:p>
    <w:p w14:paraId="74BC74E5" w14:textId="77777777" w:rsidR="00A41D4B" w:rsidRPr="007E1BF3" w:rsidRDefault="00A41D4B" w:rsidP="00A41D4B">
      <w:pPr>
        <w:rPr>
          <w:sz w:val="16"/>
        </w:rPr>
      </w:pPr>
      <w:r w:rsidRPr="007E1BF3">
        <w:rPr>
          <w:sz w:val="16"/>
        </w:rPr>
        <w:t>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w:t>
      </w:r>
    </w:p>
    <w:p w14:paraId="7CDD5DCA" w14:textId="77777777" w:rsidR="00A41D4B" w:rsidRDefault="00A41D4B" w:rsidP="00A41D4B">
      <w:r w:rsidRPr="007E1BF3">
        <w:rPr>
          <w:sz w:val="16"/>
        </w:rPr>
        <w:t xml:space="preserve">Individually, we need to become far more humble about our ability to visualize and prognosticate on a complex and dynamic future. Cautionary scenarios and hypotheticals are welcome exercises in practicing to adjust to the unknowable that lies in front of us, but they are not appropriate foundations for policy or legal action in the present. </w:t>
      </w:r>
      <w:r w:rsidRPr="00456038">
        <w:rPr>
          <w:rStyle w:val="StyleUnderline"/>
          <w:highlight w:val="cyan"/>
        </w:rPr>
        <w:t>Nightmares</w:t>
      </w:r>
      <w:r w:rsidRPr="00323D64">
        <w:rPr>
          <w:rStyle w:val="StyleUnderline"/>
        </w:rPr>
        <w:t xml:space="preserve"> are </w:t>
      </w:r>
      <w:r w:rsidRPr="00456038">
        <w:rPr>
          <w:rStyle w:val="Emphasis"/>
          <w:highlight w:val="cyan"/>
        </w:rPr>
        <w:t>seldom reality</w:t>
      </w:r>
      <w:r w:rsidRPr="007E1BF3">
        <w:rPr>
          <w:sz w:val="16"/>
        </w:rPr>
        <w:t xml:space="preserve">, and when bad things do happen they are seldom the ones we thought about. </w:t>
      </w:r>
      <w:r w:rsidRPr="00456038">
        <w:rPr>
          <w:rStyle w:val="StyleUnderline"/>
          <w:highlight w:val="cyan"/>
        </w:rPr>
        <w:t>Fear</w:t>
      </w:r>
      <w:r w:rsidRPr="00323D64">
        <w:rPr>
          <w:rStyle w:val="StyleUnderline"/>
        </w:rPr>
        <w:t xml:space="preserve"> and anger</w:t>
      </w:r>
      <w:r w:rsidRPr="007E1BF3">
        <w:rPr>
          <w:sz w:val="16"/>
        </w:rPr>
        <w:t xml:space="preserve"> in the face of change are popular responses—witness the rise of far right and far left factions, and fundamentalisms of all stripes, around the world—but they </w:t>
      </w:r>
      <w:r w:rsidRPr="00456038">
        <w:rPr>
          <w:rStyle w:val="StyleUnderline"/>
          <w:highlight w:val="cyan"/>
        </w:rPr>
        <w:t xml:space="preserve">are </w:t>
      </w:r>
      <w:r w:rsidRPr="00456038">
        <w:rPr>
          <w:rStyle w:val="Emphasis"/>
          <w:highlight w:val="cyan"/>
        </w:rPr>
        <w:t>maladaptive</w:t>
      </w:r>
      <w:r w:rsidRPr="007E1BF3">
        <w:rPr>
          <w:sz w:val="16"/>
        </w:rPr>
        <w:t>, and those in responsible positions at least cannot afford such luxuries.</w:t>
      </w:r>
    </w:p>
    <w:p w14:paraId="3EEF6825" w14:textId="77777777" w:rsidR="00A41D4B" w:rsidRPr="00873FDF" w:rsidRDefault="00A41D4B" w:rsidP="00A41D4B">
      <w:pPr>
        <w:pStyle w:val="Heading3"/>
      </w:pPr>
      <w:r>
        <w:t>1AR – Impact – AT: Emerging Thrats</w:t>
      </w:r>
    </w:p>
    <w:p w14:paraId="017B3A06" w14:textId="77777777" w:rsidR="00A41D4B" w:rsidRDefault="00A41D4B" w:rsidP="00A41D4B">
      <w:pPr>
        <w:pStyle w:val="Heading4"/>
      </w:pPr>
      <w:bookmarkStart w:id="1" w:name="_Hlk34053146"/>
      <w:r>
        <w:t xml:space="preserve">It’s </w:t>
      </w:r>
      <w:r>
        <w:rPr>
          <w:u w:val="single"/>
        </w:rPr>
        <w:t>empirically</w:t>
      </w:r>
      <w:r>
        <w:t xml:space="preserve"> overemphasized.</w:t>
      </w:r>
    </w:p>
    <w:p w14:paraId="6F6D9ED7" w14:textId="77777777" w:rsidR="00A41D4B" w:rsidRPr="00715ECB" w:rsidRDefault="00A41D4B" w:rsidP="00A41D4B">
      <w:r w:rsidRPr="007E1BF3">
        <w:rPr>
          <w:rStyle w:val="Style13ptBold"/>
        </w:rPr>
        <w:t>Allenby 16</w:t>
      </w:r>
      <w:r>
        <w:t xml:space="preserve"> – Brad Allenby, an American environmental scientist, environmental attorney and Professor of Civil and Environmental Engineering, and of Law, at Arizona State University. [Emerging technologies and the future of humanity, Bulletin of the Atomic Scientists, 71(6), https://journals.sagepub.com/doi/full/10.1177/0096340215611087]//BPS</w:t>
      </w:r>
    </w:p>
    <w:p w14:paraId="5B7393D1" w14:textId="77777777" w:rsidR="00A41D4B" w:rsidRPr="00715ECB" w:rsidRDefault="00A41D4B" w:rsidP="00A41D4B">
      <w:pPr>
        <w:rPr>
          <w:sz w:val="16"/>
        </w:rPr>
      </w:pPr>
      <w:r w:rsidRPr="00715ECB">
        <w:rPr>
          <w:sz w:val="16"/>
        </w:rPr>
        <w:t>Emerging technologies as an Earth system</w:t>
      </w:r>
    </w:p>
    <w:p w14:paraId="7BFAAC16" w14:textId="77777777" w:rsidR="00A41D4B" w:rsidRPr="00715ECB" w:rsidRDefault="00A41D4B" w:rsidP="00A41D4B">
      <w:pPr>
        <w:rPr>
          <w:sz w:val="16"/>
        </w:rPr>
      </w:pPr>
      <w:r w:rsidRPr="00715ECB">
        <w:rPr>
          <w:sz w:val="16"/>
        </w:rPr>
        <w:t xml:space="preserve">The first question to ask about emerging technologies is deceptively simple: Is today really that different? Is there something about today’s emerging technologies—which for purposes of this analysis include nanotechnology, biotechnology, information and communication technology (ICT), robotics, applied cognitive science, humtech (design and engineering of the human as a foundational emerging technology), and their various combinations and permutations—that is qualitatively different from those that characterized other eras of technological change? If there isn’t, much of today’s dramatic language can be understood as simply a reflection of the emphasis that all humans give to the particular era and landscape and culture within which they exist. </w:t>
      </w:r>
      <w:r w:rsidRPr="00456038">
        <w:rPr>
          <w:rStyle w:val="StyleUnderline"/>
          <w:highlight w:val="cyan"/>
        </w:rPr>
        <w:t>Each generation</w:t>
      </w:r>
      <w:r w:rsidRPr="00715ECB">
        <w:rPr>
          <w:sz w:val="16"/>
        </w:rPr>
        <w:t xml:space="preserve"> tends to </w:t>
      </w:r>
      <w:r w:rsidRPr="00715ECB">
        <w:rPr>
          <w:rStyle w:val="Emphasis"/>
        </w:rPr>
        <w:t>overemphasize</w:t>
      </w:r>
      <w:r w:rsidRPr="00637702">
        <w:rPr>
          <w:rStyle w:val="StyleUnderline"/>
        </w:rPr>
        <w:t xml:space="preserve"> the</w:t>
      </w:r>
      <w:r w:rsidRPr="00715ECB">
        <w:rPr>
          <w:sz w:val="16"/>
        </w:rPr>
        <w:t xml:space="preserve"> degree of </w:t>
      </w:r>
      <w:r w:rsidRPr="00715ECB">
        <w:rPr>
          <w:rStyle w:val="StyleUnderline"/>
        </w:rPr>
        <w:t>change</w:t>
      </w:r>
      <w:r w:rsidRPr="00715ECB">
        <w:rPr>
          <w:sz w:val="16"/>
        </w:rPr>
        <w:t xml:space="preserve"> that </w:t>
      </w:r>
      <w:r w:rsidRPr="00637702">
        <w:rPr>
          <w:rStyle w:val="StyleUnderline"/>
        </w:rPr>
        <w:t>it experiences</w:t>
      </w:r>
      <w:r w:rsidRPr="00715ECB">
        <w:rPr>
          <w:sz w:val="16"/>
        </w:rPr>
        <w:t xml:space="preserve">, partly </w:t>
      </w:r>
      <w:r w:rsidRPr="00637702">
        <w:rPr>
          <w:rStyle w:val="StyleUnderline"/>
        </w:rPr>
        <w:t>because of</w:t>
      </w:r>
      <w:r w:rsidRPr="00715ECB">
        <w:rPr>
          <w:sz w:val="16"/>
        </w:rPr>
        <w:t xml:space="preserve"> the </w:t>
      </w:r>
      <w:r w:rsidRPr="00637702">
        <w:rPr>
          <w:rStyle w:val="Emphasis"/>
        </w:rPr>
        <w:t>immediacy</w:t>
      </w:r>
      <w:r w:rsidRPr="00715ECB">
        <w:rPr>
          <w:sz w:val="16"/>
        </w:rPr>
        <w:t xml:space="preserve"> of the stresses to which it is exposed, and partly because it is easy to underestimate how difficult and unpredictable life was in the past, since when one looks back at history it seems to flow logically and necessarily. Indeed, </w:t>
      </w:r>
      <w:r w:rsidRPr="00637702">
        <w:rPr>
          <w:rStyle w:val="Emphasis"/>
        </w:rPr>
        <w:t xml:space="preserve">apocalyptic </w:t>
      </w:r>
      <w:r w:rsidRPr="00456038">
        <w:rPr>
          <w:rStyle w:val="Emphasis"/>
          <w:highlight w:val="cyan"/>
        </w:rPr>
        <w:t>fears</w:t>
      </w:r>
      <w:r w:rsidRPr="00637702">
        <w:rPr>
          <w:rStyle w:val="StyleUnderline"/>
        </w:rPr>
        <w:t xml:space="preserve"> have been </w:t>
      </w:r>
      <w:r w:rsidRPr="00456038">
        <w:rPr>
          <w:rStyle w:val="Emphasis"/>
          <w:highlight w:val="cyan"/>
        </w:rPr>
        <w:t>common</w:t>
      </w:r>
      <w:r w:rsidRPr="00715ECB">
        <w:rPr>
          <w:sz w:val="16"/>
        </w:rPr>
        <w:t xml:space="preserve"> when many major technology systems first emerged </w:t>
      </w:r>
      <w:r w:rsidRPr="00456038">
        <w:rPr>
          <w:rStyle w:val="StyleUnderline"/>
          <w:highlight w:val="cyan"/>
        </w:rPr>
        <w:t>because of</w:t>
      </w:r>
      <w:r w:rsidRPr="00715ECB">
        <w:rPr>
          <w:sz w:val="16"/>
        </w:rPr>
        <w:t xml:space="preserve"> this </w:t>
      </w:r>
      <w:r w:rsidRPr="00456038">
        <w:rPr>
          <w:rStyle w:val="Emphasis"/>
          <w:highlight w:val="cyan"/>
        </w:rPr>
        <w:t>immediacy</w:t>
      </w:r>
      <w:r w:rsidRPr="00637702">
        <w:rPr>
          <w:rStyle w:val="StyleUnderline"/>
        </w:rPr>
        <w:t xml:space="preserve">, even as </w:t>
      </w:r>
      <w:r w:rsidRPr="00715ECB">
        <w:rPr>
          <w:rStyle w:val="StyleUnderline"/>
        </w:rPr>
        <w:t xml:space="preserve">subsequent </w:t>
      </w:r>
      <w:r w:rsidRPr="00456038">
        <w:rPr>
          <w:rStyle w:val="StyleUnderline"/>
          <w:highlight w:val="cyan"/>
        </w:rPr>
        <w:t>generations</w:t>
      </w:r>
      <w:r w:rsidRPr="00715ECB">
        <w:rPr>
          <w:sz w:val="16"/>
        </w:rPr>
        <w:t xml:space="preserve"> grew to </w:t>
      </w:r>
      <w:r w:rsidRPr="00456038">
        <w:rPr>
          <w:rStyle w:val="StyleUnderline"/>
          <w:highlight w:val="cyan"/>
        </w:rPr>
        <w:t>view</w:t>
      </w:r>
      <w:r w:rsidRPr="00637702">
        <w:rPr>
          <w:rStyle w:val="StyleUnderline"/>
        </w:rPr>
        <w:t xml:space="preserve"> the </w:t>
      </w:r>
      <w:r w:rsidRPr="00456038">
        <w:rPr>
          <w:rStyle w:val="StyleUnderline"/>
          <w:highlight w:val="cyan"/>
        </w:rPr>
        <w:t>tech</w:t>
      </w:r>
      <w:r w:rsidRPr="00637702">
        <w:rPr>
          <w:rStyle w:val="StyleUnderline"/>
        </w:rPr>
        <w:t xml:space="preserve">nology </w:t>
      </w:r>
      <w:r w:rsidRPr="00456038">
        <w:rPr>
          <w:rStyle w:val="StyleUnderline"/>
          <w:highlight w:val="cyan"/>
        </w:rPr>
        <w:t xml:space="preserve">as </w:t>
      </w:r>
      <w:r w:rsidRPr="00456038">
        <w:rPr>
          <w:rStyle w:val="Emphasis"/>
          <w:highlight w:val="cyan"/>
        </w:rPr>
        <w:t>banal</w:t>
      </w:r>
      <w:r w:rsidRPr="00637702">
        <w:rPr>
          <w:rStyle w:val="Emphasis"/>
        </w:rPr>
        <w:t>, even boring</w:t>
      </w:r>
      <w:r w:rsidRPr="00637702">
        <w:rPr>
          <w:rStyle w:val="StyleUnderline"/>
        </w:rPr>
        <w:t xml:space="preserve">. </w:t>
      </w:r>
      <w:r w:rsidRPr="00456038">
        <w:rPr>
          <w:rStyle w:val="StyleUnderline"/>
          <w:highlight w:val="cyan"/>
        </w:rPr>
        <w:t>In</w:t>
      </w:r>
      <w:r w:rsidRPr="00637702">
        <w:rPr>
          <w:rStyle w:val="StyleUnderline"/>
        </w:rPr>
        <w:t xml:space="preserve"> the</w:t>
      </w:r>
      <w:r w:rsidRPr="00715ECB">
        <w:rPr>
          <w:sz w:val="16"/>
        </w:rPr>
        <w:t xml:space="preserve"> early days of </w:t>
      </w:r>
      <w:r w:rsidRPr="00456038">
        <w:rPr>
          <w:rStyle w:val="StyleUnderline"/>
          <w:highlight w:val="cyan"/>
        </w:rPr>
        <w:t>railroads</w:t>
      </w:r>
      <w:r w:rsidRPr="00715ECB">
        <w:rPr>
          <w:sz w:val="16"/>
        </w:rPr>
        <w:t xml:space="preserve">, for example, </w:t>
      </w:r>
      <w:r w:rsidRPr="00456038">
        <w:rPr>
          <w:rStyle w:val="StyleUnderline"/>
          <w:highlight w:val="cyan"/>
        </w:rPr>
        <w:t>there was</w:t>
      </w:r>
      <w:r w:rsidRPr="00637702">
        <w:rPr>
          <w:rStyle w:val="StyleUnderline"/>
        </w:rPr>
        <w:t xml:space="preserve"> a widespread </w:t>
      </w:r>
      <w:r w:rsidRPr="00456038">
        <w:rPr>
          <w:rStyle w:val="StyleUnderline"/>
          <w:highlight w:val="cyan"/>
        </w:rPr>
        <w:t>belief</w:t>
      </w:r>
      <w:r w:rsidRPr="00715ECB">
        <w:rPr>
          <w:sz w:val="16"/>
        </w:rPr>
        <w:t xml:space="preserve"> that </w:t>
      </w:r>
      <w:r w:rsidRPr="00637702">
        <w:rPr>
          <w:rStyle w:val="StyleUnderline"/>
        </w:rPr>
        <w:t>traveling at the</w:t>
      </w:r>
      <w:r w:rsidRPr="00715ECB">
        <w:rPr>
          <w:sz w:val="16"/>
        </w:rPr>
        <w:t xml:space="preserve"> heretofore </w:t>
      </w:r>
      <w:r w:rsidRPr="00637702">
        <w:rPr>
          <w:rStyle w:val="Emphasis"/>
        </w:rPr>
        <w:t xml:space="preserve">unimaginable speed of </w:t>
      </w:r>
      <w:r w:rsidRPr="00456038">
        <w:rPr>
          <w:rStyle w:val="Emphasis"/>
          <w:highlight w:val="cyan"/>
        </w:rPr>
        <w:t>25 m</w:t>
      </w:r>
      <w:r w:rsidRPr="00637702">
        <w:rPr>
          <w:rStyle w:val="Emphasis"/>
        </w:rPr>
        <w:t xml:space="preserve">iles </w:t>
      </w:r>
      <w:r w:rsidRPr="00456038">
        <w:rPr>
          <w:rStyle w:val="Emphasis"/>
          <w:highlight w:val="cyan"/>
        </w:rPr>
        <w:t>p</w:t>
      </w:r>
      <w:r w:rsidRPr="00637702">
        <w:rPr>
          <w:rStyle w:val="Emphasis"/>
        </w:rPr>
        <w:t xml:space="preserve">er </w:t>
      </w:r>
      <w:r w:rsidRPr="00456038">
        <w:rPr>
          <w:rStyle w:val="Emphasis"/>
          <w:highlight w:val="cyan"/>
        </w:rPr>
        <w:t>h</w:t>
      </w:r>
      <w:r w:rsidRPr="00637702">
        <w:rPr>
          <w:rStyle w:val="Emphasis"/>
        </w:rPr>
        <w:t>our</w:t>
      </w:r>
      <w:r w:rsidRPr="00637702">
        <w:rPr>
          <w:rStyle w:val="StyleUnderline"/>
        </w:rPr>
        <w:t xml:space="preserve"> </w:t>
      </w:r>
      <w:r w:rsidRPr="00456038">
        <w:rPr>
          <w:rStyle w:val="StyleUnderline"/>
          <w:highlight w:val="cyan"/>
        </w:rPr>
        <w:t xml:space="preserve">would </w:t>
      </w:r>
      <w:r w:rsidRPr="00456038">
        <w:rPr>
          <w:rStyle w:val="Emphasis"/>
          <w:highlight w:val="cyan"/>
        </w:rPr>
        <w:t>kill</w:t>
      </w:r>
      <w:r w:rsidRPr="00637702">
        <w:rPr>
          <w:rStyle w:val="StyleUnderline"/>
        </w:rPr>
        <w:t xml:space="preserve"> the </w:t>
      </w:r>
      <w:r w:rsidRPr="00456038">
        <w:rPr>
          <w:rStyle w:val="StyleUnderline"/>
          <w:highlight w:val="cyan"/>
        </w:rPr>
        <w:t>passengers</w:t>
      </w:r>
      <w:r w:rsidRPr="00715ECB">
        <w:rPr>
          <w:sz w:val="16"/>
        </w:rPr>
        <w:t xml:space="preserve">, in part </w:t>
      </w:r>
      <w:r w:rsidRPr="00637702">
        <w:rPr>
          <w:rStyle w:val="StyleUnderline"/>
        </w:rPr>
        <w:t>because such</w:t>
      </w:r>
      <w:r w:rsidRPr="00715ECB">
        <w:rPr>
          <w:sz w:val="16"/>
        </w:rPr>
        <w:t xml:space="preserve"> technology </w:t>
      </w:r>
      <w:r w:rsidRPr="00637702">
        <w:rPr>
          <w:rStyle w:val="StyleUnderline"/>
        </w:rPr>
        <w:t xml:space="preserve">was against </w:t>
      </w:r>
      <w:r w:rsidRPr="00637702">
        <w:rPr>
          <w:rStyle w:val="Emphasis"/>
        </w:rPr>
        <w:t>the obvious will of God</w:t>
      </w:r>
      <w:r w:rsidRPr="00715ECB">
        <w:rPr>
          <w:sz w:val="16"/>
        </w:rPr>
        <w:t>. As an Ohio school board put it,</w:t>
      </w:r>
    </w:p>
    <w:p w14:paraId="5AA8CF29" w14:textId="77777777" w:rsidR="00A41D4B" w:rsidRPr="00715ECB" w:rsidRDefault="00A41D4B" w:rsidP="00A41D4B">
      <w:pPr>
        <w:rPr>
          <w:sz w:val="16"/>
        </w:rPr>
      </w:pPr>
      <w:r w:rsidRPr="00715ECB">
        <w:rPr>
          <w:sz w:val="16"/>
        </w:rPr>
        <w:t xml:space="preserve">If God had designed that His intelligent creatures should travel at the frightful speed of </w:t>
      </w:r>
      <w:r w:rsidRPr="00637702">
        <w:rPr>
          <w:rStyle w:val="StyleUnderline"/>
        </w:rPr>
        <w:t>15 miles an hour</w:t>
      </w:r>
      <w:r w:rsidRPr="00715ECB">
        <w:rPr>
          <w:sz w:val="16"/>
        </w:rPr>
        <w:t xml:space="preserve"> by steam, He would have foretold it through His holy prophets. It </w:t>
      </w:r>
      <w:r w:rsidRPr="00637702">
        <w:rPr>
          <w:rStyle w:val="StyleUnderline"/>
        </w:rPr>
        <w:t xml:space="preserve">is </w:t>
      </w:r>
      <w:r w:rsidRPr="00456038">
        <w:rPr>
          <w:rStyle w:val="Emphasis"/>
          <w:highlight w:val="cyan"/>
        </w:rPr>
        <w:t>a device of Satan</w:t>
      </w:r>
      <w:r w:rsidRPr="00715ECB">
        <w:rPr>
          <w:sz w:val="16"/>
        </w:rPr>
        <w:t xml:space="preserve"> to lead immortal souls down to Hell. (Nye, 1994: 57)3</w:t>
      </w:r>
    </w:p>
    <w:p w14:paraId="19204BD0" w14:textId="77777777" w:rsidR="00A41D4B" w:rsidRPr="00715ECB" w:rsidRDefault="00A41D4B" w:rsidP="00A41D4B">
      <w:pPr>
        <w:rPr>
          <w:sz w:val="16"/>
        </w:rPr>
      </w:pPr>
      <w:r w:rsidRPr="00715ECB">
        <w:rPr>
          <w:sz w:val="16"/>
        </w:rPr>
        <w:t>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w:t>
      </w:r>
    </w:p>
    <w:p w14:paraId="07091DF8" w14:textId="77777777" w:rsidR="00A41D4B" w:rsidRPr="00715ECB" w:rsidRDefault="00A41D4B" w:rsidP="00A41D4B">
      <w:pPr>
        <w:rPr>
          <w:sz w:val="16"/>
        </w:rPr>
      </w:pPr>
      <w:r w:rsidRPr="00715ECB">
        <w:rPr>
          <w:sz w:val="16"/>
        </w:rPr>
        <w:t xml:space="preserve">Moreover, as the discussion of the engineered warrior of 2050 suggests, the human itself has become a design space. </w:t>
      </w:r>
      <w:r w:rsidRPr="00715ECB">
        <w:rPr>
          <w:rStyle w:val="StyleUnderline"/>
        </w:rPr>
        <w:t xml:space="preserve">It is </w:t>
      </w:r>
      <w:r w:rsidRPr="00715ECB">
        <w:rPr>
          <w:sz w:val="16"/>
        </w:rPr>
        <w:t>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w:t>
      </w:r>
    </w:p>
    <w:p w14:paraId="03CF5770" w14:textId="77777777" w:rsidR="00A41D4B" w:rsidRDefault="00A41D4B" w:rsidP="00A41D4B">
      <w:r w:rsidRPr="00715ECB">
        <w:rPr>
          <w:sz w:val="16"/>
        </w:rPr>
        <w:t xml:space="preserve">It is worth emphasizing in passing that </w:t>
      </w:r>
      <w:r w:rsidRPr="00715ECB">
        <w:rPr>
          <w:rStyle w:val="StyleUnderline"/>
        </w:rPr>
        <w:t xml:space="preserve">the </w:t>
      </w:r>
      <w:r w:rsidRPr="00456038">
        <w:rPr>
          <w:rStyle w:val="StyleUnderline"/>
          <w:highlight w:val="cyan"/>
        </w:rPr>
        <w:t>argument</w:t>
      </w:r>
      <w:r w:rsidRPr="00715ECB">
        <w:rPr>
          <w:rStyle w:val="StyleUnderline"/>
        </w:rPr>
        <w:t xml:space="preserve"> that humans are at risk from emerging technologies </w:t>
      </w:r>
      <w:r w:rsidRPr="00456038">
        <w:rPr>
          <w:rStyle w:val="StyleUnderline"/>
          <w:highlight w:val="cyan"/>
        </w:rPr>
        <w:t>is</w:t>
      </w:r>
      <w:r w:rsidRPr="00715ECB">
        <w:rPr>
          <w:sz w:val="16"/>
        </w:rPr>
        <w:t xml:space="preserve"> in an important sense </w:t>
      </w:r>
      <w:r w:rsidRPr="00456038">
        <w:rPr>
          <w:rStyle w:val="Emphasis"/>
          <w:highlight w:val="cyan"/>
        </w:rPr>
        <w:t>circular</w:t>
      </w:r>
      <w:r w:rsidRPr="00715ECB">
        <w:rPr>
          <w:sz w:val="16"/>
        </w:rPr>
        <w:t>.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w:t>
      </w:r>
    </w:p>
    <w:p w14:paraId="445A1AD6" w14:textId="77777777" w:rsidR="00A41D4B" w:rsidRDefault="00A41D4B" w:rsidP="00A41D4B">
      <w:pPr>
        <w:pStyle w:val="Heading4"/>
      </w:pPr>
      <w:r>
        <w:t>It’s based on misconceptions.</w:t>
      </w:r>
    </w:p>
    <w:p w14:paraId="4FC45198" w14:textId="77777777" w:rsidR="00A41D4B" w:rsidRPr="007E1BF3" w:rsidRDefault="00A41D4B" w:rsidP="00A41D4B">
      <w:r w:rsidRPr="007E1BF3">
        <w:rPr>
          <w:rStyle w:val="Style13ptBold"/>
        </w:rPr>
        <w:t>Allenby 16</w:t>
      </w:r>
      <w:r>
        <w:t xml:space="preserve"> – Brad Allenby, an American environmental scientist, environmental attorney and Professor of Civil and Environmental Engineering, and of Law, at Arizona State University. [Emerging technologies and the future of humanity, Bulletin of the Atomic Scientists, 71(6), https://journals.sagepub.com/doi/full/10.1177/0096340215611087]//BPS</w:t>
      </w:r>
    </w:p>
    <w:p w14:paraId="397B037E" w14:textId="77777777" w:rsidR="00A41D4B" w:rsidRPr="006C1E1A" w:rsidRDefault="00A41D4B" w:rsidP="00A41D4B">
      <w:pPr>
        <w:rPr>
          <w:sz w:val="16"/>
        </w:rPr>
      </w:pPr>
      <w:r w:rsidRPr="006C1E1A">
        <w:rPr>
          <w:sz w:val="16"/>
        </w:rPr>
        <w:t xml:space="preserve">Although it was not clear at the time, Bill </w:t>
      </w:r>
      <w:r w:rsidRPr="00873FDF">
        <w:rPr>
          <w:rStyle w:val="StyleUnderline"/>
        </w:rPr>
        <w:t>Joy’s</w:t>
      </w:r>
      <w:r w:rsidRPr="006C1E1A">
        <w:rPr>
          <w:sz w:val="16"/>
        </w:rPr>
        <w:t xml:space="preserve"> article </w:t>
      </w:r>
      <w:r w:rsidRPr="00873FDF">
        <w:rPr>
          <w:rStyle w:val="StyleUnderline"/>
        </w:rPr>
        <w:t>warning</w:t>
      </w:r>
      <w:r w:rsidRPr="006C1E1A">
        <w:rPr>
          <w:sz w:val="16"/>
        </w:rPr>
        <w:t xml:space="preserve"> of the dangers </w:t>
      </w:r>
      <w:r w:rsidRPr="00873FDF">
        <w:rPr>
          <w:rStyle w:val="StyleUnderline"/>
        </w:rPr>
        <w:t xml:space="preserve">of emerging </w:t>
      </w:r>
      <w:r w:rsidRPr="00873FDF">
        <w:rPr>
          <w:rStyle w:val="Emphasis"/>
        </w:rPr>
        <w:t>technologies</w:t>
      </w:r>
      <w:r w:rsidRPr="00873FDF">
        <w:rPr>
          <w:rStyle w:val="StyleUnderline"/>
        </w:rPr>
        <w:t xml:space="preserve"> was</w:t>
      </w:r>
      <w:r w:rsidRPr="006C1E1A">
        <w:rPr>
          <w:sz w:val="16"/>
        </w:rPr>
        <w:t xml:space="preserve"> to spawn a veritable “</w:t>
      </w:r>
      <w:r w:rsidRPr="00873FDF">
        <w:rPr>
          <w:rStyle w:val="StyleUnderline"/>
        </w:rPr>
        <w:t>dystopia</w:t>
      </w:r>
      <w:r w:rsidRPr="006C1E1A">
        <w:rPr>
          <w:sz w:val="16"/>
        </w:rPr>
        <w:t xml:space="preserve"> industry.” More recent contributions have tended to focus on artificial intelligence, or AI; electric car and space technology entrepreneur Elon </w:t>
      </w:r>
      <w:r w:rsidRPr="00873FDF">
        <w:rPr>
          <w:rStyle w:val="StyleUnderline"/>
        </w:rPr>
        <w:t>Musk</w:t>
      </w:r>
      <w:r w:rsidRPr="006C1E1A">
        <w:rPr>
          <w:sz w:val="16"/>
        </w:rPr>
        <w:t xml:space="preserve"> has </w:t>
      </w:r>
      <w:r w:rsidRPr="00873FDF">
        <w:rPr>
          <w:rStyle w:val="StyleUnderline"/>
        </w:rPr>
        <w:t>warned</w:t>
      </w:r>
      <w:r w:rsidRPr="006C1E1A">
        <w:rPr>
          <w:sz w:val="16"/>
        </w:rPr>
        <w:t xml:space="preserve"> that </w:t>
      </w:r>
      <w:r w:rsidRPr="00873FDF">
        <w:rPr>
          <w:rStyle w:val="StyleUnderline"/>
        </w:rPr>
        <w:t>AI is “summoning the demon”</w:t>
      </w:r>
      <w:r w:rsidRPr="006C1E1A">
        <w:rPr>
          <w:sz w:val="16"/>
        </w:rPr>
        <w:t xml:space="preserve"> (Mack, 2015), </w:t>
      </w:r>
      <w:r w:rsidRPr="00873FDF">
        <w:rPr>
          <w:rStyle w:val="StyleUnderline"/>
        </w:rPr>
        <w:t>while</w:t>
      </w:r>
      <w:r w:rsidRPr="006C1E1A">
        <w:rPr>
          <w:sz w:val="16"/>
        </w:rPr>
        <w:t xml:space="preserve"> physicist Stephen </w:t>
      </w:r>
      <w:r w:rsidRPr="00873FDF">
        <w:rPr>
          <w:rStyle w:val="StyleUnderline"/>
        </w:rPr>
        <w:t>Hawking</w:t>
      </w:r>
      <w:r w:rsidRPr="006C1E1A">
        <w:rPr>
          <w:sz w:val="16"/>
        </w:rPr>
        <w:t xml:space="preserve"> has </w:t>
      </w:r>
      <w:r w:rsidRPr="00873FDF">
        <w:rPr>
          <w:rStyle w:val="StyleUnderline"/>
        </w:rPr>
        <w:t>argued</w:t>
      </w:r>
      <w:r w:rsidRPr="006C1E1A">
        <w:rPr>
          <w:sz w:val="16"/>
        </w:rPr>
        <w:t xml:space="preserve"> that </w:t>
      </w:r>
      <w:r w:rsidRPr="00873FDF">
        <w:rPr>
          <w:rStyle w:val="StyleUnderline"/>
        </w:rPr>
        <w:t xml:space="preserve">“the development of full </w:t>
      </w:r>
      <w:r w:rsidRPr="00873FDF">
        <w:rPr>
          <w:rStyle w:val="Emphasis"/>
        </w:rPr>
        <w:t>a</w:t>
      </w:r>
      <w:r w:rsidRPr="006C1E1A">
        <w:rPr>
          <w:sz w:val="16"/>
        </w:rPr>
        <w:t xml:space="preserve">rtificial </w:t>
      </w:r>
      <w:r w:rsidRPr="00873FDF">
        <w:rPr>
          <w:rStyle w:val="Emphasis"/>
        </w:rPr>
        <w:t>i</w:t>
      </w:r>
      <w:r w:rsidRPr="006C1E1A">
        <w:rPr>
          <w:sz w:val="16"/>
        </w:rPr>
        <w:t xml:space="preserve">ntelligence </w:t>
      </w:r>
      <w:r w:rsidRPr="00873FDF">
        <w:rPr>
          <w:rStyle w:val="StyleUnderline"/>
        </w:rPr>
        <w:t>could spell the end of the human race”</w:t>
      </w:r>
      <w:r w:rsidRPr="006C1E1A">
        <w:rPr>
          <w:sz w:val="16"/>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w:t>
      </w:r>
      <w:r w:rsidRPr="00873FDF">
        <w:rPr>
          <w:rStyle w:val="StyleUnderline"/>
        </w:rPr>
        <w:t>“killer robots”</w:t>
      </w:r>
      <w:r w:rsidRPr="006C1E1A">
        <w:rPr>
          <w:sz w:val="16"/>
        </w:rPr>
        <w:t xml:space="preserve"> (see, e.g., Human Rights Watch, 2012). Headlines reinforce a sense of </w:t>
      </w:r>
      <w:r w:rsidRPr="00873FDF">
        <w:rPr>
          <w:rStyle w:val="StyleUnderline"/>
        </w:rPr>
        <w:t>existential crisis</w:t>
      </w:r>
      <w:r w:rsidRPr="006C1E1A">
        <w:rPr>
          <w:sz w:val="16"/>
        </w:rPr>
        <w:t xml:space="preserve">; in the military and security domain, </w:t>
      </w:r>
      <w:r w:rsidRPr="00873FDF">
        <w:rPr>
          <w:rStyle w:val="StyleUnderline"/>
        </w:rPr>
        <w:t>cyber conflict</w:t>
      </w:r>
      <w:r w:rsidRPr="006C1E1A">
        <w:rPr>
          <w:sz w:val="16"/>
        </w:rPr>
        <w:t xml:space="preserve"> runs rampant, with hackers accessing millions of US personnel records, including sensitive security clearance documents. Technologies such as uncrewed aerial vehicles, commonly referred to as </w:t>
      </w:r>
      <w:r w:rsidRPr="00873FDF">
        <w:rPr>
          <w:rStyle w:val="StyleUnderline"/>
        </w:rPr>
        <w:t>“drones,”</w:t>
      </w:r>
      <w:r w:rsidRPr="006C1E1A">
        <w:rPr>
          <w:sz w:val="16"/>
        </w:rPr>
        <w:t xml:space="preserve"> are highly contentious in both civil and conflict environments, for many different reasons. A recent US Army Research Laboratory report foresees </w:t>
      </w:r>
      <w:r w:rsidRPr="00873FDF">
        <w:rPr>
          <w:rStyle w:val="StyleUnderline"/>
        </w:rPr>
        <w:t>genetically</w:t>
      </w:r>
      <w:r w:rsidRPr="006C1E1A">
        <w:rPr>
          <w:sz w:val="16"/>
        </w:rPr>
        <w:t xml:space="preserve"> and technologically </w:t>
      </w:r>
      <w:r w:rsidRPr="00873FDF">
        <w:rPr>
          <w:rStyle w:val="StyleUnderline"/>
        </w:rPr>
        <w:t>enhanced soldiers</w:t>
      </w:r>
      <w:r w:rsidRPr="006C1E1A">
        <w:rPr>
          <w:sz w:val="16"/>
        </w:rPr>
        <w:t xml:space="preserve"> networked </w:t>
      </w:r>
      <w:r w:rsidRPr="00873FDF">
        <w:rPr>
          <w:rStyle w:val="StyleUnderline"/>
        </w:rPr>
        <w:t>with</w:t>
      </w:r>
      <w:r w:rsidRPr="006C1E1A">
        <w:rPr>
          <w:sz w:val="16"/>
        </w:rPr>
        <w:t xml:space="preserve"> their battlespace </w:t>
      </w:r>
      <w:r w:rsidRPr="00873FDF">
        <w:rPr>
          <w:rStyle w:val="StyleUnderline"/>
        </w:rPr>
        <w:t>robotic partners</w:t>
      </w:r>
      <w:r w:rsidRPr="006C1E1A">
        <w:rPr>
          <w:sz w:val="16"/>
        </w:rPr>
        <w:t xml:space="preserve"> and remarks that “the presence of super humans on the battlefield in the 2050 timeframe is highly likely because the various components needed to enable this development already exist and are undergoing rapid evolution” (Kott et al., 2015: 19).</w:t>
      </w:r>
    </w:p>
    <w:p w14:paraId="3F41D95B" w14:textId="77777777" w:rsidR="00A41D4B" w:rsidRPr="006C1E1A" w:rsidRDefault="00A41D4B" w:rsidP="00A41D4B">
      <w:pPr>
        <w:rPr>
          <w:sz w:val="16"/>
        </w:rPr>
      </w:pPr>
      <w:r w:rsidRPr="006C1E1A">
        <w:rPr>
          <w:sz w:val="16"/>
        </w:rPr>
        <w:t>How is one to think about this outpouring of analysis, hypothesis, events, and existential angst? A useful first step is to realize that there are three levels to such discussions of technology.2 Level I is the instrumental level: a gun shoots a bullet and kills someone; a watch is used to tell time; a vaccine is used to prime an individual’s immune system to protect against a disease. Level II is the systems level: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Level III, the effect of a technology on individual psychology, society and culture, economic patterns, geopolitical status, and other Earth systems, is unpredictable and uncertain.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w:t>
      </w:r>
    </w:p>
    <w:p w14:paraId="5C3C5711" w14:textId="77777777" w:rsidR="00A41D4B" w:rsidRPr="006C1E1A" w:rsidRDefault="00A41D4B" w:rsidP="00A41D4B">
      <w:pPr>
        <w:rPr>
          <w:sz w:val="16"/>
        </w:rPr>
      </w:pPr>
      <w:r w:rsidRPr="006C1E1A">
        <w:rPr>
          <w:sz w:val="16"/>
        </w:rPr>
        <w:t>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w:t>
      </w:r>
    </w:p>
    <w:p w14:paraId="11E50D4E" w14:textId="77777777" w:rsidR="00A41D4B" w:rsidRPr="006C1E1A" w:rsidRDefault="00A41D4B" w:rsidP="00A41D4B">
      <w:pPr>
        <w:rPr>
          <w:sz w:val="16"/>
        </w:rPr>
      </w:pPr>
      <w:r w:rsidRPr="006C1E1A">
        <w:rPr>
          <w:sz w:val="16"/>
        </w:rPr>
        <w:t xml:space="preserve">This distinction among Level I, Level II, and Level III is useful because much of the </w:t>
      </w:r>
      <w:r w:rsidRPr="00456038">
        <w:rPr>
          <w:rStyle w:val="Emphasis"/>
          <w:highlight w:val="cyan"/>
        </w:rPr>
        <w:t>confusion</w:t>
      </w:r>
      <w:r w:rsidRPr="00873FDF">
        <w:rPr>
          <w:rStyle w:val="StyleUnderline"/>
        </w:rPr>
        <w:t xml:space="preserve"> regarding emerging technologies </w:t>
      </w:r>
      <w:r w:rsidRPr="00456038">
        <w:rPr>
          <w:rStyle w:val="StyleUnderline"/>
          <w:highlight w:val="cyan"/>
        </w:rPr>
        <w:t>comes from conflating</w:t>
      </w:r>
      <w:r w:rsidRPr="006C1E1A">
        <w:rPr>
          <w:sz w:val="16"/>
        </w:rPr>
        <w:t xml:space="preserve"> </w:t>
      </w:r>
      <w:r w:rsidRPr="00873FDF">
        <w:rPr>
          <w:rStyle w:val="Emphasis"/>
        </w:rPr>
        <w:t xml:space="preserve">relatively </w:t>
      </w:r>
      <w:r w:rsidRPr="00456038">
        <w:rPr>
          <w:rStyle w:val="Emphasis"/>
          <w:highlight w:val="cyan"/>
        </w:rPr>
        <w:t>predictable</w:t>
      </w:r>
      <w:r w:rsidRPr="006C1E1A">
        <w:rPr>
          <w:sz w:val="16"/>
        </w:rPr>
        <w:t xml:space="preserve"> Level I </w:t>
      </w:r>
      <w:r w:rsidRPr="00873FDF">
        <w:rPr>
          <w:rStyle w:val="StyleUnderline"/>
        </w:rPr>
        <w:t xml:space="preserve">aspects of an </w:t>
      </w:r>
      <w:r w:rsidRPr="00456038">
        <w:rPr>
          <w:rStyle w:val="StyleUnderline"/>
          <w:highlight w:val="cyan"/>
        </w:rPr>
        <w:t>emerging tech</w:t>
      </w:r>
      <w:r w:rsidRPr="008545C6">
        <w:rPr>
          <w:rStyle w:val="StyleUnderline"/>
        </w:rPr>
        <w:t>nology</w:t>
      </w:r>
      <w:r w:rsidRPr="00873FDF">
        <w:rPr>
          <w:rStyle w:val="StyleUnderline"/>
        </w:rPr>
        <w:t xml:space="preserve"> </w:t>
      </w:r>
      <w:r w:rsidRPr="00456038">
        <w:rPr>
          <w:rStyle w:val="StyleUnderline"/>
          <w:highlight w:val="cyan"/>
        </w:rPr>
        <w:t>with</w:t>
      </w:r>
      <w:r w:rsidRPr="00873FDF">
        <w:rPr>
          <w:rStyle w:val="StyleUnderline"/>
        </w:rPr>
        <w:t xml:space="preserve"> </w:t>
      </w:r>
      <w:r w:rsidRPr="00873FDF">
        <w:rPr>
          <w:rStyle w:val="Emphasis"/>
        </w:rPr>
        <w:t xml:space="preserve">highly </w:t>
      </w:r>
      <w:r w:rsidRPr="00456038">
        <w:rPr>
          <w:rStyle w:val="Emphasis"/>
          <w:highlight w:val="cyan"/>
        </w:rPr>
        <w:t>unpredictable</w:t>
      </w:r>
      <w:r w:rsidRPr="006C1E1A">
        <w:rPr>
          <w:sz w:val="16"/>
        </w:rPr>
        <w:t xml:space="preserve"> Level III </w:t>
      </w:r>
      <w:r w:rsidRPr="00456038">
        <w:rPr>
          <w:rStyle w:val="StyleUnderline"/>
          <w:highlight w:val="cyan"/>
        </w:rPr>
        <w:t>hypotheticals, and treating them as</w:t>
      </w:r>
      <w:r w:rsidRPr="00873FDF">
        <w:rPr>
          <w:rStyle w:val="StyleUnderline"/>
        </w:rPr>
        <w:t xml:space="preserve"> </w:t>
      </w:r>
      <w:r w:rsidRPr="00873FDF">
        <w:rPr>
          <w:rStyle w:val="Emphasis"/>
        </w:rPr>
        <w:t xml:space="preserve">equally </w:t>
      </w:r>
      <w:r w:rsidRPr="00456038">
        <w:rPr>
          <w:rStyle w:val="Emphasis"/>
          <w:highlight w:val="cyan"/>
        </w:rPr>
        <w:t>valid</w:t>
      </w:r>
      <w:r w:rsidRPr="00873FDF">
        <w:rPr>
          <w:rStyle w:val="StyleUnderline"/>
        </w:rPr>
        <w:t xml:space="preserve"> insights </w:t>
      </w:r>
      <w:r w:rsidRPr="00456038">
        <w:rPr>
          <w:rStyle w:val="StyleUnderline"/>
          <w:highlight w:val="cyan"/>
        </w:rPr>
        <w:t xml:space="preserve">into </w:t>
      </w:r>
      <w:r w:rsidRPr="00456038">
        <w:rPr>
          <w:rStyle w:val="Emphasis"/>
          <w:highlight w:val="cyan"/>
        </w:rPr>
        <w:t>future tech</w:t>
      </w:r>
      <w:r w:rsidRPr="00873FDF">
        <w:rPr>
          <w:rStyle w:val="Emphasis"/>
        </w:rPr>
        <w:t>nological trajectories</w:t>
      </w:r>
      <w:r w:rsidRPr="006C1E1A">
        <w:rPr>
          <w:sz w:val="16"/>
        </w:rPr>
        <w:t xml:space="preserve">. Not so. A concern about the use of </w:t>
      </w:r>
      <w:r w:rsidRPr="006C1E1A">
        <w:rPr>
          <w:rStyle w:val="StyleUnderline"/>
        </w:rPr>
        <w:t>drones</w:t>
      </w:r>
      <w:r w:rsidRPr="006C1E1A">
        <w:rPr>
          <w:sz w:val="16"/>
        </w:rPr>
        <w:t xml:space="preserve"> to attack human targets in countries that are not participants in a conflict </w:t>
      </w:r>
      <w:r w:rsidRPr="006C1E1A">
        <w:rPr>
          <w:rStyle w:val="StyleUnderline"/>
        </w:rPr>
        <w:t>is</w:t>
      </w:r>
      <w:r w:rsidRPr="006C1E1A">
        <w:rPr>
          <w:sz w:val="16"/>
        </w:rPr>
        <w:t xml:space="preserve"> qualitatively </w:t>
      </w:r>
      <w:r w:rsidRPr="006C1E1A">
        <w:rPr>
          <w:rStyle w:val="Emphasis"/>
        </w:rPr>
        <w:t>different</w:t>
      </w:r>
      <w:r w:rsidRPr="006C1E1A">
        <w:rPr>
          <w:sz w:val="16"/>
        </w:rPr>
        <w:t xml:space="preserve"> than polemics </w:t>
      </w:r>
      <w:r w:rsidRPr="006C1E1A">
        <w:rPr>
          <w:rStyle w:val="StyleUnderline"/>
        </w:rPr>
        <w:t>against “killer robots,”</w:t>
      </w:r>
      <w:r w:rsidRPr="006C1E1A">
        <w:rPr>
          <w:sz w:val="16"/>
        </w:rPr>
        <w:t xml:space="preserve"> and while </w:t>
      </w:r>
      <w:r w:rsidRPr="00456038">
        <w:rPr>
          <w:rStyle w:val="StyleUnderline"/>
          <w:highlight w:val="cyan"/>
        </w:rPr>
        <w:t>conflating</w:t>
      </w:r>
      <w:r w:rsidRPr="006C1E1A">
        <w:rPr>
          <w:rStyle w:val="StyleUnderline"/>
        </w:rPr>
        <w:t xml:space="preserve"> the </w:t>
      </w:r>
      <w:r w:rsidRPr="00456038">
        <w:rPr>
          <w:rStyle w:val="StyleUnderline"/>
          <w:highlight w:val="cyan"/>
        </w:rPr>
        <w:t>two</w:t>
      </w:r>
      <w:r w:rsidRPr="006C1E1A">
        <w:rPr>
          <w:sz w:val="16"/>
        </w:rPr>
        <w:t xml:space="preserve"> for purposes of argumentation may be effective, it </w:t>
      </w:r>
      <w:r w:rsidRPr="00456038">
        <w:rPr>
          <w:rStyle w:val="StyleUnderline"/>
          <w:highlight w:val="cyan"/>
        </w:rPr>
        <w:t>is</w:t>
      </w:r>
      <w:r w:rsidRPr="006C1E1A">
        <w:rPr>
          <w:rStyle w:val="StyleUnderline"/>
        </w:rPr>
        <w:t xml:space="preserve"> </w:t>
      </w:r>
      <w:r w:rsidRPr="006C1E1A">
        <w:rPr>
          <w:rStyle w:val="Emphasis"/>
        </w:rPr>
        <w:t xml:space="preserve">profoundly </w:t>
      </w:r>
      <w:r w:rsidRPr="00456038">
        <w:rPr>
          <w:rStyle w:val="Emphasis"/>
          <w:highlight w:val="cyan"/>
        </w:rPr>
        <w:t>misleading</w:t>
      </w:r>
      <w:r w:rsidRPr="006C1E1A">
        <w:rPr>
          <w:rStyle w:val="StyleUnderline"/>
        </w:rPr>
        <w:t>. We have historical and operational data</w:t>
      </w:r>
      <w:r w:rsidRPr="006C1E1A">
        <w:rPr>
          <w:sz w:val="16"/>
        </w:rPr>
        <w:t xml:space="preserve"> that enable us </w:t>
      </w:r>
      <w:r w:rsidRPr="006C1E1A">
        <w:rPr>
          <w:rStyle w:val="StyleUnderline"/>
        </w:rPr>
        <w:t>to evaluate the former; we don’t</w:t>
      </w:r>
      <w:r w:rsidRPr="006C1E1A">
        <w:rPr>
          <w:sz w:val="16"/>
        </w:rPr>
        <w:t xml:space="preserve"> even </w:t>
      </w:r>
      <w:r w:rsidRPr="006C1E1A">
        <w:rPr>
          <w:rStyle w:val="StyleUnderline"/>
        </w:rPr>
        <w:t>know what a “killer robot”</w:t>
      </w:r>
      <w:r w:rsidRPr="006C1E1A">
        <w:rPr>
          <w:sz w:val="16"/>
        </w:rPr>
        <w:t xml:space="preserve"> really </w:t>
      </w:r>
      <w:r w:rsidRPr="006C1E1A">
        <w:rPr>
          <w:rStyle w:val="StyleUnderline"/>
        </w:rPr>
        <w:t>is, except as an evocative term</w:t>
      </w:r>
      <w:r w:rsidRPr="006C1E1A">
        <w:rPr>
          <w:sz w:val="16"/>
        </w:rPr>
        <w:t xml:space="preserve">, and virtually no idea what would happen if such technologies became widespread in the real world. </w:t>
      </w:r>
      <w:r w:rsidRPr="006C1E1A">
        <w:rPr>
          <w:rStyle w:val="StyleUnderline"/>
        </w:rPr>
        <w:t xml:space="preserve">An </w:t>
      </w:r>
      <w:r w:rsidRPr="006C1E1A">
        <w:rPr>
          <w:rStyle w:val="Emphasis"/>
        </w:rPr>
        <w:t>analogous</w:t>
      </w:r>
      <w:r w:rsidRPr="006C1E1A">
        <w:rPr>
          <w:rStyle w:val="StyleUnderline"/>
        </w:rPr>
        <w:t xml:space="preserve"> analytical mistake occurs when a</w:t>
      </w:r>
      <w:r w:rsidRPr="006C1E1A">
        <w:rPr>
          <w:sz w:val="16"/>
        </w:rPr>
        <w:t xml:space="preserve"> particular use of a </w:t>
      </w:r>
      <w:r w:rsidRPr="006C1E1A">
        <w:rPr>
          <w:rStyle w:val="StyleUnderline"/>
        </w:rPr>
        <w:t>technology is treated as if</w:t>
      </w:r>
      <w:r w:rsidRPr="006C1E1A">
        <w:rPr>
          <w:sz w:val="16"/>
        </w:rPr>
        <w:t xml:space="preserve"> it were </w:t>
      </w:r>
      <w:r w:rsidRPr="006C1E1A">
        <w:rPr>
          <w:rStyle w:val="StyleUnderline"/>
        </w:rPr>
        <w:t>separable from</w:t>
      </w:r>
      <w:r w:rsidRPr="006C1E1A">
        <w:rPr>
          <w:sz w:val="16"/>
        </w:rPr>
        <w:t xml:space="preserve"> the </w:t>
      </w:r>
      <w:r w:rsidRPr="006C1E1A">
        <w:rPr>
          <w:rStyle w:val="StyleUnderline"/>
        </w:rPr>
        <w:t>technology itself</w:t>
      </w:r>
      <w:r w:rsidRPr="006C1E1A">
        <w:rPr>
          <w:sz w:val="16"/>
        </w:rPr>
        <w:t>.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w:t>
      </w:r>
    </w:p>
    <w:p w14:paraId="1B3C32EB" w14:textId="77777777" w:rsidR="00A41D4B" w:rsidRPr="006C1E1A" w:rsidRDefault="00A41D4B" w:rsidP="00A41D4B">
      <w:pPr>
        <w:rPr>
          <w:sz w:val="16"/>
        </w:rPr>
      </w:pPr>
      <w:r w:rsidRPr="00456038">
        <w:rPr>
          <w:rStyle w:val="StyleUnderline"/>
          <w:highlight w:val="cyan"/>
        </w:rPr>
        <w:t>It is</w:t>
      </w:r>
      <w:r w:rsidRPr="006C1E1A">
        <w:rPr>
          <w:sz w:val="16"/>
        </w:rPr>
        <w:t xml:space="preserve"> precisely </w:t>
      </w:r>
      <w:r w:rsidRPr="006C1E1A">
        <w:rPr>
          <w:rStyle w:val="Emphasis"/>
        </w:rPr>
        <w:t xml:space="preserve">this </w:t>
      </w:r>
      <w:r w:rsidRPr="00456038">
        <w:rPr>
          <w:rStyle w:val="Emphasis"/>
          <w:highlight w:val="cyan"/>
        </w:rPr>
        <w:t>confusion</w:t>
      </w:r>
      <w:r w:rsidRPr="006C1E1A">
        <w:rPr>
          <w:sz w:val="16"/>
        </w:rPr>
        <w:t xml:space="preserve"> that one notes in the language </w:t>
      </w:r>
      <w:r w:rsidRPr="006C1E1A">
        <w:rPr>
          <w:rStyle w:val="StyleUnderline"/>
        </w:rPr>
        <w:t>used in</w:t>
      </w:r>
      <w:r w:rsidRPr="006C1E1A">
        <w:rPr>
          <w:sz w:val="16"/>
        </w:rPr>
        <w:t xml:space="preserve"> many of the comments on and critiques of </w:t>
      </w:r>
      <w:r w:rsidRPr="006C1E1A">
        <w:rPr>
          <w:rStyle w:val="StyleUnderline"/>
        </w:rPr>
        <w:t>emerging technologies</w:t>
      </w:r>
      <w:r w:rsidRPr="006C1E1A">
        <w:rPr>
          <w:sz w:val="16"/>
        </w:rPr>
        <w:t xml:space="preserve">, including some of the examples given above. </w:t>
      </w:r>
      <w:r w:rsidRPr="00456038">
        <w:rPr>
          <w:rStyle w:val="StyleUnderline"/>
          <w:highlight w:val="cyan"/>
        </w:rPr>
        <w:t>It is not</w:t>
      </w:r>
      <w:r w:rsidRPr="006C1E1A">
        <w:rPr>
          <w:sz w:val="16"/>
        </w:rPr>
        <w:t xml:space="preserve"> so much a question of </w:t>
      </w:r>
      <w:r w:rsidRPr="00456038">
        <w:rPr>
          <w:rStyle w:val="StyleUnderline"/>
          <w:highlight w:val="cyan"/>
        </w:rPr>
        <w:t>whether</w:t>
      </w:r>
      <w:r w:rsidRPr="006C1E1A">
        <w:rPr>
          <w:sz w:val="16"/>
        </w:rPr>
        <w:t xml:space="preserve"> these </w:t>
      </w:r>
      <w:r w:rsidRPr="008545C6">
        <w:rPr>
          <w:rStyle w:val="Emphasis"/>
        </w:rPr>
        <w:t>popular</w:t>
      </w:r>
      <w:r w:rsidRPr="006C1E1A">
        <w:rPr>
          <w:rStyle w:val="Emphasis"/>
        </w:rPr>
        <w:t xml:space="preserve"> </w:t>
      </w:r>
      <w:r w:rsidRPr="00456038">
        <w:rPr>
          <w:rStyle w:val="Emphasis"/>
          <w:highlight w:val="cyan"/>
        </w:rPr>
        <w:t>dystopia</w:t>
      </w:r>
      <w:r w:rsidRPr="008545C6">
        <w:rPr>
          <w:rStyle w:val="Emphasis"/>
        </w:rPr>
        <w:t>n</w:t>
      </w:r>
      <w:r w:rsidRPr="006C1E1A">
        <w:rPr>
          <w:rStyle w:val="Emphasis"/>
        </w:rPr>
        <w:t xml:space="preserve"> </w:t>
      </w:r>
      <w:r w:rsidRPr="008545C6">
        <w:rPr>
          <w:rStyle w:val="Emphasis"/>
        </w:rPr>
        <w:t>visions</w:t>
      </w:r>
      <w:r w:rsidRPr="008545C6">
        <w:rPr>
          <w:rStyle w:val="StyleUnderline"/>
        </w:rPr>
        <w:t xml:space="preserve"> </w:t>
      </w:r>
      <w:r w:rsidRPr="00456038">
        <w:rPr>
          <w:rStyle w:val="StyleUnderline"/>
          <w:highlight w:val="cyan"/>
        </w:rPr>
        <w:t>are accurate</w:t>
      </w:r>
      <w:r w:rsidRPr="006C1E1A">
        <w:rPr>
          <w:sz w:val="16"/>
        </w:rPr>
        <w:t xml:space="preserve"> predictions: </w:t>
      </w:r>
      <w:r w:rsidRPr="00456038">
        <w:rPr>
          <w:rStyle w:val="StyleUnderline"/>
          <w:highlight w:val="cyan"/>
        </w:rPr>
        <w:t>They</w:t>
      </w:r>
      <w:r w:rsidRPr="006C1E1A">
        <w:rPr>
          <w:sz w:val="16"/>
        </w:rPr>
        <w:t xml:space="preserve"> almost certainly </w:t>
      </w:r>
      <w:r w:rsidRPr="00456038">
        <w:rPr>
          <w:rStyle w:val="StyleUnderline"/>
          <w:highlight w:val="cyan"/>
        </w:rPr>
        <w:t xml:space="preserve">are </w:t>
      </w:r>
      <w:r w:rsidRPr="00456038">
        <w:rPr>
          <w:rStyle w:val="Emphasis"/>
          <w:highlight w:val="cyan"/>
        </w:rPr>
        <w:t>not</w:t>
      </w:r>
      <w:r w:rsidRPr="006C1E1A">
        <w:rPr>
          <w:rStyle w:val="StyleUnderline"/>
        </w:rPr>
        <w:t xml:space="preserve">, because the </w:t>
      </w:r>
      <w:r w:rsidRPr="00456038">
        <w:rPr>
          <w:rStyle w:val="StyleUnderline"/>
          <w:highlight w:val="cyan"/>
        </w:rPr>
        <w:t>ability to predict</w:t>
      </w:r>
      <w:r w:rsidRPr="006C1E1A">
        <w:rPr>
          <w:rStyle w:val="StyleUnderline"/>
        </w:rPr>
        <w:t xml:space="preserve"> </w:t>
      </w:r>
      <w:r w:rsidRPr="006C1E1A">
        <w:rPr>
          <w:rStyle w:val="Emphasis"/>
        </w:rPr>
        <w:t>the future paths</w:t>
      </w:r>
      <w:r w:rsidRPr="006C1E1A">
        <w:rPr>
          <w:sz w:val="16"/>
        </w:rPr>
        <w:t xml:space="preserve"> and implications of complex and powerful technology systems </w:t>
      </w:r>
      <w:r w:rsidRPr="00456038">
        <w:rPr>
          <w:rStyle w:val="StyleUnderline"/>
          <w:highlight w:val="cyan"/>
        </w:rPr>
        <w:t>is</w:t>
      </w:r>
      <w:r w:rsidRPr="006C1E1A">
        <w:rPr>
          <w:rStyle w:val="StyleUnderline"/>
        </w:rPr>
        <w:t xml:space="preserve"> </w:t>
      </w:r>
      <w:r w:rsidRPr="006C1E1A">
        <w:rPr>
          <w:rStyle w:val="Emphasis"/>
        </w:rPr>
        <w:t xml:space="preserve">simply </w:t>
      </w:r>
      <w:r w:rsidRPr="00456038">
        <w:rPr>
          <w:rStyle w:val="Emphasis"/>
          <w:highlight w:val="cyan"/>
        </w:rPr>
        <w:t>nonexistent</w:t>
      </w:r>
      <w:r w:rsidRPr="006C1E1A">
        <w:rPr>
          <w:sz w:val="16"/>
        </w:rPr>
        <w: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w:t>
      </w:r>
    </w:p>
    <w:p w14:paraId="6F7A2315" w14:textId="77777777" w:rsidR="00A41D4B" w:rsidRPr="004478A8" w:rsidRDefault="00A41D4B" w:rsidP="00A41D4B">
      <w:pPr>
        <w:rPr>
          <w:sz w:val="16"/>
        </w:rPr>
      </w:pPr>
      <w:r w:rsidRPr="008545C6">
        <w:rPr>
          <w:sz w:val="16"/>
        </w:rPr>
        <w:t xml:space="preserve">To reduce such confusion, let me be clear from the beginning. </w:t>
      </w:r>
      <w:r w:rsidRPr="006C1E1A">
        <w:rPr>
          <w:rStyle w:val="StyleUnderline"/>
        </w:rPr>
        <w:t>Because</w:t>
      </w:r>
      <w:r w:rsidRPr="008545C6">
        <w:rPr>
          <w:sz w:val="16"/>
        </w:rPr>
        <w:t xml:space="preserve"> much recent </w:t>
      </w:r>
      <w:r w:rsidRPr="006C1E1A">
        <w:rPr>
          <w:rStyle w:val="StyleUnderline"/>
        </w:rPr>
        <w:t>commentary</w:t>
      </w:r>
      <w:r w:rsidRPr="008545C6">
        <w:rPr>
          <w:sz w:val="16"/>
        </w:rPr>
        <w:t xml:space="preserve"> regarding emerging technologies </w:t>
      </w:r>
      <w:r w:rsidRPr="006C1E1A">
        <w:rPr>
          <w:rStyle w:val="StyleUnderline"/>
        </w:rPr>
        <w:t>is generic and apocalyptic, that is what this essay will focus on</w:t>
      </w:r>
      <w:r w:rsidRPr="008545C6">
        <w:rPr>
          <w:sz w:val="16"/>
        </w:rPr>
        <w:t>.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w:t>
      </w:r>
    </w:p>
    <w:bookmarkEnd w:id="1"/>
    <w:p w14:paraId="3BA0C1EF" w14:textId="77777777" w:rsidR="00A41D4B" w:rsidRPr="00684BF3" w:rsidRDefault="00A41D4B" w:rsidP="00A41D4B">
      <w:pPr>
        <w:rPr>
          <w:sz w:val="16"/>
        </w:rPr>
      </w:pPr>
    </w:p>
    <w:p w14:paraId="529DFA04" w14:textId="79385031" w:rsidR="00D10287" w:rsidRDefault="00C72E89" w:rsidP="00C72E89">
      <w:pPr>
        <w:pStyle w:val="Heading3"/>
      </w:pPr>
      <w:r>
        <w:t xml:space="preserve">2AC – </w:t>
      </w:r>
      <w:r w:rsidR="00D10287">
        <w:t>Impact</w:t>
      </w:r>
      <w:r>
        <w:t xml:space="preserve"> –</w:t>
      </w:r>
      <w:r w:rsidR="00D10287">
        <w:t xml:space="preserve"> AT: </w:t>
      </w:r>
      <w:r w:rsidR="00C539AE">
        <w:t>AI</w:t>
      </w:r>
    </w:p>
    <w:p w14:paraId="7B4B613D" w14:textId="351BF4BD" w:rsidR="00D10287" w:rsidRPr="00C80CAB" w:rsidRDefault="00D10287" w:rsidP="00D10287">
      <w:pPr>
        <w:pStyle w:val="Heading4"/>
        <w:rPr>
          <w:b w:val="0"/>
          <w:bCs/>
          <w:szCs w:val="26"/>
        </w:rPr>
      </w:pPr>
      <w:r>
        <w:rPr>
          <w:szCs w:val="26"/>
        </w:rPr>
        <w:t>No impact to emerging tech.</w:t>
      </w:r>
    </w:p>
    <w:p w14:paraId="15DE5095" w14:textId="77777777" w:rsidR="00D10287" w:rsidRPr="00684BF3" w:rsidRDefault="00D10287" w:rsidP="00D10287">
      <w:r w:rsidRPr="00C80CAB">
        <w:rPr>
          <w:rStyle w:val="Heading4Char"/>
          <w:szCs w:val="26"/>
        </w:rPr>
        <w:t>Pinker et al. 6-15</w:t>
      </w:r>
      <w:r w:rsidRPr="00684BF3">
        <w:t>-20 – (Steven Pinker, PhD, Professor of Psychology at Harvard; Stuart Russell, UC Berkeley Professor of Computer Science; Lucas Perry; “Steven Pinker and Stuart Russell on the Foundations, Benefits, and Possible Existential Threat of AI”; Future of Life Institute; D.A. June 29</w:t>
      </w:r>
      <w:r w:rsidRPr="00684BF3">
        <w:rPr>
          <w:vertAlign w:val="superscript"/>
        </w:rPr>
        <w:t>th</w:t>
      </w:r>
      <w:r w:rsidRPr="00684BF3">
        <w:t xml:space="preserve"> 2020, [Published June 15</w:t>
      </w:r>
      <w:r w:rsidRPr="00684BF3">
        <w:rPr>
          <w:vertAlign w:val="superscript"/>
        </w:rPr>
        <w:t>th</w:t>
      </w:r>
      <w:r w:rsidRPr="00684BF3">
        <w:t xml:space="preserve"> 2020]; </w:t>
      </w:r>
      <w:hyperlink r:id="rId213" w:history="1">
        <w:r w:rsidRPr="00684BF3">
          <w:rPr>
            <w:rStyle w:val="Hyperlink"/>
          </w:rPr>
          <w:t>https://futureoflife.org/2020/06/15/steven-pinker-and-stuart-russell-on-the-foundations-benefits-and-possible-existential-risk-of-ai/</w:t>
        </w:r>
      </w:hyperlink>
      <w:r w:rsidRPr="00684BF3">
        <w:t>) //LFS—JCM</w:t>
      </w:r>
    </w:p>
    <w:p w14:paraId="0CC61B81" w14:textId="77777777" w:rsidR="00D10287" w:rsidRPr="00684BF3" w:rsidRDefault="00D10287" w:rsidP="00D10287">
      <w:pPr>
        <w:rPr>
          <w:sz w:val="16"/>
        </w:rPr>
      </w:pPr>
      <w:r w:rsidRPr="00684BF3">
        <w:rPr>
          <w:sz w:val="16"/>
        </w:rPr>
        <w:t xml:space="preserve">Lucas </w:t>
      </w:r>
      <w:r w:rsidRPr="00684BF3">
        <w:rPr>
          <w:rStyle w:val="StyleUnderline"/>
        </w:rPr>
        <w:t>Perry</w:t>
      </w:r>
      <w:r w:rsidRPr="00684BF3">
        <w:rPr>
          <w:sz w:val="16"/>
        </w:rPr>
        <w:t xml:space="preserve">: Now that’s quite a beautiful picture of the future. </w:t>
      </w:r>
      <w:r w:rsidRPr="00684BF3">
        <w:rPr>
          <w:rStyle w:val="Emphasis"/>
        </w:rPr>
        <w:t>There’s a lot of existential hope</w:t>
      </w:r>
      <w:r w:rsidRPr="00684BF3">
        <w:rPr>
          <w:sz w:val="16"/>
        </w:rPr>
        <w:t xml:space="preserve"> there. </w:t>
      </w:r>
      <w:r w:rsidRPr="00684BF3">
        <w:rPr>
          <w:rStyle w:val="StyleUnderline"/>
        </w:rPr>
        <w:t>The other side to</w:t>
      </w:r>
      <w:r w:rsidRPr="00684BF3">
        <w:rPr>
          <w:sz w:val="16"/>
        </w:rPr>
        <w:t xml:space="preserve"> existential </w:t>
      </w:r>
      <w:r w:rsidRPr="00684BF3">
        <w:rPr>
          <w:rStyle w:val="StyleUnderline"/>
        </w:rPr>
        <w:t>hope is existential risk</w:t>
      </w:r>
      <w:r w:rsidRPr="00684BF3">
        <w:rPr>
          <w:sz w:val="16"/>
        </w:rPr>
        <w:t xml:space="preserve">. Now this is an interesting subject, which Steve and you, Stuart, I believe have disagreements about. So pivoting into this area, and Steve, you can go first here, </w:t>
      </w:r>
      <w:r w:rsidRPr="00456038">
        <w:rPr>
          <w:rStyle w:val="StyleUnderline"/>
          <w:highlight w:val="cyan"/>
        </w:rPr>
        <w:t>do you believe</w:t>
      </w:r>
      <w:r w:rsidRPr="00684BF3">
        <w:rPr>
          <w:sz w:val="16"/>
        </w:rPr>
        <w:t xml:space="preserve"> that </w:t>
      </w:r>
      <w:r w:rsidRPr="00456038">
        <w:rPr>
          <w:rStyle w:val="StyleUnderline"/>
          <w:highlight w:val="cyan"/>
        </w:rPr>
        <w:t>human beings</w:t>
      </w:r>
      <w:r w:rsidRPr="00684BF3">
        <w:rPr>
          <w:sz w:val="16"/>
        </w:rPr>
        <w:t xml:space="preserve">, </w:t>
      </w:r>
      <w:r w:rsidRPr="00456038">
        <w:rPr>
          <w:rStyle w:val="StyleUnderline"/>
          <w:highlight w:val="cyan"/>
        </w:rPr>
        <w:t>should</w:t>
      </w:r>
      <w:r w:rsidRPr="00684BF3">
        <w:rPr>
          <w:rStyle w:val="StyleUnderline"/>
        </w:rPr>
        <w:t xml:space="preserve"> we not </w:t>
      </w:r>
      <w:r w:rsidRPr="00456038">
        <w:rPr>
          <w:rStyle w:val="StyleUnderline"/>
          <w:highlight w:val="cyan"/>
        </w:rPr>
        <w:t>go extinct</w:t>
      </w:r>
      <w:r w:rsidRPr="00684BF3">
        <w:rPr>
          <w:sz w:val="16"/>
        </w:rPr>
        <w:t xml:space="preserve"> in the meantime, </w:t>
      </w:r>
      <w:r w:rsidRPr="00684BF3">
        <w:rPr>
          <w:rStyle w:val="StyleUnderline"/>
        </w:rPr>
        <w:t xml:space="preserve">will </w:t>
      </w:r>
      <w:r w:rsidRPr="00456038">
        <w:rPr>
          <w:rStyle w:val="StyleUnderline"/>
          <w:highlight w:val="cyan"/>
        </w:rPr>
        <w:t>we build</w:t>
      </w:r>
      <w:r w:rsidRPr="00684BF3">
        <w:rPr>
          <w:rStyle w:val="StyleUnderline"/>
        </w:rPr>
        <w:t xml:space="preserve"> </w:t>
      </w:r>
      <w:r w:rsidRPr="00684BF3">
        <w:rPr>
          <w:rStyle w:val="Emphasis"/>
        </w:rPr>
        <w:t xml:space="preserve">artificial </w:t>
      </w:r>
      <w:r w:rsidRPr="00456038">
        <w:rPr>
          <w:rStyle w:val="Emphasis"/>
          <w:highlight w:val="cyan"/>
        </w:rPr>
        <w:t>superintel</w:t>
      </w:r>
      <w:r w:rsidRPr="00684BF3">
        <w:rPr>
          <w:rStyle w:val="Emphasis"/>
        </w:rPr>
        <w:t>ligence</w:t>
      </w:r>
      <w:r w:rsidRPr="00456038">
        <w:rPr>
          <w:rStyle w:val="StyleUnderline"/>
          <w:highlight w:val="cyan"/>
        </w:rPr>
        <w:t>?</w:t>
      </w:r>
      <w:r w:rsidRPr="00684BF3">
        <w:rPr>
          <w:sz w:val="16"/>
        </w:rPr>
        <w:t xml:space="preserve"> </w:t>
      </w:r>
      <w:r w:rsidRPr="00684BF3">
        <w:rPr>
          <w:rStyle w:val="StyleUnderline"/>
        </w:rPr>
        <w:t xml:space="preserve">And </w:t>
      </w:r>
      <w:r w:rsidRPr="00684BF3">
        <w:rPr>
          <w:rStyle w:val="Emphasis"/>
        </w:rPr>
        <w:t>does that pose</w:t>
      </w:r>
      <w:r w:rsidRPr="00684BF3">
        <w:rPr>
          <w:rStyle w:val="StyleUnderline"/>
        </w:rPr>
        <w:t xml:space="preserve"> an existential </w:t>
      </w:r>
      <w:r w:rsidRPr="00684BF3">
        <w:rPr>
          <w:rStyle w:val="Emphasis"/>
        </w:rPr>
        <w:t>risk to humanity</w:t>
      </w:r>
      <w:r w:rsidRPr="00684BF3">
        <w:rPr>
          <w:rStyle w:val="StyleUnderline"/>
        </w:rPr>
        <w:t>?</w:t>
      </w:r>
    </w:p>
    <w:p w14:paraId="2719E042" w14:textId="77777777" w:rsidR="00D10287" w:rsidRPr="00684BF3" w:rsidRDefault="00D10287" w:rsidP="00D10287">
      <w:pPr>
        <w:rPr>
          <w:sz w:val="16"/>
        </w:rPr>
      </w:pPr>
      <w:r w:rsidRPr="00684BF3">
        <w:rPr>
          <w:sz w:val="16"/>
        </w:rPr>
        <w:t xml:space="preserve">Steven </w:t>
      </w:r>
      <w:r w:rsidRPr="00684BF3">
        <w:rPr>
          <w:rStyle w:val="StyleUnderline"/>
        </w:rPr>
        <w:t>Pinker</w:t>
      </w:r>
      <w:r w:rsidRPr="00684BF3">
        <w:rPr>
          <w:sz w:val="16"/>
        </w:rPr>
        <w:t xml:space="preserve">: Yeah, </w:t>
      </w:r>
      <w:r w:rsidRPr="00456038">
        <w:rPr>
          <w:rStyle w:val="StyleUnderline"/>
          <w:highlight w:val="cyan"/>
        </w:rPr>
        <w:t>I’m</w:t>
      </w:r>
      <w:r w:rsidRPr="00684BF3">
        <w:rPr>
          <w:sz w:val="16"/>
        </w:rPr>
        <w:t xml:space="preserve"> on record as being </w:t>
      </w:r>
      <w:r w:rsidRPr="00456038">
        <w:rPr>
          <w:rStyle w:val="Emphasis"/>
          <w:highlight w:val="cyan"/>
        </w:rPr>
        <w:t>skeptical</w:t>
      </w:r>
      <w:r w:rsidRPr="00684BF3">
        <w:rPr>
          <w:rStyle w:val="Emphasis"/>
        </w:rPr>
        <w:t xml:space="preserve"> of that scenario</w:t>
      </w:r>
      <w:r w:rsidRPr="00684BF3">
        <w:rPr>
          <w:sz w:val="16"/>
        </w:rPr>
        <w:t xml:space="preserve"> </w:t>
      </w:r>
      <w:r w:rsidRPr="00684BF3">
        <w:rPr>
          <w:rStyle w:val="StyleUnderline"/>
        </w:rPr>
        <w:t xml:space="preserve">and </w:t>
      </w:r>
      <w:r w:rsidRPr="00684BF3">
        <w:rPr>
          <w:rStyle w:val="Emphasis"/>
        </w:rPr>
        <w:t>dubious about</w:t>
      </w:r>
      <w:r w:rsidRPr="00684BF3">
        <w:rPr>
          <w:rStyle w:val="StyleUnderline"/>
        </w:rPr>
        <w:t xml:space="preserve"> the value of </w:t>
      </w:r>
      <w:r w:rsidRPr="00684BF3">
        <w:rPr>
          <w:rStyle w:val="Emphasis"/>
        </w:rPr>
        <w:t>putting</w:t>
      </w:r>
      <w:r w:rsidRPr="00684BF3">
        <w:rPr>
          <w:rStyle w:val="StyleUnderline"/>
        </w:rPr>
        <w:t xml:space="preserve"> a lot of </w:t>
      </w:r>
      <w:r w:rsidRPr="00684BF3">
        <w:rPr>
          <w:rStyle w:val="Emphasis"/>
        </w:rPr>
        <w:t>effort into worrying</w:t>
      </w:r>
      <w:r w:rsidRPr="00684BF3">
        <w:rPr>
          <w:rStyle w:val="StyleUnderline"/>
        </w:rPr>
        <w:t xml:space="preserve"> about it</w:t>
      </w:r>
      <w:r w:rsidRPr="00684BF3">
        <w:rPr>
          <w:sz w:val="16"/>
        </w:rPr>
        <w:t xml:space="preserve"> now. </w:t>
      </w:r>
      <w:r w:rsidRPr="00684BF3">
        <w:rPr>
          <w:rStyle w:val="StyleUnderline"/>
        </w:rPr>
        <w:t xml:space="preserve">The concept of </w:t>
      </w:r>
      <w:r w:rsidRPr="00684BF3">
        <w:rPr>
          <w:rStyle w:val="Emphasis"/>
        </w:rPr>
        <w:t>superintelligence</w:t>
      </w:r>
      <w:r w:rsidRPr="00684BF3">
        <w:rPr>
          <w:rStyle w:val="StyleUnderline"/>
        </w:rPr>
        <w:t xml:space="preserve"> is</w:t>
      </w:r>
      <w:r w:rsidRPr="00684BF3">
        <w:rPr>
          <w:sz w:val="16"/>
        </w:rPr>
        <w:t xml:space="preserve"> itself </w:t>
      </w:r>
      <w:r w:rsidRPr="00684BF3">
        <w:rPr>
          <w:rStyle w:val="Emphasis"/>
        </w:rPr>
        <w:t>obscure</w:t>
      </w:r>
      <w:r w:rsidRPr="00684BF3">
        <w:rPr>
          <w:sz w:val="16"/>
        </w:rPr>
        <w:t xml:space="preserve">. In a lot of the discussions </w:t>
      </w:r>
      <w:r w:rsidRPr="00456038">
        <w:rPr>
          <w:rStyle w:val="StyleUnderline"/>
          <w:highlight w:val="cyan"/>
        </w:rPr>
        <w:t>you could replace</w:t>
      </w:r>
      <w:r w:rsidRPr="00684BF3">
        <w:rPr>
          <w:rStyle w:val="StyleUnderline"/>
        </w:rPr>
        <w:t xml:space="preserve"> the word “</w:t>
      </w:r>
      <w:r w:rsidRPr="00456038">
        <w:rPr>
          <w:rStyle w:val="StyleUnderline"/>
          <w:highlight w:val="cyan"/>
        </w:rPr>
        <w:t>superintelligence</w:t>
      </w:r>
      <w:r w:rsidRPr="00684BF3">
        <w:rPr>
          <w:rStyle w:val="StyleUnderline"/>
        </w:rPr>
        <w:t xml:space="preserve">” </w:t>
      </w:r>
      <w:r w:rsidRPr="00456038">
        <w:rPr>
          <w:rStyle w:val="StyleUnderline"/>
          <w:highlight w:val="cyan"/>
        </w:rPr>
        <w:t>with</w:t>
      </w:r>
      <w:r w:rsidRPr="00684BF3">
        <w:rPr>
          <w:rStyle w:val="StyleUnderline"/>
        </w:rPr>
        <w:t xml:space="preserve"> “</w:t>
      </w:r>
      <w:r w:rsidRPr="00456038">
        <w:rPr>
          <w:rStyle w:val="Emphasis"/>
          <w:highlight w:val="cyan"/>
        </w:rPr>
        <w:t>magic</w:t>
      </w:r>
      <w:r w:rsidRPr="00684BF3">
        <w:rPr>
          <w:rStyle w:val="StyleUnderline"/>
        </w:rPr>
        <w:t>” or “</w:t>
      </w:r>
      <w:r w:rsidRPr="00684BF3">
        <w:rPr>
          <w:rStyle w:val="Emphasis"/>
        </w:rPr>
        <w:t>miracle</w:t>
      </w:r>
      <w:r w:rsidRPr="00684BF3">
        <w:rPr>
          <w:rStyle w:val="StyleUnderline"/>
        </w:rPr>
        <w:t xml:space="preserve">” </w:t>
      </w:r>
      <w:r w:rsidRPr="00456038">
        <w:rPr>
          <w:rStyle w:val="StyleUnderline"/>
          <w:highlight w:val="cyan"/>
        </w:rPr>
        <w:t>and the sentence would read the same</w:t>
      </w:r>
      <w:r w:rsidRPr="00684BF3">
        <w:rPr>
          <w:sz w:val="16"/>
        </w:rPr>
        <w:t xml:space="preserve">. </w:t>
      </w:r>
      <w:r w:rsidRPr="00684BF3">
        <w:rPr>
          <w:rStyle w:val="StyleUnderline"/>
        </w:rPr>
        <w:t>You read about a</w:t>
      </w:r>
      <w:r w:rsidRPr="00684BF3">
        <w:rPr>
          <w:sz w:val="16"/>
        </w:rPr>
        <w:t xml:space="preserve">n AI </w:t>
      </w:r>
      <w:r w:rsidRPr="00684BF3">
        <w:rPr>
          <w:rStyle w:val="StyleUnderline"/>
        </w:rPr>
        <w:t xml:space="preserve">system that could </w:t>
      </w:r>
      <w:r w:rsidRPr="00684BF3">
        <w:rPr>
          <w:rStyle w:val="Emphasis"/>
        </w:rPr>
        <w:t>duplicate brains</w:t>
      </w:r>
      <w:r w:rsidRPr="00684BF3">
        <w:rPr>
          <w:rStyle w:val="StyleUnderline"/>
        </w:rPr>
        <w:t xml:space="preserve"> in silicon</w:t>
      </w:r>
      <w:r w:rsidRPr="00684BF3">
        <w:rPr>
          <w:sz w:val="16"/>
        </w:rPr>
        <w:t xml:space="preserve">, </w:t>
      </w:r>
      <w:r w:rsidRPr="00684BF3">
        <w:rPr>
          <w:rStyle w:val="StyleUnderline"/>
        </w:rPr>
        <w:t>or solve</w:t>
      </w:r>
      <w:r w:rsidRPr="00684BF3">
        <w:rPr>
          <w:sz w:val="16"/>
        </w:rPr>
        <w:t xml:space="preserve"> problems like </w:t>
      </w:r>
      <w:r w:rsidRPr="00684BF3">
        <w:rPr>
          <w:rStyle w:val="Emphasis"/>
        </w:rPr>
        <w:t>war in</w:t>
      </w:r>
      <w:r w:rsidRPr="00684BF3">
        <w:rPr>
          <w:rStyle w:val="StyleUnderline"/>
        </w:rPr>
        <w:t xml:space="preserve"> the </w:t>
      </w:r>
      <w:r w:rsidRPr="00684BF3">
        <w:rPr>
          <w:rStyle w:val="Emphasis"/>
        </w:rPr>
        <w:t>Mid</w:t>
      </w:r>
      <w:r w:rsidRPr="00684BF3">
        <w:rPr>
          <w:rStyle w:val="StyleUnderline"/>
        </w:rPr>
        <w:t xml:space="preserve">dle </w:t>
      </w:r>
      <w:r w:rsidRPr="00684BF3">
        <w:rPr>
          <w:rStyle w:val="Emphasis"/>
        </w:rPr>
        <w:t>East</w:t>
      </w:r>
      <w:r w:rsidRPr="00684BF3">
        <w:rPr>
          <w:sz w:val="16"/>
        </w:rPr>
        <w:t xml:space="preserve">, </w:t>
      </w:r>
      <w:r w:rsidRPr="00684BF3">
        <w:rPr>
          <w:rStyle w:val="StyleUnderline"/>
        </w:rPr>
        <w:t xml:space="preserve">or cure </w:t>
      </w:r>
      <w:r w:rsidRPr="00684BF3">
        <w:rPr>
          <w:rStyle w:val="Emphasis"/>
        </w:rPr>
        <w:t>cancer</w:t>
      </w:r>
      <w:r w:rsidRPr="00684BF3">
        <w:rPr>
          <w:sz w:val="16"/>
        </w:rPr>
        <w:t xml:space="preserve">.  </w:t>
      </w:r>
      <w:r w:rsidRPr="00684BF3">
        <w:rPr>
          <w:rStyle w:val="Emphasis"/>
        </w:rPr>
        <w:t>It’s just imagining the possibility</w:t>
      </w:r>
      <w:r w:rsidRPr="00684BF3">
        <w:rPr>
          <w:rStyle w:val="StyleUnderline"/>
        </w:rPr>
        <w:t xml:space="preserve"> of a solution and assuming</w:t>
      </w:r>
      <w:r w:rsidRPr="00684BF3">
        <w:rPr>
          <w:sz w:val="16"/>
        </w:rPr>
        <w:t xml:space="preserve"> that </w:t>
      </w:r>
      <w:r w:rsidRPr="00684BF3">
        <w:rPr>
          <w:rStyle w:val="StyleUnderline"/>
        </w:rPr>
        <w:t>the ability to bring it about will exist</w:t>
      </w:r>
      <w:r w:rsidRPr="00684BF3">
        <w:rPr>
          <w:sz w:val="16"/>
        </w:rPr>
        <w:t xml:space="preserve">, </w:t>
      </w:r>
      <w:r w:rsidRPr="00684BF3">
        <w:rPr>
          <w:rStyle w:val="StyleUnderline"/>
        </w:rPr>
        <w:t>without laying out what that intelligence would consist of</w:t>
      </w:r>
      <w:r w:rsidRPr="00684BF3">
        <w:rPr>
          <w:sz w:val="16"/>
        </w:rPr>
        <w:t>, or what would count as a solution to the problem. </w:t>
      </w:r>
    </w:p>
    <w:p w14:paraId="26BD06E4" w14:textId="77777777" w:rsidR="00D10287" w:rsidRPr="00684BF3" w:rsidRDefault="00D10287" w:rsidP="00D10287">
      <w:pPr>
        <w:rPr>
          <w:sz w:val="16"/>
        </w:rPr>
      </w:pPr>
      <w:r w:rsidRPr="00684BF3">
        <w:rPr>
          <w:sz w:val="16"/>
        </w:rPr>
        <w:t xml:space="preserve">So I find </w:t>
      </w:r>
      <w:r w:rsidRPr="00684BF3">
        <w:rPr>
          <w:rStyle w:val="StyleUnderline"/>
        </w:rPr>
        <w:t xml:space="preserve">the concept of </w:t>
      </w:r>
      <w:r w:rsidRPr="00684BF3">
        <w:rPr>
          <w:rStyle w:val="Emphasis"/>
        </w:rPr>
        <w:t>superintelligence</w:t>
      </w:r>
      <w:r w:rsidRPr="00684BF3">
        <w:rPr>
          <w:rStyle w:val="StyleUnderline"/>
        </w:rPr>
        <w:t xml:space="preserve"> itself a </w:t>
      </w:r>
      <w:r w:rsidRPr="00684BF3">
        <w:rPr>
          <w:rStyle w:val="Emphasis"/>
        </w:rPr>
        <w:t>dubious</w:t>
      </w:r>
      <w:r w:rsidRPr="00684BF3">
        <w:rPr>
          <w:rStyle w:val="StyleUnderline"/>
        </w:rPr>
        <w:t xml:space="preserve"> extrapolation of an </w:t>
      </w:r>
      <w:r w:rsidRPr="00684BF3">
        <w:rPr>
          <w:rStyle w:val="Emphasis"/>
        </w:rPr>
        <w:t>unextrapolable continuum</w:t>
      </w:r>
      <w:r w:rsidRPr="00684BF3">
        <w:rPr>
          <w:sz w:val="16"/>
        </w:rPr>
        <w:t xml:space="preserve">, like human-to-animal, or not-so-bright human-to-smart-human. </w:t>
      </w:r>
      <w:r w:rsidRPr="00684BF3">
        <w:rPr>
          <w:rStyle w:val="StyleUnderline"/>
        </w:rPr>
        <w:t>I don’t think there is a power called “intelligence”</w:t>
      </w:r>
      <w:r w:rsidRPr="00684BF3">
        <w:rPr>
          <w:sz w:val="16"/>
        </w:rPr>
        <w:t xml:space="preserve"> such </w:t>
      </w:r>
      <w:r w:rsidRPr="00684BF3">
        <w:rPr>
          <w:rStyle w:val="StyleUnderline"/>
        </w:rPr>
        <w:t>that we can compare</w:t>
      </w:r>
      <w:r w:rsidRPr="00684BF3">
        <w:rPr>
          <w:sz w:val="16"/>
        </w:rPr>
        <w:t xml:space="preserve"> a squirrel or an octopus to a human and say, “Well, imagine even more of that.” </w:t>
      </w:r>
    </w:p>
    <w:p w14:paraId="3CBE142C" w14:textId="77777777" w:rsidR="00D10287" w:rsidRPr="00684BF3" w:rsidRDefault="00D10287" w:rsidP="00D10287">
      <w:pPr>
        <w:rPr>
          <w:sz w:val="16"/>
        </w:rPr>
      </w:pPr>
      <w:r w:rsidRPr="00684BF3">
        <w:rPr>
          <w:rStyle w:val="StyleUnderline"/>
        </w:rPr>
        <w:t>I’m</w:t>
      </w:r>
      <w:r w:rsidRPr="00684BF3">
        <w:rPr>
          <w:sz w:val="16"/>
        </w:rPr>
        <w:t xml:space="preserve"> also </w:t>
      </w:r>
      <w:r w:rsidRPr="00684BF3">
        <w:rPr>
          <w:rStyle w:val="Emphasis"/>
        </w:rPr>
        <w:t>skeptical about</w:t>
      </w:r>
      <w:r w:rsidRPr="00684BF3">
        <w:rPr>
          <w:sz w:val="16"/>
        </w:rPr>
        <w:t xml:space="preserve"> the </w:t>
      </w:r>
      <w:r w:rsidRPr="00684BF3">
        <w:rPr>
          <w:rStyle w:val="Emphasis"/>
        </w:rPr>
        <w:t>existential risk</w:t>
      </w:r>
      <w:r w:rsidRPr="00684BF3">
        <w:rPr>
          <w:rStyle w:val="StyleUnderline"/>
        </w:rPr>
        <w:t xml:space="preserve"> scenarios</w:t>
      </w:r>
      <w:r w:rsidRPr="00684BF3">
        <w:rPr>
          <w:sz w:val="16"/>
        </w:rPr>
        <w:t xml:space="preserve">. </w:t>
      </w:r>
      <w:r w:rsidRPr="00684BF3">
        <w:rPr>
          <w:rStyle w:val="StyleUnderline"/>
        </w:rPr>
        <w:t>They</w:t>
      </w:r>
      <w:r w:rsidRPr="00684BF3">
        <w:rPr>
          <w:sz w:val="16"/>
        </w:rPr>
        <w:t xml:space="preserve"> tend to </w:t>
      </w:r>
      <w:r w:rsidRPr="00684BF3">
        <w:rPr>
          <w:rStyle w:val="StyleUnderline"/>
        </w:rPr>
        <w:t>come in two varieties</w:t>
      </w:r>
      <w:r w:rsidRPr="00684BF3">
        <w:rPr>
          <w:sz w:val="16"/>
        </w:rPr>
        <w:t xml:space="preserve">. </w:t>
      </w:r>
      <w:r w:rsidRPr="00684BF3">
        <w:rPr>
          <w:rStyle w:val="StyleUnderline"/>
        </w:rPr>
        <w:t>One is</w:t>
      </w:r>
      <w:r w:rsidRPr="00684BF3">
        <w:rPr>
          <w:sz w:val="16"/>
        </w:rPr>
        <w:t xml:space="preserve"> based on </w:t>
      </w:r>
      <w:r w:rsidRPr="00684BF3">
        <w:rPr>
          <w:rStyle w:val="StyleUnderline"/>
        </w:rPr>
        <w:t>the</w:t>
      </w:r>
      <w:r w:rsidRPr="00684BF3">
        <w:rPr>
          <w:sz w:val="16"/>
        </w:rPr>
        <w:t xml:space="preserve"> notion of a </w:t>
      </w:r>
      <w:r w:rsidRPr="00684BF3">
        <w:rPr>
          <w:rStyle w:val="StyleUnderline"/>
        </w:rPr>
        <w:t>will to power</w:t>
      </w:r>
      <w:r w:rsidRPr="00684BF3">
        <w:rPr>
          <w:sz w:val="16"/>
        </w:rPr>
        <w:t xml:space="preserve">: </w:t>
      </w:r>
      <w:r w:rsidRPr="00684BF3">
        <w:rPr>
          <w:rStyle w:val="StyleUnderline"/>
        </w:rPr>
        <w:t xml:space="preserve">that </w:t>
      </w:r>
      <w:r w:rsidRPr="00684BF3">
        <w:rPr>
          <w:rStyle w:val="Emphasis"/>
        </w:rPr>
        <w:t>as soon as you get a</w:t>
      </w:r>
      <w:r w:rsidRPr="00684BF3">
        <w:rPr>
          <w:rStyle w:val="StyleUnderline"/>
        </w:rPr>
        <w:t xml:space="preserve">n intelligent </w:t>
      </w:r>
      <w:r w:rsidRPr="00684BF3">
        <w:rPr>
          <w:rStyle w:val="Emphasis"/>
        </w:rPr>
        <w:t>system</w:t>
      </w:r>
      <w:r w:rsidRPr="00684BF3">
        <w:rPr>
          <w:rStyle w:val="StyleUnderline"/>
        </w:rPr>
        <w:t>, it will inevitably want to dominate</w:t>
      </w:r>
      <w:r w:rsidRPr="00684BF3">
        <w:rPr>
          <w:sz w:val="16"/>
        </w:rPr>
        <w:t xml:space="preserve"> and exploit. Often </w:t>
      </w:r>
      <w:r w:rsidRPr="00456038">
        <w:rPr>
          <w:rStyle w:val="StyleUnderline"/>
          <w:highlight w:val="cyan"/>
        </w:rPr>
        <w:t>the analogy is that</w:t>
      </w:r>
      <w:r w:rsidRPr="00684BF3">
        <w:rPr>
          <w:rStyle w:val="StyleUnderline"/>
        </w:rPr>
        <w:t xml:space="preserve"> we humans have</w:t>
      </w:r>
      <w:r w:rsidRPr="00684BF3">
        <w:rPr>
          <w:sz w:val="16"/>
        </w:rPr>
        <w:t xml:space="preserve"> exploited and often </w:t>
      </w:r>
      <w:r w:rsidRPr="00684BF3">
        <w:rPr>
          <w:rStyle w:val="StyleUnderline"/>
        </w:rPr>
        <w:t>extinguished animals</w:t>
      </w:r>
      <w:r w:rsidRPr="00684BF3">
        <w:rPr>
          <w:sz w:val="16"/>
        </w:rPr>
        <w:t xml:space="preserve"> because we’re smarter than them, </w:t>
      </w:r>
      <w:r w:rsidRPr="00684BF3">
        <w:rPr>
          <w:rStyle w:val="StyleUnderline"/>
        </w:rPr>
        <w:t xml:space="preserve">so as soon as there is an artificial system </w:t>
      </w:r>
      <w:r w:rsidRPr="00684BF3">
        <w:rPr>
          <w:sz w:val="16"/>
        </w:rPr>
        <w:t xml:space="preserve">that’s smarter than us, </w:t>
      </w:r>
      <w:r w:rsidRPr="00456038">
        <w:rPr>
          <w:rStyle w:val="Emphasis"/>
          <w:highlight w:val="cyan"/>
        </w:rPr>
        <w:t>it’ll do to us what we did to the dodos</w:t>
      </w:r>
      <w:r w:rsidRPr="00684BF3">
        <w:rPr>
          <w:sz w:val="16"/>
        </w:rPr>
        <w:t xml:space="preserve">. </w:t>
      </w:r>
      <w:r w:rsidRPr="00684BF3">
        <w:rPr>
          <w:rStyle w:val="StyleUnderline"/>
        </w:rPr>
        <w:t>Or that technologically advanced civilizations, like European colonists</w:t>
      </w:r>
      <w:r w:rsidRPr="00684BF3">
        <w:rPr>
          <w:sz w:val="16"/>
        </w:rPr>
        <w:t xml:space="preserve"> and conquistadors subjugated and sometimes </w:t>
      </w:r>
      <w:r w:rsidRPr="00684BF3">
        <w:rPr>
          <w:rStyle w:val="StyleUnderline"/>
        </w:rPr>
        <w:t>wiped out indigenous peoples, so that’s what an AI system might do</w:t>
      </w:r>
      <w:r w:rsidRPr="00684BF3">
        <w:rPr>
          <w:sz w:val="16"/>
        </w:rPr>
        <w:t xml:space="preserve"> to us. That’s one variety of this scenario.</w:t>
      </w:r>
    </w:p>
    <w:p w14:paraId="6318B06D" w14:textId="77777777" w:rsidR="00D10287" w:rsidRPr="00684BF3" w:rsidRDefault="00D10287" w:rsidP="00D10287">
      <w:pPr>
        <w:rPr>
          <w:sz w:val="16"/>
        </w:rPr>
      </w:pPr>
      <w:r w:rsidRPr="00684BF3">
        <w:rPr>
          <w:sz w:val="16"/>
        </w:rPr>
        <w:t xml:space="preserve">I think </w:t>
      </w:r>
      <w:r w:rsidRPr="00684BF3">
        <w:rPr>
          <w:rStyle w:val="StyleUnderline"/>
        </w:rPr>
        <w:t>that scenario confuses intelligence with dominance</w:t>
      </w:r>
      <w:r w:rsidRPr="00684BF3">
        <w:rPr>
          <w:sz w:val="16"/>
        </w:rPr>
        <w:t xml:space="preserve">, </w:t>
      </w:r>
      <w:r w:rsidRPr="00684BF3">
        <w:rPr>
          <w:rStyle w:val="StyleUnderline"/>
        </w:rPr>
        <w:t>based on the fact that</w:t>
      </w:r>
      <w:r w:rsidRPr="00684BF3">
        <w:rPr>
          <w:sz w:val="16"/>
        </w:rPr>
        <w:t xml:space="preserve"> in one species, </w:t>
      </w:r>
      <w:r w:rsidRPr="00684BF3">
        <w:rPr>
          <w:rStyle w:val="StyleUnderline"/>
        </w:rPr>
        <w:t>Homo sapiens</w:t>
      </w:r>
      <w:r w:rsidRPr="00684BF3">
        <w:rPr>
          <w:sz w:val="16"/>
        </w:rPr>
        <w:t xml:space="preserve">, they happen to </w:t>
      </w:r>
      <w:r w:rsidRPr="00684BF3">
        <w:rPr>
          <w:rStyle w:val="StyleUnderline"/>
        </w:rPr>
        <w:t>come bundled together</w:t>
      </w:r>
      <w:r w:rsidRPr="00684BF3">
        <w:rPr>
          <w:sz w:val="16"/>
        </w:rPr>
        <w:t xml:space="preserve">, because we came about through natural selection, a competitive process driven by relative success at capturing scarce resources and competing for mates, ultimately with the goal of relative reproductive success. But </w:t>
      </w:r>
      <w:r w:rsidRPr="00456038">
        <w:rPr>
          <w:rStyle w:val="StyleUnderline"/>
          <w:highlight w:val="cyan"/>
        </w:rPr>
        <w:t xml:space="preserve">there’s </w:t>
      </w:r>
      <w:r w:rsidRPr="00456038">
        <w:rPr>
          <w:rStyle w:val="Emphasis"/>
          <w:highlight w:val="cyan"/>
        </w:rPr>
        <w:t>no reason</w:t>
      </w:r>
      <w:r w:rsidRPr="00684BF3">
        <w:rPr>
          <w:rStyle w:val="StyleUnderline"/>
        </w:rPr>
        <w:t xml:space="preserve"> that </w:t>
      </w:r>
      <w:r w:rsidRPr="00456038">
        <w:rPr>
          <w:rStyle w:val="Emphasis"/>
          <w:highlight w:val="cyan"/>
        </w:rPr>
        <w:t>a system</w:t>
      </w:r>
      <w:r w:rsidRPr="00684BF3">
        <w:rPr>
          <w:rStyle w:val="StyleUnderline"/>
        </w:rPr>
        <w:t xml:space="preserve"> </w:t>
      </w:r>
      <w:r w:rsidRPr="00456038">
        <w:rPr>
          <w:rStyle w:val="StyleUnderline"/>
          <w:highlight w:val="cyan"/>
        </w:rPr>
        <w:t>that</w:t>
      </w:r>
      <w:r w:rsidRPr="00684BF3">
        <w:rPr>
          <w:rStyle w:val="StyleUnderline"/>
        </w:rPr>
        <w:t xml:space="preserve"> </w:t>
      </w:r>
      <w:r w:rsidRPr="00456038">
        <w:rPr>
          <w:rStyle w:val="StyleUnderline"/>
          <w:highlight w:val="cyan"/>
        </w:rPr>
        <w:t xml:space="preserve">is </w:t>
      </w:r>
      <w:r w:rsidRPr="00456038">
        <w:rPr>
          <w:rStyle w:val="Emphasis"/>
          <w:highlight w:val="cyan"/>
        </w:rPr>
        <w:t>designed</w:t>
      </w:r>
      <w:r w:rsidRPr="00456038">
        <w:rPr>
          <w:rStyle w:val="StyleUnderline"/>
          <w:highlight w:val="cyan"/>
        </w:rPr>
        <w:t xml:space="preserve"> to</w:t>
      </w:r>
      <w:r w:rsidRPr="00684BF3">
        <w:rPr>
          <w:rStyle w:val="StyleUnderline"/>
        </w:rPr>
        <w:t xml:space="preserve"> pursue </w:t>
      </w:r>
      <w:r w:rsidRPr="00456038">
        <w:rPr>
          <w:rStyle w:val="StyleUnderline"/>
          <w:highlight w:val="cyan"/>
        </w:rPr>
        <w:t xml:space="preserve">a goal </w:t>
      </w:r>
      <w:r w:rsidRPr="00456038">
        <w:rPr>
          <w:rStyle w:val="Emphasis"/>
          <w:highlight w:val="cyan"/>
        </w:rPr>
        <w:t>would have as its goal</w:t>
      </w:r>
      <w:r w:rsidRPr="00684BF3">
        <w:rPr>
          <w:rStyle w:val="StyleUnderline"/>
        </w:rPr>
        <w:t xml:space="preserve">, </w:t>
      </w:r>
      <w:r w:rsidRPr="00456038">
        <w:rPr>
          <w:rStyle w:val="Emphasis"/>
          <w:highlight w:val="cyan"/>
        </w:rPr>
        <w:t>domination</w:t>
      </w:r>
      <w:r w:rsidRPr="00684BF3">
        <w:rPr>
          <w:sz w:val="16"/>
        </w:rPr>
        <w:t>. This goes back to our earlier discussion that the ability to achieve a goal is distinct from what the goal is.</w:t>
      </w:r>
    </w:p>
    <w:p w14:paraId="45353AA3" w14:textId="77777777" w:rsidR="00D10287" w:rsidRPr="00684BF3" w:rsidRDefault="00D10287" w:rsidP="00D10287">
      <w:pPr>
        <w:rPr>
          <w:rStyle w:val="StyleUnderline"/>
        </w:rPr>
      </w:pPr>
      <w:r w:rsidRPr="00684BF3">
        <w:rPr>
          <w:sz w:val="16"/>
        </w:rPr>
        <w:t xml:space="preserve">It just so happens that in products of natural selection, the goal was winning in reproductive competition. </w:t>
      </w:r>
      <w:r w:rsidRPr="00684BF3">
        <w:rPr>
          <w:rStyle w:val="StyleUnderline"/>
        </w:rPr>
        <w:t xml:space="preserve">For an artifact we design, </w:t>
      </w:r>
      <w:r w:rsidRPr="00684BF3">
        <w:rPr>
          <w:rStyle w:val="Emphasis"/>
        </w:rPr>
        <w:t>there’s just no reason</w:t>
      </w:r>
      <w:r w:rsidRPr="00684BF3">
        <w:rPr>
          <w:rStyle w:val="StyleUnderline"/>
        </w:rPr>
        <w:t xml:space="preserve"> that </w:t>
      </w:r>
      <w:r w:rsidRPr="00684BF3">
        <w:rPr>
          <w:rStyle w:val="Emphasis"/>
        </w:rPr>
        <w:t>would be true</w:t>
      </w:r>
      <w:r w:rsidRPr="00684BF3">
        <w:rPr>
          <w:sz w:val="16"/>
        </w:rPr>
        <w:t xml:space="preserve">. </w:t>
      </w:r>
      <w:r w:rsidRPr="00684BF3">
        <w:rPr>
          <w:rStyle w:val="StyleUnderline"/>
        </w:rPr>
        <w:t>This is</w:t>
      </w:r>
      <w:r w:rsidRPr="00684BF3">
        <w:rPr>
          <w:sz w:val="16"/>
        </w:rPr>
        <w:t xml:space="preserve"> sometimes </w:t>
      </w:r>
      <w:r w:rsidRPr="00684BF3">
        <w:rPr>
          <w:rStyle w:val="StyleUnderline"/>
        </w:rPr>
        <w:t xml:space="preserve">called the </w:t>
      </w:r>
      <w:r w:rsidRPr="00684BF3">
        <w:rPr>
          <w:rStyle w:val="Emphasis"/>
        </w:rPr>
        <w:t>orthogonality thesis</w:t>
      </w:r>
      <w:r w:rsidRPr="00684BF3">
        <w:rPr>
          <w:rStyle w:val="StyleUnderline"/>
        </w:rPr>
        <w:t xml:space="preserve"> in</w:t>
      </w:r>
      <w:r w:rsidRPr="00684BF3">
        <w:rPr>
          <w:sz w:val="16"/>
        </w:rPr>
        <w:t xml:space="preserve"> discussions of </w:t>
      </w:r>
      <w:r w:rsidRPr="00684BF3">
        <w:rPr>
          <w:rStyle w:val="Emphasis"/>
        </w:rPr>
        <w:t>existential risk</w:t>
      </w:r>
      <w:r w:rsidRPr="00684BF3">
        <w:rPr>
          <w:sz w:val="16"/>
        </w:rPr>
        <w:t xml:space="preserve">, although </w:t>
      </w:r>
      <w:r w:rsidRPr="00684BF3">
        <w:rPr>
          <w:rStyle w:val="StyleUnderline"/>
        </w:rPr>
        <w:t>that’s just a fancy-schmancy way of referring to Hume’s distinction between our goals and our intelligence.</w:t>
      </w:r>
    </w:p>
    <w:p w14:paraId="26174E6A" w14:textId="77777777" w:rsidR="00D10287" w:rsidRPr="00684BF3" w:rsidRDefault="00D10287" w:rsidP="00D10287">
      <w:pPr>
        <w:rPr>
          <w:sz w:val="16"/>
        </w:rPr>
      </w:pPr>
      <w:r w:rsidRPr="00684BF3">
        <w:rPr>
          <w:sz w:val="16"/>
        </w:rPr>
        <w:t xml:space="preserve">Now I know that </w:t>
      </w:r>
      <w:r w:rsidRPr="00456038">
        <w:rPr>
          <w:rStyle w:val="StyleUnderline"/>
          <w:highlight w:val="cyan"/>
        </w:rPr>
        <w:t>there is an argument that says</w:t>
      </w:r>
      <w:r w:rsidRPr="00684BF3">
        <w:rPr>
          <w:sz w:val="16"/>
        </w:rPr>
        <w:t>, “</w:t>
      </w:r>
      <w:r w:rsidRPr="00456038">
        <w:rPr>
          <w:rStyle w:val="StyleUnderline"/>
          <w:highlight w:val="cyan"/>
        </w:rPr>
        <w:t>Wouldn’t any</w:t>
      </w:r>
      <w:r w:rsidRPr="00684BF3">
        <w:rPr>
          <w:rStyle w:val="StyleUnderline"/>
        </w:rPr>
        <w:t xml:space="preserve"> intelligence </w:t>
      </w:r>
      <w:r w:rsidRPr="00456038">
        <w:rPr>
          <w:rStyle w:val="StyleUnderline"/>
          <w:highlight w:val="cyan"/>
        </w:rPr>
        <w:t>system have to maximize</w:t>
      </w:r>
      <w:r w:rsidRPr="00684BF3">
        <w:rPr>
          <w:rStyle w:val="StyleUnderline"/>
        </w:rPr>
        <w:t xml:space="preserve"> its</w:t>
      </w:r>
      <w:r w:rsidRPr="00684BF3">
        <w:rPr>
          <w:sz w:val="16"/>
        </w:rPr>
        <w:t xml:space="preserve"> own </w:t>
      </w:r>
      <w:r w:rsidRPr="00456038">
        <w:rPr>
          <w:rStyle w:val="StyleUnderline"/>
          <w:highlight w:val="cyan"/>
        </w:rPr>
        <w:t>survivability</w:t>
      </w:r>
      <w:r w:rsidRPr="00684BF3">
        <w:rPr>
          <w:rStyle w:val="StyleUnderline"/>
        </w:rPr>
        <w:t xml:space="preserve">, </w:t>
      </w:r>
      <w:r w:rsidRPr="00456038">
        <w:rPr>
          <w:rStyle w:val="StyleUnderline"/>
          <w:highlight w:val="cyan"/>
        </w:rPr>
        <w:t>because</w:t>
      </w:r>
      <w:r w:rsidRPr="00684BF3">
        <w:rPr>
          <w:rStyle w:val="StyleUnderline"/>
        </w:rPr>
        <w:t xml:space="preserve"> if </w:t>
      </w:r>
      <w:r w:rsidRPr="00456038">
        <w:rPr>
          <w:rStyle w:val="StyleUnderline"/>
          <w:highlight w:val="cyan"/>
        </w:rPr>
        <w:t>it’s</w:t>
      </w:r>
      <w:r w:rsidRPr="00684BF3">
        <w:rPr>
          <w:rStyle w:val="StyleUnderline"/>
        </w:rPr>
        <w:t xml:space="preserve"> </w:t>
      </w:r>
      <w:r w:rsidRPr="00456038">
        <w:rPr>
          <w:rStyle w:val="StyleUnderline"/>
          <w:highlight w:val="cyan"/>
        </w:rPr>
        <w:t>given</w:t>
      </w:r>
      <w:r w:rsidRPr="00684BF3">
        <w:rPr>
          <w:rStyle w:val="StyleUnderline"/>
        </w:rPr>
        <w:t xml:space="preserve"> the </w:t>
      </w:r>
      <w:r w:rsidRPr="00456038">
        <w:rPr>
          <w:rStyle w:val="StyleUnderline"/>
          <w:highlight w:val="cyan"/>
        </w:rPr>
        <w:t>goal of X</w:t>
      </w:r>
      <w:r w:rsidRPr="00684BF3">
        <w:rPr>
          <w:sz w:val="16"/>
        </w:rPr>
        <w:t xml:space="preserve">, well, </w:t>
      </w:r>
      <w:r w:rsidRPr="00456038">
        <w:rPr>
          <w:rStyle w:val="StyleUnderline"/>
          <w:highlight w:val="cyan"/>
        </w:rPr>
        <w:t>you can’t achieve X if you don’t exist</w:t>
      </w:r>
      <w:r w:rsidRPr="00684BF3">
        <w:rPr>
          <w:rStyle w:val="StyleUnderline"/>
        </w:rPr>
        <w:t>, therefore</w:t>
      </w:r>
      <w:r w:rsidRPr="00684BF3">
        <w:rPr>
          <w:sz w:val="16"/>
        </w:rPr>
        <w:t xml:space="preserve">, as a subgoal to achieving X, </w:t>
      </w:r>
      <w:r w:rsidRPr="00684BF3">
        <w:rPr>
          <w:rStyle w:val="StyleUnderline"/>
        </w:rPr>
        <w:t>you’ve got to maximize your own survival</w:t>
      </w:r>
      <w:r w:rsidRPr="00684BF3">
        <w:rPr>
          <w:sz w:val="16"/>
        </w:rPr>
        <w:t xml:space="preserve"> at all costs.” I think </w:t>
      </w:r>
      <w:r w:rsidRPr="00456038">
        <w:rPr>
          <w:rStyle w:val="Emphasis"/>
          <w:highlight w:val="cyan"/>
        </w:rPr>
        <w:t>that’s fallacious</w:t>
      </w:r>
      <w:r w:rsidRPr="00684BF3">
        <w:rPr>
          <w:sz w:val="16"/>
        </w:rPr>
        <w:t xml:space="preserve">. </w:t>
      </w:r>
      <w:r w:rsidRPr="00684BF3">
        <w:rPr>
          <w:rStyle w:val="StyleUnderline"/>
        </w:rPr>
        <w:t>It’s</w:t>
      </w:r>
      <w:r w:rsidRPr="00684BF3">
        <w:rPr>
          <w:sz w:val="16"/>
        </w:rPr>
        <w:t xml:space="preserve"> certainly </w:t>
      </w:r>
      <w:r w:rsidRPr="00684BF3">
        <w:rPr>
          <w:rStyle w:val="Emphasis"/>
        </w:rPr>
        <w:t>not</w:t>
      </w:r>
      <w:r w:rsidRPr="00684BF3">
        <w:rPr>
          <w:rStyle w:val="StyleUnderline"/>
        </w:rPr>
        <w:t xml:space="preserve"> true that </w:t>
      </w:r>
      <w:r w:rsidRPr="00684BF3">
        <w:rPr>
          <w:rStyle w:val="Emphasis"/>
        </w:rPr>
        <w:t>all</w:t>
      </w:r>
      <w:r w:rsidRPr="00684BF3">
        <w:rPr>
          <w:sz w:val="16"/>
        </w:rPr>
        <w:t xml:space="preserve"> complex </w:t>
      </w:r>
      <w:r w:rsidRPr="00684BF3">
        <w:rPr>
          <w:rStyle w:val="Emphasis"/>
        </w:rPr>
        <w:t>systems</w:t>
      </w:r>
      <w:r w:rsidRPr="00684BF3">
        <w:rPr>
          <w:rStyle w:val="StyleUnderline"/>
        </w:rPr>
        <w:t xml:space="preserve"> have to </w:t>
      </w:r>
      <w:r w:rsidRPr="00684BF3">
        <w:rPr>
          <w:rStyle w:val="Emphasis"/>
        </w:rPr>
        <w:t>work toward</w:t>
      </w:r>
      <w:r w:rsidRPr="00684BF3">
        <w:rPr>
          <w:sz w:val="16"/>
        </w:rPr>
        <w:t xml:space="preserve"> their own </w:t>
      </w:r>
      <w:r w:rsidRPr="00684BF3">
        <w:rPr>
          <w:rStyle w:val="Emphasis"/>
        </w:rPr>
        <w:t>perpetuation</w:t>
      </w:r>
      <w:r w:rsidRPr="00684BF3">
        <w:rPr>
          <w:sz w:val="16"/>
        </w:rPr>
        <w:t xml:space="preserve">. </w:t>
      </w:r>
      <w:r w:rsidRPr="00456038">
        <w:rPr>
          <w:rStyle w:val="StyleUnderline"/>
          <w:highlight w:val="cyan"/>
        </w:rPr>
        <w:t xml:space="preserve">My </w:t>
      </w:r>
      <w:r w:rsidRPr="00456038">
        <w:rPr>
          <w:rStyle w:val="Emphasis"/>
          <w:highlight w:val="cyan"/>
        </w:rPr>
        <w:t>iPhone</w:t>
      </w:r>
      <w:r w:rsidRPr="00456038">
        <w:rPr>
          <w:rStyle w:val="StyleUnderline"/>
          <w:highlight w:val="cyan"/>
        </w:rPr>
        <w:t xml:space="preserve"> </w:t>
      </w:r>
      <w:r w:rsidRPr="00456038">
        <w:rPr>
          <w:rStyle w:val="Emphasis"/>
          <w:highlight w:val="cyan"/>
        </w:rPr>
        <w:t>doesn’t take</w:t>
      </w:r>
      <w:r w:rsidRPr="00684BF3">
        <w:rPr>
          <w:sz w:val="16"/>
        </w:rPr>
        <w:t xml:space="preserve"> any </w:t>
      </w:r>
      <w:r w:rsidRPr="00456038">
        <w:rPr>
          <w:rStyle w:val="Emphasis"/>
          <w:highlight w:val="cyan"/>
        </w:rPr>
        <w:t>steps to resist</w:t>
      </w:r>
      <w:r w:rsidRPr="00684BF3">
        <w:rPr>
          <w:rStyle w:val="StyleUnderline"/>
        </w:rPr>
        <w:t xml:space="preserve"> my dropping it into a toilet, or </w:t>
      </w:r>
      <w:r w:rsidRPr="00684BF3">
        <w:rPr>
          <w:rStyle w:val="Emphasis"/>
        </w:rPr>
        <w:t xml:space="preserve">letting </w:t>
      </w:r>
      <w:r w:rsidRPr="00456038">
        <w:rPr>
          <w:rStyle w:val="Emphasis"/>
          <w:highlight w:val="cyan"/>
        </w:rPr>
        <w:t>it run out of power</w:t>
      </w:r>
      <w:r w:rsidRPr="00684BF3">
        <w:rPr>
          <w:sz w:val="16"/>
        </w:rPr>
        <w:t>.</w:t>
      </w:r>
    </w:p>
    <w:p w14:paraId="6728121F" w14:textId="77777777" w:rsidR="00D10287" w:rsidRPr="00684BF3" w:rsidRDefault="00D10287" w:rsidP="00D10287">
      <w:pPr>
        <w:rPr>
          <w:sz w:val="16"/>
        </w:rPr>
      </w:pPr>
      <w:r w:rsidRPr="00684BF3">
        <w:rPr>
          <w:sz w:val="16"/>
        </w:rPr>
        <w:t xml:space="preserve">You could imagine </w:t>
      </w:r>
      <w:r w:rsidRPr="00684BF3">
        <w:rPr>
          <w:rStyle w:val="Emphasis"/>
        </w:rPr>
        <w:t>if it could be programmed</w:t>
      </w:r>
      <w:r w:rsidRPr="00684BF3">
        <w:rPr>
          <w:rStyle w:val="StyleUnderline"/>
        </w:rPr>
        <w:t xml:space="preserve"> like a child </w:t>
      </w:r>
      <w:r w:rsidRPr="00684BF3">
        <w:rPr>
          <w:rStyle w:val="Emphasis"/>
        </w:rPr>
        <w:t>to whine</w:t>
      </w:r>
      <w:r w:rsidRPr="00684BF3">
        <w:rPr>
          <w:sz w:val="16"/>
        </w:rPr>
        <w:t xml:space="preserve">, and to cry, and to refuse to do what it’s told to do </w:t>
      </w:r>
      <w:r w:rsidRPr="00684BF3">
        <w:rPr>
          <w:rStyle w:val="StyleUnderline"/>
        </w:rPr>
        <w:t>as its power level went down</w:t>
      </w:r>
      <w:r w:rsidRPr="00684BF3">
        <w:rPr>
          <w:sz w:val="16"/>
        </w:rPr>
        <w:t xml:space="preserve">. </w:t>
      </w:r>
      <w:r w:rsidRPr="00684BF3">
        <w:rPr>
          <w:rStyle w:val="Emphasis"/>
        </w:rPr>
        <w:t>We wouldn’t buy one</w:t>
      </w:r>
      <w:r w:rsidRPr="00684BF3">
        <w:rPr>
          <w:sz w:val="16"/>
        </w:rPr>
        <w:t xml:space="preserve">. And we know in the natural world, </w:t>
      </w:r>
      <w:r w:rsidRPr="00684BF3">
        <w:rPr>
          <w:rStyle w:val="StyleUnderline"/>
        </w:rPr>
        <w:t>there are plenty of living systems that sacrifice their own existence for other goals</w:t>
      </w:r>
      <w:r w:rsidRPr="00684BF3">
        <w:rPr>
          <w:sz w:val="16"/>
        </w:rPr>
        <w:t xml:space="preserve">. When </w:t>
      </w:r>
      <w:r w:rsidRPr="00684BF3">
        <w:rPr>
          <w:rStyle w:val="StyleUnderline"/>
        </w:rPr>
        <w:t xml:space="preserve">a bee </w:t>
      </w:r>
      <w:r w:rsidRPr="00684BF3">
        <w:rPr>
          <w:sz w:val="16"/>
        </w:rPr>
        <w:t xml:space="preserve">stings you, its barbed stinger is dislodged when the bee escapes, killing the bee, but because the bee </w:t>
      </w:r>
      <w:r w:rsidRPr="00684BF3">
        <w:rPr>
          <w:rStyle w:val="StyleUnderline"/>
        </w:rPr>
        <w:t>is programmed to maximize the survivability of the colony, not itself</w:t>
      </w:r>
      <w:r w:rsidRPr="00684BF3">
        <w:rPr>
          <w:sz w:val="16"/>
        </w:rPr>
        <w:t xml:space="preserve">, it willingly sacrifices itself. So </w:t>
      </w:r>
      <w:r w:rsidRPr="00684BF3">
        <w:rPr>
          <w:rStyle w:val="Emphasis"/>
        </w:rPr>
        <w:t>it is not true</w:t>
      </w:r>
      <w:r w:rsidRPr="00684BF3">
        <w:rPr>
          <w:rStyle w:val="StyleUnderline"/>
        </w:rPr>
        <w:t xml:space="preserve"> that</w:t>
      </w:r>
      <w:r w:rsidRPr="00684BF3">
        <w:rPr>
          <w:sz w:val="16"/>
        </w:rPr>
        <w:t xml:space="preserve"> by definition </w:t>
      </w:r>
      <w:r w:rsidRPr="00684BF3">
        <w:rPr>
          <w:rStyle w:val="Emphasis"/>
        </w:rPr>
        <w:t>an intelligent system has to maximize</w:t>
      </w:r>
      <w:r w:rsidRPr="00684BF3">
        <w:rPr>
          <w:rStyle w:val="StyleUnderline"/>
        </w:rPr>
        <w:t xml:space="preserve"> its own</w:t>
      </w:r>
      <w:r w:rsidRPr="00684BF3">
        <w:rPr>
          <w:sz w:val="16"/>
        </w:rPr>
        <w:t xml:space="preserve"> power or </w:t>
      </w:r>
      <w:r w:rsidRPr="00684BF3">
        <w:rPr>
          <w:rStyle w:val="Emphasis"/>
        </w:rPr>
        <w:t>survivability</w:t>
      </w:r>
      <w:r w:rsidRPr="00684BF3">
        <w:rPr>
          <w:sz w:val="16"/>
        </w:rPr>
        <w:t>.</w:t>
      </w:r>
    </w:p>
    <w:p w14:paraId="074C1265" w14:textId="77777777" w:rsidR="00D10287" w:rsidRPr="00684BF3" w:rsidRDefault="00D10287" w:rsidP="00D10287">
      <w:pPr>
        <w:rPr>
          <w:sz w:val="16"/>
        </w:rPr>
      </w:pPr>
      <w:r w:rsidRPr="00684BF3">
        <w:rPr>
          <w:sz w:val="16"/>
        </w:rPr>
        <w:t xml:space="preserve">But </w:t>
      </w:r>
      <w:r w:rsidRPr="00456038">
        <w:rPr>
          <w:rStyle w:val="StyleUnderline"/>
          <w:highlight w:val="cyan"/>
        </w:rPr>
        <w:t>the</w:t>
      </w:r>
      <w:r w:rsidRPr="00684BF3">
        <w:rPr>
          <w:rStyle w:val="StyleUnderline"/>
        </w:rPr>
        <w:t xml:space="preserve"> more </w:t>
      </w:r>
      <w:r w:rsidRPr="00456038">
        <w:rPr>
          <w:rStyle w:val="StyleUnderline"/>
          <w:highlight w:val="cyan"/>
        </w:rPr>
        <w:t>common</w:t>
      </w:r>
      <w:r w:rsidRPr="00684BF3">
        <w:rPr>
          <w:rStyle w:val="StyleUnderline"/>
        </w:rPr>
        <w:t xml:space="preserve"> </w:t>
      </w:r>
      <w:r w:rsidRPr="00684BF3">
        <w:rPr>
          <w:rStyle w:val="Emphasis"/>
        </w:rPr>
        <w:t xml:space="preserve">existential threat </w:t>
      </w:r>
      <w:r w:rsidRPr="00456038">
        <w:rPr>
          <w:rStyle w:val="Emphasis"/>
          <w:highlight w:val="cyan"/>
        </w:rPr>
        <w:t>scenario</w:t>
      </w:r>
      <w:r w:rsidRPr="00684BF3">
        <w:rPr>
          <w:rStyle w:val="StyleUnderline"/>
        </w:rPr>
        <w:t xml:space="preserve"> </w:t>
      </w:r>
      <w:r w:rsidRPr="00456038">
        <w:rPr>
          <w:rStyle w:val="StyleUnderline"/>
          <w:highlight w:val="cyan"/>
        </w:rPr>
        <w:t>is</w:t>
      </w:r>
      <w:r w:rsidRPr="00684BF3">
        <w:rPr>
          <w:sz w:val="16"/>
        </w:rPr>
        <w:t xml:space="preserve"> not a will to power but </w:t>
      </w:r>
      <w:r w:rsidRPr="00456038">
        <w:rPr>
          <w:rStyle w:val="Emphasis"/>
          <w:highlight w:val="cyan"/>
        </w:rPr>
        <w:t>collateral damage</w:t>
      </w:r>
      <w:r w:rsidRPr="00684BF3">
        <w:rPr>
          <w:sz w:val="16"/>
        </w:rPr>
        <w:t xml:space="preserve">. </w:t>
      </w:r>
      <w:r w:rsidRPr="00684BF3">
        <w:rPr>
          <w:rStyle w:val="StyleUnderline"/>
        </w:rPr>
        <w:t xml:space="preserve">That </w:t>
      </w:r>
      <w:r w:rsidRPr="00456038">
        <w:rPr>
          <w:rStyle w:val="StyleUnderline"/>
          <w:highlight w:val="cyan"/>
        </w:rPr>
        <w:t xml:space="preserve">if </w:t>
      </w:r>
      <w:r w:rsidRPr="00456038">
        <w:rPr>
          <w:rStyle w:val="Emphasis"/>
          <w:highlight w:val="cyan"/>
        </w:rPr>
        <w:t>an AI system</w:t>
      </w:r>
      <w:r w:rsidRPr="00456038">
        <w:rPr>
          <w:rStyle w:val="StyleUnderline"/>
          <w:highlight w:val="cyan"/>
        </w:rPr>
        <w:t xml:space="preserve"> is given a</w:t>
      </w:r>
      <w:r w:rsidRPr="00684BF3">
        <w:rPr>
          <w:sz w:val="16"/>
        </w:rPr>
        <w:t xml:space="preserve"> single </w:t>
      </w:r>
      <w:r w:rsidRPr="00456038">
        <w:rPr>
          <w:rStyle w:val="Emphasis"/>
          <w:highlight w:val="cyan"/>
        </w:rPr>
        <w:t>goal</w:t>
      </w:r>
      <w:r w:rsidRPr="00684BF3">
        <w:rPr>
          <w:sz w:val="16"/>
        </w:rPr>
        <w:t xml:space="preserve">, </w:t>
      </w:r>
      <w:r w:rsidRPr="00684BF3">
        <w:rPr>
          <w:rStyle w:val="StyleUnderline"/>
        </w:rPr>
        <w:t xml:space="preserve">what if </w:t>
      </w:r>
      <w:r w:rsidRPr="00456038">
        <w:rPr>
          <w:rStyle w:val="StyleUnderline"/>
          <w:highlight w:val="cyan"/>
        </w:rPr>
        <w:t xml:space="preserve">it </w:t>
      </w:r>
      <w:r w:rsidRPr="00456038">
        <w:rPr>
          <w:rStyle w:val="Emphasis"/>
          <w:highlight w:val="cyan"/>
        </w:rPr>
        <w:t>relentlessly pursues it</w:t>
      </w:r>
      <w:r w:rsidRPr="00456038">
        <w:rPr>
          <w:rStyle w:val="StyleUnderline"/>
          <w:highlight w:val="cyan"/>
        </w:rPr>
        <w:t xml:space="preserve"> </w:t>
      </w:r>
      <w:r w:rsidRPr="00684BF3">
        <w:rPr>
          <w:rStyle w:val="StyleUnderline"/>
        </w:rPr>
        <w:t>without</w:t>
      </w:r>
      <w:r w:rsidRPr="00684BF3">
        <w:rPr>
          <w:sz w:val="16"/>
        </w:rPr>
        <w:t xml:space="preserve"> </w:t>
      </w:r>
      <w:r w:rsidRPr="00684BF3">
        <w:rPr>
          <w:rStyle w:val="StyleUnderline"/>
        </w:rPr>
        <w:t>consideration of side effects</w:t>
      </w:r>
      <w:r w:rsidRPr="00684BF3">
        <w:rPr>
          <w:sz w:val="16"/>
        </w:rPr>
        <w:t xml:space="preserve">, including harm to us? </w:t>
      </w:r>
      <w:r w:rsidRPr="00456038">
        <w:rPr>
          <w:rStyle w:val="Emphasis"/>
          <w:highlight w:val="cyan"/>
        </w:rPr>
        <w:t>There are famous examples</w:t>
      </w:r>
      <w:r w:rsidRPr="00684BF3">
        <w:rPr>
          <w:rStyle w:val="StyleUnderline"/>
        </w:rPr>
        <w:t xml:space="preserve"> that </w:t>
      </w:r>
      <w:r w:rsidRPr="00456038">
        <w:rPr>
          <w:rStyle w:val="Emphasis"/>
          <w:highlight w:val="cyan"/>
        </w:rPr>
        <w:t>I</w:t>
      </w:r>
      <w:r w:rsidRPr="00684BF3">
        <w:rPr>
          <w:rStyle w:val="StyleUnderline"/>
        </w:rPr>
        <w:t xml:space="preserve"> originally </w:t>
      </w:r>
      <w:r w:rsidRPr="00456038">
        <w:rPr>
          <w:rStyle w:val="Emphasis"/>
          <w:highlight w:val="cyan"/>
        </w:rPr>
        <w:t>thought were spoofs</w:t>
      </w:r>
      <w:r w:rsidRPr="00684BF3">
        <w:rPr>
          <w:rStyle w:val="StyleUnderline"/>
        </w:rPr>
        <w:t xml:space="preserve">, </w:t>
      </w:r>
      <w:r w:rsidRPr="00456038">
        <w:rPr>
          <w:rStyle w:val="Emphasis"/>
          <w:highlight w:val="cyan"/>
        </w:rPr>
        <w:t>but</w:t>
      </w:r>
      <w:r w:rsidRPr="00684BF3">
        <w:rPr>
          <w:rStyle w:val="StyleUnderline"/>
        </w:rPr>
        <w:t xml:space="preserve"> were </w:t>
      </w:r>
      <w:r w:rsidRPr="00456038">
        <w:rPr>
          <w:rStyle w:val="Emphasis"/>
          <w:highlight w:val="cyan"/>
        </w:rPr>
        <w:t>intended seriously</w:t>
      </w:r>
      <w:r w:rsidRPr="00684BF3">
        <w:rPr>
          <w:rStyle w:val="StyleUnderline"/>
        </w:rPr>
        <w:t xml:space="preserve">, </w:t>
      </w:r>
      <w:r w:rsidRPr="00456038">
        <w:rPr>
          <w:rStyle w:val="StyleUnderline"/>
          <w:highlight w:val="cyan"/>
        </w:rPr>
        <w:t>like</w:t>
      </w:r>
      <w:r w:rsidRPr="00684BF3">
        <w:rPr>
          <w:rStyle w:val="StyleUnderline"/>
        </w:rPr>
        <w:t xml:space="preserve"> </w:t>
      </w:r>
      <w:r w:rsidRPr="00684BF3">
        <w:rPr>
          <w:sz w:val="16"/>
        </w:rPr>
        <w:t>giving an AI system the goal of</w:t>
      </w:r>
      <w:r w:rsidRPr="00684BF3">
        <w:rPr>
          <w:rStyle w:val="StyleUnderline"/>
        </w:rPr>
        <w:t xml:space="preserve"> </w:t>
      </w:r>
      <w:r w:rsidRPr="00456038">
        <w:rPr>
          <w:rStyle w:val="Emphasis"/>
          <w:highlight w:val="cyan"/>
        </w:rPr>
        <w:t>making</w:t>
      </w:r>
      <w:r w:rsidRPr="00684BF3">
        <w:rPr>
          <w:rStyle w:val="StyleUnderline"/>
        </w:rPr>
        <w:t xml:space="preserve"> as many </w:t>
      </w:r>
      <w:r w:rsidRPr="00456038">
        <w:rPr>
          <w:rStyle w:val="Emphasis"/>
          <w:highlight w:val="cyan"/>
        </w:rPr>
        <w:t>paperclips</w:t>
      </w:r>
      <w:r w:rsidRPr="00684BF3">
        <w:rPr>
          <w:rStyle w:val="StyleUnderline"/>
        </w:rPr>
        <w:t xml:space="preserve"> as possible</w:t>
      </w:r>
      <w:r w:rsidRPr="00684BF3">
        <w:rPr>
          <w:sz w:val="16"/>
        </w:rPr>
        <w:t xml:space="preserve">, and </w:t>
      </w:r>
      <w:r w:rsidRPr="00456038">
        <w:rPr>
          <w:rStyle w:val="StyleUnderline"/>
          <w:highlight w:val="cyan"/>
        </w:rPr>
        <w:t xml:space="preserve">so </w:t>
      </w:r>
      <w:r w:rsidRPr="00456038">
        <w:rPr>
          <w:rStyle w:val="Emphasis"/>
          <w:highlight w:val="cyan"/>
        </w:rPr>
        <w:t>it converts all</w:t>
      </w:r>
      <w:r w:rsidRPr="00684BF3">
        <w:rPr>
          <w:rStyle w:val="StyleUnderline"/>
        </w:rPr>
        <w:t xml:space="preserve"> available </w:t>
      </w:r>
      <w:r w:rsidRPr="00456038">
        <w:rPr>
          <w:rStyle w:val="Emphasis"/>
          <w:highlight w:val="cyan"/>
        </w:rPr>
        <w:t>matter</w:t>
      </w:r>
      <w:r w:rsidRPr="00684BF3">
        <w:rPr>
          <w:rStyle w:val="StyleUnderline"/>
        </w:rPr>
        <w:t xml:space="preserve"> in</w:t>
      </w:r>
      <w:r w:rsidRPr="00456038">
        <w:rPr>
          <w:rStyle w:val="Emphasis"/>
          <w:highlight w:val="cyan"/>
        </w:rPr>
        <w:t>to</w:t>
      </w:r>
      <w:r w:rsidRPr="00684BF3">
        <w:rPr>
          <w:rStyle w:val="Emphasis"/>
        </w:rPr>
        <w:t xml:space="preserve"> </w:t>
      </w:r>
      <w:r w:rsidRPr="00456038">
        <w:rPr>
          <w:rStyle w:val="Emphasis"/>
          <w:highlight w:val="cyan"/>
        </w:rPr>
        <w:t>paperclips</w:t>
      </w:r>
      <w:r w:rsidRPr="00684BF3">
        <w:rPr>
          <w:rStyle w:val="StyleUnderline"/>
        </w:rPr>
        <w:t xml:space="preserve">, </w:t>
      </w:r>
      <w:r w:rsidRPr="00456038">
        <w:rPr>
          <w:rStyle w:val="StyleUnderline"/>
          <w:highlight w:val="cyan"/>
        </w:rPr>
        <w:t>including</w:t>
      </w:r>
      <w:r w:rsidRPr="00684BF3">
        <w:rPr>
          <w:rStyle w:val="StyleUnderline"/>
        </w:rPr>
        <w:t xml:space="preserve"> </w:t>
      </w:r>
      <w:r w:rsidRPr="00456038">
        <w:rPr>
          <w:rStyle w:val="StyleUnderline"/>
          <w:highlight w:val="cyan"/>
        </w:rPr>
        <w:t>our</w:t>
      </w:r>
      <w:r w:rsidRPr="00684BF3">
        <w:rPr>
          <w:rStyle w:val="StyleUnderline"/>
        </w:rPr>
        <w:t xml:space="preserve"> own </w:t>
      </w:r>
      <w:r w:rsidRPr="00456038">
        <w:rPr>
          <w:rStyle w:val="StyleUnderline"/>
          <w:highlight w:val="cyan"/>
        </w:rPr>
        <w:t>bodies</w:t>
      </w:r>
      <w:r w:rsidRPr="00684BF3">
        <w:rPr>
          <w:sz w:val="16"/>
        </w:rPr>
        <w:t xml:space="preserve"> (</w:t>
      </w:r>
      <w:r w:rsidRPr="00456038">
        <w:rPr>
          <w:rStyle w:val="StyleUnderline"/>
          <w:highlight w:val="cyan"/>
        </w:rPr>
        <w:t>putting aside the fact</w:t>
      </w:r>
      <w:r w:rsidRPr="00684BF3">
        <w:rPr>
          <w:sz w:val="16"/>
        </w:rPr>
        <w:t xml:space="preserve"> that </w:t>
      </w:r>
      <w:r w:rsidRPr="00456038">
        <w:rPr>
          <w:rStyle w:val="Emphasis"/>
          <w:highlight w:val="cyan"/>
        </w:rPr>
        <w:t>we don’t need</w:t>
      </w:r>
      <w:r w:rsidRPr="00684BF3">
        <w:rPr>
          <w:rStyle w:val="Emphasis"/>
        </w:rPr>
        <w:t xml:space="preserve"> </w:t>
      </w:r>
      <w:r w:rsidRPr="00456038">
        <w:rPr>
          <w:rStyle w:val="Emphasis"/>
          <w:highlight w:val="cyan"/>
        </w:rPr>
        <w:t>more</w:t>
      </w:r>
      <w:r w:rsidRPr="00456038">
        <w:rPr>
          <w:rStyle w:val="StyleUnderline"/>
          <w:highlight w:val="cyan"/>
        </w:rPr>
        <w:t xml:space="preserve"> efficient</w:t>
      </w:r>
      <w:r w:rsidRPr="00684BF3">
        <w:rPr>
          <w:rStyle w:val="StyleUnderline"/>
        </w:rPr>
        <w:t xml:space="preserve"> </w:t>
      </w:r>
      <w:r w:rsidRPr="00684BF3">
        <w:rPr>
          <w:rStyle w:val="Emphasis"/>
        </w:rPr>
        <w:t xml:space="preserve">paperclip </w:t>
      </w:r>
      <w:r w:rsidRPr="00456038">
        <w:rPr>
          <w:rStyle w:val="Emphasis"/>
          <w:highlight w:val="cyan"/>
        </w:rPr>
        <w:t>manufacturing</w:t>
      </w:r>
      <w:r w:rsidRPr="00684BF3">
        <w:rPr>
          <w:rStyle w:val="StyleUnderline"/>
        </w:rPr>
        <w:t xml:space="preserve"> </w:t>
      </w:r>
      <w:r w:rsidRPr="00684BF3">
        <w:rPr>
          <w:sz w:val="16"/>
        </w:rPr>
        <w:t xml:space="preserve">than what we already have, </w:t>
      </w:r>
      <w:r w:rsidRPr="00456038">
        <w:rPr>
          <w:rStyle w:val="StyleUnderline"/>
          <w:highlight w:val="cyan"/>
        </w:rPr>
        <w:t>and</w:t>
      </w:r>
      <w:r w:rsidRPr="00684BF3">
        <w:rPr>
          <w:sz w:val="16"/>
        </w:rPr>
        <w:t xml:space="preserve"> that </w:t>
      </w:r>
      <w:r w:rsidRPr="00684BF3">
        <w:rPr>
          <w:rStyle w:val="StyleUnderline"/>
        </w:rPr>
        <w:t xml:space="preserve">human </w:t>
      </w:r>
      <w:r w:rsidRPr="00456038">
        <w:rPr>
          <w:rStyle w:val="Emphasis"/>
          <w:highlight w:val="cyan"/>
        </w:rPr>
        <w:t>bodies are a</w:t>
      </w:r>
      <w:r w:rsidRPr="00684BF3">
        <w:rPr>
          <w:rStyle w:val="StyleUnderline"/>
        </w:rPr>
        <w:t xml:space="preserve"> pretty </w:t>
      </w:r>
      <w:r w:rsidRPr="00456038">
        <w:rPr>
          <w:rStyle w:val="Emphasis"/>
          <w:highlight w:val="cyan"/>
        </w:rPr>
        <w:t>crummy source of iron</w:t>
      </w:r>
      <w:r w:rsidRPr="00456038">
        <w:rPr>
          <w:rStyle w:val="StyleUnderline"/>
          <w:highlight w:val="cyan"/>
        </w:rPr>
        <w:t xml:space="preserve"> for paperclips</w:t>
      </w:r>
      <w:r w:rsidRPr="00684BF3">
        <w:rPr>
          <w:sz w:val="16"/>
        </w:rPr>
        <w:t>).</w:t>
      </w:r>
    </w:p>
    <w:p w14:paraId="0C6A6C16" w14:textId="77777777" w:rsidR="00D10287" w:rsidRPr="00684BF3" w:rsidRDefault="00D10287" w:rsidP="00D10287">
      <w:pPr>
        <w:rPr>
          <w:sz w:val="16"/>
        </w:rPr>
      </w:pPr>
      <w:r w:rsidRPr="00684BF3">
        <w:rPr>
          <w:rStyle w:val="StyleUnderline"/>
        </w:rPr>
        <w:t>Barely more plausible is the idea</w:t>
      </w:r>
      <w:r w:rsidRPr="00684BF3">
        <w:rPr>
          <w:sz w:val="16"/>
        </w:rPr>
        <w:t xml:space="preserve"> that </w:t>
      </w:r>
      <w:r w:rsidRPr="00684BF3">
        <w:rPr>
          <w:rStyle w:val="StyleUnderline"/>
        </w:rPr>
        <w:t>we</w:t>
      </w:r>
      <w:r w:rsidRPr="00684BF3">
        <w:rPr>
          <w:sz w:val="16"/>
        </w:rPr>
        <w:t xml:space="preserve"> might </w:t>
      </w:r>
      <w:r w:rsidRPr="00684BF3">
        <w:rPr>
          <w:rStyle w:val="StyleUnderline"/>
        </w:rPr>
        <w:t>give an AI system the goal of curing cancer</w:t>
      </w:r>
      <w:r w:rsidRPr="00684BF3">
        <w:rPr>
          <w:sz w:val="16"/>
        </w:rPr>
        <w:t xml:space="preserve">, and </w:t>
      </w:r>
      <w:r w:rsidRPr="00684BF3">
        <w:rPr>
          <w:rStyle w:val="StyleUnderline"/>
        </w:rPr>
        <w:t>so it will  conscript us as involuntary guinea pigs and induce tumors</w:t>
      </w:r>
      <w:r w:rsidRPr="00684BF3">
        <w:rPr>
          <w:sz w:val="16"/>
        </w:rPr>
        <w:t xml:space="preserve"> in all of us, </w:t>
      </w:r>
      <w:r w:rsidRPr="00684BF3">
        <w:rPr>
          <w:rStyle w:val="StyleUnderline"/>
        </w:rPr>
        <w:t>or that we might give it the goal of regulating</w:t>
      </w:r>
      <w:r w:rsidRPr="00684BF3">
        <w:rPr>
          <w:sz w:val="16"/>
        </w:rPr>
        <w:t xml:space="preserve"> the level of </w:t>
      </w:r>
      <w:r w:rsidRPr="00684BF3">
        <w:rPr>
          <w:rStyle w:val="StyleUnderline"/>
        </w:rPr>
        <w:t>water behind a dam and it might flood a town because it was never given the goal of not drowning a village</w:t>
      </w:r>
      <w:r w:rsidRPr="00684BF3">
        <w:rPr>
          <w:sz w:val="16"/>
        </w:rPr>
        <w:t>. </w:t>
      </w:r>
    </w:p>
    <w:p w14:paraId="69C12EBA" w14:textId="77777777" w:rsidR="00D10287" w:rsidRPr="00684BF3" w:rsidRDefault="00D10287" w:rsidP="00D10287">
      <w:pPr>
        <w:rPr>
          <w:sz w:val="16"/>
        </w:rPr>
      </w:pPr>
      <w:r w:rsidRPr="00684BF3">
        <w:rPr>
          <w:rStyle w:val="Emphasis"/>
        </w:rPr>
        <w:t>The problem</w:t>
      </w:r>
      <w:r w:rsidRPr="00684BF3">
        <w:rPr>
          <w:rStyle w:val="StyleUnderline"/>
        </w:rPr>
        <w:t xml:space="preserve"> with </w:t>
      </w:r>
      <w:r w:rsidRPr="00456038">
        <w:rPr>
          <w:rStyle w:val="StyleUnderline"/>
          <w:highlight w:val="cyan"/>
        </w:rPr>
        <w:t>these</w:t>
      </w:r>
      <w:r w:rsidRPr="00684BF3">
        <w:rPr>
          <w:rStyle w:val="StyleUnderline"/>
        </w:rPr>
        <w:t xml:space="preserve"> scenarios is that </w:t>
      </w:r>
      <w:r w:rsidRPr="00684BF3">
        <w:rPr>
          <w:rStyle w:val="Emphasis"/>
        </w:rPr>
        <w:t>they’</w:t>
      </w:r>
      <w:r w:rsidRPr="00456038">
        <w:rPr>
          <w:rStyle w:val="Emphasis"/>
          <w:highlight w:val="cyan"/>
        </w:rPr>
        <w:t>re</w:t>
      </w:r>
      <w:r w:rsidRPr="00684BF3">
        <w:rPr>
          <w:rStyle w:val="Emphasis"/>
        </w:rPr>
        <w:t xml:space="preserve"> </w:t>
      </w:r>
      <w:r w:rsidRPr="00456038">
        <w:rPr>
          <w:rStyle w:val="Emphasis"/>
          <w:highlight w:val="cyan"/>
        </w:rPr>
        <w:t>self-refuting</w:t>
      </w:r>
      <w:r w:rsidRPr="00684BF3">
        <w:rPr>
          <w:sz w:val="16"/>
        </w:rPr>
        <w:t xml:space="preserve">. </w:t>
      </w:r>
      <w:r w:rsidRPr="00684BF3">
        <w:rPr>
          <w:rStyle w:val="StyleUnderline"/>
        </w:rPr>
        <w:t>They assume</w:t>
      </w:r>
      <w:r w:rsidRPr="00684BF3">
        <w:rPr>
          <w:sz w:val="16"/>
        </w:rPr>
        <w:t xml:space="preserve"> that </w:t>
      </w:r>
      <w:r w:rsidRPr="00684BF3">
        <w:rPr>
          <w:rStyle w:val="StyleUnderline"/>
        </w:rPr>
        <w:t>an “intelligent” artifact would be designed to implement a single goal</w:t>
      </w:r>
      <w:r w:rsidRPr="00684BF3">
        <w:rPr>
          <w:sz w:val="16"/>
        </w:rPr>
        <w:t xml:space="preserve">, which is not true of even the stupid artifacts that we live with. </w:t>
      </w:r>
      <w:r w:rsidRPr="00456038">
        <w:rPr>
          <w:rStyle w:val="StyleUnderline"/>
          <w:highlight w:val="cyan"/>
        </w:rPr>
        <w:t xml:space="preserve">When we design </w:t>
      </w:r>
      <w:r w:rsidRPr="00456038">
        <w:rPr>
          <w:rStyle w:val="Emphasis"/>
          <w:highlight w:val="cyan"/>
        </w:rPr>
        <w:t>a car</w:t>
      </w:r>
      <w:r w:rsidRPr="00684BF3">
        <w:rPr>
          <w:sz w:val="16"/>
        </w:rPr>
        <w:t xml:space="preserve">, </w:t>
      </w:r>
      <w:r w:rsidRPr="00456038">
        <w:rPr>
          <w:rStyle w:val="StyleUnderline"/>
          <w:highlight w:val="cyan"/>
        </w:rPr>
        <w:t xml:space="preserve">we </w:t>
      </w:r>
      <w:r w:rsidRPr="00456038">
        <w:rPr>
          <w:rStyle w:val="Emphasis"/>
          <w:highlight w:val="cyan"/>
        </w:rPr>
        <w:t>don’t just give the goal of</w:t>
      </w:r>
      <w:r w:rsidRPr="00456038">
        <w:rPr>
          <w:rStyle w:val="StyleUnderline"/>
          <w:highlight w:val="cyan"/>
        </w:rPr>
        <w:t xml:space="preserve"> going from A to B</w:t>
      </w:r>
      <w:r w:rsidRPr="00684BF3">
        <w:rPr>
          <w:rStyle w:val="StyleUnderline"/>
        </w:rPr>
        <w:t xml:space="preserve"> as </w:t>
      </w:r>
      <w:r w:rsidRPr="00456038">
        <w:rPr>
          <w:rStyle w:val="Emphasis"/>
          <w:highlight w:val="cyan"/>
        </w:rPr>
        <w:t>fast</w:t>
      </w:r>
      <w:r w:rsidRPr="00684BF3">
        <w:rPr>
          <w:rStyle w:val="StyleUnderline"/>
        </w:rPr>
        <w:t xml:space="preserve"> as possible</w:t>
      </w:r>
      <w:r w:rsidRPr="00684BF3">
        <w:rPr>
          <w:sz w:val="16"/>
        </w:rPr>
        <w:t xml:space="preserve">; </w:t>
      </w:r>
      <w:r w:rsidRPr="00456038">
        <w:rPr>
          <w:rStyle w:val="Emphasis"/>
          <w:highlight w:val="cyan"/>
        </w:rPr>
        <w:t>we</w:t>
      </w:r>
      <w:r w:rsidRPr="00684BF3">
        <w:rPr>
          <w:sz w:val="16"/>
        </w:rPr>
        <w:t xml:space="preserve"> also </w:t>
      </w:r>
      <w:r w:rsidRPr="00456038">
        <w:rPr>
          <w:rStyle w:val="Emphasis"/>
          <w:highlight w:val="cyan"/>
        </w:rPr>
        <w:t>install brakes</w:t>
      </w:r>
      <w:r w:rsidRPr="00684BF3">
        <w:rPr>
          <w:rStyle w:val="StyleUnderline"/>
        </w:rPr>
        <w:t xml:space="preserve"> and </w:t>
      </w:r>
      <w:r w:rsidRPr="00456038">
        <w:rPr>
          <w:rStyle w:val="StyleUnderline"/>
          <w:highlight w:val="cyan"/>
        </w:rPr>
        <w:t>a</w:t>
      </w:r>
      <w:r w:rsidRPr="00684BF3">
        <w:rPr>
          <w:rStyle w:val="StyleUnderline"/>
        </w:rPr>
        <w:t xml:space="preserve"> steering </w:t>
      </w:r>
      <w:r w:rsidRPr="00456038">
        <w:rPr>
          <w:rStyle w:val="Emphasis"/>
          <w:highlight w:val="cyan"/>
        </w:rPr>
        <w:t>wheel</w:t>
      </w:r>
      <w:r w:rsidRPr="00684BF3">
        <w:rPr>
          <w:rStyle w:val="StyleUnderline"/>
        </w:rPr>
        <w:t xml:space="preserve"> </w:t>
      </w:r>
      <w:r w:rsidRPr="00456038">
        <w:rPr>
          <w:rStyle w:val="StyleUnderline"/>
          <w:highlight w:val="cyan"/>
        </w:rPr>
        <w:t xml:space="preserve">and a </w:t>
      </w:r>
      <w:r w:rsidRPr="00456038">
        <w:rPr>
          <w:rStyle w:val="Emphasis"/>
          <w:highlight w:val="cyan"/>
        </w:rPr>
        <w:t>muffler</w:t>
      </w:r>
      <w:r w:rsidRPr="00684BF3">
        <w:rPr>
          <w:rStyle w:val="StyleUnderline"/>
        </w:rPr>
        <w:t xml:space="preserve"> and a </w:t>
      </w:r>
      <w:r w:rsidRPr="00684BF3">
        <w:rPr>
          <w:rStyle w:val="Emphasis"/>
        </w:rPr>
        <w:t>catalytic converter</w:t>
      </w:r>
      <w:r w:rsidRPr="00684BF3">
        <w:rPr>
          <w:sz w:val="16"/>
        </w:rPr>
        <w:t xml:space="preserve">. A lot of </w:t>
      </w:r>
      <w:r w:rsidRPr="00456038">
        <w:rPr>
          <w:rStyle w:val="StyleUnderline"/>
          <w:highlight w:val="cyan"/>
        </w:rPr>
        <w:t xml:space="preserve">these </w:t>
      </w:r>
      <w:r w:rsidRPr="00456038">
        <w:rPr>
          <w:rStyle w:val="Emphasis"/>
          <w:highlight w:val="cyan"/>
        </w:rPr>
        <w:t>scenarios</w:t>
      </w:r>
      <w:r w:rsidRPr="00684BF3">
        <w:rPr>
          <w:sz w:val="16"/>
        </w:rPr>
        <w:t xml:space="preserve"> seem to </w:t>
      </w:r>
      <w:r w:rsidRPr="00456038">
        <w:rPr>
          <w:rStyle w:val="Emphasis"/>
          <w:highlight w:val="cyan"/>
        </w:rPr>
        <w:t>presuppose</w:t>
      </w:r>
      <w:r w:rsidRPr="00684BF3">
        <w:rPr>
          <w:sz w:val="16"/>
        </w:rPr>
        <w:t xml:space="preserve"> both </w:t>
      </w:r>
      <w:r w:rsidRPr="00456038">
        <w:rPr>
          <w:rStyle w:val="Emphasis"/>
          <w:highlight w:val="cyan"/>
        </w:rPr>
        <w:t>idiocy</w:t>
      </w:r>
      <w:r w:rsidRPr="00684BF3">
        <w:rPr>
          <w:rStyle w:val="Emphasis"/>
        </w:rPr>
        <w:t xml:space="preserve"> </w:t>
      </w:r>
      <w:r w:rsidRPr="00456038">
        <w:rPr>
          <w:rStyle w:val="Emphasis"/>
          <w:highlight w:val="cyan"/>
        </w:rPr>
        <w:t>on</w:t>
      </w:r>
      <w:r w:rsidRPr="00684BF3">
        <w:rPr>
          <w:rStyle w:val="StyleUnderline"/>
        </w:rPr>
        <w:t xml:space="preserve"> the part of the </w:t>
      </w:r>
      <w:r w:rsidRPr="00456038">
        <w:rPr>
          <w:rStyle w:val="Emphasis"/>
          <w:highlight w:val="cyan"/>
        </w:rPr>
        <w:t>designers</w:t>
      </w:r>
      <w:r w:rsidRPr="00684BF3">
        <w:rPr>
          <w:sz w:val="16"/>
        </w:rPr>
        <w:t xml:space="preserve">, </w:t>
      </w:r>
      <w:r w:rsidRPr="00684BF3">
        <w:rPr>
          <w:rStyle w:val="StyleUnderline"/>
        </w:rPr>
        <w:t xml:space="preserve">who would give a system control over the </w:t>
      </w:r>
      <w:r w:rsidRPr="00684BF3">
        <w:rPr>
          <w:sz w:val="16"/>
        </w:rPr>
        <w:t xml:space="preserve">infrastructure of the </w:t>
      </w:r>
      <w:r w:rsidRPr="00684BF3">
        <w:rPr>
          <w:rStyle w:val="StyleUnderline"/>
        </w:rPr>
        <w:t>entire planet without testing it</w:t>
      </w:r>
      <w:r w:rsidRPr="00684BF3">
        <w:rPr>
          <w:sz w:val="16"/>
        </w:rPr>
        <w:t xml:space="preserve"> first to see how it worked, </w:t>
      </w:r>
      <w:r w:rsidRPr="00456038">
        <w:rPr>
          <w:rStyle w:val="Emphasis"/>
          <w:highlight w:val="cyan"/>
        </w:rPr>
        <w:t>and</w:t>
      </w:r>
      <w:r w:rsidRPr="00684BF3">
        <w:rPr>
          <w:rStyle w:val="StyleUnderline"/>
        </w:rPr>
        <w:t xml:space="preserve"> an </w:t>
      </w:r>
      <w:r w:rsidRPr="00684BF3">
        <w:rPr>
          <w:rStyle w:val="Emphasis"/>
        </w:rPr>
        <w:t>idiocy on the</w:t>
      </w:r>
      <w:r w:rsidRPr="00684BF3">
        <w:rPr>
          <w:rStyle w:val="StyleUnderline"/>
        </w:rPr>
        <w:t xml:space="preserve"> part of </w:t>
      </w:r>
      <w:r w:rsidRPr="00456038">
        <w:rPr>
          <w:rStyle w:val="StyleUnderline"/>
          <w:highlight w:val="cyan"/>
        </w:rPr>
        <w:t>the</w:t>
      </w:r>
      <w:r w:rsidRPr="00456038">
        <w:rPr>
          <w:sz w:val="16"/>
          <w:highlight w:val="cyan"/>
        </w:rPr>
        <w:t xml:space="preserve"> </w:t>
      </w:r>
      <w:r w:rsidRPr="00456038">
        <w:rPr>
          <w:rStyle w:val="Emphasis"/>
          <w:highlight w:val="cyan"/>
        </w:rPr>
        <w:t>allegedly intelligent system</w:t>
      </w:r>
      <w:r w:rsidRPr="00684BF3">
        <w:rPr>
          <w:sz w:val="16"/>
        </w:rPr>
        <w:t xml:space="preserve">, which would pursue a single goal regardless of all the other effects. </w:t>
      </w:r>
      <w:r w:rsidRPr="00684BF3">
        <w:rPr>
          <w:rStyle w:val="Emphasis"/>
        </w:rPr>
        <w:t>This does not exist</w:t>
      </w:r>
      <w:r w:rsidRPr="00684BF3">
        <w:rPr>
          <w:sz w:val="16"/>
        </w:rPr>
        <w:t xml:space="preserve"> in any human artifact, </w:t>
      </w:r>
      <w:r w:rsidRPr="00684BF3">
        <w:rPr>
          <w:rStyle w:val="StyleUnderline"/>
        </w:rPr>
        <w:t>let alone one that claims to be intelligent</w:t>
      </w:r>
      <w:r w:rsidRPr="00684BF3">
        <w:rPr>
          <w:sz w:val="16"/>
        </w:rPr>
        <w:t xml:space="preserve">. </w:t>
      </w:r>
      <w:r w:rsidRPr="00456038">
        <w:rPr>
          <w:rStyle w:val="Emphasis"/>
          <w:highlight w:val="cyan"/>
        </w:rPr>
        <w:t>Giving an AI</w:t>
      </w:r>
      <w:r w:rsidRPr="00684BF3">
        <w:rPr>
          <w:rStyle w:val="StyleUnderline"/>
        </w:rPr>
        <w:t xml:space="preserve"> system </w:t>
      </w:r>
      <w:r w:rsidRPr="00456038">
        <w:rPr>
          <w:rStyle w:val="Emphasis"/>
          <w:highlight w:val="cyan"/>
        </w:rPr>
        <w:t>one vaguely worded</w:t>
      </w:r>
      <w:r w:rsidRPr="00684BF3">
        <w:rPr>
          <w:rStyle w:val="StyleUnderline"/>
        </w:rPr>
        <w:t xml:space="preserve">, sketchy </w:t>
      </w:r>
      <w:r w:rsidRPr="00456038">
        <w:rPr>
          <w:rStyle w:val="Emphasis"/>
          <w:highlight w:val="cyan"/>
        </w:rPr>
        <w:t>goal</w:t>
      </w:r>
      <w:r w:rsidRPr="00684BF3">
        <w:rPr>
          <w:sz w:val="16"/>
        </w:rPr>
        <w:t xml:space="preserve">, and empowering it </w:t>
      </w:r>
      <w:r w:rsidRPr="00684BF3">
        <w:rPr>
          <w:rStyle w:val="StyleUnderline"/>
        </w:rPr>
        <w:t xml:space="preserve">with control over the entire </w:t>
      </w:r>
      <w:r w:rsidRPr="00684BF3">
        <w:rPr>
          <w:sz w:val="16"/>
        </w:rPr>
        <w:t xml:space="preserve">infrastructure of the </w:t>
      </w:r>
      <w:r w:rsidRPr="00684BF3">
        <w:rPr>
          <w:rStyle w:val="StyleUnderline"/>
        </w:rPr>
        <w:t>planet</w:t>
      </w:r>
      <w:r w:rsidRPr="00684BF3">
        <w:rPr>
          <w:sz w:val="16"/>
        </w:rPr>
        <w:t xml:space="preserve"> without testing it first </w:t>
      </w:r>
      <w:r w:rsidRPr="00456038">
        <w:rPr>
          <w:rStyle w:val="Emphasis"/>
          <w:highlight w:val="cyan"/>
        </w:rPr>
        <w:t>seems</w:t>
      </w:r>
      <w:r w:rsidRPr="00684BF3">
        <w:rPr>
          <w:rStyle w:val="StyleUnderline"/>
        </w:rPr>
        <w:t xml:space="preserve"> to me just so </w:t>
      </w:r>
      <w:r w:rsidRPr="00456038">
        <w:rPr>
          <w:rStyle w:val="Emphasis"/>
          <w:highlight w:val="cyan"/>
        </w:rPr>
        <w:t>self-evidently moronic</w:t>
      </w:r>
      <w:r w:rsidRPr="00684BF3">
        <w:rPr>
          <w:sz w:val="16"/>
        </w:rPr>
        <w:t xml:space="preserve"> that </w:t>
      </w:r>
      <w:r w:rsidRPr="00684BF3">
        <w:rPr>
          <w:rStyle w:val="StyleUnderline"/>
        </w:rPr>
        <w:t>I don’t worry</w:t>
      </w:r>
      <w:r w:rsidRPr="00684BF3">
        <w:rPr>
          <w:sz w:val="16"/>
        </w:rPr>
        <w:t xml:space="preserve"> that </w:t>
      </w:r>
      <w:r w:rsidRPr="00684BF3">
        <w:rPr>
          <w:rStyle w:val="StyleUnderline"/>
        </w:rPr>
        <w:t>engineers have to be warned</w:t>
      </w:r>
      <w:r w:rsidRPr="00684BF3">
        <w:rPr>
          <w:sz w:val="16"/>
        </w:rPr>
        <w:t xml:space="preserve"> against it.</w:t>
      </w:r>
    </w:p>
    <w:p w14:paraId="332A9241" w14:textId="77777777" w:rsidR="00D10287" w:rsidRPr="00684BF3" w:rsidRDefault="00D10287" w:rsidP="00D10287">
      <w:pPr>
        <w:rPr>
          <w:sz w:val="16"/>
        </w:rPr>
      </w:pPr>
      <w:r w:rsidRPr="00684BF3">
        <w:rPr>
          <w:sz w:val="16"/>
        </w:rPr>
        <w:t>I’ve quoted Stuart himself, who in an interview made the point well when he said, “</w:t>
      </w:r>
      <w:r w:rsidRPr="00684BF3">
        <w:rPr>
          <w:rStyle w:val="StyleUnderline"/>
        </w:rPr>
        <w:t>No one talks about building bridges that don’t fall down. They just call it building bridges</w:t>
      </w:r>
      <w:r w:rsidRPr="00684BF3">
        <w:rPr>
          <w:sz w:val="16"/>
        </w:rPr>
        <w:t xml:space="preserve">.” Likewise, </w:t>
      </w:r>
      <w:r w:rsidRPr="00684BF3">
        <w:rPr>
          <w:rStyle w:val="StyleUnderline"/>
        </w:rPr>
        <w:t>AI that avoids idiocies like that is just AI, it’s not AI with extra safeguards</w:t>
      </w:r>
      <w:r w:rsidRPr="00684BF3">
        <w:rPr>
          <w:sz w:val="16"/>
        </w:rPr>
        <w:t xml:space="preserve">. </w:t>
      </w:r>
      <w:r w:rsidRPr="00684BF3">
        <w:rPr>
          <w:rStyle w:val="Emphasis"/>
        </w:rPr>
        <w:t>That’s what intelligence consists of</w:t>
      </w:r>
      <w:r w:rsidRPr="00684BF3">
        <w:rPr>
          <w:sz w:val="16"/>
        </w:rPr>
        <w:t>.</w:t>
      </w:r>
    </w:p>
    <w:p w14:paraId="2E276067" w14:textId="35C41553" w:rsidR="00D10287" w:rsidRDefault="00D10287" w:rsidP="00D10287">
      <w:pPr>
        <w:pStyle w:val="Heading3"/>
      </w:pPr>
      <w:r>
        <w:t xml:space="preserve">1AR – Impact – AT: </w:t>
      </w:r>
      <w:r w:rsidR="00C539AE">
        <w:t>AI</w:t>
      </w:r>
    </w:p>
    <w:p w14:paraId="0F328B79" w14:textId="77777777" w:rsidR="002E524B" w:rsidRPr="00D10287" w:rsidRDefault="002E524B" w:rsidP="002E524B">
      <w:pPr>
        <w:pStyle w:val="Heading4"/>
        <w:rPr>
          <w:szCs w:val="26"/>
        </w:rPr>
      </w:pPr>
      <w:r>
        <w:rPr>
          <w:szCs w:val="26"/>
        </w:rPr>
        <w:t xml:space="preserve">The advantages </w:t>
      </w:r>
      <w:r>
        <w:rPr>
          <w:szCs w:val="26"/>
          <w:u w:val="single"/>
        </w:rPr>
        <w:t>comparatively outweigh</w:t>
      </w:r>
      <w:r>
        <w:rPr>
          <w:szCs w:val="26"/>
        </w:rPr>
        <w:t>.</w:t>
      </w:r>
    </w:p>
    <w:p w14:paraId="211D62AC" w14:textId="77777777" w:rsidR="002E524B" w:rsidRPr="00684BF3" w:rsidRDefault="002E524B" w:rsidP="002E524B">
      <w:r w:rsidRPr="00C80CAB">
        <w:rPr>
          <w:rStyle w:val="Heading4Char"/>
          <w:szCs w:val="26"/>
        </w:rPr>
        <w:t>Pinker et al. 6-15</w:t>
      </w:r>
      <w:r w:rsidRPr="00684BF3">
        <w:t>-20 – (Steven Pinker, PhD, Professor of Psychology at Harvard; Stuart Russell, UC Berkeley Professor of Computer Science; Lucas Perry; “Steven Pinker and Stuart Russell on the Foundations, Benefits, and Possible Existential Threat of AI”; Future of Life Institute; D.A. June 29</w:t>
      </w:r>
      <w:r w:rsidRPr="00684BF3">
        <w:rPr>
          <w:vertAlign w:val="superscript"/>
        </w:rPr>
        <w:t>th</w:t>
      </w:r>
      <w:r w:rsidRPr="00684BF3">
        <w:t xml:space="preserve"> 2020, [Published June 15</w:t>
      </w:r>
      <w:r w:rsidRPr="00684BF3">
        <w:rPr>
          <w:vertAlign w:val="superscript"/>
        </w:rPr>
        <w:t>th</w:t>
      </w:r>
      <w:r w:rsidRPr="00684BF3">
        <w:t xml:space="preserve"> 2020]; </w:t>
      </w:r>
      <w:hyperlink r:id="rId214" w:history="1">
        <w:r w:rsidRPr="00684BF3">
          <w:rPr>
            <w:rStyle w:val="Hyperlink"/>
          </w:rPr>
          <w:t>https://futureoflife.org/2020/06/15/steven-pinker-and-stuart-russell-on-the-foundations-benefits-and-possible-existential-risk-of-ai/</w:t>
        </w:r>
      </w:hyperlink>
      <w:r w:rsidRPr="00684BF3">
        <w:t>) //LFS—JCM</w:t>
      </w:r>
    </w:p>
    <w:p w14:paraId="7F5F1F6C" w14:textId="77777777" w:rsidR="002E524B" w:rsidRPr="00684BF3" w:rsidRDefault="002E524B" w:rsidP="002E524B">
      <w:pPr>
        <w:rPr>
          <w:sz w:val="16"/>
        </w:rPr>
      </w:pPr>
      <w:r w:rsidRPr="00684BF3">
        <w:rPr>
          <w:sz w:val="16"/>
        </w:rPr>
        <w:t xml:space="preserve">Steven </w:t>
      </w:r>
      <w:r w:rsidRPr="00684BF3">
        <w:rPr>
          <w:rStyle w:val="StyleUnderline"/>
        </w:rPr>
        <w:t>Pinker</w:t>
      </w:r>
      <w:r w:rsidRPr="00684BF3">
        <w:rPr>
          <w:sz w:val="16"/>
        </w:rPr>
        <w:t xml:space="preserve">: A simpler explanation is that </w:t>
      </w:r>
      <w:r w:rsidRPr="00684BF3">
        <w:rPr>
          <w:rStyle w:val="StyleUnderline"/>
        </w:rPr>
        <w:t>people like energy, fossil fuels are the most convenient source</w:t>
      </w:r>
      <w:r w:rsidRPr="00684BF3">
        <w:rPr>
          <w:sz w:val="16"/>
        </w:rPr>
        <w:t xml:space="preserve">, and no one has had to pay for the external damage they do. Clearly </w:t>
      </w:r>
      <w:r w:rsidRPr="00684BF3">
        <w:rPr>
          <w:rStyle w:val="StyleUnderline"/>
        </w:rPr>
        <w:t>we ought to anticipate foreseeable risks and</w:t>
      </w:r>
      <w:r w:rsidRPr="00684BF3">
        <w:rPr>
          <w:sz w:val="16"/>
        </w:rPr>
        <w:t xml:space="preserve"> attempt to </w:t>
      </w:r>
      <w:r w:rsidRPr="00684BF3">
        <w:rPr>
          <w:rStyle w:val="StyleUnderline"/>
        </w:rPr>
        <w:t>mitigate them</w:t>
      </w:r>
      <w:r w:rsidRPr="00684BF3">
        <w:rPr>
          <w:sz w:val="16"/>
        </w:rPr>
        <w:t xml:space="preserve">. </w:t>
      </w:r>
      <w:r w:rsidRPr="00684BF3">
        <w:rPr>
          <w:rStyle w:val="StyleUnderline"/>
        </w:rPr>
        <w:t xml:space="preserve">But </w:t>
      </w:r>
      <w:r w:rsidRPr="00684BF3">
        <w:rPr>
          <w:rStyle w:val="Emphasis"/>
        </w:rPr>
        <w:t>they have to be calibrated against what we know</w:t>
      </w:r>
      <w:r w:rsidRPr="00684BF3">
        <w:rPr>
          <w:rStyle w:val="StyleUnderline"/>
        </w:rPr>
        <w:t>, taking into account our</w:t>
      </w:r>
      <w:r w:rsidRPr="00684BF3">
        <w:rPr>
          <w:sz w:val="16"/>
        </w:rPr>
        <w:t xml:space="preserve"> own </w:t>
      </w:r>
      <w:r w:rsidRPr="00684BF3">
        <w:rPr>
          <w:rStyle w:val="StyleUnderline"/>
        </w:rPr>
        <w:t>ignorance of the future</w:t>
      </w:r>
      <w:r w:rsidRPr="00684BF3">
        <w:rPr>
          <w:sz w:val="16"/>
        </w:rPr>
        <w:t xml:space="preserve">. </w:t>
      </w:r>
      <w:r w:rsidRPr="00684BF3">
        <w:rPr>
          <w:rStyle w:val="StyleUnderline"/>
        </w:rPr>
        <w:t>It can be haz</w:t>
      </w:r>
      <w:r w:rsidRPr="00684BF3">
        <w:rPr>
          <w:rStyle w:val="Emphasis"/>
        </w:rPr>
        <w:t xml:space="preserve">ardous to chase </w:t>
      </w:r>
      <w:r w:rsidRPr="00684BF3">
        <w:rPr>
          <w:rStyle w:val="StyleUnderline"/>
        </w:rPr>
        <w:t xml:space="preserve">the </w:t>
      </w:r>
      <w:r w:rsidRPr="00684BF3">
        <w:rPr>
          <w:rStyle w:val="Emphasis"/>
        </w:rPr>
        <w:t>wrong worries</w:t>
      </w:r>
      <w:r w:rsidRPr="00684BF3">
        <w:rPr>
          <w:sz w:val="16"/>
        </w:rPr>
        <w:t xml:space="preserve">, such as running out of petroleum, which was the big worry in the 1970s. Now we know that the problem with petroleum is too much, not too little. </w:t>
      </w:r>
      <w:r w:rsidRPr="00684BF3">
        <w:rPr>
          <w:rStyle w:val="Emphasis"/>
        </w:rPr>
        <w:t>Overpopulation</w:t>
      </w:r>
      <w:r w:rsidRPr="00684BF3">
        <w:rPr>
          <w:rStyle w:val="StyleUnderline"/>
        </w:rPr>
        <w:t xml:space="preserve"> and </w:t>
      </w:r>
      <w:r w:rsidRPr="00684BF3">
        <w:rPr>
          <w:rStyle w:val="Emphasis"/>
        </w:rPr>
        <w:t>g</w:t>
      </w:r>
      <w:r w:rsidRPr="00684BF3">
        <w:rPr>
          <w:rStyle w:val="StyleUnderline"/>
        </w:rPr>
        <w:t xml:space="preserve">enetically </w:t>
      </w:r>
      <w:r w:rsidRPr="00684BF3">
        <w:rPr>
          <w:rStyle w:val="Emphasis"/>
        </w:rPr>
        <w:t>m</w:t>
      </w:r>
      <w:r w:rsidRPr="00684BF3">
        <w:rPr>
          <w:rStyle w:val="StyleUnderline"/>
        </w:rPr>
        <w:t xml:space="preserve">odified </w:t>
      </w:r>
      <w:r w:rsidRPr="00684BF3">
        <w:rPr>
          <w:rStyle w:val="Emphasis"/>
        </w:rPr>
        <w:t>o</w:t>
      </w:r>
      <w:r w:rsidRPr="00684BF3">
        <w:rPr>
          <w:rStyle w:val="StyleUnderline"/>
        </w:rPr>
        <w:t>rganism</w:t>
      </w:r>
      <w:r w:rsidRPr="00684BF3">
        <w:rPr>
          <w:rStyle w:val="Emphasis"/>
        </w:rPr>
        <w:t>s</w:t>
      </w:r>
      <w:r w:rsidRPr="00684BF3">
        <w:rPr>
          <w:rStyle w:val="StyleUnderline"/>
        </w:rPr>
        <w:t xml:space="preserve"> are other examples</w:t>
      </w:r>
      <w:r w:rsidRPr="00684BF3">
        <w:rPr>
          <w:sz w:val="16"/>
        </w:rPr>
        <w:t>. </w:t>
      </w:r>
    </w:p>
    <w:p w14:paraId="7F456240" w14:textId="23D7205F" w:rsidR="002E524B" w:rsidRDefault="002E524B" w:rsidP="002E524B">
      <w:pPr>
        <w:rPr>
          <w:sz w:val="16"/>
        </w:rPr>
      </w:pPr>
      <w:r w:rsidRPr="00684BF3">
        <w:rPr>
          <w:rStyle w:val="StyleUnderline"/>
        </w:rPr>
        <w:t>If we</w:t>
      </w:r>
      <w:r w:rsidRPr="00684BF3">
        <w:rPr>
          <w:sz w:val="16"/>
        </w:rPr>
        <w:t xml:space="preserve"> try to </w:t>
      </w:r>
      <w:r w:rsidRPr="00684BF3">
        <w:rPr>
          <w:rStyle w:val="Emphasis"/>
        </w:rPr>
        <w:t>fantasize too far</w:t>
      </w:r>
      <w:r w:rsidRPr="00684BF3">
        <w:rPr>
          <w:sz w:val="16"/>
        </w:rPr>
        <w:t xml:space="preserve"> into the future, beyond what we can reasonably predict, </w:t>
      </w:r>
      <w:r w:rsidRPr="00684BF3">
        <w:rPr>
          <w:rStyle w:val="StyleUnderline"/>
        </w:rPr>
        <w:t>we</w:t>
      </w:r>
      <w:r w:rsidRPr="00684BF3">
        <w:rPr>
          <w:sz w:val="16"/>
        </w:rPr>
        <w:t xml:space="preserve"> can </w:t>
      </w:r>
      <w:r w:rsidRPr="00684BF3">
        <w:rPr>
          <w:rStyle w:val="Emphasis"/>
        </w:rPr>
        <w:t>sow fear</w:t>
      </w:r>
      <w:r w:rsidRPr="00684BF3">
        <w:rPr>
          <w:rStyle w:val="StyleUnderline"/>
        </w:rPr>
        <w:t xml:space="preserve"> about the </w:t>
      </w:r>
      <w:r w:rsidRPr="00684BF3">
        <w:rPr>
          <w:rStyle w:val="Emphasis"/>
        </w:rPr>
        <w:t>wrong risks</w:t>
      </w:r>
      <w:r w:rsidRPr="00684BF3">
        <w:rPr>
          <w:sz w:val="16"/>
        </w:rPr>
        <w:t xml:space="preserve">. My concern about </w:t>
      </w:r>
      <w:r w:rsidRPr="00684BF3">
        <w:rPr>
          <w:rStyle w:val="StyleUnderline"/>
        </w:rPr>
        <w:t xml:space="preserve">all these </w:t>
      </w:r>
      <w:r w:rsidRPr="00684BF3">
        <w:rPr>
          <w:rStyle w:val="Emphasis"/>
        </w:rPr>
        <w:t>centers</w:t>
      </w:r>
      <w:r w:rsidRPr="00684BF3">
        <w:rPr>
          <w:rStyle w:val="StyleUnderline"/>
        </w:rPr>
        <w:t xml:space="preserve"> and </w:t>
      </w:r>
      <w:r w:rsidRPr="00684BF3">
        <w:rPr>
          <w:rStyle w:val="Emphasis"/>
        </w:rPr>
        <w:t>smart people</w:t>
      </w:r>
      <w:r w:rsidRPr="00684BF3">
        <w:rPr>
          <w:rStyle w:val="StyleUnderline"/>
        </w:rPr>
        <w:t xml:space="preserve"> </w:t>
      </w:r>
      <w:r w:rsidRPr="00684BF3">
        <w:rPr>
          <w:rStyle w:val="Emphasis"/>
        </w:rPr>
        <w:t>worrying about</w:t>
      </w:r>
      <w:r w:rsidRPr="00684BF3">
        <w:rPr>
          <w:rStyle w:val="StyleUnderline"/>
        </w:rPr>
        <w:t xml:space="preserve"> the existential risk of </w:t>
      </w:r>
      <w:r w:rsidRPr="00684BF3">
        <w:rPr>
          <w:rStyle w:val="Emphasis"/>
        </w:rPr>
        <w:t>AI</w:t>
      </w:r>
      <w:r w:rsidRPr="00684BF3">
        <w:rPr>
          <w:rStyle w:val="StyleUnderline"/>
        </w:rPr>
        <w:t xml:space="preserve"> is that we are </w:t>
      </w:r>
      <w:r w:rsidRPr="00684BF3">
        <w:rPr>
          <w:rStyle w:val="Emphasis"/>
        </w:rPr>
        <w:t>misallocating our</w:t>
      </w:r>
      <w:r w:rsidRPr="00684BF3">
        <w:rPr>
          <w:sz w:val="16"/>
        </w:rPr>
        <w:t xml:space="preserve"> worry </w:t>
      </w:r>
      <w:r w:rsidRPr="00684BF3">
        <w:rPr>
          <w:rStyle w:val="Emphasis"/>
        </w:rPr>
        <w:t>budget</w:t>
      </w:r>
      <w:r w:rsidRPr="00684BF3">
        <w:rPr>
          <w:rStyle w:val="StyleUnderline"/>
        </w:rPr>
        <w:t xml:space="preserve"> and</w:t>
      </w:r>
      <w:r w:rsidRPr="00684BF3">
        <w:rPr>
          <w:sz w:val="16"/>
        </w:rPr>
        <w:t xml:space="preserve"> our </w:t>
      </w:r>
      <w:r w:rsidRPr="00684BF3">
        <w:rPr>
          <w:rStyle w:val="Emphasis"/>
        </w:rPr>
        <w:t>intellectual resources</w:t>
      </w:r>
      <w:r w:rsidRPr="00684BF3">
        <w:rPr>
          <w:sz w:val="16"/>
        </w:rPr>
        <w:t xml:space="preserve">. </w:t>
      </w:r>
      <w:r w:rsidRPr="00684BF3">
        <w:rPr>
          <w:rStyle w:val="StyleUnderline"/>
        </w:rPr>
        <w:t>We should be thinking</w:t>
      </w:r>
      <w:r w:rsidRPr="00684BF3">
        <w:rPr>
          <w:sz w:val="16"/>
        </w:rPr>
        <w:t xml:space="preserve"> hard </w:t>
      </w:r>
      <w:r w:rsidRPr="00684BF3">
        <w:rPr>
          <w:rStyle w:val="StyleUnderline"/>
        </w:rPr>
        <w:t>about how to mitigate climate change</w:t>
      </w:r>
      <w:r w:rsidRPr="00684BF3">
        <w:rPr>
          <w:sz w:val="16"/>
        </w:rPr>
        <w:t xml:space="preserve">, which is a real problem. </w:t>
      </w:r>
      <w:r w:rsidRPr="00684BF3">
        <w:rPr>
          <w:rStyle w:val="StyleUnderline"/>
        </w:rPr>
        <w:t>That is less true of</w:t>
      </w:r>
      <w:r w:rsidRPr="00684BF3">
        <w:rPr>
          <w:sz w:val="16"/>
        </w:rPr>
        <w:t xml:space="preserve"> spinning </w:t>
      </w:r>
      <w:r w:rsidRPr="00684BF3">
        <w:rPr>
          <w:rStyle w:val="Emphasis"/>
        </w:rPr>
        <w:t>exotic scenarios</w:t>
      </w:r>
      <w:r w:rsidRPr="00684BF3">
        <w:rPr>
          <w:rStyle w:val="StyleUnderline"/>
        </w:rPr>
        <w:t xml:space="preserve"> about </w:t>
      </w:r>
      <w:r w:rsidRPr="00684BF3">
        <w:rPr>
          <w:rStyle w:val="Emphasis"/>
        </w:rPr>
        <w:t>hypothetical AI</w:t>
      </w:r>
      <w:r w:rsidRPr="00684BF3">
        <w:rPr>
          <w:sz w:val="16"/>
        </w:rPr>
        <w:t xml:space="preserve"> systems which have been given control over the physical universe and might enslave us in cancer experiments.</w:t>
      </w:r>
    </w:p>
    <w:p w14:paraId="70F28A57" w14:textId="2E1B4CED" w:rsidR="00D10287" w:rsidRPr="00C80CAB" w:rsidRDefault="002E524B" w:rsidP="00D10287">
      <w:pPr>
        <w:pStyle w:val="Heading4"/>
        <w:rPr>
          <w:b w:val="0"/>
          <w:bCs/>
          <w:szCs w:val="26"/>
        </w:rPr>
      </w:pPr>
      <w:r>
        <w:rPr>
          <w:szCs w:val="26"/>
        </w:rPr>
        <w:t>AI can’t outweigh.</w:t>
      </w:r>
    </w:p>
    <w:p w14:paraId="23B2188E" w14:textId="77777777" w:rsidR="00D10287" w:rsidRPr="00684BF3" w:rsidRDefault="00D10287" w:rsidP="00D10287">
      <w:r w:rsidRPr="00C80CAB">
        <w:rPr>
          <w:rStyle w:val="Heading4Char"/>
          <w:szCs w:val="26"/>
        </w:rPr>
        <w:t>Pinker et al. 6-15</w:t>
      </w:r>
      <w:r w:rsidRPr="00684BF3">
        <w:t>-20 – (Steven Pinker, PhD, Professor of Psychology at Harvard; Stuart Russell, UC Berkeley Professor of Computer Science; Lucas Perry; “Steven Pinker and Stuart Russell on the Foundations, Benefits, and Possible Existential Threat of AI”; Future of Life Institute; D.A. June 29</w:t>
      </w:r>
      <w:r w:rsidRPr="00684BF3">
        <w:rPr>
          <w:vertAlign w:val="superscript"/>
        </w:rPr>
        <w:t>th</w:t>
      </w:r>
      <w:r w:rsidRPr="00684BF3">
        <w:t xml:space="preserve"> 2020, [Published June 15</w:t>
      </w:r>
      <w:r w:rsidRPr="00684BF3">
        <w:rPr>
          <w:vertAlign w:val="superscript"/>
        </w:rPr>
        <w:t>th</w:t>
      </w:r>
      <w:r w:rsidRPr="00684BF3">
        <w:t xml:space="preserve"> 2020]; </w:t>
      </w:r>
      <w:hyperlink r:id="rId215" w:history="1">
        <w:r w:rsidRPr="00684BF3">
          <w:rPr>
            <w:rStyle w:val="Hyperlink"/>
          </w:rPr>
          <w:t>https://futureoflife.org/2020/06/15/steven-pinker-and-stuart-russell-on-the-foundations-benefits-and-possible-existential-risk-of-ai/</w:t>
        </w:r>
      </w:hyperlink>
      <w:r w:rsidRPr="00684BF3">
        <w:t>) //LFS—JCM</w:t>
      </w:r>
    </w:p>
    <w:p w14:paraId="0264B743" w14:textId="77777777" w:rsidR="00D10287" w:rsidRPr="00684BF3" w:rsidRDefault="00D10287" w:rsidP="00D10287">
      <w:pPr>
        <w:rPr>
          <w:sz w:val="16"/>
        </w:rPr>
      </w:pPr>
      <w:r w:rsidRPr="00684BF3">
        <w:rPr>
          <w:sz w:val="16"/>
        </w:rPr>
        <w:t xml:space="preserve">Let me make one other comment. </w:t>
      </w:r>
      <w:r w:rsidRPr="00456038">
        <w:rPr>
          <w:rStyle w:val="Emphasis"/>
          <w:highlight w:val="cyan"/>
        </w:rPr>
        <w:t>You could say</w:t>
      </w:r>
      <w:r w:rsidRPr="00684BF3">
        <w:rPr>
          <w:sz w:val="16"/>
        </w:rPr>
        <w:t xml:space="preserve">, well, </w:t>
      </w:r>
      <w:r w:rsidRPr="00456038">
        <w:rPr>
          <w:rStyle w:val="Emphasis"/>
          <w:highlight w:val="cyan"/>
        </w:rPr>
        <w:t>even if the odds are small</w:t>
      </w:r>
      <w:r w:rsidRPr="00684BF3">
        <w:rPr>
          <w:rStyle w:val="Emphasis"/>
        </w:rPr>
        <w:t xml:space="preserve">, </w:t>
      </w:r>
      <w:r w:rsidRPr="00456038">
        <w:rPr>
          <w:rStyle w:val="Emphasis"/>
          <w:highlight w:val="cyan"/>
        </w:rPr>
        <w:t>the damage would be</w:t>
      </w:r>
      <w:r w:rsidRPr="00684BF3">
        <w:rPr>
          <w:rStyle w:val="Emphasis"/>
        </w:rPr>
        <w:t xml:space="preserve"> so </w:t>
      </w:r>
      <w:r w:rsidRPr="00456038">
        <w:rPr>
          <w:rStyle w:val="Emphasis"/>
          <w:highlight w:val="cyan"/>
        </w:rPr>
        <w:t>catastrophic</w:t>
      </w:r>
      <w:r w:rsidRPr="00684BF3">
        <w:rPr>
          <w:sz w:val="16"/>
        </w:rPr>
        <w:t xml:space="preserve"> that </w:t>
      </w:r>
      <w:r w:rsidRPr="00456038">
        <w:rPr>
          <w:rStyle w:val="StyleUnderline"/>
          <w:highlight w:val="cyan"/>
        </w:rPr>
        <w:t>it is worth</w:t>
      </w:r>
      <w:r w:rsidRPr="00684BF3">
        <w:rPr>
          <w:rStyle w:val="StyleUnderline"/>
        </w:rPr>
        <w:t xml:space="preserve"> our </w:t>
      </w:r>
      <w:r w:rsidRPr="00456038">
        <w:rPr>
          <w:rStyle w:val="StyleUnderline"/>
          <w:highlight w:val="cyan"/>
        </w:rPr>
        <w:t>concern</w:t>
      </w:r>
      <w:r w:rsidRPr="00684BF3">
        <w:rPr>
          <w:sz w:val="16"/>
        </w:rPr>
        <w:t xml:space="preserve">. But </w:t>
      </w:r>
      <w:r w:rsidRPr="00456038">
        <w:rPr>
          <w:rStyle w:val="Emphasis"/>
          <w:highlight w:val="cyan"/>
        </w:rPr>
        <w:t>there are downsides</w:t>
      </w:r>
      <w:r w:rsidRPr="00456038">
        <w:rPr>
          <w:rStyle w:val="StyleUnderline"/>
          <w:highlight w:val="cyan"/>
        </w:rPr>
        <w:t xml:space="preserve"> to worrying</w:t>
      </w:r>
      <w:r w:rsidRPr="00684BF3">
        <w:rPr>
          <w:rStyle w:val="StyleUnderline"/>
        </w:rPr>
        <w:t xml:space="preserve"> about existential risk</w:t>
      </w:r>
      <w:r w:rsidRPr="00684BF3">
        <w:rPr>
          <w:sz w:val="16"/>
        </w:rPr>
        <w:t xml:space="preserve">. </w:t>
      </w:r>
      <w:r w:rsidRPr="00684BF3">
        <w:rPr>
          <w:rStyle w:val="StyleUnderline"/>
        </w:rPr>
        <w:t>One of them is the</w:t>
      </w:r>
      <w:r w:rsidRPr="00684BF3">
        <w:rPr>
          <w:sz w:val="16"/>
        </w:rPr>
        <w:t xml:space="preserve"> possible </w:t>
      </w:r>
      <w:r w:rsidRPr="00456038">
        <w:rPr>
          <w:rStyle w:val="Emphasis"/>
          <w:highlight w:val="cyan"/>
        </w:rPr>
        <w:t>stigmatization</w:t>
      </w:r>
      <w:r w:rsidRPr="00684BF3">
        <w:rPr>
          <w:rStyle w:val="StyleUnderline"/>
        </w:rPr>
        <w:t xml:space="preserve"> and abandonment </w:t>
      </w:r>
      <w:r w:rsidRPr="00456038">
        <w:rPr>
          <w:rStyle w:val="Emphasis"/>
          <w:highlight w:val="cyan"/>
        </w:rPr>
        <w:t>of helpful tech</w:t>
      </w:r>
      <w:r w:rsidRPr="00684BF3">
        <w:rPr>
          <w:rStyle w:val="StyleUnderline"/>
        </w:rPr>
        <w:t>nologies</w:t>
      </w:r>
      <w:r w:rsidRPr="00684BF3">
        <w:rPr>
          <w:sz w:val="16"/>
        </w:rPr>
        <w:t xml:space="preserve">. </w:t>
      </w:r>
      <w:r w:rsidRPr="00684BF3">
        <w:rPr>
          <w:rStyle w:val="StyleUnderline"/>
        </w:rPr>
        <w:t>Stuart mentioned</w:t>
      </w:r>
      <w:r w:rsidRPr="00684BF3">
        <w:rPr>
          <w:sz w:val="16"/>
        </w:rPr>
        <w:t xml:space="preserve"> the example of </w:t>
      </w:r>
      <w:r w:rsidRPr="00456038">
        <w:rPr>
          <w:rStyle w:val="Emphasis"/>
          <w:highlight w:val="cyan"/>
        </w:rPr>
        <w:t>nuclear power</w:t>
      </w:r>
      <w:r w:rsidRPr="00684BF3">
        <w:rPr>
          <w:sz w:val="16"/>
        </w:rPr>
        <w:t xml:space="preserve">. What’s catastrophic is that </w:t>
      </w:r>
      <w:r w:rsidRPr="00684BF3">
        <w:rPr>
          <w:rStyle w:val="StyleUnderline"/>
        </w:rPr>
        <w:t>we don’t roll out nuclear power the way</w:t>
      </w:r>
      <w:r w:rsidRPr="00684BF3">
        <w:rPr>
          <w:sz w:val="16"/>
        </w:rPr>
        <w:t xml:space="preserve"> that </w:t>
      </w:r>
      <w:r w:rsidRPr="00684BF3">
        <w:rPr>
          <w:rStyle w:val="StyleUnderline"/>
        </w:rPr>
        <w:t>France did</w:t>
      </w:r>
      <w:r w:rsidRPr="00684BF3">
        <w:rPr>
          <w:sz w:val="16"/>
        </w:rPr>
        <w:t xml:space="preserve">, </w:t>
      </w:r>
      <w:r w:rsidRPr="00684BF3">
        <w:rPr>
          <w:rStyle w:val="StyleUnderline"/>
        </w:rPr>
        <w:t>which would</w:t>
      </w:r>
      <w:r w:rsidRPr="00684BF3">
        <w:rPr>
          <w:sz w:val="16"/>
        </w:rPr>
        <w:t xml:space="preserve"> go a long way toward </w:t>
      </w:r>
      <w:r w:rsidRPr="00456038">
        <w:rPr>
          <w:rStyle w:val="Emphasis"/>
          <w:highlight w:val="cyan"/>
        </w:rPr>
        <w:t>solv</w:t>
      </w:r>
      <w:r w:rsidRPr="00684BF3">
        <w:rPr>
          <w:rStyle w:val="StyleUnderline"/>
        </w:rPr>
        <w:t>ing</w:t>
      </w:r>
      <w:r w:rsidRPr="00684BF3">
        <w:rPr>
          <w:sz w:val="16"/>
        </w:rPr>
        <w:t xml:space="preserve"> </w:t>
      </w:r>
      <w:r w:rsidRPr="00456038">
        <w:rPr>
          <w:rStyle w:val="StyleUnderline"/>
          <w:highlight w:val="cyan"/>
        </w:rPr>
        <w:t>the</w:t>
      </w:r>
      <w:r w:rsidRPr="00684BF3">
        <w:rPr>
          <w:sz w:val="16"/>
        </w:rPr>
        <w:t xml:space="preserve"> genuinely dangerous problem of </w:t>
      </w:r>
      <w:r w:rsidRPr="00456038">
        <w:rPr>
          <w:rStyle w:val="Emphasis"/>
          <w:highlight w:val="cyan"/>
        </w:rPr>
        <w:t>climate</w:t>
      </w:r>
      <w:r w:rsidRPr="00684BF3">
        <w:rPr>
          <w:rStyle w:val="StyleUnderline"/>
        </w:rPr>
        <w:t xml:space="preserve"> change</w:t>
      </w:r>
      <w:r w:rsidRPr="00684BF3">
        <w:rPr>
          <w:sz w:val="16"/>
        </w:rPr>
        <w:t xml:space="preserve">. </w:t>
      </w:r>
      <w:r w:rsidRPr="00684BF3">
        <w:rPr>
          <w:rStyle w:val="Emphasis"/>
        </w:rPr>
        <w:t>Fear</w:t>
      </w:r>
      <w:r w:rsidRPr="00684BF3">
        <w:rPr>
          <w:rStyle w:val="StyleUnderline"/>
        </w:rPr>
        <w:t xml:space="preserve"> of nuclear power has been</w:t>
      </w:r>
      <w:r w:rsidRPr="00684BF3">
        <w:rPr>
          <w:sz w:val="16"/>
        </w:rPr>
        <w:t xml:space="preserve"> irrationally </w:t>
      </w:r>
      <w:r w:rsidRPr="00684BF3">
        <w:rPr>
          <w:rStyle w:val="Emphasis"/>
        </w:rPr>
        <w:t>stoked by</w:t>
      </w:r>
      <w:r w:rsidRPr="00684BF3">
        <w:rPr>
          <w:sz w:val="16"/>
        </w:rPr>
        <w:t xml:space="preserve"> vivid examples: </w:t>
      </w:r>
      <w:r w:rsidRPr="00684BF3">
        <w:rPr>
          <w:rStyle w:val="StyleUnderline"/>
        </w:rPr>
        <w:t>the</w:t>
      </w:r>
      <w:r w:rsidRPr="00684BF3">
        <w:rPr>
          <w:sz w:val="16"/>
        </w:rPr>
        <w:t xml:space="preserve"> fairly trivial </w:t>
      </w:r>
      <w:r w:rsidRPr="00684BF3">
        <w:rPr>
          <w:rStyle w:val="StyleUnderline"/>
        </w:rPr>
        <w:t xml:space="preserve">accident at </w:t>
      </w:r>
      <w:r w:rsidRPr="00684BF3">
        <w:rPr>
          <w:rStyle w:val="Emphasis"/>
        </w:rPr>
        <w:t>Three Mile Island</w:t>
      </w:r>
      <w:r w:rsidRPr="00684BF3">
        <w:rPr>
          <w:rStyle w:val="StyleUnderline"/>
        </w:rPr>
        <w:t xml:space="preserve"> in the United States</w:t>
      </w:r>
      <w:r w:rsidRPr="00684BF3">
        <w:rPr>
          <w:sz w:val="16"/>
        </w:rPr>
        <w:t xml:space="preserve">, which killed no one, </w:t>
      </w:r>
      <w:r w:rsidRPr="00684BF3">
        <w:rPr>
          <w:rStyle w:val="StyleUnderline"/>
        </w:rPr>
        <w:t xml:space="preserve">the tsunami at </w:t>
      </w:r>
      <w:r w:rsidRPr="00684BF3">
        <w:rPr>
          <w:rStyle w:val="Emphasis"/>
        </w:rPr>
        <w:t>Fukushima</w:t>
      </w:r>
      <w:r w:rsidRPr="00684BF3">
        <w:rPr>
          <w:sz w:val="16"/>
        </w:rPr>
        <w:t xml:space="preserve">, where people died in the botched evacuation, not the nuclear accident, </w:t>
      </w:r>
      <w:r w:rsidRPr="00684BF3">
        <w:rPr>
          <w:rStyle w:val="StyleUnderline"/>
        </w:rPr>
        <w:t>and</w:t>
      </w:r>
      <w:r w:rsidRPr="00684BF3">
        <w:rPr>
          <w:sz w:val="16"/>
        </w:rPr>
        <w:t xml:space="preserve"> the Soviet bungling at </w:t>
      </w:r>
      <w:r w:rsidRPr="00684BF3">
        <w:rPr>
          <w:rStyle w:val="Emphasis"/>
        </w:rPr>
        <w:t>Chernobyl</w:t>
      </w:r>
      <w:r w:rsidRPr="00684BF3">
        <w:rPr>
          <w:sz w:val="16"/>
        </w:rPr>
        <w:t xml:space="preserve">. Even </w:t>
      </w:r>
      <w:r w:rsidRPr="00684BF3">
        <w:rPr>
          <w:rStyle w:val="StyleUnderline"/>
        </w:rPr>
        <w:t xml:space="preserve">that </w:t>
      </w:r>
      <w:r w:rsidRPr="00684BF3">
        <w:rPr>
          <w:rStyle w:val="Emphasis"/>
        </w:rPr>
        <w:t>accident killed a fraction of</w:t>
      </w:r>
      <w:r w:rsidRPr="00684BF3">
        <w:rPr>
          <w:rStyle w:val="StyleUnderline"/>
        </w:rPr>
        <w:t xml:space="preserve"> the </w:t>
      </w:r>
      <w:r w:rsidRPr="00684BF3">
        <w:rPr>
          <w:rStyle w:val="Emphasis"/>
        </w:rPr>
        <w:t>people that die</w:t>
      </w:r>
      <w:r w:rsidRPr="00684BF3">
        <w:rPr>
          <w:rStyle w:val="StyleUnderline"/>
        </w:rPr>
        <w:t> every day </w:t>
      </w:r>
      <w:r w:rsidRPr="00684BF3">
        <w:rPr>
          <w:rStyle w:val="Emphasis"/>
        </w:rPr>
        <w:t>from</w:t>
      </w:r>
      <w:r w:rsidRPr="00684BF3">
        <w:rPr>
          <w:sz w:val="16"/>
        </w:rPr>
        <w:t xml:space="preserve"> the </w:t>
      </w:r>
      <w:r w:rsidRPr="00684BF3">
        <w:rPr>
          <w:rStyle w:val="StyleUnderline"/>
        </w:rPr>
        <w:t>burning</w:t>
      </w:r>
      <w:r w:rsidRPr="00684BF3">
        <w:rPr>
          <w:sz w:val="16"/>
        </w:rPr>
        <w:t xml:space="preserve"> of </w:t>
      </w:r>
      <w:r w:rsidRPr="00684BF3">
        <w:rPr>
          <w:rStyle w:val="Emphasis"/>
        </w:rPr>
        <w:t>fossil fuels</w:t>
      </w:r>
      <w:r w:rsidRPr="00684BF3">
        <w:rPr>
          <w:sz w:val="16"/>
        </w:rPr>
        <w:t xml:space="preserve">, to say nothing of the likely future harm from climate change. </w:t>
      </w:r>
      <w:r w:rsidRPr="00684BF3">
        <w:rPr>
          <w:rStyle w:val="StyleUnderline"/>
        </w:rPr>
        <w:t>The reaction to Chernobyl is</w:t>
      </w:r>
      <w:r w:rsidRPr="00684BF3">
        <w:rPr>
          <w:sz w:val="16"/>
        </w:rPr>
        <w:t xml:space="preserve"> exactly </w:t>
      </w:r>
      <w:r w:rsidRPr="00684BF3">
        <w:rPr>
          <w:rStyle w:val="StyleUnderline"/>
        </w:rPr>
        <w:t>how we should not deal with the dangers facing humanity</w:t>
      </w:r>
      <w:r w:rsidRPr="00684BF3">
        <w:rPr>
          <w:sz w:val="16"/>
        </w:rPr>
        <w:t>. </w:t>
      </w:r>
    </w:p>
    <w:p w14:paraId="6CD7373D" w14:textId="77777777" w:rsidR="00D10287" w:rsidRPr="00684BF3" w:rsidRDefault="00D10287" w:rsidP="00D10287">
      <w:pPr>
        <w:rPr>
          <w:sz w:val="16"/>
        </w:rPr>
      </w:pPr>
      <w:r w:rsidRPr="00456038">
        <w:rPr>
          <w:rStyle w:val="Emphasis"/>
          <w:highlight w:val="cyan"/>
        </w:rPr>
        <w:t>G</w:t>
      </w:r>
      <w:r w:rsidRPr="00684BF3">
        <w:rPr>
          <w:rStyle w:val="StyleUnderline"/>
        </w:rPr>
        <w:t xml:space="preserve">enetically </w:t>
      </w:r>
      <w:r w:rsidRPr="00456038">
        <w:rPr>
          <w:rStyle w:val="Emphasis"/>
          <w:highlight w:val="cyan"/>
        </w:rPr>
        <w:t>m</w:t>
      </w:r>
      <w:r w:rsidRPr="00684BF3">
        <w:rPr>
          <w:rStyle w:val="StyleUnderline"/>
        </w:rPr>
        <w:t xml:space="preserve">odified </w:t>
      </w:r>
      <w:r w:rsidRPr="00456038">
        <w:rPr>
          <w:rStyle w:val="Emphasis"/>
          <w:highlight w:val="cyan"/>
        </w:rPr>
        <w:t>o</w:t>
      </w:r>
      <w:r w:rsidRPr="00684BF3">
        <w:rPr>
          <w:rStyle w:val="StyleUnderline"/>
        </w:rPr>
        <w:t>rganism</w:t>
      </w:r>
      <w:r w:rsidRPr="00456038">
        <w:rPr>
          <w:rStyle w:val="Emphasis"/>
          <w:highlight w:val="cyan"/>
        </w:rPr>
        <w:t>s</w:t>
      </w:r>
      <w:r w:rsidRPr="00684BF3">
        <w:rPr>
          <w:rStyle w:val="StyleUnderline"/>
        </w:rPr>
        <w:t xml:space="preserve"> </w:t>
      </w:r>
      <w:r w:rsidRPr="00456038">
        <w:rPr>
          <w:rStyle w:val="StyleUnderline"/>
          <w:highlight w:val="cyan"/>
        </w:rPr>
        <w:t xml:space="preserve">are </w:t>
      </w:r>
      <w:r w:rsidRPr="00456038">
        <w:rPr>
          <w:rStyle w:val="Emphasis"/>
          <w:highlight w:val="cyan"/>
        </w:rPr>
        <w:t>another</w:t>
      </w:r>
      <w:r w:rsidRPr="00684BF3">
        <w:rPr>
          <w:sz w:val="16"/>
        </w:rPr>
        <w:t xml:space="preserve"> example: </w:t>
      </w:r>
      <w:r w:rsidRPr="00684BF3">
        <w:rPr>
          <w:rStyle w:val="StyleUnderline"/>
        </w:rPr>
        <w:t xml:space="preserve">a </w:t>
      </w:r>
      <w:r w:rsidRPr="00456038">
        <w:rPr>
          <w:rStyle w:val="Emphasis"/>
          <w:highlight w:val="cyan"/>
        </w:rPr>
        <w:t>tech</w:t>
      </w:r>
      <w:r w:rsidRPr="00684BF3">
        <w:rPr>
          <w:rStyle w:val="StyleUnderline"/>
        </w:rPr>
        <w:t xml:space="preserve">nology </w:t>
      </w:r>
      <w:r w:rsidRPr="00456038">
        <w:rPr>
          <w:rStyle w:val="Emphasis"/>
          <w:highlight w:val="cyan"/>
        </w:rPr>
        <w:t>overregulated</w:t>
      </w:r>
      <w:r w:rsidRPr="00456038">
        <w:rPr>
          <w:rStyle w:val="StyleUnderline"/>
          <w:highlight w:val="cyan"/>
        </w:rPr>
        <w:t xml:space="preserve"> or </w:t>
      </w:r>
      <w:r w:rsidRPr="00456038">
        <w:rPr>
          <w:rStyle w:val="Emphasis"/>
          <w:highlight w:val="cyan"/>
        </w:rPr>
        <w:t>outlawed</w:t>
      </w:r>
      <w:r w:rsidRPr="00684BF3">
        <w:rPr>
          <w:sz w:val="16"/>
        </w:rPr>
        <w:t xml:space="preserve"> out of worst-case fears, </w:t>
      </w:r>
      <w:r w:rsidRPr="00456038">
        <w:rPr>
          <w:rStyle w:val="StyleUnderline"/>
          <w:highlight w:val="cyan"/>
        </w:rPr>
        <w:t>depriving</w:t>
      </w:r>
      <w:r w:rsidRPr="00684BF3">
        <w:rPr>
          <w:rStyle w:val="StyleUnderline"/>
        </w:rPr>
        <w:t xml:space="preserve"> us of</w:t>
      </w:r>
      <w:r w:rsidRPr="00684BF3">
        <w:rPr>
          <w:sz w:val="16"/>
        </w:rPr>
        <w:t xml:space="preserve"> the spectacular benefits of </w:t>
      </w:r>
      <w:r w:rsidRPr="00684BF3">
        <w:rPr>
          <w:rStyle w:val="StyleUnderline"/>
        </w:rPr>
        <w:t xml:space="preserve">greater </w:t>
      </w:r>
      <w:r w:rsidRPr="00456038">
        <w:rPr>
          <w:rStyle w:val="Emphasis"/>
          <w:highlight w:val="cyan"/>
        </w:rPr>
        <w:t>ecological sustainability</w:t>
      </w:r>
      <w:r w:rsidRPr="00684BF3">
        <w:rPr>
          <w:sz w:val="16"/>
        </w:rPr>
        <w:t xml:space="preserve">, human </w:t>
      </w:r>
      <w:r w:rsidRPr="00684BF3">
        <w:rPr>
          <w:rStyle w:val="StyleUnderline"/>
        </w:rPr>
        <w:t xml:space="preserve">nutrition, </w:t>
      </w:r>
      <w:r w:rsidRPr="00456038">
        <w:rPr>
          <w:rStyle w:val="StyleUnderline"/>
          <w:highlight w:val="cyan"/>
        </w:rPr>
        <w:t>and</w:t>
      </w:r>
      <w:r w:rsidRPr="00684BF3">
        <w:rPr>
          <w:rStyle w:val="StyleUnderline"/>
        </w:rPr>
        <w:t xml:space="preserve"> </w:t>
      </w:r>
      <w:r w:rsidRPr="00456038">
        <w:rPr>
          <w:rStyle w:val="Emphasis"/>
          <w:highlight w:val="cyan"/>
        </w:rPr>
        <w:t>less</w:t>
      </w:r>
      <w:r w:rsidRPr="00684BF3">
        <w:rPr>
          <w:sz w:val="16"/>
        </w:rPr>
        <w:t xml:space="preserve"> use of </w:t>
      </w:r>
      <w:r w:rsidRPr="00456038">
        <w:rPr>
          <w:rStyle w:val="Emphasis"/>
          <w:highlight w:val="cyan"/>
        </w:rPr>
        <w:t>water</w:t>
      </w:r>
      <w:r w:rsidRPr="00456038">
        <w:rPr>
          <w:rStyle w:val="StyleUnderline"/>
          <w:highlight w:val="cyan"/>
        </w:rPr>
        <w:t xml:space="preserve"> and </w:t>
      </w:r>
      <w:r w:rsidRPr="00456038">
        <w:rPr>
          <w:rStyle w:val="Emphasis"/>
          <w:highlight w:val="cyan"/>
        </w:rPr>
        <w:t>pesticides</w:t>
      </w:r>
      <w:r w:rsidRPr="00684BF3">
        <w:rPr>
          <w:sz w:val="16"/>
        </w:rPr>
        <w:t>. </w:t>
      </w:r>
    </w:p>
    <w:p w14:paraId="176F1E52" w14:textId="77777777" w:rsidR="00D10287" w:rsidRPr="00684BF3" w:rsidRDefault="00D10287" w:rsidP="00D10287">
      <w:pPr>
        <w:rPr>
          <w:sz w:val="16"/>
        </w:rPr>
      </w:pPr>
      <w:r w:rsidRPr="00684BF3">
        <w:rPr>
          <w:rStyle w:val="StyleUnderline"/>
        </w:rPr>
        <w:t xml:space="preserve">There are other </w:t>
      </w:r>
      <w:r w:rsidRPr="00684BF3">
        <w:rPr>
          <w:rStyle w:val="Emphasis"/>
        </w:rPr>
        <w:t>downsides</w:t>
      </w:r>
      <w:r w:rsidRPr="00684BF3">
        <w:rPr>
          <w:rStyle w:val="StyleUnderline"/>
        </w:rPr>
        <w:t xml:space="preserve"> of </w:t>
      </w:r>
      <w:r w:rsidRPr="00684BF3">
        <w:rPr>
          <w:rStyle w:val="Emphasis"/>
        </w:rPr>
        <w:t>fretting about</w:t>
      </w:r>
      <w:r w:rsidRPr="00684BF3">
        <w:rPr>
          <w:rStyle w:val="StyleUnderline"/>
        </w:rPr>
        <w:t xml:space="preserve"> exotic hypothetical </w:t>
      </w:r>
      <w:r w:rsidRPr="00684BF3">
        <w:rPr>
          <w:rStyle w:val="Emphasis"/>
        </w:rPr>
        <w:t>existential risks</w:t>
      </w:r>
      <w:r w:rsidRPr="00684BF3">
        <w:rPr>
          <w:sz w:val="16"/>
        </w:rPr>
        <w:t xml:space="preserve">. There is a line of reasoning in the existential risk community and </w:t>
      </w:r>
      <w:r w:rsidRPr="00684BF3">
        <w:rPr>
          <w:rStyle w:val="StyleUnderline"/>
        </w:rPr>
        <w:t>the so called Rationality community that</w:t>
      </w:r>
      <w:r w:rsidRPr="00684BF3">
        <w:rPr>
          <w:sz w:val="16"/>
        </w:rPr>
        <w:t xml:space="preserve"> goes something like this: </w:t>
      </w:r>
      <w:r w:rsidRPr="00684BF3">
        <w:rPr>
          <w:rStyle w:val="StyleUnderline"/>
        </w:rPr>
        <w:t xml:space="preserve">since the </w:t>
      </w:r>
      <w:r w:rsidRPr="00684BF3">
        <w:rPr>
          <w:rStyle w:val="Emphasis"/>
        </w:rPr>
        <w:t>harm</w:t>
      </w:r>
      <w:r w:rsidRPr="00684BF3">
        <w:rPr>
          <w:rStyle w:val="StyleUnderline"/>
        </w:rPr>
        <w:t xml:space="preserve"> of extinguishing the species </w:t>
      </w:r>
      <w:r w:rsidRPr="00684BF3">
        <w:rPr>
          <w:rStyle w:val="Emphasis"/>
        </w:rPr>
        <w:t>is</w:t>
      </w:r>
      <w:r w:rsidRPr="00684BF3">
        <w:rPr>
          <w:sz w:val="16"/>
        </w:rPr>
        <w:t xml:space="preserve"> basically </w:t>
      </w:r>
      <w:r w:rsidRPr="00684BF3">
        <w:rPr>
          <w:rStyle w:val="Emphasis"/>
        </w:rPr>
        <w:t>infinite</w:t>
      </w:r>
      <w:r w:rsidRPr="00684BF3">
        <w:rPr>
          <w:sz w:val="16"/>
        </w:rPr>
        <w:t xml:space="preserve">, </w:t>
      </w:r>
      <w:r w:rsidRPr="00684BF3">
        <w:rPr>
          <w:rStyle w:val="StyleUnderline"/>
        </w:rPr>
        <w:t>probabilities no longer matter</w:t>
      </w:r>
      <w:r w:rsidRPr="00684BF3">
        <w:rPr>
          <w:sz w:val="16"/>
        </w:rPr>
        <w:t xml:space="preserve">, </w:t>
      </w:r>
      <w:r w:rsidRPr="00684BF3">
        <w:rPr>
          <w:rStyle w:val="StyleUnderline"/>
        </w:rPr>
        <w:t>because by</w:t>
      </w:r>
      <w:r w:rsidRPr="00684BF3">
        <w:rPr>
          <w:sz w:val="16"/>
        </w:rPr>
        <w:t xml:space="preserve"> expected </w:t>
      </w:r>
      <w:r w:rsidRPr="00684BF3">
        <w:rPr>
          <w:rStyle w:val="StyleUnderline"/>
        </w:rPr>
        <w:t>utility calculations</w:t>
      </w:r>
      <w:r w:rsidRPr="00684BF3">
        <w:rPr>
          <w:sz w:val="16"/>
        </w:rPr>
        <w:t xml:space="preserve">, </w:t>
      </w:r>
      <w:r w:rsidRPr="00456038">
        <w:rPr>
          <w:rStyle w:val="StyleUnderline"/>
          <w:highlight w:val="cyan"/>
        </w:rPr>
        <w:t>if</w:t>
      </w:r>
      <w:r w:rsidRPr="00456038">
        <w:rPr>
          <w:sz w:val="16"/>
          <w:highlight w:val="cyan"/>
        </w:rPr>
        <w:t xml:space="preserve"> </w:t>
      </w:r>
      <w:r w:rsidRPr="00456038">
        <w:rPr>
          <w:rStyle w:val="StyleUnderline"/>
          <w:highlight w:val="cyan"/>
        </w:rPr>
        <w:t xml:space="preserve">you </w:t>
      </w:r>
      <w:r w:rsidRPr="00456038">
        <w:rPr>
          <w:rStyle w:val="Emphasis"/>
          <w:highlight w:val="cyan"/>
        </w:rPr>
        <w:t>multiply the tiny risk by</w:t>
      </w:r>
      <w:r w:rsidRPr="00684BF3">
        <w:rPr>
          <w:rStyle w:val="Emphasis"/>
        </w:rPr>
        <w:t xml:space="preserve"> </w:t>
      </w:r>
      <w:r w:rsidRPr="00456038">
        <w:rPr>
          <w:rStyle w:val="Emphasis"/>
          <w:highlight w:val="cyan"/>
        </w:rPr>
        <w:t>the</w:t>
      </w:r>
      <w:r w:rsidRPr="00684BF3">
        <w:rPr>
          <w:rStyle w:val="StyleUnderline"/>
        </w:rPr>
        <w:t xml:space="preserve"> very </w:t>
      </w:r>
      <w:r w:rsidRPr="00456038">
        <w:rPr>
          <w:rStyle w:val="Emphasis"/>
          <w:highlight w:val="cyan"/>
        </w:rPr>
        <w:t>large</w:t>
      </w:r>
      <w:r w:rsidRPr="00684BF3">
        <w:rPr>
          <w:rStyle w:val="Emphasis"/>
        </w:rPr>
        <w:t xml:space="preserve"> </w:t>
      </w:r>
      <w:r w:rsidRPr="00456038">
        <w:rPr>
          <w:rStyle w:val="Emphasis"/>
          <w:highlight w:val="cyan"/>
        </w:rPr>
        <w:t>number of</w:t>
      </w:r>
      <w:r w:rsidRPr="00684BF3">
        <w:rPr>
          <w:rStyle w:val="StyleUnderline"/>
        </w:rPr>
        <w:t xml:space="preserve"> </w:t>
      </w:r>
      <w:r w:rsidRPr="00684BF3">
        <w:rPr>
          <w:sz w:val="16"/>
        </w:rPr>
        <w:t xml:space="preserve">the potential </w:t>
      </w:r>
      <w:r w:rsidRPr="00456038">
        <w:rPr>
          <w:rStyle w:val="Emphasis"/>
          <w:highlight w:val="cyan"/>
        </w:rPr>
        <w:t>descendants</w:t>
      </w:r>
      <w:r w:rsidRPr="00684BF3">
        <w:rPr>
          <w:rStyle w:val="StyleUnderline"/>
        </w:rPr>
        <w:t xml:space="preserve"> of humans before the sun</w:t>
      </w:r>
      <w:r w:rsidRPr="00684BF3">
        <w:rPr>
          <w:sz w:val="16"/>
        </w:rPr>
        <w:t xml:space="preserve"> expands and </w:t>
      </w:r>
      <w:r w:rsidRPr="00684BF3">
        <w:rPr>
          <w:rStyle w:val="StyleUnderline"/>
        </w:rPr>
        <w:t>kills us off</w:t>
      </w:r>
      <w:r w:rsidRPr="00684BF3">
        <w:rPr>
          <w:sz w:val="16"/>
        </w:rPr>
        <w:t xml:space="preserve"> (</w:t>
      </w:r>
      <w:r w:rsidRPr="00684BF3">
        <w:rPr>
          <w:rStyle w:val="StyleUnderline"/>
        </w:rPr>
        <w:t>or in wilder scenarios</w:t>
      </w:r>
      <w:r w:rsidRPr="00684BF3">
        <w:rPr>
          <w:sz w:val="16"/>
        </w:rPr>
        <w:t xml:space="preserve">,  the astronomically larger number of immortal consciousnesses that will exist when </w:t>
      </w:r>
      <w:r w:rsidRPr="00684BF3">
        <w:rPr>
          <w:rStyle w:val="StyleUnderline"/>
        </w:rPr>
        <w:t>we</w:t>
      </w:r>
      <w:r w:rsidRPr="00684BF3">
        <w:rPr>
          <w:sz w:val="16"/>
        </w:rPr>
        <w:t xml:space="preserve"> can </w:t>
      </w:r>
      <w:r w:rsidRPr="00684BF3">
        <w:rPr>
          <w:rStyle w:val="StyleUnderline"/>
        </w:rPr>
        <w:t>upload our connectomes to the cloud, or when we colonize</w:t>
      </w:r>
      <w:r w:rsidRPr="00684BF3">
        <w:rPr>
          <w:sz w:val="16"/>
        </w:rPr>
        <w:t xml:space="preserve"> and multiply in </w:t>
      </w:r>
      <w:r w:rsidRPr="00684BF3">
        <w:rPr>
          <w:rStyle w:val="StyleUnderline"/>
        </w:rPr>
        <w:t>other solar systems</w:t>
      </w:r>
      <w:r w:rsidRPr="00684BF3">
        <w:rPr>
          <w:sz w:val="16"/>
        </w:rPr>
        <w:t xml:space="preserve">)—well, </w:t>
      </w:r>
      <w:r w:rsidRPr="00456038">
        <w:rPr>
          <w:rStyle w:val="Emphasis"/>
          <w:highlight w:val="cyan"/>
        </w:rPr>
        <w:t>then</w:t>
      </w:r>
      <w:r w:rsidRPr="00456038">
        <w:rPr>
          <w:rStyle w:val="StyleUnderline"/>
          <w:highlight w:val="cyan"/>
        </w:rPr>
        <w:t xml:space="preserve"> even </w:t>
      </w:r>
      <w:r w:rsidRPr="00456038">
        <w:rPr>
          <w:rStyle w:val="Emphasis"/>
          <w:highlight w:val="cyan"/>
        </w:rPr>
        <w:t>an</w:t>
      </w:r>
      <w:r w:rsidRPr="00684BF3">
        <w:rPr>
          <w:rStyle w:val="Emphasis"/>
        </w:rPr>
        <w:t xml:space="preserve"> eensy, eensy,</w:t>
      </w:r>
      <w:r w:rsidRPr="00684BF3">
        <w:rPr>
          <w:rStyle w:val="StyleUnderline"/>
        </w:rPr>
        <w:t xml:space="preserve"> </w:t>
      </w:r>
      <w:r w:rsidRPr="00456038">
        <w:rPr>
          <w:rStyle w:val="StyleUnderline"/>
          <w:highlight w:val="cyan"/>
        </w:rPr>
        <w:t xml:space="preserve">infinitesimal </w:t>
      </w:r>
      <w:r w:rsidRPr="00456038">
        <w:rPr>
          <w:rStyle w:val="Emphasis"/>
          <w:highlight w:val="cyan"/>
        </w:rPr>
        <w:t>probability</w:t>
      </w:r>
      <w:r w:rsidRPr="00684BF3">
        <w:rPr>
          <w:rStyle w:val="Emphasis"/>
        </w:rPr>
        <w:t xml:space="preserve"> of extinction </w:t>
      </w:r>
      <w:r w:rsidRPr="00456038">
        <w:rPr>
          <w:rStyle w:val="Emphasis"/>
          <w:highlight w:val="cyan"/>
        </w:rPr>
        <w:t>would be catastrophic</w:t>
      </w:r>
      <w:r w:rsidRPr="00684BF3">
        <w:rPr>
          <w:rStyle w:val="StyleUnderline"/>
        </w:rPr>
        <w:t xml:space="preserve">, </w:t>
      </w:r>
      <w:r w:rsidRPr="00456038">
        <w:rPr>
          <w:rStyle w:val="StyleUnderline"/>
          <w:highlight w:val="cyan"/>
        </w:rPr>
        <w:t>and we should worry</w:t>
      </w:r>
      <w:r w:rsidRPr="00684BF3">
        <w:rPr>
          <w:rStyle w:val="StyleUnderline"/>
        </w:rPr>
        <w:t xml:space="preserve"> about it</w:t>
      </w:r>
      <w:r w:rsidRPr="00684BF3">
        <w:rPr>
          <w:sz w:val="16"/>
        </w:rPr>
        <w:t xml:space="preserve"> now.</w:t>
      </w:r>
    </w:p>
    <w:p w14:paraId="1CEADD46" w14:textId="77777777" w:rsidR="00D10287" w:rsidRPr="00684BF3" w:rsidRDefault="00D10287" w:rsidP="00D10287">
      <w:pPr>
        <w:rPr>
          <w:sz w:val="16"/>
        </w:rPr>
      </w:pPr>
      <w:r w:rsidRPr="00684BF3">
        <w:rPr>
          <w:rStyle w:val="StyleUnderline"/>
        </w:rPr>
        <w:t>The problem is</w:t>
      </w:r>
      <w:r w:rsidRPr="00684BF3">
        <w:rPr>
          <w:sz w:val="16"/>
        </w:rPr>
        <w:t xml:space="preserve"> that </w:t>
      </w:r>
      <w:r w:rsidRPr="00684BF3">
        <w:rPr>
          <w:rStyle w:val="Emphasis"/>
        </w:rPr>
        <w:t>that argument could apply to any scenario with a nonzero probability</w:t>
      </w:r>
      <w:r w:rsidRPr="00684BF3">
        <w:rPr>
          <w:sz w:val="16"/>
        </w:rPr>
        <w:t xml:space="preserve">, which means </w:t>
      </w:r>
      <w:r w:rsidRPr="00684BF3">
        <w:rPr>
          <w:rStyle w:val="StyleUnderline"/>
        </w:rPr>
        <w:t>any scenario that is not logically impossible</w:t>
      </w:r>
      <w:r w:rsidRPr="00684BF3">
        <w:rPr>
          <w:sz w:val="16"/>
        </w:rPr>
        <w:t xml:space="preserve">. </w:t>
      </w:r>
      <w:r w:rsidRPr="00456038">
        <w:rPr>
          <w:rStyle w:val="StyleUnderline"/>
          <w:highlight w:val="cyan"/>
        </w:rPr>
        <w:t>Should we take steps to prevent</w:t>
      </w:r>
      <w:r w:rsidRPr="00684BF3">
        <w:rPr>
          <w:rStyle w:val="StyleUnderline"/>
        </w:rPr>
        <w:t xml:space="preserve"> the </w:t>
      </w:r>
      <w:r w:rsidRPr="00684BF3">
        <w:rPr>
          <w:rStyle w:val="Emphasis"/>
        </w:rPr>
        <w:t xml:space="preserve">evolution of </w:t>
      </w:r>
      <w:r w:rsidRPr="00456038">
        <w:rPr>
          <w:rStyle w:val="Emphasis"/>
          <w:highlight w:val="cyan"/>
        </w:rPr>
        <w:t>toxic killer gerbils</w:t>
      </w:r>
      <w:r w:rsidRPr="00684BF3">
        <w:rPr>
          <w:sz w:val="16"/>
        </w:rPr>
        <w:t xml:space="preserve"> that will nibble everyone to death? </w:t>
      </w:r>
      <w:r w:rsidRPr="00456038">
        <w:rPr>
          <w:rStyle w:val="StyleUnderline"/>
          <w:highlight w:val="cyan"/>
        </w:rPr>
        <w:t>If I say</w:t>
      </w:r>
      <w:r w:rsidRPr="00684BF3">
        <w:rPr>
          <w:rStyle w:val="StyleUnderline"/>
        </w:rPr>
        <w:t>, “</w:t>
      </w:r>
      <w:r w:rsidRPr="00456038">
        <w:rPr>
          <w:rStyle w:val="StyleUnderline"/>
          <w:highlight w:val="cyan"/>
        </w:rPr>
        <w:t>That’s preposterous</w:t>
      </w:r>
      <w:r w:rsidRPr="00684BF3">
        <w:rPr>
          <w:rStyle w:val="StyleUnderline"/>
        </w:rPr>
        <w:t xml:space="preserve">,” </w:t>
      </w:r>
      <w:r w:rsidRPr="00456038">
        <w:rPr>
          <w:rStyle w:val="StyleUnderline"/>
          <w:highlight w:val="cyan"/>
        </w:rPr>
        <w:t>you</w:t>
      </w:r>
      <w:r w:rsidRPr="00684BF3">
        <w:rPr>
          <w:rStyle w:val="StyleUnderline"/>
        </w:rPr>
        <w:t xml:space="preserve"> can </w:t>
      </w:r>
      <w:r w:rsidRPr="00456038">
        <w:rPr>
          <w:rStyle w:val="StyleUnderline"/>
          <w:highlight w:val="cyan"/>
        </w:rPr>
        <w:t>say</w:t>
      </w:r>
      <w:r w:rsidRPr="00684BF3">
        <w:rPr>
          <w:rStyle w:val="StyleUnderline"/>
        </w:rPr>
        <w:t>, “</w:t>
      </w:r>
      <w:r w:rsidRPr="00456038">
        <w:rPr>
          <w:rStyle w:val="StyleUnderline"/>
          <w:highlight w:val="cyan"/>
        </w:rPr>
        <w:t>Well, even if the probability is</w:t>
      </w:r>
      <w:r w:rsidRPr="00684BF3">
        <w:rPr>
          <w:sz w:val="16"/>
        </w:rPr>
        <w:t xml:space="preserve"> very, </w:t>
      </w:r>
      <w:r w:rsidRPr="00684BF3">
        <w:rPr>
          <w:rStyle w:val="StyleUnderline"/>
        </w:rPr>
        <w:t xml:space="preserve">very </w:t>
      </w:r>
      <w:r w:rsidRPr="00456038">
        <w:rPr>
          <w:rStyle w:val="StyleUnderline"/>
          <w:highlight w:val="cyan"/>
        </w:rPr>
        <w:t>small</w:t>
      </w:r>
      <w:r w:rsidRPr="00684BF3">
        <w:rPr>
          <w:rStyle w:val="StyleUnderline"/>
        </w:rPr>
        <w:t xml:space="preserve">, since the harm of extinction is so great, </w:t>
      </w:r>
      <w:r w:rsidRPr="00456038">
        <w:rPr>
          <w:rStyle w:val="StyleUnderline"/>
          <w:highlight w:val="cyan"/>
        </w:rPr>
        <w:t>we must devote</w:t>
      </w:r>
      <w:r w:rsidRPr="00684BF3">
        <w:rPr>
          <w:rStyle w:val="StyleUnderline"/>
        </w:rPr>
        <w:t xml:space="preserve"> some </w:t>
      </w:r>
      <w:r w:rsidRPr="00456038">
        <w:rPr>
          <w:rStyle w:val="StyleUnderline"/>
          <w:highlight w:val="cyan"/>
        </w:rPr>
        <w:t>brain power</w:t>
      </w:r>
      <w:r w:rsidRPr="00684BF3">
        <w:rPr>
          <w:sz w:val="16"/>
        </w:rPr>
        <w:t xml:space="preserve"> to that scenario.”</w:t>
      </w:r>
    </w:p>
    <w:p w14:paraId="1E52FE4D" w14:textId="4E15C660" w:rsidR="00D10287" w:rsidRDefault="00D10287" w:rsidP="00D10287">
      <w:pPr>
        <w:rPr>
          <w:sz w:val="16"/>
        </w:rPr>
      </w:pPr>
      <w:r w:rsidRPr="00456038">
        <w:rPr>
          <w:rStyle w:val="StyleUnderline"/>
          <w:highlight w:val="cyan"/>
        </w:rPr>
        <w:t>I</w:t>
      </w:r>
      <w:r w:rsidRPr="00684BF3">
        <w:rPr>
          <w:sz w:val="16"/>
        </w:rPr>
        <w:t xml:space="preserve"> do </w:t>
      </w:r>
      <w:r w:rsidRPr="00456038">
        <w:rPr>
          <w:rStyle w:val="StyleUnderline"/>
          <w:highlight w:val="cyan"/>
        </w:rPr>
        <w:t>fear the</w:t>
      </w:r>
      <w:r w:rsidRPr="00684BF3">
        <w:rPr>
          <w:rStyle w:val="StyleUnderline"/>
        </w:rPr>
        <w:t xml:space="preserve"> moral </w:t>
      </w:r>
      <w:r w:rsidRPr="00456038">
        <w:rPr>
          <w:rStyle w:val="StyleUnderline"/>
          <w:highlight w:val="cyan"/>
        </w:rPr>
        <w:t xml:space="preserve">hazard of </w:t>
      </w:r>
      <w:r w:rsidRPr="00456038">
        <w:rPr>
          <w:rStyle w:val="Emphasis"/>
          <w:highlight w:val="cyan"/>
        </w:rPr>
        <w:t>human intellect being absorbed</w:t>
      </w:r>
      <w:r w:rsidRPr="00456038">
        <w:rPr>
          <w:rStyle w:val="StyleUnderline"/>
          <w:highlight w:val="cyan"/>
        </w:rPr>
        <w:t xml:space="preserve"> in this</w:t>
      </w:r>
      <w:r w:rsidRPr="00684BF3">
        <w:rPr>
          <w:rStyle w:val="StyleUnderline"/>
        </w:rPr>
        <w:t xml:space="preserve"> free-for-all</w:t>
      </w:r>
      <w:r w:rsidRPr="00684BF3">
        <w:rPr>
          <w:sz w:val="16"/>
        </w:rPr>
        <w:t xml:space="preserve">: that </w:t>
      </w:r>
      <w:r w:rsidRPr="00684BF3">
        <w:rPr>
          <w:rStyle w:val="StyleUnderline"/>
        </w:rPr>
        <w:t>any risk, if you imagine it’s potentially existential</w:t>
      </w:r>
      <w:r w:rsidRPr="00684BF3">
        <w:rPr>
          <w:sz w:val="16"/>
        </w:rPr>
        <w:t xml:space="preserve">, </w:t>
      </w:r>
      <w:r w:rsidRPr="00684BF3">
        <w:rPr>
          <w:rStyle w:val="StyleUnderline"/>
        </w:rPr>
        <w:t>could justify any amount of expenditure</w:t>
      </w:r>
      <w:r w:rsidRPr="00684BF3">
        <w:rPr>
          <w:sz w:val="16"/>
        </w:rPr>
        <w:t xml:space="preserve">, according to this expected utility calculation. The hazard is that </w:t>
      </w:r>
      <w:r w:rsidRPr="00456038">
        <w:rPr>
          <w:rStyle w:val="Emphasis"/>
          <w:highlight w:val="cyan"/>
        </w:rPr>
        <w:t>smart people</w:t>
      </w:r>
      <w:r w:rsidRPr="00684BF3">
        <w:rPr>
          <w:rStyle w:val="StyleUnderline"/>
        </w:rPr>
        <w:t>, clever enough to grasp a danger</w:t>
      </w:r>
      <w:r w:rsidRPr="00684BF3">
        <w:rPr>
          <w:sz w:val="16"/>
        </w:rPr>
        <w:t xml:space="preserve"> that common sense would never conceive of, </w:t>
      </w:r>
      <w:r w:rsidRPr="00684BF3">
        <w:rPr>
          <w:rStyle w:val="Emphasis"/>
        </w:rPr>
        <w:t xml:space="preserve">will be </w:t>
      </w:r>
      <w:r w:rsidRPr="00456038">
        <w:rPr>
          <w:rStyle w:val="Emphasis"/>
          <w:highlight w:val="cyan"/>
        </w:rPr>
        <w:t>absorbed</w:t>
      </w:r>
      <w:r w:rsidRPr="00456038">
        <w:rPr>
          <w:rStyle w:val="StyleUnderline"/>
          <w:highlight w:val="cyan"/>
        </w:rPr>
        <w:t xml:space="preserve"> into</w:t>
      </w:r>
      <w:r w:rsidRPr="00684BF3">
        <w:rPr>
          <w:sz w:val="16"/>
        </w:rPr>
        <w:t xml:space="preserve"> what might be </w:t>
      </w:r>
      <w:r w:rsidRPr="00456038">
        <w:rPr>
          <w:rStyle w:val="StyleUnderline"/>
          <w:highlight w:val="cyan"/>
        </w:rPr>
        <w:t>a fruitless pursuit</w:t>
      </w:r>
      <w:r w:rsidRPr="00684BF3">
        <w:rPr>
          <w:sz w:val="16"/>
        </w:rPr>
        <w:t xml:space="preserve">, </w:t>
      </w:r>
      <w:r w:rsidRPr="00684BF3">
        <w:rPr>
          <w:rStyle w:val="StyleUnderline"/>
        </w:rPr>
        <w:t xml:space="preserve">compared to areas where </w:t>
      </w:r>
      <w:r w:rsidRPr="00456038">
        <w:rPr>
          <w:rStyle w:val="StyleUnderline"/>
          <w:highlight w:val="cyan"/>
        </w:rPr>
        <w:t>we</w:t>
      </w:r>
      <w:r w:rsidRPr="00684BF3">
        <w:rPr>
          <w:rStyle w:val="StyleUnderline"/>
        </w:rPr>
        <w:t xml:space="preserve"> urgently do </w:t>
      </w:r>
      <w:r w:rsidRPr="00456038">
        <w:rPr>
          <w:rStyle w:val="StyleUnderline"/>
          <w:highlight w:val="cyan"/>
        </w:rPr>
        <w:t>need</w:t>
      </w:r>
      <w:r w:rsidRPr="00684BF3">
        <w:rPr>
          <w:rStyle w:val="StyleUnderline"/>
        </w:rPr>
        <w:t xml:space="preserve"> application of human </w:t>
      </w:r>
      <w:r w:rsidRPr="00456038">
        <w:rPr>
          <w:rStyle w:val="StyleUnderline"/>
          <w:highlight w:val="cyan"/>
        </w:rPr>
        <w:t>brain power</w:t>
      </w:r>
      <w:r w:rsidRPr="00684BF3">
        <w:rPr>
          <w:sz w:val="16"/>
        </w:rPr>
        <w:t>–</w:t>
      </w:r>
      <w:r w:rsidRPr="00456038">
        <w:rPr>
          <w:rStyle w:val="StyleUnderline"/>
          <w:highlight w:val="cyan"/>
        </w:rPr>
        <w:t xml:space="preserve">in </w:t>
      </w:r>
      <w:r w:rsidRPr="00456038">
        <w:rPr>
          <w:rStyle w:val="Emphasis"/>
          <w:highlight w:val="cyan"/>
        </w:rPr>
        <w:t>climate</w:t>
      </w:r>
      <w:r w:rsidRPr="00684BF3">
        <w:rPr>
          <w:sz w:val="16"/>
        </w:rPr>
        <w:t xml:space="preserve">, in the </w:t>
      </w:r>
      <w:r w:rsidRPr="00456038">
        <w:rPr>
          <w:rStyle w:val="Emphasis"/>
          <w:highlight w:val="cyan"/>
        </w:rPr>
        <w:t>prevention of nuclear war</w:t>
      </w:r>
      <w:r w:rsidRPr="00684BF3">
        <w:rPr>
          <w:sz w:val="16"/>
        </w:rPr>
        <w:t xml:space="preserve">, in the </w:t>
      </w:r>
      <w:r w:rsidRPr="00684BF3">
        <w:rPr>
          <w:rStyle w:val="StyleUnderline"/>
        </w:rPr>
        <w:t xml:space="preserve">prevention of </w:t>
      </w:r>
      <w:r w:rsidRPr="00456038">
        <w:rPr>
          <w:rStyle w:val="Emphasis"/>
          <w:highlight w:val="cyan"/>
        </w:rPr>
        <w:t>pandemics</w:t>
      </w:r>
      <w:r w:rsidRPr="00684BF3">
        <w:rPr>
          <w:sz w:val="16"/>
        </w:rPr>
        <w:t xml:space="preserve">. </w:t>
      </w:r>
      <w:r w:rsidRPr="00684BF3">
        <w:rPr>
          <w:rStyle w:val="StyleUnderline"/>
        </w:rPr>
        <w:t>Those are real risks</w:t>
      </w:r>
      <w:r w:rsidRPr="00684BF3">
        <w:rPr>
          <w:sz w:val="16"/>
        </w:rPr>
        <w:t xml:space="preserve">, which no one denies, </w:t>
      </w:r>
      <w:r w:rsidRPr="00684BF3">
        <w:rPr>
          <w:rStyle w:val="StyleUnderline"/>
        </w:rPr>
        <w:t xml:space="preserve">and </w:t>
      </w:r>
      <w:r w:rsidRPr="00684BF3">
        <w:rPr>
          <w:rStyle w:val="Emphasis"/>
        </w:rPr>
        <w:t>we haven’t solved any</w:t>
      </w:r>
      <w:r w:rsidRPr="00684BF3">
        <w:rPr>
          <w:rStyle w:val="StyleUnderline"/>
        </w:rPr>
        <w:t xml:space="preserve"> of them</w:t>
      </w:r>
      <w:r w:rsidRPr="00684BF3">
        <w:rPr>
          <w:sz w:val="16"/>
        </w:rPr>
        <w:t xml:space="preserve">, together with other massive sources of human misery like Alzheimer’s disease. Given these needs, </w:t>
      </w:r>
      <w:r w:rsidRPr="00684BF3">
        <w:rPr>
          <w:rStyle w:val="StyleUnderline"/>
        </w:rPr>
        <w:t>I wonder whether the infinitesimal-probability-times-infinite-harm is the right way of allocating our intellectual capital</w:t>
      </w:r>
      <w:r w:rsidRPr="00684BF3">
        <w:rPr>
          <w:sz w:val="16"/>
        </w:rPr>
        <w:t>.</w:t>
      </w:r>
    </w:p>
    <w:p w14:paraId="1BB9FA77" w14:textId="4D61D748" w:rsidR="00D10287" w:rsidRPr="00C80CAB" w:rsidRDefault="00D10287" w:rsidP="00D10287">
      <w:pPr>
        <w:pStyle w:val="Heading4"/>
        <w:rPr>
          <w:szCs w:val="26"/>
        </w:rPr>
      </w:pPr>
      <w:r w:rsidRPr="00C80CAB">
        <w:rPr>
          <w:szCs w:val="26"/>
        </w:rPr>
        <w:t>Russell</w:t>
      </w:r>
      <w:r>
        <w:rPr>
          <w:szCs w:val="26"/>
        </w:rPr>
        <w:t xml:space="preserve"> is wrong.</w:t>
      </w:r>
    </w:p>
    <w:p w14:paraId="48CA64BF" w14:textId="77777777" w:rsidR="00D10287" w:rsidRPr="00684BF3" w:rsidRDefault="00D10287" w:rsidP="00D10287">
      <w:r w:rsidRPr="00C80CAB">
        <w:rPr>
          <w:rStyle w:val="Heading4Char"/>
          <w:szCs w:val="26"/>
        </w:rPr>
        <w:t>Pinker et al. 6-15</w:t>
      </w:r>
      <w:r w:rsidRPr="00684BF3">
        <w:t>-20 – (Steven Pinker, PhD, Professor of Psychology at Harvard; Stuart Russell, UC Berkeley Professor of Computer Science; Lucas Perry; “Steven Pinker and Stuart Russell on the Foundations, Benefits, and Possible Existential Threat of AI”; Future of Life Institute; D.A. June 29</w:t>
      </w:r>
      <w:r w:rsidRPr="00684BF3">
        <w:rPr>
          <w:vertAlign w:val="superscript"/>
        </w:rPr>
        <w:t>th</w:t>
      </w:r>
      <w:r w:rsidRPr="00684BF3">
        <w:t xml:space="preserve"> 2020, [Published June 15</w:t>
      </w:r>
      <w:r w:rsidRPr="00684BF3">
        <w:rPr>
          <w:vertAlign w:val="superscript"/>
        </w:rPr>
        <w:t>th</w:t>
      </w:r>
      <w:r w:rsidRPr="00684BF3">
        <w:t xml:space="preserve"> 2020]; </w:t>
      </w:r>
      <w:hyperlink r:id="rId216" w:history="1">
        <w:r w:rsidRPr="00684BF3">
          <w:rPr>
            <w:rStyle w:val="Hyperlink"/>
          </w:rPr>
          <w:t>https://futureoflife.org/2020/06/15/steven-pinker-and-stuart-russell-on-the-foundations-benefits-and-possible-existential-risk-of-ai/</w:t>
        </w:r>
      </w:hyperlink>
      <w:r w:rsidRPr="00684BF3">
        <w:t>) //LFS—JCM</w:t>
      </w:r>
    </w:p>
    <w:p w14:paraId="1787D219" w14:textId="77777777" w:rsidR="00D10287" w:rsidRPr="00684BF3" w:rsidRDefault="00D10287" w:rsidP="00D10287">
      <w:pPr>
        <w:rPr>
          <w:sz w:val="16"/>
        </w:rPr>
      </w:pPr>
      <w:r w:rsidRPr="00684BF3">
        <w:rPr>
          <w:sz w:val="16"/>
        </w:rPr>
        <w:t xml:space="preserve">Steven Pinker: Several reactions. First, </w:t>
      </w:r>
      <w:r w:rsidRPr="00456038">
        <w:rPr>
          <w:rStyle w:val="Emphasis"/>
          <w:highlight w:val="cyan"/>
        </w:rPr>
        <w:t>while money is pouring in</w:t>
      </w:r>
      <w:r w:rsidRPr="00456038">
        <w:rPr>
          <w:rStyle w:val="StyleUnderline"/>
          <w:highlight w:val="cyan"/>
        </w:rPr>
        <w:t>to AI</w:t>
      </w:r>
      <w:r w:rsidRPr="00684BF3">
        <w:rPr>
          <w:rStyle w:val="StyleUnderline"/>
        </w:rPr>
        <w:t xml:space="preserve">, </w:t>
      </w:r>
      <w:r w:rsidRPr="00456038">
        <w:rPr>
          <w:rStyle w:val="Emphasis"/>
          <w:highlight w:val="cyan"/>
        </w:rPr>
        <w:t>it’s not</w:t>
      </w:r>
      <w:r w:rsidRPr="00456038">
        <w:rPr>
          <w:rStyle w:val="StyleUnderline"/>
          <w:highlight w:val="cyan"/>
        </w:rPr>
        <w:t xml:space="preserve"> pouring</w:t>
      </w:r>
      <w:r w:rsidRPr="00684BF3">
        <w:rPr>
          <w:rStyle w:val="StyleUnderline"/>
        </w:rPr>
        <w:t xml:space="preserve"> it </w:t>
      </w:r>
      <w:r w:rsidRPr="00456038">
        <w:rPr>
          <w:rStyle w:val="Emphasis"/>
          <w:highlight w:val="cyan"/>
        </w:rPr>
        <w:t>into super-optimizers</w:t>
      </w:r>
      <w:r w:rsidRPr="00684BF3">
        <w:rPr>
          <w:rStyle w:val="StyleUnderline"/>
        </w:rPr>
        <w:t xml:space="preserve"> tasked with curing cancer</w:t>
      </w:r>
      <w:r w:rsidRPr="00684BF3">
        <w:rPr>
          <w:sz w:val="16"/>
        </w:rPr>
        <w:t xml:space="preserve"> and with the power to kidnap people. And </w:t>
      </w:r>
      <w:r w:rsidRPr="00684BF3">
        <w:rPr>
          <w:rStyle w:val="StyleUnderline"/>
        </w:rPr>
        <w:t xml:space="preserve">the </w:t>
      </w:r>
      <w:r w:rsidRPr="00456038">
        <w:rPr>
          <w:rStyle w:val="StyleUnderline"/>
          <w:highlight w:val="cyan"/>
        </w:rPr>
        <w:t>analogies</w:t>
      </w:r>
      <w:r w:rsidRPr="00684BF3">
        <w:rPr>
          <w:rStyle w:val="StyleUnderline"/>
        </w:rPr>
        <w:t xml:space="preserve"> of humans outcompeting chimpanzees</w:t>
      </w:r>
      <w:r w:rsidRPr="00684BF3">
        <w:rPr>
          <w:sz w:val="16"/>
        </w:rPr>
        <w:t xml:space="preserve">, or American generals outsmarting their Iraqi counterparts, </w:t>
      </w:r>
      <w:r w:rsidRPr="00684BF3">
        <w:rPr>
          <w:rStyle w:val="StyleUnderline"/>
        </w:rPr>
        <w:t xml:space="preserve">once again </w:t>
      </w:r>
      <w:r w:rsidRPr="00456038">
        <w:rPr>
          <w:rStyle w:val="Emphasis"/>
          <w:highlight w:val="cyan"/>
        </w:rPr>
        <w:t>assume that systems</w:t>
      </w:r>
      <w:r w:rsidRPr="00456038">
        <w:rPr>
          <w:rStyle w:val="StyleUnderline"/>
          <w:highlight w:val="cyan"/>
        </w:rPr>
        <w:t xml:space="preserve"> that </w:t>
      </w:r>
      <w:r w:rsidRPr="00456038">
        <w:rPr>
          <w:rStyle w:val="Emphasis"/>
          <w:highlight w:val="cyan"/>
        </w:rPr>
        <w:t>are smarter</w:t>
      </w:r>
      <w:r w:rsidRPr="00684BF3">
        <w:rPr>
          <w:rStyle w:val="StyleUnderline"/>
        </w:rPr>
        <w:t xml:space="preserve"> </w:t>
      </w:r>
      <w:r w:rsidRPr="00456038">
        <w:rPr>
          <w:rStyle w:val="StyleUnderline"/>
          <w:highlight w:val="cyan"/>
        </w:rPr>
        <w:t xml:space="preserve">than us </w:t>
      </w:r>
      <w:r w:rsidRPr="00456038">
        <w:rPr>
          <w:rStyle w:val="Emphasis"/>
          <w:highlight w:val="cyan"/>
        </w:rPr>
        <w:t>will</w:t>
      </w:r>
      <w:r w:rsidRPr="00684BF3">
        <w:rPr>
          <w:rStyle w:val="StyleUnderline"/>
        </w:rPr>
        <w:t xml:space="preserve"> therefore </w:t>
      </w:r>
      <w:r w:rsidRPr="00456038">
        <w:rPr>
          <w:rStyle w:val="Emphasis"/>
          <w:highlight w:val="cyan"/>
        </w:rPr>
        <w:t>be in competition</w:t>
      </w:r>
      <w:r w:rsidRPr="00456038">
        <w:rPr>
          <w:rStyle w:val="StyleUnderline"/>
          <w:highlight w:val="cyan"/>
        </w:rPr>
        <w:t xml:space="preserve"> with us</w:t>
      </w:r>
      <w:r w:rsidRPr="00684BF3">
        <w:rPr>
          <w:sz w:val="16"/>
        </w:rPr>
        <w:t xml:space="preserve">. </w:t>
      </w:r>
      <w:r w:rsidRPr="00456038">
        <w:rPr>
          <w:rStyle w:val="Emphasis"/>
          <w:highlight w:val="cyan"/>
        </w:rPr>
        <w:t>As for straw men, I was mindful to avoid them</w:t>
      </w:r>
      <w:r w:rsidRPr="00684BF3">
        <w:rPr>
          <w:sz w:val="16"/>
        </w:rPr>
        <w:t xml:space="preserve">: </w:t>
      </w:r>
      <w:r w:rsidRPr="00684BF3">
        <w:rPr>
          <w:rStyle w:val="StyleUnderline"/>
        </w:rPr>
        <w:t>the AI system that would give people tumors to pursue the goal of curing cancer was</w:t>
      </w:r>
      <w:r w:rsidRPr="00684BF3">
        <w:rPr>
          <w:sz w:val="16"/>
        </w:rPr>
        <w:t xml:space="preserve"> taken </w:t>
      </w:r>
      <w:r w:rsidRPr="00684BF3">
        <w:rPr>
          <w:rStyle w:val="StyleUnderline"/>
        </w:rPr>
        <w:t>from Stuart’s book</w:t>
      </w:r>
      <w:r w:rsidRPr="00684BF3">
        <w:rPr>
          <w:sz w:val="16"/>
        </w:rPr>
        <w:t>.</w:t>
      </w:r>
    </w:p>
    <w:p w14:paraId="5093D356" w14:textId="77777777" w:rsidR="00D10287" w:rsidRPr="00684BF3" w:rsidRDefault="00D10287" w:rsidP="00D10287">
      <w:pPr>
        <w:rPr>
          <w:rStyle w:val="StyleUnderline"/>
        </w:rPr>
      </w:pPr>
      <w:r w:rsidRPr="00684BF3">
        <w:rPr>
          <w:sz w:val="16"/>
        </w:rPr>
        <w:t xml:space="preserve">I agree that </w:t>
      </w:r>
      <w:r w:rsidRPr="00456038">
        <w:rPr>
          <w:rStyle w:val="StyleUnderline"/>
          <w:highlight w:val="cyan"/>
        </w:rPr>
        <w:t>a super-optimizer</w:t>
      </w:r>
      <w:r w:rsidRPr="00684BF3">
        <w:rPr>
          <w:rStyle w:val="StyleUnderline"/>
        </w:rPr>
        <w:t xml:space="preserve"> that was </w:t>
      </w:r>
      <w:r w:rsidRPr="00456038">
        <w:rPr>
          <w:rStyle w:val="StyleUnderline"/>
          <w:highlight w:val="cyan"/>
        </w:rPr>
        <w:t>given a single goal would be menace</w:t>
      </w:r>
      <w:r w:rsidRPr="00684BF3">
        <w:rPr>
          <w:sz w:val="16"/>
        </w:rPr>
        <w:t xml:space="preserve">. </w:t>
      </w:r>
      <w:r w:rsidRPr="00456038">
        <w:rPr>
          <w:rStyle w:val="StyleUnderline"/>
          <w:highlight w:val="cyan"/>
        </w:rPr>
        <w:t xml:space="preserve">But a super-optimizer that </w:t>
      </w:r>
      <w:r w:rsidRPr="00456038">
        <w:rPr>
          <w:rStyle w:val="Emphasis"/>
          <w:highlight w:val="cyan"/>
        </w:rPr>
        <w:t>pursued a single goal</w:t>
      </w:r>
      <w:r w:rsidRPr="00456038">
        <w:rPr>
          <w:rStyle w:val="StyleUnderline"/>
          <w:highlight w:val="cyan"/>
        </w:rPr>
        <w:t xml:space="preserve"> is</w:t>
      </w:r>
      <w:r w:rsidRPr="00684BF3">
        <w:rPr>
          <w:sz w:val="16"/>
        </w:rPr>
        <w:t xml:space="preserve"> self-evidently unintelligent, </w:t>
      </w:r>
      <w:r w:rsidRPr="00456038">
        <w:rPr>
          <w:rStyle w:val="Emphasis"/>
          <w:highlight w:val="cyan"/>
        </w:rPr>
        <w:t>not superintelligent</w:t>
      </w:r>
      <w:r w:rsidRPr="00684BF3">
        <w:rPr>
          <w:rStyle w:val="StyleUnderline"/>
        </w:rPr>
        <w:t>! </w:t>
      </w:r>
    </w:p>
    <w:p w14:paraId="7AF1BA8D" w14:textId="5E2D5685" w:rsidR="00D10287" w:rsidRPr="00D10287" w:rsidRDefault="00D10287" w:rsidP="00D10287">
      <w:pPr>
        <w:pStyle w:val="Heading4"/>
        <w:rPr>
          <w:szCs w:val="26"/>
        </w:rPr>
      </w:pPr>
      <w:r>
        <w:rPr>
          <w:szCs w:val="26"/>
        </w:rPr>
        <w:t xml:space="preserve">AI scenarios are </w:t>
      </w:r>
      <w:r>
        <w:rPr>
          <w:szCs w:val="26"/>
          <w:u w:val="single"/>
        </w:rPr>
        <w:t>brain dead</w:t>
      </w:r>
      <w:r>
        <w:rPr>
          <w:szCs w:val="26"/>
        </w:rPr>
        <w:t>.</w:t>
      </w:r>
    </w:p>
    <w:p w14:paraId="268EAE08" w14:textId="77777777" w:rsidR="00D10287" w:rsidRPr="00684BF3" w:rsidRDefault="00D10287" w:rsidP="00D10287">
      <w:r w:rsidRPr="00C80CAB">
        <w:rPr>
          <w:rStyle w:val="Heading4Char"/>
          <w:szCs w:val="26"/>
        </w:rPr>
        <w:t>Etzioni 20</w:t>
      </w:r>
      <w:r w:rsidRPr="00684BF3">
        <w:t xml:space="preserve"> – (Oren Etzioni is the CEO of the nonprofit Allen Institute for AI, and a professor of computer science at the University of Washington; “How to know if artificial intelligence is about to destroy civilization”; MIT Technology Review; D.A. July 2</w:t>
      </w:r>
      <w:r w:rsidRPr="00684BF3">
        <w:rPr>
          <w:vertAlign w:val="superscript"/>
        </w:rPr>
        <w:t>nd</w:t>
      </w:r>
      <w:r w:rsidRPr="00684BF3">
        <w:t xml:space="preserve"> 2020, [Published February 25</w:t>
      </w:r>
      <w:r w:rsidRPr="00684BF3">
        <w:rPr>
          <w:vertAlign w:val="superscript"/>
        </w:rPr>
        <w:t>th</w:t>
      </w:r>
      <w:r w:rsidRPr="00684BF3">
        <w:t xml:space="preserve"> 2020]; </w:t>
      </w:r>
      <w:hyperlink r:id="rId217" w:history="1">
        <w:r w:rsidRPr="00684BF3">
          <w:rPr>
            <w:rStyle w:val="Hyperlink"/>
          </w:rPr>
          <w:t>https://www.technologyreview.com/2020/02/25/906083/artificial-intelligence-destroy-civilization-canaries-robot-overlords-take-over-world-ai/</w:t>
        </w:r>
      </w:hyperlink>
      <w:r w:rsidRPr="00684BF3">
        <w:t>) //LFS—JCM</w:t>
      </w:r>
    </w:p>
    <w:p w14:paraId="4AB737A8" w14:textId="77777777" w:rsidR="00D10287" w:rsidRPr="00684BF3" w:rsidRDefault="00D10287" w:rsidP="00D10287">
      <w:pPr>
        <w:rPr>
          <w:sz w:val="16"/>
        </w:rPr>
      </w:pPr>
      <w:r w:rsidRPr="00684BF3">
        <w:rPr>
          <w:sz w:val="16"/>
        </w:rPr>
        <w:t xml:space="preserve">And though the Turing test itself is not a good canary, limited versions of the test could serve as canaries. </w:t>
      </w:r>
      <w:r w:rsidRPr="00456038">
        <w:rPr>
          <w:rStyle w:val="Emphasis"/>
          <w:highlight w:val="cyan"/>
        </w:rPr>
        <w:t>Existing AIs are unable to understand</w:t>
      </w:r>
      <w:r w:rsidRPr="00684BF3">
        <w:rPr>
          <w:rStyle w:val="StyleUnderline"/>
        </w:rPr>
        <w:t xml:space="preserve"> people and their motivations, or even </w:t>
      </w:r>
      <w:r w:rsidRPr="00456038">
        <w:rPr>
          <w:rStyle w:val="Emphasis"/>
          <w:highlight w:val="cyan"/>
        </w:rPr>
        <w:t>basic physical questions</w:t>
      </w:r>
      <w:r w:rsidRPr="00456038">
        <w:rPr>
          <w:rStyle w:val="StyleUnderline"/>
          <w:highlight w:val="cyan"/>
        </w:rPr>
        <w:t xml:space="preserve"> like</w:t>
      </w:r>
      <w:r w:rsidRPr="00684BF3">
        <w:rPr>
          <w:rStyle w:val="StyleUnderline"/>
        </w:rPr>
        <w:t xml:space="preserve"> “</w:t>
      </w:r>
      <w:r w:rsidRPr="00456038">
        <w:rPr>
          <w:rStyle w:val="StyleUnderline"/>
          <w:highlight w:val="cyan"/>
        </w:rPr>
        <w:t>Will a</w:t>
      </w:r>
      <w:r w:rsidRPr="00684BF3">
        <w:rPr>
          <w:rStyle w:val="StyleUnderline"/>
        </w:rPr>
        <w:t xml:space="preserve"> jumbo </w:t>
      </w:r>
      <w:r w:rsidRPr="00456038">
        <w:rPr>
          <w:rStyle w:val="StyleUnderline"/>
          <w:highlight w:val="cyan"/>
        </w:rPr>
        <w:t>jet fit through a window?</w:t>
      </w:r>
      <w:r w:rsidRPr="00684BF3">
        <w:rPr>
          <w:rStyle w:val="StyleUnderline"/>
        </w:rPr>
        <w:t>”</w:t>
      </w:r>
      <w:r w:rsidRPr="00684BF3">
        <w:rPr>
          <w:sz w:val="16"/>
        </w:rPr>
        <w:t xml:space="preserve"> We can administer a partial Turing test by </w:t>
      </w:r>
      <w:r w:rsidRPr="00684BF3">
        <w:rPr>
          <w:rStyle w:val="StyleUnderline"/>
        </w:rPr>
        <w:t>conversing with an AI like Alexa</w:t>
      </w:r>
      <w:r w:rsidRPr="00684BF3">
        <w:rPr>
          <w:sz w:val="16"/>
        </w:rPr>
        <w:t xml:space="preserve"> or Google Home for a few minutes, which </w:t>
      </w:r>
      <w:r w:rsidRPr="00684BF3">
        <w:rPr>
          <w:rStyle w:val="StyleUnderline"/>
        </w:rPr>
        <w:t xml:space="preserve">quickly exposes their </w:t>
      </w:r>
      <w:r w:rsidRPr="00684BF3">
        <w:rPr>
          <w:rStyle w:val="Emphasis"/>
        </w:rPr>
        <w:t>limited understanding of language</w:t>
      </w:r>
      <w:r w:rsidRPr="00684BF3">
        <w:rPr>
          <w:rStyle w:val="StyleUnderline"/>
        </w:rPr>
        <w:t xml:space="preserve"> </w:t>
      </w:r>
      <w:r w:rsidRPr="00684BF3">
        <w:rPr>
          <w:sz w:val="16"/>
        </w:rPr>
        <w:t>and the world. Consider a very simple example based on the </w:t>
      </w:r>
      <w:hyperlink r:id="rId218" w:tgtFrame="_blank" w:history="1">
        <w:r w:rsidRPr="00684BF3">
          <w:rPr>
            <w:rStyle w:val="Hyperlink"/>
            <w:sz w:val="16"/>
          </w:rPr>
          <w:t>Winograd schemas</w:t>
        </w:r>
      </w:hyperlink>
      <w:r w:rsidRPr="00684BF3">
        <w:rPr>
          <w:sz w:val="16"/>
        </w:rPr>
        <w:t xml:space="preserve"> proposed by computer scientist Hector Levesque. I said to Alexa: “My trophy doesn’t fit into my carry-on because it is too large. What should I do?” Alexa’s answer was “I don’t know that one.” Since Alexa can’t reason about sizes of objects, it can’t decide whether “it” refers to the trophy or to the carry-on. When AI can’t understand the meaning of “it,” </w:t>
      </w:r>
      <w:r w:rsidRPr="00456038">
        <w:rPr>
          <w:rStyle w:val="StyleUnderline"/>
          <w:highlight w:val="cyan"/>
        </w:rPr>
        <w:t xml:space="preserve">it’s </w:t>
      </w:r>
      <w:r w:rsidRPr="00456038">
        <w:rPr>
          <w:rStyle w:val="Emphasis"/>
          <w:highlight w:val="cyan"/>
        </w:rPr>
        <w:t>hard to believe it is poised to take over</w:t>
      </w:r>
      <w:r w:rsidRPr="00684BF3">
        <w:rPr>
          <w:rStyle w:val="StyleUnderline"/>
        </w:rPr>
        <w:t xml:space="preserve"> the world</w:t>
      </w:r>
      <w:r w:rsidRPr="00684BF3">
        <w:rPr>
          <w:sz w:val="16"/>
        </w:rPr>
        <w:t>. If Alexa were able to have a substantive dialogue on a rich topic, that would be a fourth canary.</w:t>
      </w:r>
    </w:p>
    <w:p w14:paraId="71DEFE32" w14:textId="77777777" w:rsidR="00D10287" w:rsidRPr="00684BF3" w:rsidRDefault="00D10287" w:rsidP="00D10287">
      <w:pPr>
        <w:rPr>
          <w:sz w:val="16"/>
        </w:rPr>
      </w:pPr>
      <w:r w:rsidRPr="00684BF3">
        <w:rPr>
          <w:rStyle w:val="Emphasis"/>
        </w:rPr>
        <w:t xml:space="preserve">Current </w:t>
      </w:r>
      <w:r w:rsidRPr="00456038">
        <w:rPr>
          <w:rStyle w:val="Emphasis"/>
          <w:highlight w:val="cyan"/>
        </w:rPr>
        <w:t>AIs are idiots savants</w:t>
      </w:r>
      <w:r w:rsidRPr="00684BF3">
        <w:rPr>
          <w:sz w:val="16"/>
        </w:rPr>
        <w:t xml:space="preserve">: </w:t>
      </w:r>
      <w:r w:rsidRPr="00456038">
        <w:rPr>
          <w:rStyle w:val="StyleUnderline"/>
          <w:highlight w:val="cyan"/>
        </w:rPr>
        <w:t>successful on narrow tasks</w:t>
      </w:r>
      <w:r w:rsidRPr="00684BF3">
        <w:rPr>
          <w:rStyle w:val="StyleUnderline"/>
        </w:rPr>
        <w:t>, such as playing Go</w:t>
      </w:r>
      <w:r w:rsidRPr="00684BF3">
        <w:rPr>
          <w:sz w:val="16"/>
        </w:rPr>
        <w:t xml:space="preserve"> or categorizing MRI images, </w:t>
      </w:r>
      <w:r w:rsidRPr="00456038">
        <w:rPr>
          <w:rStyle w:val="StyleUnderline"/>
          <w:highlight w:val="cyan"/>
        </w:rPr>
        <w:t>but lacking</w:t>
      </w:r>
      <w:r w:rsidRPr="00684BF3">
        <w:rPr>
          <w:rStyle w:val="StyleUnderline"/>
        </w:rPr>
        <w:t xml:space="preserve"> the generality and </w:t>
      </w:r>
      <w:r w:rsidRPr="00456038">
        <w:rPr>
          <w:rStyle w:val="StyleUnderline"/>
          <w:highlight w:val="cyan"/>
        </w:rPr>
        <w:t>versatility</w:t>
      </w:r>
      <w:r w:rsidRPr="00684BF3">
        <w:rPr>
          <w:rStyle w:val="StyleUnderline"/>
        </w:rPr>
        <w:t xml:space="preserve"> of humans</w:t>
      </w:r>
      <w:r w:rsidRPr="00684BF3">
        <w:rPr>
          <w:sz w:val="16"/>
        </w:rPr>
        <w:t xml:space="preserve">. Each idiot savant is constructed manually and separately, and </w:t>
      </w:r>
      <w:r w:rsidRPr="00456038">
        <w:rPr>
          <w:rStyle w:val="Emphasis"/>
          <w:highlight w:val="cyan"/>
        </w:rPr>
        <w:t>we are decades away from</w:t>
      </w:r>
      <w:r w:rsidRPr="00456038">
        <w:rPr>
          <w:rStyle w:val="StyleUnderline"/>
          <w:highlight w:val="cyan"/>
        </w:rPr>
        <w:t xml:space="preserve"> the</w:t>
      </w:r>
      <w:r w:rsidRPr="00684BF3">
        <w:rPr>
          <w:rStyle w:val="StyleUnderline"/>
        </w:rPr>
        <w:t xml:space="preserve"> versatile </w:t>
      </w:r>
      <w:r w:rsidRPr="00456038">
        <w:rPr>
          <w:rStyle w:val="StyleUnderline"/>
          <w:highlight w:val="cyan"/>
        </w:rPr>
        <w:t xml:space="preserve">abilities of a </w:t>
      </w:r>
      <w:r w:rsidRPr="00456038">
        <w:rPr>
          <w:rStyle w:val="Emphasis"/>
          <w:highlight w:val="cyan"/>
        </w:rPr>
        <w:t>five-year-old</w:t>
      </w:r>
      <w:r w:rsidRPr="00684BF3">
        <w:rPr>
          <w:rStyle w:val="Emphasis"/>
        </w:rPr>
        <w:t xml:space="preserve"> child</w:t>
      </w:r>
      <w:r w:rsidRPr="00684BF3">
        <w:rPr>
          <w:sz w:val="16"/>
        </w:rPr>
        <w:t>. The canaries I propose, in contrast, indicate inflection points for the field of AI.</w:t>
      </w:r>
    </w:p>
    <w:p w14:paraId="12CAC006" w14:textId="77777777" w:rsidR="00D10287" w:rsidRPr="00684BF3" w:rsidRDefault="00D10287" w:rsidP="00D10287">
      <w:pPr>
        <w:rPr>
          <w:sz w:val="16"/>
        </w:rPr>
      </w:pPr>
      <w:r w:rsidRPr="00684BF3">
        <w:rPr>
          <w:sz w:val="16"/>
        </w:rPr>
        <w:t xml:space="preserve">Some theorists, like </w:t>
      </w:r>
      <w:r w:rsidRPr="00456038">
        <w:rPr>
          <w:rStyle w:val="Emphasis"/>
          <w:highlight w:val="cyan"/>
        </w:rPr>
        <w:t>Bostrom</w:t>
      </w:r>
      <w:r w:rsidRPr="00456038">
        <w:rPr>
          <w:rStyle w:val="StyleUnderline"/>
          <w:highlight w:val="cyan"/>
        </w:rPr>
        <w:t xml:space="preserve">, </w:t>
      </w:r>
      <w:r w:rsidRPr="00456038">
        <w:rPr>
          <w:rStyle w:val="Emphasis"/>
          <w:highlight w:val="cyan"/>
        </w:rPr>
        <w:t>argue</w:t>
      </w:r>
      <w:r w:rsidRPr="00684BF3">
        <w:rPr>
          <w:sz w:val="16"/>
        </w:rPr>
        <w:t xml:space="preserve"> that </w:t>
      </w:r>
      <w:r w:rsidRPr="00684BF3">
        <w:rPr>
          <w:rStyle w:val="StyleUnderline"/>
        </w:rPr>
        <w:t xml:space="preserve">we must nonetheless </w:t>
      </w:r>
      <w:r w:rsidRPr="00456038">
        <w:rPr>
          <w:rStyle w:val="Emphasis"/>
          <w:highlight w:val="cyan"/>
        </w:rPr>
        <w:t>plan for</w:t>
      </w:r>
      <w:r w:rsidRPr="00684BF3">
        <w:rPr>
          <w:rStyle w:val="Emphasis"/>
        </w:rPr>
        <w:t xml:space="preserve"> very </w:t>
      </w:r>
      <w:r w:rsidRPr="00456038">
        <w:rPr>
          <w:rStyle w:val="Emphasis"/>
          <w:highlight w:val="cyan"/>
        </w:rPr>
        <w:t>low-probability but high-consequence</w:t>
      </w:r>
      <w:r w:rsidRPr="00684BF3">
        <w:rPr>
          <w:rStyle w:val="Emphasis"/>
        </w:rPr>
        <w:t xml:space="preserve"> events</w:t>
      </w:r>
      <w:r w:rsidRPr="00684BF3">
        <w:rPr>
          <w:rStyle w:val="StyleUnderline"/>
        </w:rPr>
        <w:t xml:space="preserve"> as though they were inevitable</w:t>
      </w:r>
      <w:r w:rsidRPr="00684BF3">
        <w:rPr>
          <w:sz w:val="16"/>
        </w:rPr>
        <w:t xml:space="preserve">. The consequences, they say, are so profound that our estimates of their likelihood aren’t important. </w:t>
      </w:r>
      <w:r w:rsidRPr="00456038">
        <w:rPr>
          <w:rStyle w:val="Emphasis"/>
          <w:highlight w:val="cyan"/>
        </w:rPr>
        <w:t>This is</w:t>
      </w:r>
      <w:r w:rsidRPr="00684BF3">
        <w:rPr>
          <w:rStyle w:val="StyleUnderline"/>
        </w:rPr>
        <w:t xml:space="preserve"> a </w:t>
      </w:r>
      <w:r w:rsidRPr="00456038">
        <w:rPr>
          <w:rStyle w:val="Emphasis"/>
          <w:highlight w:val="cyan"/>
        </w:rPr>
        <w:t>silly</w:t>
      </w:r>
      <w:r w:rsidRPr="00684BF3">
        <w:rPr>
          <w:rStyle w:val="StyleUnderline"/>
        </w:rPr>
        <w:t xml:space="preserve"> argument</w:t>
      </w:r>
      <w:r w:rsidRPr="00684BF3">
        <w:rPr>
          <w:sz w:val="16"/>
        </w:rPr>
        <w:t xml:space="preserve">: </w:t>
      </w:r>
      <w:r w:rsidRPr="00456038">
        <w:rPr>
          <w:rStyle w:val="Emphasis"/>
          <w:highlight w:val="cyan"/>
        </w:rPr>
        <w:t>it can be used to justify</w:t>
      </w:r>
      <w:r w:rsidRPr="00684BF3">
        <w:rPr>
          <w:rStyle w:val="StyleUnderline"/>
        </w:rPr>
        <w:t xml:space="preserve"> just about </w:t>
      </w:r>
      <w:r w:rsidRPr="00456038">
        <w:rPr>
          <w:rStyle w:val="Emphasis"/>
          <w:highlight w:val="cyan"/>
        </w:rPr>
        <w:t>anything</w:t>
      </w:r>
      <w:r w:rsidRPr="00684BF3">
        <w:rPr>
          <w:sz w:val="16"/>
        </w:rPr>
        <w:t xml:space="preserve">. </w:t>
      </w:r>
      <w:r w:rsidRPr="00684BF3">
        <w:rPr>
          <w:rStyle w:val="StyleUnderline"/>
        </w:rPr>
        <w:t xml:space="preserve">It is a </w:t>
      </w:r>
      <w:r w:rsidRPr="00456038">
        <w:rPr>
          <w:rStyle w:val="StyleUnderline"/>
          <w:highlight w:val="cyan"/>
        </w:rPr>
        <w:t>modern-day version of</w:t>
      </w:r>
      <w:r w:rsidRPr="00684BF3">
        <w:rPr>
          <w:rStyle w:val="StyleUnderline"/>
        </w:rPr>
        <w:t xml:space="preserve"> the</w:t>
      </w:r>
      <w:r w:rsidRPr="00684BF3">
        <w:rPr>
          <w:sz w:val="16"/>
        </w:rPr>
        <w:t xml:space="preserve"> argument by the 17th-century philosopher Blaise </w:t>
      </w:r>
      <w:r w:rsidRPr="00456038">
        <w:rPr>
          <w:rStyle w:val="Emphasis"/>
          <w:highlight w:val="cyan"/>
        </w:rPr>
        <w:t>Pascal</w:t>
      </w:r>
      <w:r w:rsidRPr="00684BF3">
        <w:rPr>
          <w:sz w:val="16"/>
        </w:rPr>
        <w:t xml:space="preserve"> that it is worth acting as if a Christian God exists because otherwise you are at risk of an everlasting hell. He used </w:t>
      </w:r>
      <w:r w:rsidRPr="00684BF3">
        <w:rPr>
          <w:rStyle w:val="StyleUnderline"/>
        </w:rPr>
        <w:t>the infinite cost of an error to argue that a particular course of action is “rational” even if it is based on a highly improbable premise</w:t>
      </w:r>
      <w:r w:rsidRPr="00684BF3">
        <w:rPr>
          <w:sz w:val="16"/>
        </w:rPr>
        <w:t xml:space="preserve">. But arguments based on infinite costs can support contradictory beliefs. For instance, consider an anti-Christian God who promises everlasting hell for every Christian act.  That’s </w:t>
      </w:r>
      <w:r w:rsidRPr="00684BF3">
        <w:rPr>
          <w:rStyle w:val="Emphasis"/>
        </w:rPr>
        <w:t>highly improbable</w:t>
      </w:r>
      <w:r w:rsidRPr="00684BF3">
        <w:rPr>
          <w:sz w:val="16"/>
        </w:rPr>
        <w:t xml:space="preserve"> as well; from a logical point of view, though, it is just as reasonable a wager as believing in the god of the Bible. </w:t>
      </w:r>
      <w:r w:rsidRPr="00684BF3">
        <w:rPr>
          <w:rStyle w:val="StyleUnderline"/>
        </w:rPr>
        <w:t xml:space="preserve">This contradiction </w:t>
      </w:r>
      <w:r w:rsidRPr="00684BF3">
        <w:rPr>
          <w:rStyle w:val="Emphasis"/>
        </w:rPr>
        <w:t>shows a flaw in</w:t>
      </w:r>
      <w:r w:rsidRPr="00684BF3">
        <w:rPr>
          <w:rStyle w:val="StyleUnderline"/>
        </w:rPr>
        <w:t xml:space="preserve"> arguments based on </w:t>
      </w:r>
      <w:r w:rsidRPr="00684BF3">
        <w:rPr>
          <w:rStyle w:val="Emphasis"/>
        </w:rPr>
        <w:t>infinite costs</w:t>
      </w:r>
      <w:r w:rsidRPr="00684BF3">
        <w:rPr>
          <w:sz w:val="16"/>
        </w:rPr>
        <w:t>.</w:t>
      </w:r>
    </w:p>
    <w:p w14:paraId="07356366" w14:textId="77777777" w:rsidR="00D10287" w:rsidRPr="00684BF3" w:rsidRDefault="00D10287" w:rsidP="00D10287">
      <w:pPr>
        <w:rPr>
          <w:sz w:val="16"/>
        </w:rPr>
      </w:pPr>
      <w:r w:rsidRPr="00684BF3">
        <w:rPr>
          <w:sz w:val="16"/>
        </w:rPr>
        <w:t xml:space="preserve">My catalogue of </w:t>
      </w:r>
      <w:r w:rsidRPr="00456038">
        <w:rPr>
          <w:rStyle w:val="Emphasis"/>
          <w:highlight w:val="cyan"/>
        </w:rPr>
        <w:t>early warning signals</w:t>
      </w:r>
      <w:r w:rsidRPr="00684BF3">
        <w:rPr>
          <w:sz w:val="16"/>
        </w:rPr>
        <w:t xml:space="preserve">, or canaries, is illustrative rather than comprehensive, but it </w:t>
      </w:r>
      <w:r w:rsidRPr="00684BF3">
        <w:rPr>
          <w:rStyle w:val="StyleUnderline"/>
        </w:rPr>
        <w:t>shows how far we are from human-level AI</w:t>
      </w:r>
      <w:r w:rsidRPr="00684BF3">
        <w:rPr>
          <w:sz w:val="16"/>
        </w:rPr>
        <w:t xml:space="preserve">. </w:t>
      </w:r>
      <w:r w:rsidRPr="00684BF3">
        <w:rPr>
          <w:rStyle w:val="StyleUnderline"/>
        </w:rPr>
        <w:t>If and when a canary “collapses,” we will have ample time before the emergence of human-level AI to design robust “</w:t>
      </w:r>
      <w:r w:rsidRPr="00456038">
        <w:rPr>
          <w:rStyle w:val="Emphasis"/>
          <w:highlight w:val="cyan"/>
        </w:rPr>
        <w:t>off-switches</w:t>
      </w:r>
      <w:r w:rsidRPr="00684BF3">
        <w:rPr>
          <w:rStyle w:val="StyleUnderline"/>
        </w:rPr>
        <w:t xml:space="preserve">” </w:t>
      </w:r>
      <w:r w:rsidRPr="00456038">
        <w:rPr>
          <w:rStyle w:val="StyleUnderline"/>
          <w:highlight w:val="cyan"/>
        </w:rPr>
        <w:t>and</w:t>
      </w:r>
      <w:r w:rsidRPr="00684BF3">
        <w:rPr>
          <w:rStyle w:val="StyleUnderline"/>
        </w:rPr>
        <w:t xml:space="preserve"> to identify </w:t>
      </w:r>
      <w:r w:rsidRPr="00456038">
        <w:rPr>
          <w:rStyle w:val="Emphasis"/>
          <w:highlight w:val="cyan"/>
        </w:rPr>
        <w:t>red lines</w:t>
      </w:r>
      <w:r w:rsidRPr="00684BF3">
        <w:rPr>
          <w:rStyle w:val="StyleUnderline"/>
        </w:rPr>
        <w:t xml:space="preserve"> we don’t want AI to cros</w:t>
      </w:r>
      <w:r w:rsidRPr="00684BF3">
        <w:rPr>
          <w:sz w:val="16"/>
        </w:rPr>
        <w:t>s. AI eschatology without empirical canaries is a distraction from addressing existing issues like how to regulate AI’s impact on employment or ensure that its use in criminal sentencing or credit scoring doesn’t discriminate against certain groups.</w:t>
      </w:r>
    </w:p>
    <w:p w14:paraId="263302E5" w14:textId="3776E09C" w:rsidR="00D10287" w:rsidRDefault="00D10287" w:rsidP="00D10287">
      <w:pPr>
        <w:rPr>
          <w:sz w:val="16"/>
        </w:rPr>
      </w:pPr>
      <w:r w:rsidRPr="00684BF3">
        <w:rPr>
          <w:sz w:val="16"/>
        </w:rPr>
        <w:t>As Andrew Ng, one of the world’s most prominent AI experts, has said, “</w:t>
      </w:r>
      <w:r w:rsidRPr="00456038">
        <w:rPr>
          <w:rStyle w:val="StyleUnderline"/>
          <w:highlight w:val="cyan"/>
        </w:rPr>
        <w:t>Worrying about AI</w:t>
      </w:r>
      <w:r w:rsidRPr="00684BF3">
        <w:rPr>
          <w:rStyle w:val="StyleUnderline"/>
        </w:rPr>
        <w:t xml:space="preserve"> </w:t>
      </w:r>
      <w:r w:rsidRPr="00456038">
        <w:rPr>
          <w:rStyle w:val="StyleUnderline"/>
          <w:highlight w:val="cyan"/>
        </w:rPr>
        <w:t>turning evil is</w:t>
      </w:r>
      <w:r w:rsidRPr="00684BF3">
        <w:rPr>
          <w:rStyle w:val="StyleUnderline"/>
        </w:rPr>
        <w:t xml:space="preserve"> a little bit </w:t>
      </w:r>
      <w:r w:rsidRPr="00456038">
        <w:rPr>
          <w:rStyle w:val="StyleUnderline"/>
          <w:highlight w:val="cyan"/>
        </w:rPr>
        <w:t>like worrying about overpopulation on Mars</w:t>
      </w:r>
      <w:r w:rsidRPr="00684BF3">
        <w:rPr>
          <w:sz w:val="16"/>
        </w:rPr>
        <w:t>.” Until the canaries start dying, he is entirely correct.</w:t>
      </w:r>
    </w:p>
    <w:p w14:paraId="03EBAA6E" w14:textId="63A9951C" w:rsidR="00456038" w:rsidRDefault="00456038" w:rsidP="00B51F6B">
      <w:pPr>
        <w:pStyle w:val="Heading3"/>
      </w:pPr>
      <w:r>
        <w:t>2AC – Impact – AT: Corona</w:t>
      </w:r>
    </w:p>
    <w:p w14:paraId="3DC7C1E2" w14:textId="40FC2006" w:rsidR="00456038" w:rsidRPr="00456038" w:rsidRDefault="00456038" w:rsidP="00456038">
      <w:pPr>
        <w:pStyle w:val="Heading4"/>
      </w:pPr>
      <w:r>
        <w:t xml:space="preserve">COVID isn’t existential – other high magnitude events are </w:t>
      </w:r>
      <w:r>
        <w:rPr>
          <w:u w:val="single"/>
        </w:rPr>
        <w:t>more likely</w:t>
      </w:r>
      <w:r>
        <w:t>.</w:t>
      </w:r>
    </w:p>
    <w:p w14:paraId="3365C2F5" w14:textId="77777777" w:rsidR="00456038" w:rsidRPr="001124F4" w:rsidRDefault="00456038" w:rsidP="00456038">
      <w:r w:rsidRPr="001124F4">
        <w:rPr>
          <w:b/>
          <w:bCs/>
          <w:sz w:val="26"/>
          <w:szCs w:val="26"/>
        </w:rPr>
        <w:t>Anthony 20</w:t>
      </w:r>
      <w:r>
        <w:t xml:space="preserve"> - </w:t>
      </w:r>
      <w:r w:rsidRPr="001124F4">
        <w:t>has been writing for the Observer since 1993 and for the Guardian since 1990</w:t>
      </w:r>
      <w:r>
        <w:t>, (Andrew, “</w:t>
      </w:r>
      <w:r w:rsidRPr="001124F4">
        <w:t>What if Covid-19 isn't our biggest threat?</w:t>
      </w:r>
      <w:r>
        <w:t xml:space="preserve">,” </w:t>
      </w:r>
      <w:r>
        <w:rPr>
          <w:i/>
          <w:iCs/>
        </w:rPr>
        <w:t>The Guardian</w:t>
      </w:r>
      <w:r>
        <w:t xml:space="preserve">, 4-26-20, </w:t>
      </w:r>
      <w:hyperlink r:id="rId219" w:history="1">
        <w:r w:rsidRPr="00ED36A1">
          <w:rPr>
            <w:rStyle w:val="Hyperlink"/>
          </w:rPr>
          <w:t>https://www.theguardian.com/science/2020/apr/26/what-if-covid-19-isnt-our-biggest-threat</w:t>
        </w:r>
      </w:hyperlink>
      <w:r>
        <w:t>, Accessed 7-7-20, LASA-AH)</w:t>
      </w:r>
    </w:p>
    <w:p w14:paraId="61F51242" w14:textId="77777777" w:rsidR="00456038" w:rsidRPr="001124F4" w:rsidRDefault="00456038" w:rsidP="00456038">
      <w:pPr>
        <w:rPr>
          <w:u w:val="single"/>
        </w:rPr>
      </w:pPr>
      <w:r w:rsidRPr="004B3939">
        <w:rPr>
          <w:u w:val="single"/>
        </w:rPr>
        <w:t>When</w:t>
      </w:r>
      <w:r>
        <w:t xml:space="preserve"> eventually </w:t>
      </w:r>
      <w:r w:rsidRPr="004B3939">
        <w:rPr>
          <w:u w:val="single"/>
        </w:rPr>
        <w:t>the coronavirus crisis begins to recede and we return to</w:t>
      </w:r>
      <w:r>
        <w:t xml:space="preserve"> an approximation of </w:t>
      </w:r>
      <w:r w:rsidRPr="004B3939">
        <w:rPr>
          <w:u w:val="single"/>
        </w:rPr>
        <w:t>normality</w:t>
      </w:r>
      <w:r>
        <w:t xml:space="preserve"> – no matter how socially distanced or how much handwashing it involves – </w:t>
      </w:r>
      <w:r w:rsidRPr="004B3939">
        <w:rPr>
          <w:u w:val="single"/>
        </w:rPr>
        <w:t>we can expect some kind of international initiative to prevent</w:t>
      </w:r>
      <w:r>
        <w:t xml:space="preserve">, or at least limit, the spread of </w:t>
      </w:r>
      <w:r w:rsidRPr="004B3939">
        <w:rPr>
          <w:u w:val="single"/>
        </w:rPr>
        <w:t>future lethal viruses</w:t>
      </w:r>
      <w:r>
        <w:t xml:space="preserve">. As a species we are pretty good at learning from recent experience. It’s what’s known as the </w:t>
      </w:r>
      <w:r w:rsidRPr="004B3939">
        <w:rPr>
          <w:u w:val="single"/>
        </w:rPr>
        <w:t>availability heuristic – the tendency to estimate the likelihood of an event based on our ability to recall examples.</w:t>
      </w:r>
    </w:p>
    <w:p w14:paraId="11CA6557" w14:textId="77777777" w:rsidR="00456038" w:rsidRDefault="00456038" w:rsidP="00456038">
      <w:r>
        <w:t>But as the moral philosopher Toby Ord argues in his new book, The Precipice, we are much less adept at anticipating potential catastrophes that have no precedent in living memory. “Even when experts estimate a significant probability for an unprecedented event,” he writes, “we have great difficulty believing it until we see it.”</w:t>
      </w:r>
    </w:p>
    <w:p w14:paraId="1C9E7BA5" w14:textId="77777777" w:rsidR="00456038" w:rsidRDefault="00456038" w:rsidP="00456038">
      <w:r>
        <w:t>This was precisely the problem with the coronavirus. Many informed scientists predicted that a global epidemic was almost certain to break out at some point in the near future. Aside from the warnings of legions of virologists and epidemiologists, the Microsoft founder, Bill Gates, gave a widely disseminated Ted Talk in 2015 in which he detailed the threat of a killer virus. For a while now, a pandemic has been one of the two most prominent catastrophic threats in the government’s risk register (the other is a massive cyberattack).</w:t>
      </w:r>
    </w:p>
    <w:p w14:paraId="06FA35E6" w14:textId="77777777" w:rsidR="00456038" w:rsidRDefault="00456038" w:rsidP="00456038">
      <w:r>
        <w:t xml:space="preserve">But </w:t>
      </w:r>
      <w:r w:rsidRPr="004B3939">
        <w:rPr>
          <w:u w:val="single"/>
        </w:rPr>
        <w:t>if something hasn’t yet happened</w:t>
      </w:r>
      <w:r>
        <w:t xml:space="preserve">, </w:t>
      </w:r>
      <w:r w:rsidRPr="004B3939">
        <w:rPr>
          <w:u w:val="single"/>
        </w:rPr>
        <w:t xml:space="preserve">there is a deep-seated temptation to </w:t>
      </w:r>
      <w:r w:rsidRPr="004B3939">
        <w:rPr>
          <w:rStyle w:val="Emphasis"/>
        </w:rPr>
        <w:t>act as if it’s not going to happen</w:t>
      </w:r>
      <w:r>
        <w:t xml:space="preserve">. If that is true of an event, like </w:t>
      </w:r>
      <w:r w:rsidRPr="004B3939">
        <w:rPr>
          <w:u w:val="single"/>
        </w:rPr>
        <w:t>this pandemic</w:t>
      </w:r>
      <w:r>
        <w:t xml:space="preserve">, that </w:t>
      </w:r>
      <w:r w:rsidRPr="004B3939">
        <w:rPr>
          <w:u w:val="single"/>
        </w:rPr>
        <w:t xml:space="preserve">will kill only a </w:t>
      </w:r>
      <w:r w:rsidRPr="004B3939">
        <w:rPr>
          <w:rStyle w:val="Emphasis"/>
        </w:rPr>
        <w:t>tiny fraction</w:t>
      </w:r>
      <w:r w:rsidRPr="004B3939">
        <w:rPr>
          <w:u w:val="single"/>
        </w:rPr>
        <w:t xml:space="preserve"> of the world’s population, it’s even more the case for what are known as existential threats.</w:t>
      </w:r>
      <w:r>
        <w:t xml:space="preserve"> There are two definitions of existential threat, though they often amount to the same thing. One is something that will bring a total end to humanity, remove us as a species from this planet or any other. The other, only slightly less troubling, is something that leads to an irrevocable collapse of civilisation, reducing surviving humanity to a prehistoric state of existence.</w:t>
      </w:r>
    </w:p>
    <w:p w14:paraId="47F25A92" w14:textId="77777777" w:rsidR="00456038" w:rsidRPr="004B3939" w:rsidRDefault="00456038" w:rsidP="00456038">
      <w:pPr>
        <w:rPr>
          <w:u w:val="single"/>
        </w:rPr>
      </w:pPr>
      <w:r>
        <w:t xml:space="preserve">An Australian based at Oxford’s Future of Humanity Institute, Ord is one of a tiny number of academics working in the field of </w:t>
      </w:r>
      <w:r w:rsidRPr="004B3939">
        <w:rPr>
          <w:u w:val="single"/>
        </w:rPr>
        <w:t>existential risk assessment</w:t>
      </w:r>
      <w:r>
        <w:t xml:space="preserve">. It’s a discipline that </w:t>
      </w:r>
      <w:r w:rsidRPr="004B3939">
        <w:rPr>
          <w:u w:val="single"/>
        </w:rPr>
        <w:t>takes in everything from stellar explosions right down to rogue microbes, from supervolcanoes to artificial superintelligence.</w:t>
      </w:r>
    </w:p>
    <w:p w14:paraId="37897EB6" w14:textId="77777777" w:rsidR="00456038" w:rsidRPr="004B3939" w:rsidRDefault="00456038" w:rsidP="00456038">
      <w:pPr>
        <w:rPr>
          <w:rStyle w:val="Emphasis"/>
        </w:rPr>
      </w:pPr>
      <w:r>
        <w:t xml:space="preserve">Ord works through each potential threat and examines the likelihood of it occurring in the next century. For example, the probability of a supernova causing a catastrophe on Earth he estimates to be less than one in 50m. </w:t>
      </w:r>
      <w:r w:rsidRPr="004B3939">
        <w:rPr>
          <w:u w:val="single"/>
        </w:rPr>
        <w:t>Even adding all the naturally occurring risks together (</w:t>
      </w:r>
      <w:r w:rsidRPr="004B3939">
        <w:rPr>
          <w:rStyle w:val="Emphasis"/>
        </w:rPr>
        <w:t>which includes</w:t>
      </w:r>
      <w:r w:rsidRPr="004B3939">
        <w:rPr>
          <w:u w:val="single"/>
        </w:rPr>
        <w:t xml:space="preserve"> naturally occurring </w:t>
      </w:r>
      <w:r w:rsidRPr="004B3939">
        <w:rPr>
          <w:rStyle w:val="Emphasis"/>
        </w:rPr>
        <w:t>viruses</w:t>
      </w:r>
      <w:r w:rsidRPr="004B3939">
        <w:rPr>
          <w:u w:val="single"/>
        </w:rPr>
        <w:t>)</w:t>
      </w:r>
      <w:r>
        <w:t xml:space="preserve">, Ord contends that </w:t>
      </w:r>
      <w:r w:rsidRPr="004B3939">
        <w:rPr>
          <w:u w:val="single"/>
        </w:rPr>
        <w:t xml:space="preserve">they </w:t>
      </w:r>
      <w:r w:rsidRPr="004B3939">
        <w:rPr>
          <w:rStyle w:val="Emphasis"/>
        </w:rPr>
        <w:t>do not</w:t>
      </w:r>
      <w:r w:rsidRPr="004B3939">
        <w:rPr>
          <w:u w:val="single"/>
        </w:rPr>
        <w:t xml:space="preserve"> amount to the existential risk presented individually by </w:t>
      </w:r>
      <w:r w:rsidRPr="004B3939">
        <w:rPr>
          <w:rStyle w:val="Emphasis"/>
        </w:rPr>
        <w:t>nuclear war or global heating.</w:t>
      </w:r>
    </w:p>
    <w:p w14:paraId="30CEE6A2" w14:textId="77777777" w:rsidR="00456038" w:rsidRDefault="00456038" w:rsidP="00456038">
      <w:r>
        <w:t xml:space="preserve">Most of the time, the general public, </w:t>
      </w:r>
      <w:r w:rsidRPr="004B3939">
        <w:rPr>
          <w:u w:val="single"/>
        </w:rPr>
        <w:t>governments</w:t>
      </w:r>
      <w:r>
        <w:t xml:space="preserve"> and other academics are largely </w:t>
      </w:r>
      <w:r w:rsidRPr="004B3939">
        <w:rPr>
          <w:u w:val="single"/>
        </w:rPr>
        <w:t>content to neglect most of these risks.</w:t>
      </w:r>
      <w:r>
        <w:t xml:space="preserve"> Few of us, after all, enjoy contemplating the apocalypse.</w:t>
      </w:r>
    </w:p>
    <w:p w14:paraId="0C729884" w14:textId="77777777" w:rsidR="00456038" w:rsidRDefault="00456038" w:rsidP="00456038">
      <w:r>
        <w:t>In any case, governments, as former Conservative minister Oliver Letwin reminds us in his recent book Apocalypse How?, are usually preoccupied with more pressing issues than humanity’s demise. Everyday problems like trade agreements demand urgent attention, whereas hypothetical future ones such as being taken over by machines can always be left for tomorrow.</w:t>
      </w:r>
    </w:p>
    <w:p w14:paraId="2351B441" w14:textId="77777777" w:rsidR="00456038" w:rsidRDefault="00456038" w:rsidP="00456038">
      <w:r w:rsidRPr="004B3939">
        <w:rPr>
          <w:u w:val="single"/>
        </w:rPr>
        <w:t xml:space="preserve">But given that we’re living through a global pandemic, now is perhaps an </w:t>
      </w:r>
      <w:r w:rsidRPr="004B3939">
        <w:rPr>
          <w:rStyle w:val="Emphasis"/>
        </w:rPr>
        <w:t>opportune moment</w:t>
      </w:r>
      <w:r w:rsidRPr="004B3939">
        <w:rPr>
          <w:u w:val="single"/>
        </w:rPr>
        <w:t xml:space="preserve"> to think about what can be done to avoid a future cataclysm.</w:t>
      </w:r>
      <w:r>
        <w:t xml:space="preserve"> According to Ord, the period we inhabit is a critical moment in the history of humanity. Not only are there the potentially </w:t>
      </w:r>
      <w:r w:rsidRPr="004B3939">
        <w:rPr>
          <w:u w:val="single"/>
        </w:rPr>
        <w:t>disastrous effects of global heating</w:t>
      </w:r>
      <w:r>
        <w:t xml:space="preserve"> </w:t>
      </w:r>
      <w:r w:rsidRPr="004B3939">
        <w:rPr>
          <w:u w:val="single"/>
        </w:rPr>
        <w:t>but</w:t>
      </w:r>
      <w:r>
        <w:t xml:space="preserve"> </w:t>
      </w:r>
      <w:r w:rsidRPr="004B3939">
        <w:rPr>
          <w:u w:val="single"/>
        </w:rPr>
        <w:t xml:space="preserve">in the nuclear age we also possess the power to </w:t>
      </w:r>
      <w:r w:rsidRPr="004B3939">
        <w:rPr>
          <w:rStyle w:val="Emphasis"/>
        </w:rPr>
        <w:t>destroy ourselves in a flash</w:t>
      </w:r>
      <w:r>
        <w:t xml:space="preserve"> – or to at least leave the question of civilisation’s survival in the balance.</w:t>
      </w:r>
    </w:p>
    <w:p w14:paraId="107CF337" w14:textId="77777777" w:rsidR="00456038" w:rsidRDefault="00456038" w:rsidP="00456038">
      <w:r>
        <w:t xml:space="preserve">Thus Ord believes </w:t>
      </w:r>
      <w:r w:rsidRPr="004B3939">
        <w:rPr>
          <w:u w:val="single"/>
        </w:rPr>
        <w:t xml:space="preserve">the next century will be a </w:t>
      </w:r>
      <w:r w:rsidRPr="004B3939">
        <w:rPr>
          <w:rStyle w:val="Emphasis"/>
        </w:rPr>
        <w:t>dangerously precarious one</w:t>
      </w:r>
      <w:r>
        <w:t>. If we make the right decisions, he foresees a future of unimaginable flourishing. If we make the wrong ones, he maintains that we could well go the way of the dodo and the dinosaurs, exiting the planet for good.</w:t>
      </w:r>
    </w:p>
    <w:p w14:paraId="248B310A" w14:textId="77777777" w:rsidR="00456038" w:rsidRPr="004B3939" w:rsidRDefault="00456038" w:rsidP="00456038">
      <w:pPr>
        <w:rPr>
          <w:u w:val="single"/>
        </w:rPr>
      </w:pPr>
      <w:r>
        <w:t xml:space="preserve">When I speak to Ord over Skype I remind him of the unsettling odds he awards humanity in this life-and-death struggle between our power and our wisdom. “Given everything I know,” he writes, </w:t>
      </w:r>
      <w:r w:rsidRPr="004B3939">
        <w:rPr>
          <w:u w:val="single"/>
        </w:rPr>
        <w:t>“I put the existential risk this century at around one in six.”</w:t>
      </w:r>
    </w:p>
    <w:p w14:paraId="0AE51EFC" w14:textId="77777777" w:rsidR="00456038" w:rsidRDefault="00456038" w:rsidP="00456038">
      <w:r>
        <w:t xml:space="preserve">In other words, </w:t>
      </w:r>
      <w:r w:rsidRPr="004B3939">
        <w:rPr>
          <w:u w:val="single"/>
        </w:rPr>
        <w:t xml:space="preserve">the 21st century is effectively </w:t>
      </w:r>
      <w:r w:rsidRPr="001124F4">
        <w:rPr>
          <w:rStyle w:val="Emphasis"/>
        </w:rPr>
        <w:t>one giant game of Russian roulette</w:t>
      </w:r>
      <w:r w:rsidRPr="004B3939">
        <w:rPr>
          <w:u w:val="single"/>
        </w:rPr>
        <w:t xml:space="preserve">. </w:t>
      </w:r>
      <w:r>
        <w:t>Many people will recoil from such a grim prediction, while for others it will fuel the anxiety that is already rife in society.</w:t>
      </w:r>
    </w:p>
    <w:p w14:paraId="12E24E91" w14:textId="77777777" w:rsidR="00456038" w:rsidRDefault="00456038" w:rsidP="00456038">
      <w:r>
        <w:t xml:space="preserve">He agrees but says that </w:t>
      </w:r>
      <w:r w:rsidRPr="001124F4">
        <w:rPr>
          <w:u w:val="single"/>
        </w:rPr>
        <w:t>he has tried to present his modelling in as calm and rational a fashion as possible, making sure to take into account all the evidence that suggests the risks are not large</w:t>
      </w:r>
      <w:r>
        <w:t xml:space="preserve">. </w:t>
      </w:r>
      <w:r w:rsidRPr="001124F4">
        <w:rPr>
          <w:u w:val="single"/>
        </w:rPr>
        <w:t>One in six is his best estimate</w:t>
      </w:r>
      <w:r>
        <w:t>, factoring in that we make a “decent stab” at dealing with the threat of our destruction.</w:t>
      </w:r>
    </w:p>
    <w:p w14:paraId="0EECB9D1" w14:textId="77777777" w:rsidR="00456038" w:rsidRPr="001124F4" w:rsidRDefault="00456038" w:rsidP="00456038">
      <w:pPr>
        <w:rPr>
          <w:rStyle w:val="Emphasis"/>
        </w:rPr>
      </w:pPr>
      <w:r>
        <w:t xml:space="preserve">If we really put our minds to it and mount a response equal to the threat, the odds, he says, come down to something more like 100-1 for our extinction. But, equally, </w:t>
      </w:r>
      <w:r w:rsidRPr="001124F4">
        <w:rPr>
          <w:u w:val="single"/>
        </w:rPr>
        <w:t xml:space="preserve">if we carry on ignoring the threat represented by advances in areas like biotech and artificial intelligence, then the risk, he says, “would be </w:t>
      </w:r>
      <w:r w:rsidRPr="001124F4">
        <w:rPr>
          <w:rStyle w:val="Emphasis"/>
        </w:rPr>
        <w:t>more like one in three”.</w:t>
      </w:r>
    </w:p>
    <w:p w14:paraId="2AA12FB0" w14:textId="77777777" w:rsidR="00456038" w:rsidRDefault="00456038" w:rsidP="00456038">
      <w:r>
        <w:t>Martin Rees, the cosmologist and former president of the Royal Society, co-founded the Centre for the Study of Existential Risk in Cambridge. He has long been involved in raising awareness of looming disasters and he echoes Ord’s concern.</w:t>
      </w:r>
    </w:p>
    <w:p w14:paraId="04AF4596" w14:textId="77777777" w:rsidR="00456038" w:rsidRPr="001124F4" w:rsidRDefault="00456038" w:rsidP="00456038">
      <w:pPr>
        <w:rPr>
          <w:u w:val="single"/>
        </w:rPr>
      </w:pPr>
      <w:r>
        <w:t xml:space="preserve">“I’m worried,” he says, “simply because our world is so interconnected, </w:t>
      </w:r>
      <w:r w:rsidRPr="001124F4">
        <w:rPr>
          <w:u w:val="single"/>
        </w:rPr>
        <w:t xml:space="preserve">that the magnitude of the worst potential catastrophes has grown </w:t>
      </w:r>
      <w:r w:rsidRPr="001124F4">
        <w:rPr>
          <w:rStyle w:val="Emphasis"/>
        </w:rPr>
        <w:t>unprecedentedly large</w:t>
      </w:r>
      <w:r>
        <w:t xml:space="preserve">, and too many have been in denial about them. </w:t>
      </w:r>
      <w:r w:rsidRPr="001124F4">
        <w:rPr>
          <w:u w:val="single"/>
        </w:rPr>
        <w:t>We ignore the wise maxim ‘the unfamiliar is not the same as the improbable’.”</w:t>
      </w:r>
    </w:p>
    <w:p w14:paraId="530D4C61" w14:textId="77777777" w:rsidR="00456038" w:rsidRDefault="00456038" w:rsidP="00456038">
      <w:r>
        <w:t>Letwin warns of an overdependence on the internet and satellite systems, allied with limited stocks of goods and long supply chains. These are ideal conditions for sabotage and global breakdown. As he writes, ominously: “The time has come to recognise that more and more parts of our lives – of society itself – depend on fewer and fewer, more integrated networks.”</w:t>
      </w:r>
    </w:p>
    <w:p w14:paraId="40380A9E" w14:textId="23654ABE" w:rsidR="00456038" w:rsidRDefault="00456038" w:rsidP="00456038">
      <w:pPr>
        <w:rPr>
          <w:u w:val="single"/>
        </w:rPr>
      </w:pPr>
      <w:r w:rsidRPr="001124F4">
        <w:rPr>
          <w:u w:val="single"/>
        </w:rPr>
        <w:t xml:space="preserve">Complex global networks certainly increase our vulnerability to viral pandemics and cyberattacks, but </w:t>
      </w:r>
      <w:r w:rsidRPr="001124F4">
        <w:rPr>
          <w:rStyle w:val="Emphasis"/>
        </w:rPr>
        <w:t>neither of those</w:t>
      </w:r>
      <w:r w:rsidRPr="001124F4">
        <w:rPr>
          <w:u w:val="single"/>
        </w:rPr>
        <w:t xml:space="preserve"> outcomes qualify as a </w:t>
      </w:r>
      <w:r w:rsidRPr="001124F4">
        <w:rPr>
          <w:rStyle w:val="Emphasis"/>
        </w:rPr>
        <w:t>serious existential risk</w:t>
      </w:r>
      <w:r w:rsidRPr="001124F4">
        <w:rPr>
          <w:u w:val="single"/>
        </w:rPr>
        <w:t xml:space="preserve"> in Ord’s book</w:t>
      </w:r>
      <w:r>
        <w:t xml:space="preserve">. The </w:t>
      </w:r>
      <w:r w:rsidRPr="001124F4">
        <w:rPr>
          <w:u w:val="single"/>
        </w:rPr>
        <w:t>pandemics he is concerned about are</w:t>
      </w:r>
      <w:r>
        <w:t xml:space="preserve"> not of the kind that break out in the wet markets of Wuhan, but rather </w:t>
      </w:r>
      <w:r w:rsidRPr="001124F4">
        <w:rPr>
          <w:u w:val="single"/>
        </w:rPr>
        <w:t xml:space="preserve">those </w:t>
      </w:r>
      <w:r w:rsidRPr="001124F4">
        <w:rPr>
          <w:rStyle w:val="Emphasis"/>
        </w:rPr>
        <w:t>engineered</w:t>
      </w:r>
      <w:r w:rsidRPr="001124F4">
        <w:rPr>
          <w:u w:val="single"/>
        </w:rPr>
        <w:t xml:space="preserve"> in biological laboratories.</w:t>
      </w:r>
    </w:p>
    <w:p w14:paraId="7FF11637" w14:textId="3F27FEA9" w:rsidR="00456038" w:rsidRDefault="00456038" w:rsidP="00456038">
      <w:pPr>
        <w:pStyle w:val="Heading3"/>
      </w:pPr>
      <w:r>
        <w:t>1AR – Impact – AT: Corona</w:t>
      </w:r>
    </w:p>
    <w:p w14:paraId="4348F4AE" w14:textId="7F23C33C" w:rsidR="00456038" w:rsidRPr="00456038" w:rsidRDefault="00456038" w:rsidP="00456038">
      <w:pPr>
        <w:pStyle w:val="Heading4"/>
      </w:pPr>
      <w:r>
        <w:t xml:space="preserve">COVID doesn’t cause extinction – their evidence is </w:t>
      </w:r>
      <w:r w:rsidRPr="004B3939">
        <w:rPr>
          <w:u w:val="single"/>
        </w:rPr>
        <w:t>media alarmism</w:t>
      </w:r>
      <w:r>
        <w:t>.</w:t>
      </w:r>
    </w:p>
    <w:p w14:paraId="60DFA1AF" w14:textId="77777777" w:rsidR="00456038" w:rsidRPr="004B3939" w:rsidRDefault="00456038" w:rsidP="00456038">
      <w:r w:rsidRPr="004B3939">
        <w:rPr>
          <w:b/>
          <w:bCs/>
          <w:sz w:val="26"/>
          <w:szCs w:val="26"/>
        </w:rPr>
        <w:t>Bacon 20</w:t>
      </w:r>
      <w:r>
        <w:t xml:space="preserve"> – founder of Bacon’s Rebellion, (James A., “</w:t>
      </w:r>
      <w:r w:rsidRPr="004B3939">
        <w:t>COVID-19 a Danger to Individuals but Not an Existential Threat to Society</w:t>
      </w:r>
      <w:r>
        <w:t xml:space="preserve">,” </w:t>
      </w:r>
      <w:r>
        <w:rPr>
          <w:i/>
          <w:iCs/>
        </w:rPr>
        <w:t>Bacon’s Rebellion</w:t>
      </w:r>
      <w:r>
        <w:t xml:space="preserve">, </w:t>
      </w:r>
      <w:hyperlink r:id="rId220" w:history="1">
        <w:r w:rsidRPr="00ED36A1">
          <w:rPr>
            <w:rStyle w:val="Hyperlink"/>
          </w:rPr>
          <w:t>https://www.baconsrebellion.com/wp/covid-19-a-danger-to-individuals-but-not-an-existential-threat-to-society/</w:t>
        </w:r>
      </w:hyperlink>
      <w:r>
        <w:t>, 5-22-20, LASA-AH)</w:t>
      </w:r>
    </w:p>
    <w:p w14:paraId="7E4A94AE" w14:textId="77777777" w:rsidR="00456038" w:rsidRDefault="00456038" w:rsidP="00456038">
      <w:r>
        <w:t xml:space="preserve">We’ve published variations of this graph in the past, but the perspective never grows old. This </w:t>
      </w:r>
      <w:r w:rsidRPr="004B3939">
        <w:rPr>
          <w:u w:val="single"/>
        </w:rPr>
        <w:t>data</w:t>
      </w:r>
      <w:r>
        <w:t xml:space="preserve">, provided by John Butcher of Cranky’s Blog fame, </w:t>
      </w:r>
      <w:r w:rsidRPr="004B3939">
        <w:rPr>
          <w:u w:val="single"/>
        </w:rPr>
        <w:t>shows how the COVID-19</w:t>
      </w:r>
      <w:r>
        <w:t xml:space="preserve"> virus </w:t>
      </w:r>
      <w:r w:rsidRPr="004B3939">
        <w:rPr>
          <w:u w:val="single"/>
        </w:rPr>
        <w:t>stacks up against other causes of death in Virginia</w:t>
      </w:r>
      <w:r>
        <w:t xml:space="preserve"> (using 2017 data, the most recent available). </w:t>
      </w:r>
      <w:r w:rsidRPr="004B3939">
        <w:rPr>
          <w:u w:val="single"/>
        </w:rPr>
        <w:t xml:space="preserve">The number is </w:t>
      </w:r>
      <w:r w:rsidRPr="004B3939">
        <w:rPr>
          <w:rStyle w:val="Emphasis"/>
        </w:rPr>
        <w:t>almost as high</w:t>
      </w:r>
      <w:r w:rsidRPr="004B3939">
        <w:rPr>
          <w:u w:val="single"/>
        </w:rPr>
        <w:t xml:space="preserve"> as it was for the </w:t>
      </w:r>
      <w:r w:rsidRPr="004B3939">
        <w:rPr>
          <w:rStyle w:val="Emphasis"/>
        </w:rPr>
        <w:t>flu and pneumonia</w:t>
      </w:r>
      <w:r w:rsidRPr="004B3939">
        <w:rPr>
          <w:u w:val="single"/>
        </w:rPr>
        <w:t>.</w:t>
      </w:r>
    </w:p>
    <w:p w14:paraId="0E36DCD0" w14:textId="77777777" w:rsidR="00456038" w:rsidRPr="004B3939" w:rsidRDefault="00456038" w:rsidP="00456038">
      <w:pPr>
        <w:rPr>
          <w:u w:val="single"/>
        </w:rPr>
      </w:pPr>
      <w:r>
        <w:t xml:space="preserve">But… but… but </w:t>
      </w:r>
      <w:r w:rsidRPr="004B3939">
        <w:rPr>
          <w:u w:val="single"/>
        </w:rPr>
        <w:t>one can argue</w:t>
      </w:r>
      <w:r>
        <w:t xml:space="preserve"> that </w:t>
      </w:r>
      <w:r w:rsidRPr="004B3939">
        <w:rPr>
          <w:u w:val="single"/>
        </w:rPr>
        <w:t>if it weren’t for the extreme lockdown measures</w:t>
      </w:r>
      <w:r>
        <w:t xml:space="preserve"> put into place by Governor Ralph Northam, </w:t>
      </w:r>
      <w:r w:rsidRPr="004B3939">
        <w:rPr>
          <w:u w:val="single"/>
        </w:rPr>
        <w:t>the COVID-19-</w:t>
      </w:r>
      <w:r>
        <w:t xml:space="preserve">related </w:t>
      </w:r>
      <w:r w:rsidRPr="004B3939">
        <w:rPr>
          <w:u w:val="single"/>
        </w:rPr>
        <w:t>deaths</w:t>
      </w:r>
      <w:r>
        <w:t xml:space="preserve"> in Virginia </w:t>
      </w:r>
      <w:r w:rsidRPr="004B3939">
        <w:rPr>
          <w:u w:val="single"/>
        </w:rPr>
        <w:t>would be much higher</w:t>
      </w:r>
      <w:r>
        <w:t>. That may be true. However that argument takes us into esoteric territory. One could argue that we haven’t “prevented” the COVID-19 deaths so much as displaced them in time. That was precisely the logic behind the “</w:t>
      </w:r>
      <w:r w:rsidRPr="004B3939">
        <w:rPr>
          <w:u w:val="single"/>
        </w:rPr>
        <w:t>flatten the curve” strategy</w:t>
      </w:r>
      <w:r>
        <w:t xml:space="preserve"> — to </w:t>
      </w:r>
      <w:r w:rsidRPr="004B3939">
        <w:rPr>
          <w:u w:val="single"/>
        </w:rPr>
        <w:t>spread out the infections over time to avoid overwhelming the healthcare system.</w:t>
      </w:r>
    </w:p>
    <w:p w14:paraId="69C1C5F1" w14:textId="77777777" w:rsidR="00456038" w:rsidRDefault="00456038" w:rsidP="00456038">
      <w:r>
        <w:t xml:space="preserve">We have not hollowed out our economy or restricted the number of medical procedures in hospitals to combat other causes of death. </w:t>
      </w:r>
      <w:r w:rsidRPr="004B3939">
        <w:rPr>
          <w:u w:val="single"/>
        </w:rPr>
        <w:t>We accept deaths from cancer, heart disease, diabetes as</w:t>
      </w:r>
      <w:r>
        <w:t xml:space="preserve"> part of the human condition. </w:t>
      </w:r>
      <w:r w:rsidRPr="004B3939">
        <w:rPr>
          <w:u w:val="single"/>
        </w:rPr>
        <w:t>We allocate resources</w:t>
      </w:r>
      <w:r>
        <w:t xml:space="preserve"> to cure and treat those diseases, </w:t>
      </w:r>
      <w:r w:rsidRPr="004B3939">
        <w:rPr>
          <w:u w:val="single"/>
        </w:rPr>
        <w:t xml:space="preserve">but we don’t shut down the economy </w:t>
      </w:r>
      <w:r>
        <w:t>— and by doing so undermine our ability to support the healthcare system — in order to stamp them out.</w:t>
      </w:r>
    </w:p>
    <w:p w14:paraId="49D39919" w14:textId="77777777" w:rsidR="00456038" w:rsidRDefault="00456038" w:rsidP="00456038">
      <w:r>
        <w:t>As a society, we need to take reasonable precautions to limit the spread of COVID-19. We should ban large gatherings — potential super-spreader events — and we should throw cordons around nursing homes. Employers should adopt stricter hygienic measures than they have employed in the past. And individuals, particularly those at risk, should continue to self-isolate and armor up with face masks and protective gear when they venture into public spaces.</w:t>
      </w:r>
    </w:p>
    <w:p w14:paraId="55A53929" w14:textId="77777777" w:rsidR="00456038" w:rsidRDefault="00456038" w:rsidP="00456038">
      <w:r w:rsidRPr="004B3939">
        <w:rPr>
          <w:u w:val="single"/>
        </w:rPr>
        <w:t xml:space="preserve">If the media had hyped septicemia </w:t>
      </w:r>
      <w:r>
        <w:t>(the cause of 1,249 deaths in Virginia in 2017) t</w:t>
      </w:r>
      <w:r w:rsidRPr="004B3939">
        <w:rPr>
          <w:u w:val="single"/>
        </w:rPr>
        <w:t>he same way it has hyped COVID-19, no one would dare set foot in a hospital.</w:t>
      </w:r>
      <w:r>
        <w:t xml:space="preserve"> Septicemia is entirely preventable through better sanitary practices and epidemiological controls in hospitals. But no one is running around with their hair on fire, publishing daily septicemia body counts, and working the public into a froth of worry about septicemia.</w:t>
      </w:r>
    </w:p>
    <w:p w14:paraId="27E2CFC1" w14:textId="4E0991A1" w:rsidR="00456038" w:rsidRDefault="00456038" w:rsidP="00456038">
      <w:r>
        <w:t xml:space="preserve">Bacon’s bottom line: </w:t>
      </w:r>
      <w:r w:rsidRPr="004B3939">
        <w:rPr>
          <w:u w:val="single"/>
        </w:rPr>
        <w:t>Let’s ratchet down the alarmism. COVID-19 presents a real danger to vulnerable individuals but n</w:t>
      </w:r>
      <w:r w:rsidRPr="004B3939">
        <w:rPr>
          <w:rStyle w:val="Emphasis"/>
        </w:rPr>
        <w:t>ot an existential threat</w:t>
      </w:r>
      <w:r w:rsidRPr="004B3939">
        <w:rPr>
          <w:u w:val="single"/>
        </w:rPr>
        <w:t xml:space="preserve"> to society</w:t>
      </w:r>
      <w:r w:rsidRPr="004B3939">
        <w:t>.</w:t>
      </w:r>
      <w:r>
        <w:t xml:space="preserve"> Let everyone, based upon medical condition, life circumstances, and tolerance for risk, undertake protective measures they deem prudent. Let employers take prudent measures to protect their workers. And let commercial establishments do the same.</w:t>
      </w:r>
    </w:p>
    <w:p w14:paraId="7754225A" w14:textId="77777777" w:rsidR="00456038" w:rsidRDefault="00456038" w:rsidP="00456038">
      <w:pPr>
        <w:pStyle w:val="Heading4"/>
      </w:pPr>
      <w:r>
        <w:t xml:space="preserve">Burnout </w:t>
      </w:r>
      <w:r>
        <w:rPr>
          <w:u w:val="single"/>
        </w:rPr>
        <w:t>checks</w:t>
      </w:r>
      <w:r>
        <w:t xml:space="preserve"> corona</w:t>
      </w:r>
    </w:p>
    <w:p w14:paraId="71B6BB9F" w14:textId="77777777" w:rsidR="00456038" w:rsidRPr="001124F4" w:rsidRDefault="00456038" w:rsidP="00456038">
      <w:r w:rsidRPr="001124F4">
        <w:rPr>
          <w:b/>
          <w:bCs/>
          <w:sz w:val="26"/>
          <w:szCs w:val="26"/>
        </w:rPr>
        <w:t>Best 20</w:t>
      </w:r>
      <w:r>
        <w:t xml:space="preserve"> - </w:t>
      </w:r>
      <w:r w:rsidRPr="001124F4">
        <w:t>Deputy Science and Technology Editor at Mirror Online</w:t>
      </w:r>
      <w:r>
        <w:t>, (Shivali, “</w:t>
      </w:r>
      <w:r w:rsidRPr="001124F4">
        <w:rPr>
          <w:u w:val="single"/>
        </w:rPr>
        <w:t xml:space="preserve">Coronavirus 'could </w:t>
      </w:r>
      <w:r w:rsidRPr="001124F4">
        <w:rPr>
          <w:rStyle w:val="Emphasis"/>
        </w:rPr>
        <w:t>burn out naturally'</w:t>
      </w:r>
      <w:r w:rsidRPr="001124F4">
        <w:rPr>
          <w:u w:val="single"/>
        </w:rPr>
        <w:t xml:space="preserve"> before a vaccine is developed, expert claims</w:t>
      </w:r>
      <w:r>
        <w:t xml:space="preserve">,” </w:t>
      </w:r>
      <w:r>
        <w:rPr>
          <w:i/>
          <w:iCs/>
        </w:rPr>
        <w:t>Mirror</w:t>
      </w:r>
      <w:r>
        <w:t xml:space="preserve">, 5-18-20, </w:t>
      </w:r>
      <w:hyperlink r:id="rId221" w:history="1">
        <w:r w:rsidRPr="00ED36A1">
          <w:rPr>
            <w:rStyle w:val="Hyperlink"/>
          </w:rPr>
          <w:t>https://www.mirror.co.uk/science/coronavirus-could-burn-out-naturally-22043575</w:t>
        </w:r>
      </w:hyperlink>
      <w:r>
        <w:t>, Accessed 7-7-20, LASA-AH)</w:t>
      </w:r>
    </w:p>
    <w:p w14:paraId="0A48B661" w14:textId="77777777" w:rsidR="00456038" w:rsidRPr="001124F4" w:rsidRDefault="00456038" w:rsidP="00456038">
      <w:pPr>
        <w:rPr>
          <w:u w:val="single"/>
        </w:rPr>
      </w:pPr>
      <w:r>
        <w:t xml:space="preserve">With </w:t>
      </w:r>
      <w:r w:rsidRPr="001124F4">
        <w:rPr>
          <w:u w:val="single"/>
        </w:rPr>
        <w:t>coronavirus cases around the world</w:t>
      </w:r>
      <w:r>
        <w:t xml:space="preserve"> now at over 4.7 million, </w:t>
      </w:r>
      <w:r w:rsidRPr="001124F4">
        <w:rPr>
          <w:u w:val="single"/>
        </w:rPr>
        <w:t>scientists have been working around the clock to develop a vaccine.</w:t>
      </w:r>
    </w:p>
    <w:p w14:paraId="22896535" w14:textId="77777777" w:rsidR="00456038" w:rsidRDefault="00456038" w:rsidP="00456038">
      <w:r w:rsidRPr="001124F4">
        <w:rPr>
          <w:u w:val="single"/>
        </w:rPr>
        <w:t xml:space="preserve">A human vaccine trial is </w:t>
      </w:r>
      <w:r w:rsidRPr="001124F4">
        <w:rPr>
          <w:rStyle w:val="Emphasis"/>
        </w:rPr>
        <w:t>currently underway</w:t>
      </w:r>
      <w:r w:rsidRPr="001124F4">
        <w:rPr>
          <w:u w:val="single"/>
        </w:rPr>
        <w:t xml:space="preserve"> in Oxford,</w:t>
      </w:r>
      <w:r>
        <w:t xml:space="preserve"> </w:t>
      </w:r>
      <w:r w:rsidRPr="001124F4">
        <w:rPr>
          <w:u w:val="single"/>
        </w:rPr>
        <w:t>with a vaccine</w:t>
      </w:r>
      <w:r>
        <w:t xml:space="preserve"> </w:t>
      </w:r>
      <w:r w:rsidRPr="001124F4">
        <w:rPr>
          <w:u w:val="single"/>
        </w:rPr>
        <w:t>promised</w:t>
      </w:r>
      <w:r>
        <w:t xml:space="preserve"> for 30 million Brits </w:t>
      </w:r>
      <w:r w:rsidRPr="001124F4">
        <w:rPr>
          <w:rStyle w:val="Emphasis"/>
        </w:rPr>
        <w:t>by September</w:t>
      </w:r>
      <w:r>
        <w:t xml:space="preserve"> if it proves successful.</w:t>
      </w:r>
    </w:p>
    <w:p w14:paraId="0BFC5E0D" w14:textId="77777777" w:rsidR="00456038" w:rsidRPr="001124F4" w:rsidRDefault="00456038" w:rsidP="00456038">
      <w:pPr>
        <w:rPr>
          <w:u w:val="single"/>
        </w:rPr>
      </w:pPr>
      <w:r>
        <w:t xml:space="preserve">Now, one </w:t>
      </w:r>
      <w:r w:rsidRPr="001124F4">
        <w:rPr>
          <w:u w:val="single"/>
        </w:rPr>
        <w:t>expert</w:t>
      </w:r>
      <w:r>
        <w:t xml:space="preserve"> has </w:t>
      </w:r>
      <w:r w:rsidRPr="001124F4">
        <w:rPr>
          <w:u w:val="single"/>
        </w:rPr>
        <w:t>revealed that the virus ‘</w:t>
      </w:r>
      <w:r w:rsidRPr="001124F4">
        <w:rPr>
          <w:rStyle w:val="Emphasis"/>
        </w:rPr>
        <w:t>could burn out naturally’</w:t>
      </w:r>
      <w:r w:rsidRPr="001124F4">
        <w:rPr>
          <w:u w:val="single"/>
        </w:rPr>
        <w:t xml:space="preserve"> before a vaccine is developed.</w:t>
      </w:r>
    </w:p>
    <w:p w14:paraId="6BB0CA3F" w14:textId="77777777" w:rsidR="00456038" w:rsidRDefault="00456038" w:rsidP="00456038">
      <w:r w:rsidRPr="001124F4">
        <w:rPr>
          <w:u w:val="single"/>
        </w:rPr>
        <w:t>Professor Karol Sikora</w:t>
      </w:r>
      <w:r>
        <w:t xml:space="preserve">, </w:t>
      </w:r>
      <w:r w:rsidRPr="001124F4">
        <w:rPr>
          <w:u w:val="single"/>
        </w:rPr>
        <w:t>former</w:t>
      </w:r>
      <w:r>
        <w:t xml:space="preserve"> </w:t>
      </w:r>
      <w:r w:rsidRPr="001124F4">
        <w:rPr>
          <w:u w:val="single"/>
        </w:rPr>
        <w:t>director of the</w:t>
      </w:r>
      <w:r>
        <w:t xml:space="preserve"> World Health Organisation (</w:t>
      </w:r>
      <w:r w:rsidRPr="001124F4">
        <w:rPr>
          <w:u w:val="single"/>
        </w:rPr>
        <w:t>WHO</w:t>
      </w:r>
      <w:r>
        <w:t>) Cancer Programme, tweeted the claims over the weekend.</w:t>
      </w:r>
    </w:p>
    <w:p w14:paraId="784BD58F" w14:textId="77777777" w:rsidR="00456038" w:rsidRPr="001124F4" w:rsidRDefault="00456038" w:rsidP="00456038">
      <w:pPr>
        <w:rPr>
          <w:u w:val="single"/>
        </w:rPr>
      </w:pPr>
      <w:r>
        <w:t xml:space="preserve">He </w:t>
      </w:r>
      <w:r w:rsidRPr="001124F4">
        <w:rPr>
          <w:u w:val="single"/>
        </w:rPr>
        <w:t>wrote</w:t>
      </w:r>
      <w:r>
        <w:t>: “</w:t>
      </w:r>
      <w:r w:rsidRPr="001124F4">
        <w:rPr>
          <w:u w:val="single"/>
        </w:rPr>
        <w:t>There is a real chance that the virus will burn out naturally before any vaccine is developed.</w:t>
      </w:r>
    </w:p>
    <w:p w14:paraId="104CC6C3" w14:textId="77777777" w:rsidR="00456038" w:rsidRPr="001124F4" w:rsidRDefault="00456038" w:rsidP="00456038">
      <w:pPr>
        <w:rPr>
          <w:u w:val="single"/>
        </w:rPr>
      </w:pPr>
      <w:r>
        <w:t>“</w:t>
      </w:r>
      <w:r w:rsidRPr="001124F4">
        <w:rPr>
          <w:u w:val="single"/>
        </w:rPr>
        <w:t xml:space="preserve">We are seeing a roughly similar pattern everywhere - I suspect we have </w:t>
      </w:r>
      <w:r w:rsidRPr="001124F4">
        <w:rPr>
          <w:rStyle w:val="Emphasis"/>
        </w:rPr>
        <w:t>more immunity than estimated</w:t>
      </w:r>
      <w:r w:rsidRPr="001124F4">
        <w:rPr>
          <w:u w:val="single"/>
        </w:rPr>
        <w:t>.</w:t>
      </w:r>
    </w:p>
    <w:p w14:paraId="6C71EB66" w14:textId="77777777" w:rsidR="00456038" w:rsidRDefault="00456038" w:rsidP="00456038">
      <w:r>
        <w:t>“We need to keep slowing the virus, but it could be petering out by itself.”</w:t>
      </w:r>
    </w:p>
    <w:p w14:paraId="6960899C" w14:textId="77777777" w:rsidR="00456038" w:rsidRDefault="00456038" w:rsidP="00456038">
      <w:r>
        <w:t>Several Twitter users replied, questioning Professor Sikora’s evidence for these claims.</w:t>
      </w:r>
    </w:p>
    <w:p w14:paraId="378C12B2" w14:textId="77777777" w:rsidR="00456038" w:rsidRDefault="00456038" w:rsidP="00456038">
      <w:r>
        <w:t>He explained: “It is my opinion that this is a feasible scenario.</w:t>
      </w:r>
    </w:p>
    <w:p w14:paraId="13B5F528" w14:textId="77777777" w:rsidR="00456038" w:rsidRDefault="00456038" w:rsidP="00456038">
      <w:r>
        <w:t>“Nobody is claiming to know what will happen for sure - I believe in an unknown situation this is a possibility.”</w:t>
      </w:r>
    </w:p>
    <w:p w14:paraId="468AC5BD" w14:textId="77777777" w:rsidR="00456038" w:rsidRDefault="00456038" w:rsidP="00456038">
      <w:r>
        <w:t>However, Professor Sikora highlighted the importance of maintaining social distancing to reduce the spread of the virus.</w:t>
      </w:r>
    </w:p>
    <w:p w14:paraId="54D0C511" w14:textId="77777777" w:rsidR="00456038" w:rsidRDefault="00456038" w:rsidP="00456038">
      <w:r>
        <w:t>He added: “We need to continue to keep our distance and hope the numbers continue to improve.”</w:t>
      </w:r>
    </w:p>
    <w:p w14:paraId="6824FC1C" w14:textId="77777777" w:rsidR="00456038" w:rsidRPr="001124F4" w:rsidRDefault="00456038" w:rsidP="00456038">
      <w:pPr>
        <w:rPr>
          <w:u w:val="single"/>
        </w:rPr>
      </w:pPr>
      <w:r>
        <w:t xml:space="preserve">His claims come as </w:t>
      </w:r>
      <w:r w:rsidRPr="001124F4">
        <w:rPr>
          <w:u w:val="single"/>
        </w:rPr>
        <w:t>Business Secretary Alok Sharma revealed</w:t>
      </w:r>
      <w:r>
        <w:t xml:space="preserve"> that </w:t>
      </w:r>
      <w:r w:rsidRPr="001124F4">
        <w:rPr>
          <w:u w:val="single"/>
        </w:rPr>
        <w:t>plans are in place to roll out a COVID-19 vaccine to 30 million people by September if trials are successful.</w:t>
      </w:r>
    </w:p>
    <w:p w14:paraId="6DE89D54" w14:textId="77777777" w:rsidR="00456038" w:rsidRDefault="00456038" w:rsidP="00456038">
      <w:r>
        <w:t>Speaking at Sunday's Downing Street news conference, he said: “In order to definitively conquer this disease we need to find a safe, workable vaccine.</w:t>
      </w:r>
    </w:p>
    <w:p w14:paraId="0FE89395" w14:textId="77777777" w:rsidR="00456038" w:rsidRDefault="00456038" w:rsidP="00456038">
      <w:r>
        <w:t>"Last month I announced a new vaccine task force to co-ordinate the efforts of government, academia and industry in the critical mission to find a vaccine.</w:t>
      </w:r>
    </w:p>
    <w:p w14:paraId="6024ACA5" w14:textId="0B20A9EE" w:rsidR="00456038" w:rsidRPr="00456038" w:rsidRDefault="00456038" w:rsidP="00456038">
      <w:pPr>
        <w:rPr>
          <w:u w:val="single"/>
        </w:rPr>
      </w:pPr>
      <w:r w:rsidRPr="001124F4">
        <w:rPr>
          <w:u w:val="single"/>
        </w:rPr>
        <w:t>"I'm very proud of how quickly our scientists and researchers have come together in their efforts developing a vaccine that will combat coronavirus."</w:t>
      </w:r>
    </w:p>
    <w:p w14:paraId="04DCC119" w14:textId="5CC81C1F" w:rsidR="00C3543B" w:rsidRDefault="00C3543B" w:rsidP="00B51F6B">
      <w:pPr>
        <w:pStyle w:val="Heading3"/>
      </w:pPr>
      <w:r>
        <w:t>1AR – Impact – AT: Disease</w:t>
      </w:r>
    </w:p>
    <w:p w14:paraId="11959B93" w14:textId="77777777" w:rsidR="00C3543B" w:rsidRDefault="00C3543B" w:rsidP="00C3543B">
      <w:pPr>
        <w:pStyle w:val="Heading4"/>
      </w:pPr>
      <w:r>
        <w:t>Pandemics solve war — they have it backwards</w:t>
      </w:r>
    </w:p>
    <w:p w14:paraId="337E1B56" w14:textId="77777777" w:rsidR="00C3543B" w:rsidRPr="00161C08" w:rsidRDefault="00C3543B" w:rsidP="00C3543B">
      <w:r>
        <w:rPr>
          <w:rStyle w:val="Style13ptBold"/>
        </w:rPr>
        <w:t xml:space="preserve">Posen 4/23 — </w:t>
      </w:r>
      <w:r w:rsidRPr="00161C08">
        <w:t xml:space="preserve">Barry Posen is </w:t>
      </w:r>
      <w:r>
        <w:t>the Ford International Professor of Political Science at MIT and Director Emeritus of the MIT Security Studies Program. (“Do pandemics promote peace” MIT Center for International Studies, published in Foreign Affairs, April 23, 2020. https://cis.mit.edu/publications/analysis-opinion/2020/do-pandemics-promote-peace)//JLPark</w:t>
      </w:r>
    </w:p>
    <w:p w14:paraId="07EB9048" w14:textId="77777777" w:rsidR="00C3543B" w:rsidRPr="00256FAB" w:rsidRDefault="00C3543B" w:rsidP="00C3543B">
      <w:pPr>
        <w:rPr>
          <w:sz w:val="14"/>
        </w:rPr>
      </w:pPr>
      <w:r w:rsidRPr="00256FAB">
        <w:rPr>
          <w:sz w:val="14"/>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C378D">
        <w:rPr>
          <w:rStyle w:val="StyleUnderline"/>
        </w:rPr>
        <w:t>Has the pandemic increased or decreased the motive and opportunity of states to wage war</w:t>
      </w:r>
      <w:r w:rsidRPr="00256FAB">
        <w:rPr>
          <w:sz w:val="14"/>
        </w:rPr>
        <w:t>?</w:t>
      </w:r>
    </w:p>
    <w:p w14:paraId="730ACC0E" w14:textId="77777777" w:rsidR="00C3543B" w:rsidRPr="00F250CB" w:rsidRDefault="00C3543B" w:rsidP="00C3543B">
      <w:pPr>
        <w:rPr>
          <w:sz w:val="14"/>
        </w:rPr>
      </w:pPr>
      <w:r w:rsidRPr="00FC378D">
        <w:rPr>
          <w:rStyle w:val="Emphasis"/>
        </w:rPr>
        <w:t>War is a risky business</w:t>
      </w:r>
      <w:r w:rsidRPr="00F250CB">
        <w:rPr>
          <w:sz w:val="14"/>
        </w:rPr>
        <w:t xml:space="preserve">, with potentially very high costs. The historian Geoffrey Blainey argued in The Causes of War that most wars share a common characteristic at their outset: optimism. The belligerents usually start out sanguine about their odds of military success. </w:t>
      </w:r>
      <w:r w:rsidRPr="00F250CB">
        <w:rPr>
          <w:rStyle w:val="StyleUnderline"/>
        </w:rPr>
        <w:t>When elites on both or all sides are confident, they are more willing to take the plung</w:t>
      </w:r>
      <w:r w:rsidRPr="00F250CB">
        <w:rPr>
          <w:sz w:val="14"/>
        </w:rPr>
        <w:t>e—</w:t>
      </w:r>
      <w:r w:rsidRPr="00F250CB">
        <w:rPr>
          <w:rStyle w:val="StyleUnderline"/>
        </w:rPr>
        <w:t>and less likely to negotiate,</w:t>
      </w:r>
      <w:r w:rsidRPr="00F250CB">
        <w:rPr>
          <w:sz w:val="14"/>
        </w:rPr>
        <w:t xml:space="preserve"> because they think they will come out better by fighting. Peace, by contrast, </w:t>
      </w:r>
      <w:r w:rsidRPr="00F250CB">
        <w:rPr>
          <w:rStyle w:val="StyleUnderline"/>
        </w:rPr>
        <w:t>is served by pessimism</w:t>
      </w:r>
      <w:r w:rsidRPr="00F250CB">
        <w:rPr>
          <w:sz w:val="14"/>
        </w:rPr>
        <w:t xml:space="preserve">. Even one party’s pessimism can be helpful: </w:t>
      </w:r>
      <w:r w:rsidRPr="00F250CB">
        <w:rPr>
          <w:rStyle w:val="StyleUnderline"/>
        </w:rPr>
        <w:t>that party will be more inclined to negotiate and even accept an unfavorable bargain in order to avoid war</w:t>
      </w:r>
      <w:r w:rsidRPr="00F250CB">
        <w:rPr>
          <w:sz w:val="14"/>
        </w:rPr>
        <w:t>.</w:t>
      </w:r>
    </w:p>
    <w:p w14:paraId="0043343E" w14:textId="77777777" w:rsidR="00C3543B" w:rsidRPr="00F3436B" w:rsidRDefault="00C3543B" w:rsidP="00C3543B">
      <w:pPr>
        <w:rPr>
          <w:sz w:val="14"/>
          <w:szCs w:val="14"/>
        </w:rPr>
      </w:pPr>
      <w:r w:rsidRPr="00F3436B">
        <w:rPr>
          <w:sz w:val="14"/>
          <w:szCs w:val="14"/>
        </w:rPr>
        <w:t>When one side gains a sudden and pronounced advantage, however, this de-escalatory logic can break down: the optimistic side will increase its demands faster than the pessimistic side can appease. Some analysists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2D37EB71" w14:textId="77777777" w:rsidR="00C3543B" w:rsidRPr="00F3436B" w:rsidRDefault="00C3543B" w:rsidP="00C3543B">
      <w:pPr>
        <w:rPr>
          <w:sz w:val="14"/>
        </w:rPr>
      </w:pPr>
      <w:r w:rsidRPr="00F3436B">
        <w:rPr>
          <w:sz w:val="14"/>
        </w:rPr>
        <w:t xml:space="preserve">What these analysts miss is that </w:t>
      </w:r>
      <w:r w:rsidRPr="00F3436B">
        <w:rPr>
          <w:rStyle w:val="StyleUnderline"/>
        </w:rPr>
        <w:t>Covid</w:t>
      </w:r>
      <w:r w:rsidRPr="00F3436B">
        <w:rPr>
          <w:sz w:val="14"/>
        </w:rPr>
        <w:t xml:space="preserve">-19, the disease caused by the coronavirus, </w:t>
      </w:r>
      <w:r w:rsidRPr="00F3436B">
        <w:rPr>
          <w:rStyle w:val="StyleUnderline"/>
        </w:rPr>
        <w:t>is weakening all of the great and middle powers more or less equally</w:t>
      </w:r>
      <w:r w:rsidRPr="00F3436B">
        <w:rPr>
          <w:sz w:val="14"/>
        </w:rPr>
        <w:t xml:space="preserve">. </w:t>
      </w:r>
      <w:r w:rsidRPr="00F3436B">
        <w:rPr>
          <w:rStyle w:val="StyleUnderline"/>
        </w:rPr>
        <w:t>None is likely to gain a meaningful advantage over the others. All will have ample reason to be pessimistic about their military capabilities and their overall readiness for war</w:t>
      </w:r>
      <w:r w:rsidRPr="00F3436B">
        <w:rPr>
          <w:sz w:val="14"/>
        </w:rPr>
        <w:t xml:space="preserve">. For the duration of the pandemic, at least, and probably for years afterward, </w:t>
      </w:r>
      <w:r w:rsidRPr="00F3436B">
        <w:rPr>
          <w:rStyle w:val="Emphasis"/>
        </w:rPr>
        <w:t>the odds of a war between major powers will go down</w:t>
      </w:r>
      <w:r w:rsidRPr="00F3436B">
        <w:rPr>
          <w:sz w:val="14"/>
        </w:rPr>
        <w:t xml:space="preserve">, not up. </w:t>
      </w:r>
    </w:p>
    <w:p w14:paraId="55501B61" w14:textId="77777777" w:rsidR="00C3543B" w:rsidRPr="00F3436B" w:rsidRDefault="00C3543B" w:rsidP="00C3543B">
      <w:pPr>
        <w:rPr>
          <w:sz w:val="14"/>
          <w:szCs w:val="14"/>
        </w:rPr>
      </w:pPr>
      <w:r w:rsidRPr="00F3436B">
        <w:rPr>
          <w:sz w:val="14"/>
          <w:szCs w:val="14"/>
        </w:rPr>
        <w:t>Pax epidemia?</w:t>
      </w:r>
    </w:p>
    <w:p w14:paraId="7D372B7B" w14:textId="77777777" w:rsidR="00C3543B" w:rsidRPr="00F3436B" w:rsidRDefault="00C3543B" w:rsidP="00C3543B">
      <w:pPr>
        <w:rPr>
          <w:sz w:val="14"/>
        </w:rPr>
      </w:pPr>
      <w:r w:rsidRPr="00F3436B">
        <w:rPr>
          <w:sz w:val="14"/>
        </w:rPr>
        <w:t xml:space="preserve">A cursory survey of the </w:t>
      </w:r>
      <w:r w:rsidRPr="00F3436B">
        <w:rPr>
          <w:rStyle w:val="StyleUnderline"/>
        </w:rPr>
        <w:t>scholarly literature on war and disease</w:t>
      </w:r>
      <w:r w:rsidRPr="00F3436B">
        <w:rPr>
          <w:sz w:val="14"/>
        </w:rPr>
        <w:t xml:space="preserve"> appears to </w:t>
      </w:r>
      <w:r w:rsidRPr="00F3436B">
        <w:rPr>
          <w:rStyle w:val="StyleUnderline"/>
        </w:rPr>
        <w:t>confirm Blainey’s observation that</w:t>
      </w:r>
      <w:r w:rsidRPr="00F3436B">
        <w:rPr>
          <w:rStyle w:val="Emphasis"/>
        </w:rPr>
        <w:t xml:space="preserve"> pessimism is conducive to peace</w:t>
      </w:r>
      <w:r w:rsidRPr="00F3436B">
        <w:rPr>
          <w:sz w:val="14"/>
        </w:rPr>
        <w:t>.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88C0651" w14:textId="77777777" w:rsidR="00C3543B" w:rsidRPr="00F3436B" w:rsidRDefault="00C3543B" w:rsidP="00C3543B">
      <w:pPr>
        <w:rPr>
          <w:sz w:val="14"/>
        </w:rPr>
      </w:pPr>
      <w:r w:rsidRPr="00F3436B">
        <w:rPr>
          <w:rStyle w:val="StyleUnderline"/>
        </w:rPr>
        <w:t>That sickness slows the march to war is partly due to the fact that war depends on people. When people fall ill, they can’t be counted on to perform well in combat</w:t>
      </w:r>
      <w:r w:rsidRPr="00F3436B">
        <w:rPr>
          <w:sz w:val="14"/>
        </w:rPr>
        <w:t xml:space="preserve">. Military medicine made enormous strides in the years leading up to World War I, prior to which armies suffered higher numbers of casualties from disease than from combat. But </w:t>
      </w:r>
      <w:r w:rsidRPr="00F3436B">
        <w:rPr>
          <w:rStyle w:val="StyleUnderline"/>
        </w:rPr>
        <w:t>pandemics still threaten military units</w:t>
      </w:r>
      <w:r w:rsidRPr="00F3436B">
        <w:rPr>
          <w:sz w:val="14"/>
        </w:rPr>
        <w:t xml:space="preserve">, as those onboard US and French aircraft carriers, hundreds of whom tested positive for Covid-19, know well. </w:t>
      </w:r>
      <w:r w:rsidRPr="00F3436B">
        <w:rPr>
          <w:rStyle w:val="StyleUnderline"/>
        </w:rPr>
        <w:t>Sailors and soldiers in the field are among the most vulnerable because they are packed together</w:t>
      </w:r>
      <w:r w:rsidRPr="00F3436B">
        <w:rPr>
          <w:sz w:val="14"/>
        </w:rPr>
        <w:t xml:space="preserve">. But </w:t>
      </w:r>
      <w:r w:rsidRPr="00F3436B">
        <w:rPr>
          <w:rStyle w:val="StyleUnderline"/>
        </w:rPr>
        <w:t>even airmen are at risk, since they must take refuge from air attacks in bunkers</w:t>
      </w:r>
      <w:r w:rsidRPr="00F3436B">
        <w:rPr>
          <w:sz w:val="14"/>
        </w:rPr>
        <w:t>, where the virus could also spread rapidly.</w:t>
      </w:r>
    </w:p>
    <w:p w14:paraId="3EDB3C59" w14:textId="77777777" w:rsidR="00C3543B" w:rsidRPr="00F3436B" w:rsidRDefault="00C3543B" w:rsidP="00C3543B">
      <w:pPr>
        <w:rPr>
          <w:rStyle w:val="StyleUnderline"/>
        </w:rPr>
      </w:pPr>
      <w:r w:rsidRPr="00F3436B">
        <w:rPr>
          <w:rStyle w:val="StyleUnderline"/>
        </w:rPr>
        <w:t>Ground campaigns in urban areas pose still greater dangers in pandemic</w:t>
      </w:r>
      <w:r w:rsidRPr="00F3436B">
        <w:rPr>
          <w:sz w:val="14"/>
        </w:rPr>
        <w:t xml:space="preserve"> times. Much recent ground combat has been in cities in poor countries with few or no public health resources, environments highly favorable to illness. </w:t>
      </w:r>
      <w:r w:rsidRPr="00F3436B">
        <w:rPr>
          <w:rStyle w:val="StyleUnderline"/>
        </w:rPr>
        <w:t xml:space="preserve">Ground combat also usually produces prisoners, any of whom can be infected. A vaccine may eventually solve these problems, but an </w:t>
      </w:r>
      <w:r w:rsidRPr="00F3436B">
        <w:rPr>
          <w:rStyle w:val="Emphasis"/>
        </w:rPr>
        <w:t>abundance of caution is likely to persist</w:t>
      </w:r>
      <w:r w:rsidRPr="00F3436B">
        <w:rPr>
          <w:rStyle w:val="StyleUnderline"/>
        </w:rPr>
        <w:t xml:space="preserve"> for some time after it comes into use. </w:t>
      </w:r>
    </w:p>
    <w:p w14:paraId="7BA703E3" w14:textId="77777777" w:rsidR="00C3543B" w:rsidRPr="00F3436B" w:rsidRDefault="00C3543B" w:rsidP="00C3543B">
      <w:pPr>
        <w:rPr>
          <w:sz w:val="14"/>
        </w:rPr>
      </w:pPr>
      <w:r w:rsidRPr="00F3436B">
        <w:rPr>
          <w:sz w:val="14"/>
        </w:rPr>
        <w:t xml:space="preserve">The </w:t>
      </w:r>
      <w:r w:rsidRPr="00F3436B">
        <w:rPr>
          <w:rStyle w:val="StyleUnderline"/>
        </w:rPr>
        <w:t>most important reason disease inhibits war is economic</w:t>
      </w:r>
      <w:r w:rsidRPr="00F3436B">
        <w:rPr>
          <w:sz w:val="14"/>
        </w:rPr>
        <w:t xml:space="preserve">. </w:t>
      </w:r>
      <w:r w:rsidRPr="00F3436B">
        <w:rPr>
          <w:rStyle w:val="StyleUnderline"/>
        </w:rPr>
        <w:t>Major outbreaks damage national economies, which are the source of military power</w:t>
      </w:r>
      <w:r w:rsidRPr="00F3436B">
        <w:rPr>
          <w:sz w:val="14"/>
        </w:rPr>
        <w:t xml:space="preserve">. Covid-19 is a pandemic—by definition a worldwide phenomenon. </w:t>
      </w:r>
      <w:r w:rsidRPr="00F3436B">
        <w:rPr>
          <w:rStyle w:val="StyleUnderline"/>
        </w:rPr>
        <w:t>All great and middle powers appear to be adversely affected, and all have reason to be pessimistic about their military prospects</w:t>
      </w:r>
      <w:r w:rsidRPr="00F3436B">
        <w:rPr>
          <w:sz w:val="14"/>
        </w:rPr>
        <w:t xml:space="preserve">. </w:t>
      </w:r>
      <w:r w:rsidRPr="00F3436B">
        <w:rPr>
          <w:rStyle w:val="StyleUnderline"/>
        </w:rPr>
        <w:t>Their economies are shrinking fast</w:t>
      </w:r>
      <w:r w:rsidRPr="00F3436B">
        <w:rPr>
          <w:sz w:val="14"/>
        </w:rPr>
        <w:t xml:space="preserve">, </w:t>
      </w:r>
      <w:r w:rsidRPr="00F3436B">
        <w:rPr>
          <w:rStyle w:val="StyleUnderline"/>
        </w:rPr>
        <w:t>and there is great uncertainty about when and how quickly they will start growing again</w:t>
      </w:r>
      <w:r w:rsidRPr="00F3436B">
        <w:rPr>
          <w:sz w:val="14"/>
        </w:rPr>
        <w:t>.</w:t>
      </w:r>
    </w:p>
    <w:p w14:paraId="514D0856" w14:textId="77777777" w:rsidR="00C3543B" w:rsidRPr="00F3436B" w:rsidRDefault="00C3543B" w:rsidP="00C3543B">
      <w:pPr>
        <w:rPr>
          <w:sz w:val="14"/>
        </w:rPr>
      </w:pPr>
      <w:r w:rsidRPr="00F3436B">
        <w:rPr>
          <w:rStyle w:val="StyleUnderline"/>
        </w:rPr>
        <w:t>Even China</w:t>
      </w:r>
      <w:r w:rsidRPr="00F3436B">
        <w:rPr>
          <w:sz w:val="14"/>
        </w:rPr>
        <w:t xml:space="preserve">, which has slowed the spread of the disease and begun to reopen its economy, </w:t>
      </w:r>
      <w:r w:rsidRPr="00F3436B">
        <w:rPr>
          <w:rStyle w:val="StyleUnderline"/>
        </w:rPr>
        <w:t>will be hurting for years</w:t>
      </w:r>
      <w:r w:rsidRPr="00F3436B">
        <w:rPr>
          <w:sz w:val="14"/>
        </w:rPr>
        <w:t xml:space="preserve"> to come. It </w:t>
      </w:r>
      <w:r w:rsidRPr="00F3436B">
        <w:rPr>
          <w:rStyle w:val="StyleUnderline"/>
        </w:rPr>
        <w:t>took an enormous hit to GDP</w:t>
      </w:r>
      <w:r w:rsidRPr="00F3436B">
        <w:rPr>
          <w:sz w:val="14"/>
        </w:rPr>
        <w:t xml:space="preserve"> in the first quarter of 2020, en</w:t>
      </w:r>
      <w:r w:rsidRPr="00F3436B">
        <w:rPr>
          <w:rStyle w:val="StyleUnderline"/>
        </w:rPr>
        <w:t>ding 40 years of steady growth. And its trading partners, burned by their dependence</w:t>
      </w:r>
      <w:r w:rsidRPr="00F3436B">
        <w:rPr>
          <w:sz w:val="14"/>
        </w:rPr>
        <w:t xml:space="preserv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1345A23D" w14:textId="77777777" w:rsidR="00C3543B" w:rsidRPr="00F3436B" w:rsidRDefault="00C3543B" w:rsidP="00C3543B">
      <w:pPr>
        <w:rPr>
          <w:rStyle w:val="StyleUnderline"/>
        </w:rPr>
      </w:pPr>
      <w:r w:rsidRPr="00F3436B">
        <w:rPr>
          <w:rStyle w:val="StyleUnderline"/>
        </w:rPr>
        <w:t>Even after a vaccine</w:t>
      </w:r>
      <w:r w:rsidRPr="00F3436B">
        <w:rPr>
          <w:sz w:val="14"/>
        </w:rPr>
        <w:t xml:space="preserve"> is developed and made widely available, </w:t>
      </w:r>
      <w:r w:rsidRPr="00F3436B">
        <w:rPr>
          <w:rStyle w:val="StyleUnderline"/>
        </w:rPr>
        <w:t>economic troubles</w:t>
      </w:r>
      <w:r w:rsidRPr="00F3436B">
        <w:rPr>
          <w:sz w:val="14"/>
        </w:rPr>
        <w:t xml:space="preserve"> may </w:t>
      </w:r>
      <w:r w:rsidRPr="00F3436B">
        <w:rPr>
          <w:rStyle w:val="StyleUnderline"/>
        </w:rPr>
        <w:t>linger for years. States will emerge</w:t>
      </w:r>
      <w:r w:rsidRPr="00F3436B">
        <w:rPr>
          <w:sz w:val="14"/>
        </w:rPr>
        <w:t xml:space="preserve"> from this crisis </w:t>
      </w:r>
      <w:r w:rsidRPr="00F3436B">
        <w:rPr>
          <w:rStyle w:val="StyleUnderline"/>
        </w:rPr>
        <w:t>with enormous debts</w:t>
      </w:r>
      <w:r w:rsidRPr="00F3436B">
        <w:rPr>
          <w:sz w:val="14"/>
        </w:rPr>
        <w:t xml:space="preserve">. They will spend years paying for the bailout and stimulus packages they used to protect citizens and businesses from the economic consequences of social distancing. </w:t>
      </w:r>
      <w:r w:rsidRPr="00F3436B">
        <w:rPr>
          <w:rStyle w:val="StyleUnderline"/>
        </w:rPr>
        <w:t>Drained treasuries will give them one more reason to be pessimistic about their military might.</w:t>
      </w:r>
    </w:p>
    <w:p w14:paraId="716DAD36" w14:textId="77777777" w:rsidR="00C3543B" w:rsidRPr="00F3436B" w:rsidRDefault="00C3543B" w:rsidP="00C3543B">
      <w:pPr>
        <w:rPr>
          <w:rStyle w:val="Emphasis"/>
        </w:rPr>
      </w:pPr>
      <w:r w:rsidRPr="00F3436B">
        <w:rPr>
          <w:rStyle w:val="Emphasis"/>
        </w:rPr>
        <w:t>Less Trade, Less Friction</w:t>
      </w:r>
    </w:p>
    <w:p w14:paraId="179AF385" w14:textId="77777777" w:rsidR="00C3543B" w:rsidRPr="00F3436B" w:rsidRDefault="00C3543B" w:rsidP="00C3543B">
      <w:pPr>
        <w:rPr>
          <w:sz w:val="14"/>
        </w:rPr>
      </w:pPr>
      <w:r w:rsidRPr="00F3436B">
        <w:rPr>
          <w:sz w:val="14"/>
        </w:rPr>
        <w:t xml:space="preserve">How long is the pacifying effect of pessimism likely to last? If a vaccine is developed quickly, enabling a relatively swift economic recovery, the mood may prove short-lived. But it is equally likely that the </w:t>
      </w:r>
      <w:r w:rsidRPr="00F3436B">
        <w:rPr>
          <w:rStyle w:val="StyleUnderline"/>
        </w:rPr>
        <w:t>coronavirus crisis will last long enough to change the world in important ways</w:t>
      </w:r>
      <w:r w:rsidRPr="00F3436B">
        <w:rPr>
          <w:sz w:val="14"/>
        </w:rPr>
        <w:t>, some of which will likely dampen the appetite for conflict for some time—perhaps up to five or ten years. After all, the world is experiencing both the biggest pandemic and the biggest economic downturn in a century.</w:t>
      </w:r>
    </w:p>
    <w:p w14:paraId="2E7CF562" w14:textId="77777777" w:rsidR="00C3543B" w:rsidRPr="00F3436B" w:rsidRDefault="00C3543B" w:rsidP="00C3543B">
      <w:pPr>
        <w:rPr>
          <w:sz w:val="14"/>
        </w:rPr>
      </w:pPr>
      <w:r w:rsidRPr="00F3436B">
        <w:rPr>
          <w:sz w:val="14"/>
        </w:rPr>
        <w:t xml:space="preserve">Most governments have not covered themselves with glory managing the pandemic, and even the most autocratic worry about popular support. Over the next few years, people will want evidence that their governments are working to protect them from disease and economic dislocation. </w:t>
      </w:r>
      <w:r w:rsidRPr="00F3436B">
        <w:rPr>
          <w:rStyle w:val="StyleUnderline"/>
        </w:rPr>
        <w:t>Citizens will see themselves as dependent on the state</w:t>
      </w:r>
      <w:r w:rsidRPr="00F3436B">
        <w:rPr>
          <w:sz w:val="14"/>
        </w:rPr>
        <w:t xml:space="preserve">, </w:t>
      </w:r>
      <w:r w:rsidRPr="00F3436B">
        <w:rPr>
          <w:rStyle w:val="StyleUnderline"/>
        </w:rPr>
        <w:t>and</w:t>
      </w:r>
      <w:r w:rsidRPr="00F3436B">
        <w:rPr>
          <w:sz w:val="14"/>
        </w:rPr>
        <w:t xml:space="preserve"> they </w:t>
      </w:r>
      <w:r w:rsidRPr="00F3436B">
        <w:rPr>
          <w:rStyle w:val="StyleUnderline"/>
        </w:rPr>
        <w:t xml:space="preserve">will be less </w:t>
      </w:r>
      <w:r w:rsidRPr="00F3436B">
        <w:rPr>
          <w:rStyle w:val="Emphasis"/>
        </w:rPr>
        <w:t>inclined to support adventures abroad</w:t>
      </w:r>
      <w:r w:rsidRPr="00F3436B">
        <w:rPr>
          <w:sz w:val="14"/>
        </w:rPr>
        <w:t xml:space="preserve">. </w:t>
      </w:r>
    </w:p>
    <w:p w14:paraId="0ADE6FB2" w14:textId="77777777" w:rsidR="00C3543B" w:rsidRPr="00F3436B" w:rsidRDefault="00C3543B" w:rsidP="00C3543B">
      <w:pPr>
        <w:rPr>
          <w:sz w:val="14"/>
        </w:rPr>
      </w:pPr>
      <w:r w:rsidRPr="00F3436B">
        <w:rPr>
          <w:sz w:val="14"/>
        </w:rPr>
        <w:t xml:space="preserve">At the same time, governments and businesses will likely try to reduce their reliance on imports of critical materials, having watched global supply chains break down during the pandemic. </w:t>
      </w:r>
      <w:r w:rsidRPr="00F3436B">
        <w:rPr>
          <w:rStyle w:val="StyleUnderline"/>
        </w:rPr>
        <w:t>The result will probably be diminished trade</w:t>
      </w:r>
      <w:r w:rsidRPr="00F3436B">
        <w:rPr>
          <w:sz w:val="14"/>
        </w:rPr>
        <w:t xml:space="preserve">, something liberal internationalists see as a bad thing. But for the last five years or so, </w:t>
      </w:r>
      <w:r w:rsidRPr="00F3436B">
        <w:rPr>
          <w:rStyle w:val="StyleUnderline"/>
        </w:rPr>
        <w:t xml:space="preserve">trade has not helped improve relations between states but rather fueled resentment. </w:t>
      </w:r>
      <w:r w:rsidRPr="00F3436B">
        <w:rPr>
          <w:rStyle w:val="Emphasis"/>
        </w:rPr>
        <w:t>Less trade could mean less friction</w:t>
      </w:r>
      <w:r w:rsidRPr="00F3436B">
        <w:rPr>
          <w:rStyle w:val="StyleUnderline"/>
        </w:rPr>
        <w:t xml:space="preserve"> between major powers, thereby </w:t>
      </w:r>
      <w:r w:rsidRPr="00F3436B">
        <w:rPr>
          <w:rStyle w:val="Emphasis"/>
        </w:rPr>
        <w:t>reducing the intensity of their rivalries</w:t>
      </w:r>
      <w:r w:rsidRPr="00F3436B">
        <w:rPr>
          <w:rStyle w:val="StyleUnderline"/>
        </w:rPr>
        <w:t>.</w:t>
      </w:r>
      <w:r w:rsidRPr="00F3436B">
        <w:rPr>
          <w:sz w:val="14"/>
        </w:rPr>
        <w:t xml:space="preserve"> </w:t>
      </w:r>
    </w:p>
    <w:p w14:paraId="126FB0E5" w14:textId="77777777" w:rsidR="00C3543B" w:rsidRPr="00F3436B" w:rsidRDefault="00C3543B" w:rsidP="00C3543B">
      <w:pPr>
        <w:rPr>
          <w:sz w:val="14"/>
        </w:rPr>
      </w:pPr>
      <w:r w:rsidRPr="00F3436B">
        <w:rPr>
          <w:sz w:val="14"/>
        </w:rPr>
        <w:t xml:space="preserve">In the Chinese context, </w:t>
      </w:r>
      <w:r w:rsidRPr="00F3436B">
        <w:rPr>
          <w:rStyle w:val="StyleUnderline"/>
        </w:rPr>
        <w:t>less international trade</w:t>
      </w:r>
      <w:r w:rsidRPr="00F3436B">
        <w:rPr>
          <w:sz w:val="14"/>
        </w:rPr>
        <w:t xml:space="preserve"> could </w:t>
      </w:r>
      <w:r w:rsidRPr="00F3436B">
        <w:rPr>
          <w:rStyle w:val="StyleUnderline"/>
        </w:rPr>
        <w:t>have positive knock-on effects. Focused on growing the domestic economy, and burdened by hefty bills from fighting the virus, Beijing could</w:t>
      </w:r>
      <w:r w:rsidRPr="00F3436B">
        <w:rPr>
          <w:sz w:val="14"/>
        </w:rPr>
        <w:t xml:space="preserve">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6082B639" w14:textId="36655F6C" w:rsidR="00C3543B" w:rsidRPr="00C3543B" w:rsidRDefault="00C3543B" w:rsidP="00C3543B">
      <w:pPr>
        <w:rPr>
          <w:u w:val="single"/>
        </w:rPr>
      </w:pPr>
      <w:r w:rsidRPr="00F3436B">
        <w:rPr>
          <w:rStyle w:val="Emphasis"/>
        </w:rPr>
        <w:t>Interstate wars have become relatively rare</w:t>
      </w:r>
      <w:r w:rsidRPr="00F3436B">
        <w:rPr>
          <w:rStyle w:val="StyleUnderline"/>
        </w:rPr>
        <w:t xml:space="preserve"> since the end of</w:t>
      </w:r>
      <w:r w:rsidRPr="00F3436B">
        <w:rPr>
          <w:sz w:val="14"/>
        </w:rPr>
        <w:t xml:space="preserve"> </w:t>
      </w:r>
      <w:r w:rsidRPr="00F3436B">
        <w:rPr>
          <w:rStyle w:val="StyleUnderline"/>
        </w:rPr>
        <w:t>W</w:t>
      </w:r>
      <w:r w:rsidRPr="00F3436B">
        <w:rPr>
          <w:sz w:val="14"/>
        </w:rPr>
        <w:t xml:space="preserve">orld </w:t>
      </w:r>
      <w:r w:rsidRPr="00F3436B">
        <w:rPr>
          <w:rStyle w:val="StyleUnderline"/>
        </w:rPr>
        <w:t>W</w:t>
      </w:r>
      <w:r w:rsidRPr="00F3436B">
        <w:rPr>
          <w:sz w:val="14"/>
        </w:rPr>
        <w:t xml:space="preserve">ar </w:t>
      </w:r>
      <w:r w:rsidRPr="00F3436B">
        <w:rPr>
          <w:rStyle w:val="StyleUnderline"/>
        </w:rPr>
        <w:t>II</w:t>
      </w:r>
      <w:r w:rsidRPr="00F3436B">
        <w:rPr>
          <w:sz w:val="14"/>
        </w:rPr>
        <w:t xml:space="preserve">. </w:t>
      </w:r>
      <w:r w:rsidRPr="00F3436B">
        <w:rPr>
          <w:rStyle w:val="StyleUnderline"/>
        </w:rPr>
        <w:t>The U</w:t>
      </w:r>
      <w:r w:rsidRPr="00F3436B">
        <w:rPr>
          <w:sz w:val="14"/>
        </w:rPr>
        <w:t xml:space="preserve">nited </w:t>
      </w:r>
      <w:r w:rsidRPr="00F3436B">
        <w:rPr>
          <w:rStyle w:val="StyleUnderline"/>
        </w:rPr>
        <w:t>S</w:t>
      </w:r>
      <w:r w:rsidRPr="00F3436B">
        <w:rPr>
          <w:sz w:val="14"/>
        </w:rPr>
        <w:t xml:space="preserve">tates and the Soviet Union engaged in a four-decade Cold War, which included an intense nuclear and conventional arms race, but they </w:t>
      </w:r>
      <w:r w:rsidRPr="00F3436B">
        <w:rPr>
          <w:rStyle w:val="StyleUnderline"/>
        </w:rPr>
        <w:t>never fought each other directly</w:t>
      </w:r>
      <w:r w:rsidRPr="00F3436B">
        <w:rPr>
          <w:sz w:val="14"/>
        </w:rPr>
        <w:t xml:space="preserve">, even with conventional weapons. Theorists debate the reasons behind the continued rarity of great-power conflict. I am inclined to believe that </w:t>
      </w:r>
      <w:r w:rsidRPr="00F3436B">
        <w:rPr>
          <w:rStyle w:val="StyleUnderline"/>
        </w:rPr>
        <w:t xml:space="preserve">the risk of escalation to a </w:t>
      </w:r>
      <w:r w:rsidRPr="00F3436B">
        <w:rPr>
          <w:rStyle w:val="Emphasis"/>
        </w:rPr>
        <w:t>nuclear confrontation is simply too great</w:t>
      </w:r>
      <w:r w:rsidRPr="00F3436B">
        <w:rPr>
          <w:sz w:val="14"/>
        </w:rPr>
        <w:t xml:space="preserve">. </w:t>
      </w:r>
      <w:r w:rsidRPr="00F3436B">
        <w:rPr>
          <w:rStyle w:val="StyleUnderline"/>
        </w:rPr>
        <w:t>Covid</w:t>
      </w:r>
      <w:r w:rsidRPr="00F3436B">
        <w:rPr>
          <w:sz w:val="14"/>
        </w:rPr>
        <w:t xml:space="preserve">-19 </w:t>
      </w:r>
      <w:r w:rsidRPr="00F3436B">
        <w:rPr>
          <w:rStyle w:val="StyleUnderline"/>
        </w:rPr>
        <w:t>does nothing to mitigate such risks</w:t>
      </w:r>
      <w:r w:rsidRPr="00F3436B">
        <w:rPr>
          <w:sz w:val="14"/>
        </w:rPr>
        <w:t xml:space="preserve"> for world leaders—</w:t>
      </w:r>
      <w:r w:rsidRPr="00F3436B">
        <w:rPr>
          <w:rStyle w:val="StyleUnderline"/>
        </w:rPr>
        <w:t>and a great deal to feed their reasonable pessimism about the likely outcome of even a conventional war.</w:t>
      </w:r>
    </w:p>
    <w:p w14:paraId="34682E03" w14:textId="01109386" w:rsidR="00D10287" w:rsidRDefault="00471EA1" w:rsidP="00B51F6B">
      <w:pPr>
        <w:pStyle w:val="Heading3"/>
      </w:pPr>
      <w:r>
        <w:t>2AC</w:t>
      </w:r>
      <w:r w:rsidR="00B51F6B">
        <w:t xml:space="preserve"> – Impact – AT: Warming</w:t>
      </w:r>
    </w:p>
    <w:p w14:paraId="0DF32C9B" w14:textId="49E41445" w:rsidR="00B51F6B" w:rsidRPr="00C80CAB" w:rsidRDefault="00B51F6B" w:rsidP="00B51F6B">
      <w:pPr>
        <w:pStyle w:val="Heading4"/>
        <w:rPr>
          <w:szCs w:val="26"/>
        </w:rPr>
      </w:pPr>
      <w:r>
        <w:rPr>
          <w:szCs w:val="26"/>
        </w:rPr>
        <w:t>No impact.</w:t>
      </w:r>
    </w:p>
    <w:p w14:paraId="4502DD7F" w14:textId="77777777" w:rsidR="00B51F6B" w:rsidRPr="00684BF3" w:rsidRDefault="00B51F6B" w:rsidP="00B51F6B">
      <w:r w:rsidRPr="00C80CAB">
        <w:rPr>
          <w:rStyle w:val="Heading4Char"/>
          <w:szCs w:val="26"/>
        </w:rPr>
        <w:t>Shellenberger 6-29</w:t>
      </w:r>
      <w:r w:rsidRPr="00684BF3">
        <w:t>-20 – (Michael Shellenberger Time Magazine “Hero of the Environment,” and Green Book Award Winner; “</w:t>
      </w:r>
      <w:hyperlink r:id="rId222" w:history="1">
        <w:r w:rsidRPr="00684BF3">
          <w:rPr>
            <w:rStyle w:val="Hyperlink"/>
          </w:rPr>
          <w:t>On Behalf Of Environmentalists, I Apologize For The Climate Scare</w:t>
        </w:r>
      </w:hyperlink>
      <w:r w:rsidRPr="00684BF3">
        <w:t>”; Environmental Progress; D.A. July 1</w:t>
      </w:r>
      <w:r w:rsidRPr="00684BF3">
        <w:rPr>
          <w:vertAlign w:val="superscript"/>
        </w:rPr>
        <w:t>st</w:t>
      </w:r>
      <w:r w:rsidRPr="00684BF3">
        <w:t xml:space="preserve"> 2020, [Published June 29</w:t>
      </w:r>
      <w:r w:rsidRPr="00684BF3">
        <w:rPr>
          <w:vertAlign w:val="superscript"/>
        </w:rPr>
        <w:t>th</w:t>
      </w:r>
      <w:r w:rsidRPr="00684BF3">
        <w:t xml:space="preserve"> 2020]; </w:t>
      </w:r>
      <w:hyperlink r:id="rId223" w:history="1">
        <w:r w:rsidRPr="00684BF3">
          <w:rPr>
            <w:rStyle w:val="Hyperlink"/>
          </w:rPr>
          <w:t>https://environmentalprogress.org/big-news/2020/6/29/on-behalf-of-environmentalists-i-apologize-for-the-climate-scare</w:t>
        </w:r>
      </w:hyperlink>
      <w:r w:rsidRPr="00684BF3">
        <w:t>) //LFS—JCM</w:t>
      </w:r>
    </w:p>
    <w:p w14:paraId="19F82AE7" w14:textId="77777777" w:rsidR="00B51F6B" w:rsidRPr="00684BF3" w:rsidRDefault="00B51F6B" w:rsidP="00B51F6B">
      <w:pPr>
        <w:rPr>
          <w:sz w:val="16"/>
        </w:rPr>
      </w:pPr>
      <w:r w:rsidRPr="00684BF3">
        <w:rPr>
          <w:rStyle w:val="StyleUnderline"/>
        </w:rPr>
        <w:t>Here are some facts</w:t>
      </w:r>
      <w:r w:rsidRPr="00684BF3">
        <w:rPr>
          <w:sz w:val="16"/>
        </w:rPr>
        <w:t xml:space="preserve"> few people know:</w:t>
      </w:r>
    </w:p>
    <w:p w14:paraId="6092AA9F" w14:textId="77777777" w:rsidR="00B51F6B" w:rsidRPr="00684BF3" w:rsidRDefault="00B51F6B" w:rsidP="00B51F6B">
      <w:pPr>
        <w:pStyle w:val="ListParagraph"/>
        <w:numPr>
          <w:ilvl w:val="0"/>
          <w:numId w:val="14"/>
        </w:numPr>
        <w:rPr>
          <w:rStyle w:val="StyleUnderline"/>
        </w:rPr>
      </w:pPr>
      <w:r w:rsidRPr="00684BF3">
        <w:rPr>
          <w:rStyle w:val="StyleUnderline"/>
        </w:rPr>
        <w:t xml:space="preserve">Humans are </w:t>
      </w:r>
      <w:r w:rsidRPr="00684BF3">
        <w:rPr>
          <w:rStyle w:val="Emphasis"/>
        </w:rPr>
        <w:t>not causing</w:t>
      </w:r>
      <w:r w:rsidRPr="00684BF3">
        <w:rPr>
          <w:rStyle w:val="StyleUnderline"/>
        </w:rPr>
        <w:t xml:space="preserve"> a “</w:t>
      </w:r>
      <w:r w:rsidRPr="00684BF3">
        <w:rPr>
          <w:rStyle w:val="Emphasis"/>
        </w:rPr>
        <w:t>sixth</w:t>
      </w:r>
      <w:r w:rsidRPr="00684BF3">
        <w:rPr>
          <w:rStyle w:val="StyleUnderline"/>
        </w:rPr>
        <w:t xml:space="preserve"> mass </w:t>
      </w:r>
      <w:r w:rsidRPr="00684BF3">
        <w:rPr>
          <w:rStyle w:val="Emphasis"/>
        </w:rPr>
        <w:t>extinction</w:t>
      </w:r>
      <w:r w:rsidRPr="00684BF3">
        <w:rPr>
          <w:rStyle w:val="StyleUnderline"/>
        </w:rPr>
        <w:t>” </w:t>
      </w:r>
    </w:p>
    <w:p w14:paraId="75A87345" w14:textId="77777777" w:rsidR="00B51F6B" w:rsidRPr="00684BF3" w:rsidRDefault="00B51F6B" w:rsidP="00B51F6B">
      <w:pPr>
        <w:pStyle w:val="ListParagraph"/>
        <w:numPr>
          <w:ilvl w:val="0"/>
          <w:numId w:val="14"/>
        </w:numPr>
        <w:rPr>
          <w:rStyle w:val="StyleUnderline"/>
        </w:rPr>
      </w:pPr>
      <w:r w:rsidRPr="00684BF3">
        <w:rPr>
          <w:rStyle w:val="StyleUnderline"/>
        </w:rPr>
        <w:t xml:space="preserve">The </w:t>
      </w:r>
      <w:r w:rsidRPr="00684BF3">
        <w:rPr>
          <w:rStyle w:val="Emphasis"/>
        </w:rPr>
        <w:t>Amazon</w:t>
      </w:r>
      <w:r w:rsidRPr="00684BF3">
        <w:rPr>
          <w:rStyle w:val="StyleUnderline"/>
        </w:rPr>
        <w:t xml:space="preserve"> is </w:t>
      </w:r>
      <w:r w:rsidRPr="00684BF3">
        <w:rPr>
          <w:rStyle w:val="Emphasis"/>
        </w:rPr>
        <w:t>not</w:t>
      </w:r>
      <w:r w:rsidRPr="00684BF3">
        <w:rPr>
          <w:rStyle w:val="StyleUnderline"/>
        </w:rPr>
        <w:t xml:space="preserve"> “the </w:t>
      </w:r>
      <w:r w:rsidRPr="00684BF3">
        <w:rPr>
          <w:rStyle w:val="Emphasis"/>
        </w:rPr>
        <w:t>lungs</w:t>
      </w:r>
      <w:r w:rsidRPr="00684BF3">
        <w:rPr>
          <w:rStyle w:val="StyleUnderline"/>
        </w:rPr>
        <w:t xml:space="preserve"> of the world”</w:t>
      </w:r>
    </w:p>
    <w:p w14:paraId="5A5B1247" w14:textId="77777777" w:rsidR="00B51F6B" w:rsidRPr="00684BF3" w:rsidRDefault="00B51F6B" w:rsidP="00B51F6B">
      <w:pPr>
        <w:pStyle w:val="ListParagraph"/>
        <w:numPr>
          <w:ilvl w:val="0"/>
          <w:numId w:val="14"/>
        </w:numPr>
        <w:rPr>
          <w:sz w:val="16"/>
        </w:rPr>
      </w:pPr>
      <w:r w:rsidRPr="00684BF3">
        <w:rPr>
          <w:rStyle w:val="StyleUnderline"/>
        </w:rPr>
        <w:t xml:space="preserve">Climate change is </w:t>
      </w:r>
      <w:r w:rsidRPr="00684BF3">
        <w:rPr>
          <w:rStyle w:val="Emphasis"/>
        </w:rPr>
        <w:t>not</w:t>
      </w:r>
      <w:r w:rsidRPr="00684BF3">
        <w:rPr>
          <w:rStyle w:val="StyleUnderline"/>
        </w:rPr>
        <w:t xml:space="preserve"> making</w:t>
      </w:r>
      <w:r w:rsidRPr="00684BF3">
        <w:rPr>
          <w:sz w:val="16"/>
        </w:rPr>
        <w:t xml:space="preserve"> natural </w:t>
      </w:r>
      <w:r w:rsidRPr="00684BF3">
        <w:rPr>
          <w:rStyle w:val="Emphasis"/>
        </w:rPr>
        <w:t>disasters worse</w:t>
      </w:r>
    </w:p>
    <w:p w14:paraId="72D92381" w14:textId="77777777" w:rsidR="00B51F6B" w:rsidRPr="00684BF3" w:rsidRDefault="00B51F6B" w:rsidP="00B51F6B">
      <w:pPr>
        <w:pStyle w:val="ListParagraph"/>
        <w:numPr>
          <w:ilvl w:val="0"/>
          <w:numId w:val="14"/>
        </w:numPr>
        <w:rPr>
          <w:sz w:val="16"/>
        </w:rPr>
      </w:pPr>
      <w:r w:rsidRPr="00684BF3">
        <w:rPr>
          <w:rStyle w:val="StyleUnderline"/>
        </w:rPr>
        <w:t>Fires have declined 25% around the world</w:t>
      </w:r>
      <w:r w:rsidRPr="00684BF3">
        <w:rPr>
          <w:sz w:val="16"/>
        </w:rPr>
        <w:t xml:space="preserve"> since 2003</w:t>
      </w:r>
    </w:p>
    <w:p w14:paraId="0F33F36B" w14:textId="77777777" w:rsidR="00B51F6B" w:rsidRPr="00684BF3" w:rsidRDefault="00B51F6B" w:rsidP="00B51F6B">
      <w:pPr>
        <w:pStyle w:val="ListParagraph"/>
        <w:numPr>
          <w:ilvl w:val="0"/>
          <w:numId w:val="14"/>
        </w:numPr>
        <w:rPr>
          <w:sz w:val="16"/>
        </w:rPr>
      </w:pPr>
      <w:r w:rsidRPr="00684BF3">
        <w:rPr>
          <w:rStyle w:val="StyleUnderline"/>
        </w:rPr>
        <w:t>The</w:t>
      </w:r>
      <w:r w:rsidRPr="00684BF3">
        <w:rPr>
          <w:sz w:val="16"/>
        </w:rPr>
        <w:t xml:space="preserve"> amount of </w:t>
      </w:r>
      <w:r w:rsidRPr="00684BF3">
        <w:rPr>
          <w:rStyle w:val="Emphasis"/>
        </w:rPr>
        <w:t>land we use for meat</w:t>
      </w:r>
      <w:r w:rsidRPr="00684BF3">
        <w:rPr>
          <w:sz w:val="16"/>
        </w:rPr>
        <w:t xml:space="preserve"> — humankind’s biggest use of land — </w:t>
      </w:r>
      <w:r w:rsidRPr="00684BF3">
        <w:rPr>
          <w:rStyle w:val="StyleUnderline"/>
        </w:rPr>
        <w:t xml:space="preserve">has </w:t>
      </w:r>
      <w:r w:rsidRPr="00684BF3">
        <w:rPr>
          <w:rStyle w:val="Emphasis"/>
        </w:rPr>
        <w:t>declined by</w:t>
      </w:r>
      <w:r w:rsidRPr="00684BF3">
        <w:rPr>
          <w:rStyle w:val="StyleUnderline"/>
        </w:rPr>
        <w:t xml:space="preserve"> an area</w:t>
      </w:r>
      <w:r w:rsidRPr="00684BF3">
        <w:rPr>
          <w:sz w:val="16"/>
        </w:rPr>
        <w:t xml:space="preserve"> nearly </w:t>
      </w:r>
      <w:r w:rsidRPr="00684BF3">
        <w:rPr>
          <w:rStyle w:val="StyleUnderline"/>
        </w:rPr>
        <w:t xml:space="preserve">as large as </w:t>
      </w:r>
      <w:r w:rsidRPr="00684BF3">
        <w:rPr>
          <w:rStyle w:val="Emphasis"/>
        </w:rPr>
        <w:t>Alaska</w:t>
      </w:r>
    </w:p>
    <w:p w14:paraId="570E048B" w14:textId="77777777" w:rsidR="00B51F6B" w:rsidRPr="00684BF3" w:rsidRDefault="00B51F6B" w:rsidP="00B51F6B">
      <w:pPr>
        <w:pStyle w:val="ListParagraph"/>
        <w:numPr>
          <w:ilvl w:val="0"/>
          <w:numId w:val="14"/>
        </w:numPr>
        <w:rPr>
          <w:sz w:val="16"/>
          <w:szCs w:val="16"/>
        </w:rPr>
      </w:pPr>
      <w:r w:rsidRPr="00684BF3">
        <w:rPr>
          <w:sz w:val="16"/>
          <w:szCs w:val="16"/>
        </w:rPr>
        <w:t>The build-up of wood fuel and more houses near forests, not climate change, explain why there are more, and more dangerous, fires in Australia and California</w:t>
      </w:r>
    </w:p>
    <w:p w14:paraId="4FD13CEF" w14:textId="77777777" w:rsidR="00B51F6B" w:rsidRPr="00684BF3" w:rsidRDefault="00B51F6B" w:rsidP="00B51F6B">
      <w:pPr>
        <w:pStyle w:val="ListParagraph"/>
        <w:numPr>
          <w:ilvl w:val="0"/>
          <w:numId w:val="14"/>
        </w:numPr>
        <w:rPr>
          <w:sz w:val="16"/>
        </w:rPr>
      </w:pPr>
      <w:r w:rsidRPr="00684BF3">
        <w:rPr>
          <w:rStyle w:val="Emphasis"/>
        </w:rPr>
        <w:t>Carbon emissions</w:t>
      </w:r>
      <w:r w:rsidRPr="00684BF3">
        <w:rPr>
          <w:rStyle w:val="StyleUnderline"/>
        </w:rPr>
        <w:t xml:space="preserve"> are </w:t>
      </w:r>
      <w:r w:rsidRPr="00684BF3">
        <w:rPr>
          <w:rStyle w:val="Emphasis"/>
        </w:rPr>
        <w:t>declining</w:t>
      </w:r>
      <w:r w:rsidRPr="00684BF3">
        <w:rPr>
          <w:rStyle w:val="StyleUnderline"/>
        </w:rPr>
        <w:t xml:space="preserve"> in</w:t>
      </w:r>
      <w:r w:rsidRPr="00684BF3">
        <w:rPr>
          <w:sz w:val="16"/>
        </w:rPr>
        <w:t xml:space="preserve"> most rich </w:t>
      </w:r>
      <w:r w:rsidRPr="00684BF3">
        <w:rPr>
          <w:rStyle w:val="StyleUnderline"/>
        </w:rPr>
        <w:t>nations and have been</w:t>
      </w:r>
      <w:r w:rsidRPr="00684BF3">
        <w:rPr>
          <w:sz w:val="16"/>
        </w:rPr>
        <w:t xml:space="preserve"> declining </w:t>
      </w:r>
      <w:r w:rsidRPr="00684BF3">
        <w:rPr>
          <w:rStyle w:val="StyleUnderline"/>
        </w:rPr>
        <w:t xml:space="preserve">in </w:t>
      </w:r>
      <w:r w:rsidRPr="00684BF3">
        <w:rPr>
          <w:rStyle w:val="Emphasis"/>
        </w:rPr>
        <w:t>Britain, Germany, and France</w:t>
      </w:r>
      <w:r w:rsidRPr="00684BF3">
        <w:rPr>
          <w:sz w:val="16"/>
        </w:rPr>
        <w:t xml:space="preserve"> since the mid-1970s </w:t>
      </w:r>
    </w:p>
    <w:p w14:paraId="291B8101" w14:textId="77777777" w:rsidR="00B51F6B" w:rsidRPr="00684BF3" w:rsidRDefault="00B51F6B" w:rsidP="00B51F6B">
      <w:pPr>
        <w:pStyle w:val="ListParagraph"/>
        <w:numPr>
          <w:ilvl w:val="0"/>
          <w:numId w:val="14"/>
        </w:numPr>
        <w:rPr>
          <w:sz w:val="16"/>
        </w:rPr>
      </w:pPr>
      <w:r w:rsidRPr="00684BF3">
        <w:rPr>
          <w:rStyle w:val="Emphasis"/>
        </w:rPr>
        <w:t>Netherlands</w:t>
      </w:r>
      <w:r w:rsidRPr="00684BF3">
        <w:rPr>
          <w:rStyle w:val="StyleUnderline"/>
        </w:rPr>
        <w:t xml:space="preserve"> became </w:t>
      </w:r>
      <w:r w:rsidRPr="00684BF3">
        <w:rPr>
          <w:rStyle w:val="Emphasis"/>
        </w:rPr>
        <w:t>rich</w:t>
      </w:r>
      <w:r w:rsidRPr="00684BF3">
        <w:rPr>
          <w:sz w:val="16"/>
        </w:rPr>
        <w:t xml:space="preserve"> not poor </w:t>
      </w:r>
      <w:r w:rsidRPr="00684BF3">
        <w:rPr>
          <w:rStyle w:val="StyleUnderline"/>
        </w:rPr>
        <w:t xml:space="preserve">while adapting to </w:t>
      </w:r>
      <w:r w:rsidRPr="00684BF3">
        <w:rPr>
          <w:rStyle w:val="Emphasis"/>
        </w:rPr>
        <w:t>life below sea level</w:t>
      </w:r>
      <w:r w:rsidRPr="00684BF3">
        <w:rPr>
          <w:sz w:val="16"/>
        </w:rPr>
        <w:t xml:space="preserve"> </w:t>
      </w:r>
    </w:p>
    <w:p w14:paraId="1F30D796" w14:textId="77777777" w:rsidR="00B51F6B" w:rsidRPr="00684BF3" w:rsidRDefault="00B51F6B" w:rsidP="00B51F6B">
      <w:pPr>
        <w:pStyle w:val="ListParagraph"/>
        <w:numPr>
          <w:ilvl w:val="0"/>
          <w:numId w:val="14"/>
        </w:numPr>
        <w:rPr>
          <w:sz w:val="16"/>
        </w:rPr>
      </w:pPr>
      <w:r w:rsidRPr="00684BF3">
        <w:rPr>
          <w:rStyle w:val="StyleUnderline"/>
        </w:rPr>
        <w:t>We produce 25% more food than we need and food surpluses will continue to rise</w:t>
      </w:r>
      <w:r w:rsidRPr="00684BF3">
        <w:rPr>
          <w:sz w:val="16"/>
        </w:rPr>
        <w:t xml:space="preserve"> as the world gets hotter</w:t>
      </w:r>
    </w:p>
    <w:p w14:paraId="2FCB4F43" w14:textId="77777777" w:rsidR="00B51F6B" w:rsidRPr="00684BF3" w:rsidRDefault="00B51F6B" w:rsidP="00B51F6B">
      <w:pPr>
        <w:pStyle w:val="ListParagraph"/>
        <w:numPr>
          <w:ilvl w:val="0"/>
          <w:numId w:val="14"/>
        </w:numPr>
        <w:rPr>
          <w:sz w:val="16"/>
          <w:szCs w:val="16"/>
        </w:rPr>
      </w:pPr>
      <w:r w:rsidRPr="00684BF3">
        <w:rPr>
          <w:sz w:val="16"/>
          <w:szCs w:val="16"/>
        </w:rPr>
        <w:t>Habitat loss and the direct killing of wild animals are bigger threats to species than climate change</w:t>
      </w:r>
    </w:p>
    <w:p w14:paraId="25AC98E7" w14:textId="77777777" w:rsidR="00B51F6B" w:rsidRPr="00684BF3" w:rsidRDefault="00B51F6B" w:rsidP="00B51F6B">
      <w:pPr>
        <w:pStyle w:val="ListParagraph"/>
        <w:numPr>
          <w:ilvl w:val="0"/>
          <w:numId w:val="14"/>
        </w:numPr>
        <w:rPr>
          <w:sz w:val="16"/>
          <w:szCs w:val="16"/>
        </w:rPr>
      </w:pPr>
      <w:r w:rsidRPr="00684BF3">
        <w:rPr>
          <w:sz w:val="16"/>
          <w:szCs w:val="16"/>
        </w:rPr>
        <w:t>Wood fuel is far worse for people and wildlife than fossil fuels</w:t>
      </w:r>
    </w:p>
    <w:p w14:paraId="6972AE68" w14:textId="77777777" w:rsidR="00B51F6B" w:rsidRPr="00684BF3" w:rsidRDefault="00B51F6B" w:rsidP="00B51F6B">
      <w:pPr>
        <w:pStyle w:val="ListParagraph"/>
        <w:numPr>
          <w:ilvl w:val="0"/>
          <w:numId w:val="14"/>
        </w:numPr>
        <w:rPr>
          <w:rStyle w:val="StyleUnderline"/>
        </w:rPr>
      </w:pPr>
      <w:r w:rsidRPr="00684BF3">
        <w:rPr>
          <w:rStyle w:val="Emphasis"/>
        </w:rPr>
        <w:t>Preventing</w:t>
      </w:r>
      <w:r w:rsidRPr="00684BF3">
        <w:rPr>
          <w:rStyle w:val="StyleUnderline"/>
        </w:rPr>
        <w:t xml:space="preserve"> future </w:t>
      </w:r>
      <w:r w:rsidRPr="00684BF3">
        <w:rPr>
          <w:rStyle w:val="Emphasis"/>
        </w:rPr>
        <w:t>pandemics</w:t>
      </w:r>
      <w:r w:rsidRPr="00684BF3">
        <w:rPr>
          <w:rStyle w:val="StyleUnderline"/>
        </w:rPr>
        <w:t xml:space="preserve"> requires </w:t>
      </w:r>
      <w:r w:rsidRPr="00684BF3">
        <w:rPr>
          <w:rStyle w:val="Emphasis"/>
        </w:rPr>
        <w:t>more</w:t>
      </w:r>
      <w:r w:rsidRPr="00684BF3">
        <w:rPr>
          <w:sz w:val="16"/>
        </w:rPr>
        <w:t xml:space="preserve"> not less </w:t>
      </w:r>
      <w:r w:rsidRPr="00684BF3">
        <w:rPr>
          <w:rStyle w:val="StyleUnderline"/>
        </w:rPr>
        <w:t>“</w:t>
      </w:r>
      <w:r w:rsidRPr="00684BF3">
        <w:rPr>
          <w:rStyle w:val="Emphasis"/>
        </w:rPr>
        <w:t>industrial” agriculture</w:t>
      </w:r>
    </w:p>
    <w:p w14:paraId="6F99B979" w14:textId="77777777" w:rsidR="00B51F6B" w:rsidRPr="00684BF3" w:rsidRDefault="00B51F6B" w:rsidP="00B51F6B">
      <w:pPr>
        <w:rPr>
          <w:sz w:val="16"/>
        </w:rPr>
      </w:pPr>
      <w:r w:rsidRPr="00684BF3">
        <w:rPr>
          <w:sz w:val="16"/>
        </w:rPr>
        <w:t xml:space="preserve">I know that </w:t>
      </w:r>
      <w:r w:rsidRPr="00684BF3">
        <w:rPr>
          <w:rStyle w:val="StyleUnderline"/>
        </w:rPr>
        <w:t xml:space="preserve">the above facts </w:t>
      </w:r>
      <w:r w:rsidRPr="00684BF3">
        <w:rPr>
          <w:sz w:val="16"/>
        </w:rPr>
        <w:t xml:space="preserve">will </w:t>
      </w:r>
      <w:r w:rsidRPr="00684BF3">
        <w:rPr>
          <w:rStyle w:val="StyleUnderline"/>
        </w:rPr>
        <w:t xml:space="preserve">sound like “climate denialism” </w:t>
      </w:r>
      <w:r w:rsidRPr="00684BF3">
        <w:rPr>
          <w:sz w:val="16"/>
        </w:rPr>
        <w:t xml:space="preserve">to many people. </w:t>
      </w:r>
      <w:r w:rsidRPr="00684BF3">
        <w:rPr>
          <w:rStyle w:val="StyleUnderline"/>
        </w:rPr>
        <w:t>But that</w:t>
      </w:r>
      <w:r w:rsidRPr="00684BF3">
        <w:rPr>
          <w:sz w:val="16"/>
        </w:rPr>
        <w:t xml:space="preserve"> just </w:t>
      </w:r>
      <w:r w:rsidRPr="00684BF3">
        <w:rPr>
          <w:rStyle w:val="Emphasis"/>
        </w:rPr>
        <w:t>shows</w:t>
      </w:r>
      <w:r w:rsidRPr="00684BF3">
        <w:rPr>
          <w:rStyle w:val="StyleUnderline"/>
        </w:rPr>
        <w:t xml:space="preserve"> the </w:t>
      </w:r>
      <w:r w:rsidRPr="00684BF3">
        <w:rPr>
          <w:rStyle w:val="Emphasis"/>
        </w:rPr>
        <w:t>power of</w:t>
      </w:r>
      <w:r w:rsidRPr="00684BF3">
        <w:rPr>
          <w:rStyle w:val="StyleUnderline"/>
        </w:rPr>
        <w:t xml:space="preserve"> climate </w:t>
      </w:r>
      <w:r w:rsidRPr="00684BF3">
        <w:rPr>
          <w:rStyle w:val="Emphasis"/>
        </w:rPr>
        <w:t>alarmism</w:t>
      </w:r>
      <w:r w:rsidRPr="00684BF3">
        <w:rPr>
          <w:sz w:val="16"/>
        </w:rPr>
        <w:t>. </w:t>
      </w:r>
    </w:p>
    <w:p w14:paraId="776D5429" w14:textId="3DAAC0F5" w:rsidR="00B51F6B" w:rsidRDefault="00B51F6B" w:rsidP="00B51F6B">
      <w:pPr>
        <w:rPr>
          <w:sz w:val="16"/>
        </w:rPr>
      </w:pPr>
      <w:r w:rsidRPr="00684BF3">
        <w:rPr>
          <w:sz w:val="16"/>
        </w:rPr>
        <w:t xml:space="preserve">In reality, </w:t>
      </w:r>
      <w:r w:rsidRPr="00684BF3">
        <w:rPr>
          <w:rStyle w:val="StyleUnderline"/>
        </w:rPr>
        <w:t xml:space="preserve">the above facts come from the </w:t>
      </w:r>
      <w:r w:rsidRPr="00684BF3">
        <w:rPr>
          <w:rStyle w:val="Emphasis"/>
        </w:rPr>
        <w:t>best-available scientific studies</w:t>
      </w:r>
      <w:r w:rsidRPr="00684BF3">
        <w:rPr>
          <w:sz w:val="16"/>
        </w:rPr>
        <w:t xml:space="preserve">, </w:t>
      </w:r>
      <w:r w:rsidRPr="00684BF3">
        <w:rPr>
          <w:rStyle w:val="StyleUnderline"/>
        </w:rPr>
        <w:t>including</w:t>
      </w:r>
      <w:r w:rsidRPr="00684BF3">
        <w:rPr>
          <w:sz w:val="16"/>
        </w:rPr>
        <w:t xml:space="preserve"> those conducted by or accepted by </w:t>
      </w:r>
      <w:r w:rsidRPr="00684BF3">
        <w:rPr>
          <w:rStyle w:val="StyleUnderline"/>
        </w:rPr>
        <w:t xml:space="preserve">the </w:t>
      </w:r>
      <w:r w:rsidRPr="00684BF3">
        <w:rPr>
          <w:rStyle w:val="Emphasis"/>
        </w:rPr>
        <w:t>IPCC</w:t>
      </w:r>
      <w:r w:rsidRPr="00684BF3">
        <w:rPr>
          <w:rStyle w:val="StyleUnderline"/>
        </w:rPr>
        <w:t>, the Food and Agriculture Organization of the United Nations (</w:t>
      </w:r>
      <w:r w:rsidRPr="00684BF3">
        <w:rPr>
          <w:rStyle w:val="Emphasis"/>
        </w:rPr>
        <w:t>FAO</w:t>
      </w:r>
      <w:r w:rsidRPr="00684BF3">
        <w:rPr>
          <w:rStyle w:val="StyleUnderline"/>
        </w:rPr>
        <w:t>), the International Union for the Conservation of Nature (</w:t>
      </w:r>
      <w:r w:rsidRPr="00684BF3">
        <w:rPr>
          <w:rStyle w:val="Emphasis"/>
        </w:rPr>
        <w:t>IUCN</w:t>
      </w:r>
      <w:r w:rsidRPr="00684BF3">
        <w:rPr>
          <w:rStyle w:val="StyleUnderline"/>
        </w:rPr>
        <w:t>) and other</w:t>
      </w:r>
      <w:r w:rsidRPr="00684BF3">
        <w:rPr>
          <w:sz w:val="16"/>
        </w:rPr>
        <w:t xml:space="preserve"> leading </w:t>
      </w:r>
      <w:r w:rsidRPr="00684BF3">
        <w:rPr>
          <w:rStyle w:val="Emphasis"/>
        </w:rPr>
        <w:t>scientific bodies</w:t>
      </w:r>
      <w:r w:rsidRPr="00684BF3">
        <w:rPr>
          <w:sz w:val="16"/>
        </w:rPr>
        <w:t>. </w:t>
      </w:r>
    </w:p>
    <w:p w14:paraId="5AB95DF4" w14:textId="256BC8FD" w:rsidR="00471EA1" w:rsidRDefault="00471EA1" w:rsidP="00471EA1">
      <w:pPr>
        <w:pStyle w:val="Heading3"/>
      </w:pPr>
      <w:r>
        <w:t>1AR – Impact – AT: Warming</w:t>
      </w:r>
    </w:p>
    <w:p w14:paraId="2E453F6B" w14:textId="77777777" w:rsidR="00471EA1" w:rsidRDefault="00471EA1" w:rsidP="00471EA1">
      <w:pPr>
        <w:pStyle w:val="Heading4"/>
      </w:pPr>
      <w:r>
        <w:t>Warming doesn’t rise to extinction – new studies.</w:t>
      </w:r>
    </w:p>
    <w:p w14:paraId="319EC749" w14:textId="77777777" w:rsidR="00471EA1" w:rsidRPr="00E8707D" w:rsidRDefault="00471EA1" w:rsidP="00471EA1">
      <w:r w:rsidRPr="00E8707D">
        <w:rPr>
          <w:rStyle w:val="Style13ptBold"/>
        </w:rPr>
        <w:t>Nordhaus 20</w:t>
      </w:r>
      <w:r w:rsidRPr="00E8707D">
        <w:t xml:space="preserve"> Ted Nordhaus, an American author, environmental policy expert, and the director of research at The Breakthrough Institute, citing new climate change forecasts.</w:t>
      </w:r>
      <w:r>
        <w:t xml:space="preserve"> [Ignore the Fake Climate Debate, 1-23-2020, https://www.wsj.com/articles/ignore-the-fake-climate-debate-11579795816]//BPS</w:t>
      </w:r>
    </w:p>
    <w:p w14:paraId="330A53FF" w14:textId="28400A0C" w:rsidR="00471EA1" w:rsidRDefault="00471EA1" w:rsidP="00471EA1">
      <w:pPr>
        <w:rPr>
          <w:sz w:val="16"/>
        </w:rPr>
      </w:pPr>
      <w:r w:rsidRPr="004011D2">
        <w:rPr>
          <w:rStyle w:val="StyleUnderline"/>
          <w:highlight w:val="cyan"/>
        </w:rPr>
        <w:t>Beyond</w:t>
      </w:r>
      <w:r w:rsidRPr="00E8707D">
        <w:rPr>
          <w:sz w:val="16"/>
        </w:rPr>
        <w:t xml:space="preserve"> the </w:t>
      </w:r>
      <w:r w:rsidRPr="00A2265E">
        <w:rPr>
          <w:rStyle w:val="StyleUnderline"/>
        </w:rPr>
        <w:t xml:space="preserve">headlines and </w:t>
      </w:r>
      <w:r w:rsidRPr="004011D2">
        <w:rPr>
          <w:rStyle w:val="StyleUnderline"/>
          <w:highlight w:val="cyan"/>
        </w:rPr>
        <w:t>social media</w:t>
      </w:r>
      <w:r w:rsidRPr="00E8707D">
        <w:rPr>
          <w:sz w:val="16"/>
        </w:rPr>
        <w:t xml:space="preserve">, where Greta Thunberg, Donald Trump and the online armies of climate </w:t>
      </w:r>
      <w:r w:rsidRPr="00A2265E">
        <w:rPr>
          <w:rStyle w:val="StyleUnderline"/>
        </w:rPr>
        <w:t>“alarmists” and “deniers”</w:t>
      </w:r>
      <w:r w:rsidRPr="00E8707D">
        <w:rPr>
          <w:sz w:val="16"/>
        </w:rPr>
        <w:t xml:space="preserve"> do battle, </w:t>
      </w:r>
      <w:r w:rsidRPr="004011D2">
        <w:rPr>
          <w:rStyle w:val="StyleUnderline"/>
          <w:highlight w:val="cyan"/>
        </w:rPr>
        <w:t>there is</w:t>
      </w:r>
      <w:r w:rsidRPr="00A2265E">
        <w:rPr>
          <w:rStyle w:val="StyleUnderline"/>
        </w:rPr>
        <w:t xml:space="preserve"> </w:t>
      </w:r>
      <w:r w:rsidRPr="00A2265E">
        <w:rPr>
          <w:rStyle w:val="Emphasis"/>
        </w:rPr>
        <w:t xml:space="preserve">a real climate </w:t>
      </w:r>
      <w:r w:rsidRPr="004011D2">
        <w:rPr>
          <w:rStyle w:val="Emphasis"/>
          <w:highlight w:val="cyan"/>
        </w:rPr>
        <w:t>debate</w:t>
      </w:r>
      <w:r w:rsidRPr="00E8707D">
        <w:rPr>
          <w:sz w:val="16"/>
        </w:rPr>
        <w:t xml:space="preserve"> bubbling along </w:t>
      </w:r>
      <w:r w:rsidRPr="004011D2">
        <w:rPr>
          <w:rStyle w:val="StyleUnderline"/>
          <w:highlight w:val="cyan"/>
        </w:rPr>
        <w:t>in</w:t>
      </w:r>
      <w:r w:rsidRPr="00A2265E">
        <w:rPr>
          <w:rStyle w:val="StyleUnderline"/>
        </w:rPr>
        <w:t xml:space="preserve"> </w:t>
      </w:r>
      <w:r w:rsidRPr="00A2265E">
        <w:rPr>
          <w:rStyle w:val="Emphasis"/>
        </w:rPr>
        <w:t xml:space="preserve">scientific </w:t>
      </w:r>
      <w:r w:rsidRPr="004011D2">
        <w:rPr>
          <w:rStyle w:val="Emphasis"/>
          <w:highlight w:val="cyan"/>
        </w:rPr>
        <w:t>journals</w:t>
      </w:r>
      <w:r w:rsidRPr="00E8707D">
        <w:rPr>
          <w:sz w:val="16"/>
        </w:rPr>
        <w:t xml:space="preserve">, conferences and, occasionally, even in the halls of Congress. </w:t>
      </w:r>
      <w:r w:rsidRPr="00A2265E">
        <w:rPr>
          <w:rStyle w:val="StyleUnderline"/>
        </w:rPr>
        <w:t>It gets</w:t>
      </w:r>
      <w:r w:rsidRPr="00E8707D">
        <w:rPr>
          <w:sz w:val="16"/>
        </w:rPr>
        <w:t xml:space="preserve"> a lot </w:t>
      </w:r>
      <w:r w:rsidRPr="00A2265E">
        <w:rPr>
          <w:rStyle w:val="StyleUnderline"/>
        </w:rPr>
        <w:t>less attention</w:t>
      </w:r>
      <w:r w:rsidRPr="00E8707D">
        <w:rPr>
          <w:sz w:val="16"/>
        </w:rPr>
        <w:t xml:space="preserve"> than the boisterous and fake debate that dominates our public discourse, but it is much more relevant to how the world might actually address the problem. In the real climate debate, no one denies the relationship between human emissions of greenhouse gases and a warming climate. Instead, the disagreement comes down to different views of climate risk in the face of multiple, cascading uncertainties. On one side of the debate are optimists, who believe that, with improving technology and greater affluence, our societies will prove quite adaptable to a changing climate. On the other side are pessimists, who are more concerned about the risks associated with rapid, large-scale and poorly understood transformations of the climate system. But </w:t>
      </w:r>
      <w:r w:rsidRPr="00A2265E">
        <w:rPr>
          <w:rStyle w:val="Emphasis"/>
        </w:rPr>
        <w:t xml:space="preserve">most </w:t>
      </w:r>
      <w:r w:rsidRPr="004011D2">
        <w:rPr>
          <w:rStyle w:val="Emphasis"/>
          <w:highlight w:val="cyan"/>
        </w:rPr>
        <w:t>pessimists</w:t>
      </w:r>
      <w:r w:rsidRPr="004011D2">
        <w:rPr>
          <w:rStyle w:val="StyleUnderline"/>
          <w:highlight w:val="cyan"/>
        </w:rPr>
        <w:t xml:space="preserve"> do not believe</w:t>
      </w:r>
      <w:r w:rsidRPr="00E8707D">
        <w:rPr>
          <w:sz w:val="16"/>
        </w:rPr>
        <w:t xml:space="preserve"> that </w:t>
      </w:r>
      <w:r w:rsidRPr="004011D2">
        <w:rPr>
          <w:rStyle w:val="Emphasis"/>
          <w:highlight w:val="cyan"/>
        </w:rPr>
        <w:t>runaway</w:t>
      </w:r>
      <w:r w:rsidRPr="00A2265E">
        <w:rPr>
          <w:rStyle w:val="Emphasis"/>
        </w:rPr>
        <w:t xml:space="preserve"> climate change</w:t>
      </w:r>
      <w:r w:rsidRPr="00A2265E">
        <w:rPr>
          <w:rStyle w:val="StyleUnderline"/>
        </w:rPr>
        <w:t xml:space="preserve"> </w:t>
      </w:r>
      <w:r w:rsidRPr="004011D2">
        <w:rPr>
          <w:rStyle w:val="StyleUnderline"/>
          <w:highlight w:val="cyan"/>
        </w:rPr>
        <w:t>or</w:t>
      </w:r>
      <w:r w:rsidRPr="00A2265E">
        <w:rPr>
          <w:rStyle w:val="StyleUnderline"/>
        </w:rPr>
        <w:t xml:space="preserve"> </w:t>
      </w:r>
      <w:r w:rsidRPr="00A2265E">
        <w:rPr>
          <w:rStyle w:val="Emphasis"/>
        </w:rPr>
        <w:t xml:space="preserve">a </w:t>
      </w:r>
      <w:r w:rsidRPr="004011D2">
        <w:rPr>
          <w:rStyle w:val="Emphasis"/>
          <w:highlight w:val="cyan"/>
        </w:rPr>
        <w:t>hothouse</w:t>
      </w:r>
      <w:r w:rsidRPr="00A2265E">
        <w:rPr>
          <w:rStyle w:val="Emphasis"/>
        </w:rPr>
        <w:t xml:space="preserve"> earth</w:t>
      </w:r>
      <w:r w:rsidRPr="00A2265E">
        <w:rPr>
          <w:rStyle w:val="StyleUnderline"/>
        </w:rPr>
        <w:t xml:space="preserve"> </w:t>
      </w:r>
      <w:r w:rsidRPr="004011D2">
        <w:rPr>
          <w:rStyle w:val="StyleUnderline"/>
          <w:highlight w:val="cyan"/>
        </w:rPr>
        <w:t>are plausible</w:t>
      </w:r>
      <w:r w:rsidRPr="00A2265E">
        <w:rPr>
          <w:rStyle w:val="StyleUnderline"/>
        </w:rPr>
        <w:t xml:space="preserve"> scenarios, </w:t>
      </w:r>
      <w:r w:rsidRPr="004011D2">
        <w:rPr>
          <w:rStyle w:val="Emphasis"/>
          <w:highlight w:val="cyan"/>
        </w:rPr>
        <w:t>much less</w:t>
      </w:r>
      <w:r w:rsidRPr="00A2265E">
        <w:rPr>
          <w:rStyle w:val="StyleUnderline"/>
        </w:rPr>
        <w:t xml:space="preserve"> that </w:t>
      </w:r>
      <w:r w:rsidRPr="00A2265E">
        <w:rPr>
          <w:rStyle w:val="Emphasis"/>
        </w:rPr>
        <w:t xml:space="preserve">human </w:t>
      </w:r>
      <w:r w:rsidRPr="004011D2">
        <w:rPr>
          <w:rStyle w:val="Emphasis"/>
          <w:highlight w:val="cyan"/>
        </w:rPr>
        <w:t>extinction</w:t>
      </w:r>
      <w:r w:rsidRPr="00A2265E">
        <w:rPr>
          <w:rStyle w:val="StyleUnderline"/>
        </w:rPr>
        <w:t xml:space="preserve"> is imminent</w:t>
      </w:r>
      <w:r w:rsidRPr="00E8707D">
        <w:rPr>
          <w:sz w:val="16"/>
        </w:rPr>
        <w:t xml:space="preserve">. And most optimists recognize a need for policies to address climate change, even if they don’t support the radical measures that Ms. Thunberg and others have demanded. In the fake climate debate, both sides agree that economic growth and reduced emissions vary inversely; it’s a zero-sum game. In the real debate, the relationship is much more complicated. Long-term economic growth is associated with both rising per capita energy consumption and slower population growth. For this reason, as the world continues to get richer, higher per capita energy consumption is likely to be offset by a lower population. </w:t>
      </w:r>
      <w:r w:rsidRPr="00A2265E">
        <w:rPr>
          <w:rStyle w:val="Emphasis"/>
        </w:rPr>
        <w:t xml:space="preserve">A </w:t>
      </w:r>
      <w:r w:rsidRPr="004011D2">
        <w:rPr>
          <w:rStyle w:val="Emphasis"/>
          <w:highlight w:val="cyan"/>
        </w:rPr>
        <w:t>richer world</w:t>
      </w:r>
      <w:r w:rsidRPr="004011D2">
        <w:rPr>
          <w:rStyle w:val="StyleUnderline"/>
          <w:highlight w:val="cyan"/>
        </w:rPr>
        <w:t xml:space="preserve"> will</w:t>
      </w:r>
      <w:r w:rsidRPr="00E8707D">
        <w:rPr>
          <w:sz w:val="16"/>
        </w:rPr>
        <w:t xml:space="preserve"> also likely </w:t>
      </w:r>
      <w:r w:rsidRPr="004011D2">
        <w:rPr>
          <w:rStyle w:val="StyleUnderline"/>
          <w:highlight w:val="cyan"/>
        </w:rPr>
        <w:t>be</w:t>
      </w:r>
      <w:r w:rsidRPr="00A2265E">
        <w:rPr>
          <w:rStyle w:val="StyleUnderline"/>
        </w:rPr>
        <w:t xml:space="preserve"> </w:t>
      </w:r>
      <w:r w:rsidRPr="00A2265E">
        <w:rPr>
          <w:rStyle w:val="Emphasis"/>
        </w:rPr>
        <w:t>more technologically advanced</w:t>
      </w:r>
      <w:r w:rsidRPr="00A2265E">
        <w:rPr>
          <w:rStyle w:val="StyleUnderline"/>
        </w:rPr>
        <w:t>, which means</w:t>
      </w:r>
      <w:r w:rsidRPr="00E8707D">
        <w:rPr>
          <w:sz w:val="16"/>
        </w:rPr>
        <w:t xml:space="preserve"> that </w:t>
      </w:r>
      <w:r w:rsidRPr="00A2265E">
        <w:rPr>
          <w:rStyle w:val="StyleUnderline"/>
        </w:rPr>
        <w:t>energy</w:t>
      </w:r>
      <w:r w:rsidRPr="00E8707D">
        <w:rPr>
          <w:sz w:val="16"/>
        </w:rPr>
        <w:t xml:space="preserve"> consumption </w:t>
      </w:r>
      <w:r w:rsidRPr="00A2265E">
        <w:rPr>
          <w:rStyle w:val="StyleUnderline"/>
        </w:rPr>
        <w:t xml:space="preserve">should </w:t>
      </w:r>
      <w:r w:rsidRPr="004011D2">
        <w:rPr>
          <w:rStyle w:val="StyleUnderline"/>
          <w:highlight w:val="cyan"/>
        </w:rPr>
        <w:t xml:space="preserve">be </w:t>
      </w:r>
      <w:r w:rsidRPr="004011D2">
        <w:rPr>
          <w:rStyle w:val="Emphasis"/>
          <w:highlight w:val="cyan"/>
        </w:rPr>
        <w:t>less carbon-intensive</w:t>
      </w:r>
      <w:r w:rsidRPr="00E8707D">
        <w:rPr>
          <w:sz w:val="16"/>
        </w:rPr>
        <w:t xml:space="preserve"> than it would be in a poorer, less technologically advanced future. In fact, a number of the high-emissions scenarios produced by the United Nations Intergovernmental Panel on Climate Change involve futures in which the world is relatively poor and populous and less technologically advanced. Affluent, developed societies are also much better equipped to respond to climate extremes and natural disasters. That’s why natural disasters kill and displace many more people in poor societies than in rich ones. It’s not just seawalls and flood channels that make us resilient; it’s air conditioning and refrigeration, modern transportation and communications networks, early warning systems, first responders and public health bureaucracies. </w:t>
      </w:r>
      <w:r w:rsidRPr="00A2265E">
        <w:rPr>
          <w:rStyle w:val="StyleUnderline"/>
        </w:rPr>
        <w:t>New research</w:t>
      </w:r>
      <w:r w:rsidRPr="00E8707D">
        <w:rPr>
          <w:sz w:val="16"/>
        </w:rPr>
        <w:t xml:space="preserve"> published in the journal Global Environmental Change </w:t>
      </w:r>
      <w:r w:rsidRPr="00A2265E">
        <w:rPr>
          <w:rStyle w:val="StyleUnderline"/>
        </w:rPr>
        <w:t>finds</w:t>
      </w:r>
      <w:r w:rsidRPr="00E8707D">
        <w:rPr>
          <w:sz w:val="16"/>
        </w:rPr>
        <w:t xml:space="preserve"> that </w:t>
      </w:r>
      <w:r w:rsidRPr="00A2265E">
        <w:rPr>
          <w:rStyle w:val="Emphasis"/>
        </w:rPr>
        <w:t xml:space="preserve">global economic </w:t>
      </w:r>
      <w:r w:rsidRPr="004011D2">
        <w:rPr>
          <w:rStyle w:val="Emphasis"/>
          <w:highlight w:val="cyan"/>
        </w:rPr>
        <w:t>growth</w:t>
      </w:r>
      <w:r w:rsidRPr="00E8707D">
        <w:rPr>
          <w:sz w:val="16"/>
        </w:rPr>
        <w:t xml:space="preserve"> over the last decade </w:t>
      </w:r>
      <w:r w:rsidRPr="00A2265E">
        <w:rPr>
          <w:rStyle w:val="StyleUnderline"/>
        </w:rPr>
        <w:t xml:space="preserve">has </w:t>
      </w:r>
      <w:r w:rsidRPr="004011D2">
        <w:rPr>
          <w:rStyle w:val="Emphasis"/>
          <w:highlight w:val="cyan"/>
        </w:rPr>
        <w:t>reduced</w:t>
      </w:r>
      <w:r w:rsidRPr="00A2265E">
        <w:rPr>
          <w:rStyle w:val="StyleUnderline"/>
        </w:rPr>
        <w:t xml:space="preserve"> climate </w:t>
      </w:r>
      <w:r w:rsidRPr="004011D2">
        <w:rPr>
          <w:rStyle w:val="StyleUnderline"/>
          <w:highlight w:val="cyan"/>
        </w:rPr>
        <w:t>mortality by</w:t>
      </w:r>
      <w:r w:rsidRPr="00A2265E">
        <w:rPr>
          <w:rStyle w:val="StyleUnderline"/>
        </w:rPr>
        <w:t xml:space="preserve"> </w:t>
      </w:r>
      <w:r w:rsidRPr="00A2265E">
        <w:rPr>
          <w:rStyle w:val="Emphasis"/>
        </w:rPr>
        <w:t xml:space="preserve">a factor of </w:t>
      </w:r>
      <w:r w:rsidRPr="004011D2">
        <w:rPr>
          <w:rStyle w:val="Emphasis"/>
          <w:highlight w:val="cyan"/>
        </w:rPr>
        <w:t>five</w:t>
      </w:r>
      <w:r w:rsidRPr="00E8707D">
        <w:rPr>
          <w:sz w:val="16"/>
        </w:rPr>
        <w:t xml:space="preserve">, with the greatest benefits documented in the poorest nations. In low-lying Bangladesh, 300,000 people died in Cyclone Bhola in 1970, when 80% of the population lived in extreme poverty. In 2019, with less than 20% of the population living in extreme poverty, Cyclone Fani killed just five people. “Poor nations are most vulnerable to a changing climate. The fastest way to reduce that vulnerability is through economic development.” So while it is true that poor nations are most vulnerable to a changing climate, it is also true that the fastest way to reduce that vulnerability is through economic development, which requires infrastructure and industrialization. Those activities, in turn, require cement, steel, process heat and chemical inputs, all of which are impossible to produce today without fossil fuels. For this and other reasons, the world is unlikely to cut emissions fast enough to stabilize global temperatures at less than 2 degrees above pre-industrial levels, the long-standing international target, much less 1.5 degrees, as many activists now demand. But </w:t>
      </w:r>
      <w:r w:rsidRPr="00A2265E">
        <w:rPr>
          <w:rStyle w:val="Emphasis"/>
        </w:rPr>
        <w:t xml:space="preserve">recent </w:t>
      </w:r>
      <w:r w:rsidRPr="004011D2">
        <w:rPr>
          <w:rStyle w:val="Emphasis"/>
          <w:highlight w:val="cyan"/>
        </w:rPr>
        <w:t>forecasts</w:t>
      </w:r>
      <w:r w:rsidRPr="00E8707D">
        <w:rPr>
          <w:sz w:val="16"/>
        </w:rPr>
        <w:t xml:space="preserve"> also </w:t>
      </w:r>
      <w:r w:rsidRPr="004011D2">
        <w:rPr>
          <w:rStyle w:val="StyleUnderline"/>
          <w:highlight w:val="cyan"/>
        </w:rPr>
        <w:t>suggest</w:t>
      </w:r>
      <w:r w:rsidRPr="00E8707D">
        <w:rPr>
          <w:sz w:val="16"/>
        </w:rPr>
        <w:t xml:space="preserve"> that many of </w:t>
      </w:r>
      <w:r w:rsidRPr="00A2265E">
        <w:rPr>
          <w:rStyle w:val="Emphasis"/>
        </w:rPr>
        <w:t xml:space="preserve">the </w:t>
      </w:r>
      <w:r w:rsidRPr="004011D2">
        <w:rPr>
          <w:rStyle w:val="Emphasis"/>
          <w:highlight w:val="cyan"/>
        </w:rPr>
        <w:t>worst-case</w:t>
      </w:r>
      <w:r w:rsidRPr="00A2265E">
        <w:rPr>
          <w:rStyle w:val="Emphasis"/>
        </w:rPr>
        <w:t xml:space="preserve"> climate scenarios</w:t>
      </w:r>
      <w:r w:rsidRPr="00E8707D">
        <w:rPr>
          <w:sz w:val="16"/>
        </w:rPr>
        <w:t xml:space="preserve"> produced in the last decade, which assumed unbounded economic growth and fossil-fuel development, </w:t>
      </w:r>
      <w:r w:rsidRPr="004011D2">
        <w:rPr>
          <w:rStyle w:val="StyleUnderline"/>
          <w:highlight w:val="cyan"/>
        </w:rPr>
        <w:t>are</w:t>
      </w:r>
      <w:r w:rsidRPr="00E8707D">
        <w:rPr>
          <w:sz w:val="16"/>
        </w:rPr>
        <w:t xml:space="preserve"> also </w:t>
      </w:r>
      <w:r w:rsidRPr="00A2265E">
        <w:rPr>
          <w:rStyle w:val="Emphasis"/>
        </w:rPr>
        <w:t xml:space="preserve">very </w:t>
      </w:r>
      <w:r w:rsidRPr="004011D2">
        <w:rPr>
          <w:rStyle w:val="Emphasis"/>
          <w:highlight w:val="cyan"/>
        </w:rPr>
        <w:t>unlikely</w:t>
      </w:r>
      <w:r w:rsidRPr="004011D2">
        <w:rPr>
          <w:rStyle w:val="StyleUnderline"/>
          <w:highlight w:val="cyan"/>
        </w:rPr>
        <w:t>. There is</w:t>
      </w:r>
      <w:r w:rsidRPr="00A2265E">
        <w:rPr>
          <w:rStyle w:val="StyleUnderline"/>
        </w:rPr>
        <w:t xml:space="preserve"> </w:t>
      </w:r>
      <w:r w:rsidRPr="00A2265E">
        <w:rPr>
          <w:rStyle w:val="Emphasis"/>
        </w:rPr>
        <w:t xml:space="preserve">still substantial </w:t>
      </w:r>
      <w:r w:rsidRPr="004011D2">
        <w:rPr>
          <w:rStyle w:val="Emphasis"/>
          <w:highlight w:val="cyan"/>
        </w:rPr>
        <w:t>uncertainty</w:t>
      </w:r>
      <w:r w:rsidRPr="00A2265E">
        <w:rPr>
          <w:rStyle w:val="StyleUnderline"/>
        </w:rPr>
        <w:t xml:space="preserve"> about</w:t>
      </w:r>
      <w:r w:rsidRPr="00E8707D">
        <w:rPr>
          <w:sz w:val="16"/>
        </w:rPr>
        <w:t xml:space="preserve"> how sensitive global </w:t>
      </w:r>
      <w:r w:rsidRPr="00A2265E">
        <w:rPr>
          <w:rStyle w:val="StyleUnderline"/>
        </w:rPr>
        <w:t>temperatures</w:t>
      </w:r>
      <w:r w:rsidRPr="00E8707D">
        <w:rPr>
          <w:sz w:val="16"/>
        </w:rPr>
        <w:t xml:space="preserve"> will be to higher emissions over the long-term. But </w:t>
      </w:r>
      <w:r w:rsidRPr="00A2265E">
        <w:rPr>
          <w:rStyle w:val="Emphasis"/>
        </w:rPr>
        <w:t xml:space="preserve">the best </w:t>
      </w:r>
      <w:r w:rsidRPr="004011D2">
        <w:rPr>
          <w:rStyle w:val="Emphasis"/>
          <w:highlight w:val="cyan"/>
        </w:rPr>
        <w:t>estimates</w:t>
      </w:r>
      <w:r w:rsidRPr="00E8707D">
        <w:rPr>
          <w:sz w:val="16"/>
        </w:rPr>
        <w:t xml:space="preserve"> now </w:t>
      </w:r>
      <w:r w:rsidRPr="004011D2">
        <w:rPr>
          <w:rStyle w:val="StyleUnderline"/>
          <w:highlight w:val="cyan"/>
        </w:rPr>
        <w:t>suggest</w:t>
      </w:r>
      <w:r w:rsidRPr="00E8707D">
        <w:rPr>
          <w:sz w:val="16"/>
        </w:rPr>
        <w:t xml:space="preserve"> that </w:t>
      </w:r>
      <w:r w:rsidRPr="00A2265E">
        <w:rPr>
          <w:rStyle w:val="StyleUnderline"/>
        </w:rPr>
        <w:t xml:space="preserve">the </w:t>
      </w:r>
      <w:r w:rsidRPr="004011D2">
        <w:rPr>
          <w:rStyle w:val="StyleUnderline"/>
          <w:highlight w:val="cyan"/>
        </w:rPr>
        <w:t>world is on</w:t>
      </w:r>
      <w:r w:rsidRPr="00A2265E">
        <w:rPr>
          <w:rStyle w:val="StyleUnderline"/>
        </w:rPr>
        <w:t xml:space="preserve"> track for </w:t>
      </w:r>
      <w:r w:rsidRPr="004011D2">
        <w:rPr>
          <w:rStyle w:val="Emphasis"/>
          <w:highlight w:val="cyan"/>
        </w:rPr>
        <w:t>3 degrees</w:t>
      </w:r>
      <w:r w:rsidRPr="00A2265E">
        <w:rPr>
          <w:rStyle w:val="Emphasis"/>
        </w:rPr>
        <w:t xml:space="preserve"> of warming</w:t>
      </w:r>
      <w:r w:rsidRPr="00E8707D">
        <w:rPr>
          <w:sz w:val="16"/>
        </w:rPr>
        <w:t xml:space="preserve"> by the end of this century, not 4 or 5 degrees as was once feared. That is due in part to slower economic growth in the wake of the global financial crisis, but also to decades of technology policy and energy-modernization efforts. “We have better and cleaner technologies available today because policy-makers in the U.S. and elsewhere set out to develop those technologies.” The </w:t>
      </w:r>
      <w:r w:rsidRPr="00A2265E">
        <w:rPr>
          <w:rStyle w:val="StyleUnderline"/>
        </w:rPr>
        <w:t>energy intensity</w:t>
      </w:r>
      <w:r w:rsidRPr="00E8707D">
        <w:rPr>
          <w:sz w:val="16"/>
        </w:rPr>
        <w:t xml:space="preserve"> of the global economy </w:t>
      </w:r>
      <w:r w:rsidRPr="00A2265E">
        <w:rPr>
          <w:rStyle w:val="StyleUnderline"/>
        </w:rPr>
        <w:t>continues to fall. Lower-carbon natural gas</w:t>
      </w:r>
      <w:r w:rsidRPr="00E8707D">
        <w:rPr>
          <w:sz w:val="16"/>
        </w:rPr>
        <w:t xml:space="preserve"> has </w:t>
      </w:r>
      <w:r w:rsidRPr="00A2265E">
        <w:rPr>
          <w:rStyle w:val="StyleUnderline"/>
        </w:rPr>
        <w:t>displaced coal</w:t>
      </w:r>
      <w:r w:rsidRPr="00E8707D">
        <w:rPr>
          <w:sz w:val="16"/>
        </w:rPr>
        <w:t xml:space="preserve"> as the primary source of new fossil energy. The </w:t>
      </w:r>
      <w:r w:rsidRPr="00A2265E">
        <w:rPr>
          <w:rStyle w:val="StyleUnderline"/>
        </w:rPr>
        <w:t>falling cost of wind and solar energy</w:t>
      </w:r>
      <w:r w:rsidRPr="00E8707D">
        <w:rPr>
          <w:sz w:val="16"/>
        </w:rPr>
        <w:t xml:space="preserve"> has begun to </w:t>
      </w:r>
      <w:r w:rsidRPr="00A2265E">
        <w:rPr>
          <w:rStyle w:val="StyleUnderline"/>
        </w:rPr>
        <w:t>have an effect on</w:t>
      </w:r>
      <w:r w:rsidRPr="00E8707D">
        <w:rPr>
          <w:sz w:val="16"/>
        </w:rPr>
        <w:t xml:space="preserve"> the growth of </w:t>
      </w:r>
      <w:r w:rsidRPr="00A2265E">
        <w:rPr>
          <w:rStyle w:val="StyleUnderline"/>
        </w:rPr>
        <w:t>fossil fuels. Even nuclear energy</w:t>
      </w:r>
      <w:r w:rsidRPr="00E8707D">
        <w:rPr>
          <w:sz w:val="16"/>
        </w:rPr>
        <w:t xml:space="preserve"> has </w:t>
      </w:r>
      <w:r w:rsidRPr="00A2265E">
        <w:rPr>
          <w:rStyle w:val="StyleUnderline"/>
        </w:rPr>
        <w:t>made a modest comeback</w:t>
      </w:r>
      <w:r w:rsidRPr="00E8707D">
        <w:rPr>
          <w:sz w:val="16"/>
        </w:rPr>
        <w:t xml:space="preserve"> in Asia.</w:t>
      </w:r>
    </w:p>
    <w:p w14:paraId="6F7BCED3" w14:textId="77777777" w:rsidR="00471EA1" w:rsidRPr="006936C7" w:rsidRDefault="00471EA1" w:rsidP="00471EA1">
      <w:pPr>
        <w:pStyle w:val="Heading4"/>
        <w:rPr>
          <w:rFonts w:asciiTheme="minorHAnsi" w:hAnsiTheme="minorHAnsi" w:cstheme="minorHAnsi"/>
        </w:rPr>
      </w:pPr>
      <w:r w:rsidRPr="006936C7">
        <w:rPr>
          <w:rFonts w:asciiTheme="minorHAnsi" w:hAnsiTheme="minorHAnsi" w:cstheme="minorHAnsi"/>
        </w:rPr>
        <w:t>Warming doesn’t cause extinction.</w:t>
      </w:r>
    </w:p>
    <w:p w14:paraId="7BBA5D06" w14:textId="77777777" w:rsidR="00471EA1" w:rsidRPr="006936C7" w:rsidRDefault="00471EA1" w:rsidP="00471EA1">
      <w:pPr>
        <w:rPr>
          <w:rFonts w:asciiTheme="minorHAnsi" w:hAnsiTheme="minorHAnsi" w:cstheme="minorHAnsi"/>
        </w:rPr>
      </w:pPr>
      <w:r w:rsidRPr="006936C7">
        <w:rPr>
          <w:rStyle w:val="Style13ptBold"/>
          <w:rFonts w:asciiTheme="minorHAnsi" w:hAnsiTheme="minorHAnsi" w:cstheme="minorHAnsi"/>
        </w:rPr>
        <w:t>Farquhar et al. 17</w:t>
      </w:r>
      <w:r w:rsidRPr="006936C7">
        <w:rPr>
          <w:rFonts w:asciiTheme="minorHAnsi" w:hAnsiTheme="minorHAnsi"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3BCE2C07" w14:textId="1E70528A" w:rsidR="00471EA1" w:rsidRPr="00471EA1" w:rsidRDefault="00471EA1" w:rsidP="00471EA1">
      <w:pPr>
        <w:rPr>
          <w:rFonts w:asciiTheme="minorHAnsi" w:hAnsiTheme="minorHAnsi" w:cstheme="minorHAnsi"/>
          <w:sz w:val="16"/>
        </w:rPr>
      </w:pPr>
      <w:r w:rsidRPr="006B1029">
        <w:rPr>
          <w:rStyle w:val="Emphasis"/>
        </w:rPr>
        <w:t xml:space="preserve">The most </w:t>
      </w:r>
      <w:r w:rsidRPr="004011D2">
        <w:rPr>
          <w:rStyle w:val="Emphasis"/>
          <w:highlight w:val="cyan"/>
        </w:rPr>
        <w:t>likely</w:t>
      </w:r>
      <w:r w:rsidRPr="006B1029">
        <w:rPr>
          <w:rStyle w:val="Emphasis"/>
        </w:rPr>
        <w:t xml:space="preserve"> levels</w:t>
      </w:r>
      <w:r w:rsidRPr="006936C7">
        <w:rPr>
          <w:rStyle w:val="StyleUnderline"/>
          <w:rFonts w:asciiTheme="minorHAnsi" w:hAnsiTheme="minorHAnsi" w:cstheme="minorHAnsi"/>
        </w:rPr>
        <w:t xml:space="preserve"> of global </w:t>
      </w:r>
      <w:r w:rsidRPr="004011D2">
        <w:rPr>
          <w:rStyle w:val="StyleUnderline"/>
          <w:rFonts w:asciiTheme="minorHAnsi" w:hAnsiTheme="minorHAnsi" w:cstheme="minorHAnsi"/>
          <w:highlight w:val="cyan"/>
        </w:rPr>
        <w:t xml:space="preserve">warming </w:t>
      </w:r>
      <w:r w:rsidRPr="004011D2">
        <w:rPr>
          <w:rStyle w:val="Emphasis"/>
          <w:rFonts w:asciiTheme="minorHAnsi" w:hAnsiTheme="minorHAnsi" w:cstheme="minorHAnsi"/>
          <w:highlight w:val="cyan"/>
        </w:rPr>
        <w:t>are</w:t>
      </w:r>
      <w:r w:rsidRPr="006B1029">
        <w:rPr>
          <w:rStyle w:val="Emphasis"/>
          <w:rFonts w:asciiTheme="minorHAnsi" w:hAnsiTheme="minorHAnsi" w:cstheme="minorHAnsi"/>
        </w:rPr>
        <w:t xml:space="preserve"> very </w:t>
      </w:r>
      <w:r w:rsidRPr="004011D2">
        <w:rPr>
          <w:rStyle w:val="Emphasis"/>
          <w:rFonts w:asciiTheme="minorHAnsi" w:hAnsiTheme="minorHAnsi" w:cstheme="minorHAnsi"/>
          <w:highlight w:val="cyan"/>
        </w:rPr>
        <w:t>unlikely</w:t>
      </w:r>
      <w:r w:rsidRPr="004011D2">
        <w:rPr>
          <w:rStyle w:val="StyleUnderline"/>
          <w:highlight w:val="cyan"/>
        </w:rPr>
        <w:t xml:space="preserve"> </w:t>
      </w:r>
      <w:r w:rsidRPr="004011D2">
        <w:rPr>
          <w:rStyle w:val="StyleUnderline"/>
          <w:rFonts w:asciiTheme="minorHAnsi" w:hAnsiTheme="minorHAnsi" w:cstheme="minorHAnsi"/>
          <w:highlight w:val="cyan"/>
        </w:rPr>
        <w:t>to cause</w:t>
      </w:r>
      <w:r w:rsidRPr="006936C7">
        <w:rPr>
          <w:rFonts w:asciiTheme="minorHAnsi" w:hAnsiTheme="minorHAnsi" w:cstheme="minorHAnsi"/>
          <w:sz w:val="16"/>
        </w:rPr>
        <w:t xml:space="preserve"> human </w:t>
      </w:r>
      <w:r w:rsidRPr="004011D2">
        <w:rPr>
          <w:rStyle w:val="StyleUnderline"/>
          <w:rFonts w:asciiTheme="minorHAnsi" w:hAnsiTheme="minorHAnsi" w:cstheme="minorHAnsi"/>
          <w:highlight w:val="cyan"/>
        </w:rPr>
        <w:t>extinction</w:t>
      </w:r>
      <w:r w:rsidRPr="006936C7">
        <w:rPr>
          <w:rFonts w:asciiTheme="minorHAnsi" w:hAnsiTheme="minorHAnsi" w:cstheme="minorHAnsi"/>
          <w:sz w:val="16"/>
        </w:rPr>
        <w:t xml:space="preserve">.15 The </w:t>
      </w:r>
      <w:r w:rsidRPr="006936C7">
        <w:rPr>
          <w:rStyle w:val="StyleUnderline"/>
          <w:rFonts w:asciiTheme="minorHAnsi" w:hAnsiTheme="minorHAnsi" w:cstheme="minorHAnsi"/>
        </w:rPr>
        <w:t xml:space="preserve">existential </w:t>
      </w:r>
      <w:r w:rsidRPr="004011D2">
        <w:rPr>
          <w:rStyle w:val="StyleUnderline"/>
          <w:rFonts w:asciiTheme="minorHAnsi" w:hAnsiTheme="minorHAnsi" w:cstheme="minorHAnsi"/>
          <w:highlight w:val="cyan"/>
        </w:rPr>
        <w:t>risks</w:t>
      </w:r>
      <w:r w:rsidRPr="006936C7">
        <w:rPr>
          <w:rFonts w:asciiTheme="minorHAnsi" w:hAnsiTheme="minorHAnsi" w:cstheme="minorHAnsi"/>
          <w:sz w:val="16"/>
        </w:rPr>
        <w:t xml:space="preserve"> of climate change instead </w:t>
      </w:r>
      <w:r w:rsidRPr="004011D2">
        <w:rPr>
          <w:rStyle w:val="StyleUnderline"/>
          <w:rFonts w:asciiTheme="minorHAnsi" w:hAnsiTheme="minorHAnsi" w:cstheme="minorHAnsi"/>
          <w:highlight w:val="cyan"/>
        </w:rPr>
        <w:t>stem from</w:t>
      </w:r>
      <w:r w:rsidRPr="006936C7">
        <w:rPr>
          <w:rStyle w:val="StyleUnderline"/>
          <w:rFonts w:asciiTheme="minorHAnsi" w:hAnsiTheme="minorHAnsi" w:cstheme="minorHAnsi"/>
        </w:rPr>
        <w:t xml:space="preserve"> tail risk climate change – </w:t>
      </w:r>
      <w:r w:rsidRPr="006B1029">
        <w:rPr>
          <w:rStyle w:val="Emphasis"/>
        </w:rPr>
        <w:t xml:space="preserve">the </w:t>
      </w:r>
      <w:r w:rsidRPr="004011D2">
        <w:rPr>
          <w:rStyle w:val="Emphasis"/>
          <w:highlight w:val="cyan"/>
        </w:rPr>
        <w:t>low</w:t>
      </w:r>
      <w:r w:rsidRPr="004011D2">
        <w:rPr>
          <w:rStyle w:val="Emphasis"/>
          <w:rFonts w:asciiTheme="minorHAnsi" w:hAnsiTheme="minorHAnsi" w:cstheme="minorHAnsi"/>
          <w:highlight w:val="cyan"/>
        </w:rPr>
        <w:t xml:space="preserve"> probability</w:t>
      </w:r>
      <w:r w:rsidRPr="004011D2">
        <w:rPr>
          <w:rStyle w:val="StyleUnderline"/>
          <w:rFonts w:asciiTheme="minorHAnsi" w:hAnsiTheme="minorHAnsi" w:cstheme="minorHAnsi"/>
          <w:highlight w:val="cyan"/>
        </w:rPr>
        <w:t xml:space="preserve"> of </w:t>
      </w:r>
      <w:r w:rsidRPr="004011D2">
        <w:rPr>
          <w:rStyle w:val="Emphasis"/>
          <w:highlight w:val="cyan"/>
        </w:rPr>
        <w:t>extreme levels</w:t>
      </w:r>
      <w:r w:rsidRPr="006B1029">
        <w:rPr>
          <w:rStyle w:val="Emphasis"/>
        </w:rPr>
        <w:t xml:space="preserve"> of warming</w:t>
      </w:r>
      <w:r w:rsidRPr="006B1029">
        <w:rPr>
          <w:rFonts w:asciiTheme="minorHAnsi" w:hAnsiTheme="minorHAnsi" w:cstheme="minorHAnsi"/>
          <w:sz w:val="16"/>
        </w:rPr>
        <w:t xml:space="preserve"> – and interactio</w:t>
      </w:r>
      <w:r w:rsidRPr="006936C7">
        <w:rPr>
          <w:rFonts w:asciiTheme="minorHAnsi" w:hAnsiTheme="minorHAnsi" w:cstheme="minorHAnsi"/>
          <w:sz w:val="16"/>
        </w:rPr>
        <w:t xml:space="preserve">n with other sources of risk. </w:t>
      </w:r>
      <w:r w:rsidRPr="004011D2">
        <w:rPr>
          <w:rStyle w:val="StyleUnderline"/>
          <w:rFonts w:asciiTheme="minorHAnsi" w:hAnsiTheme="minorHAnsi" w:cstheme="minorHAnsi"/>
          <w:highlight w:val="cyan"/>
        </w:rPr>
        <w:t xml:space="preserve">It is </w:t>
      </w:r>
      <w:r w:rsidRPr="004011D2">
        <w:rPr>
          <w:rStyle w:val="Emphasis"/>
          <w:rFonts w:asciiTheme="minorHAnsi" w:hAnsiTheme="minorHAnsi" w:cstheme="minorHAnsi"/>
          <w:highlight w:val="cyan"/>
        </w:rPr>
        <w:t>impossible</w:t>
      </w:r>
      <w:r w:rsidRPr="004011D2">
        <w:rPr>
          <w:rStyle w:val="StyleUnderline"/>
          <w:rFonts w:asciiTheme="minorHAnsi" w:hAnsiTheme="minorHAnsi" w:cstheme="minorHAnsi"/>
          <w:highlight w:val="cyan"/>
        </w:rPr>
        <w:t xml:space="preserve"> to say with confidence</w:t>
      </w:r>
      <w:r w:rsidRPr="006936C7">
        <w:rPr>
          <w:rStyle w:val="StyleUnderline"/>
          <w:rFonts w:asciiTheme="minorHAnsi" w:hAnsiTheme="minorHAnsi" w:cstheme="minorHAnsi"/>
        </w:rPr>
        <w:t xml:space="preserve"> at </w:t>
      </w:r>
      <w:r w:rsidRPr="004011D2">
        <w:rPr>
          <w:rStyle w:val="StyleUnderline"/>
          <w:rFonts w:asciiTheme="minorHAnsi" w:hAnsiTheme="minorHAnsi" w:cstheme="minorHAnsi"/>
          <w:highlight w:val="cyan"/>
        </w:rPr>
        <w:t>what</w:t>
      </w:r>
      <w:r w:rsidRPr="006936C7">
        <w:rPr>
          <w:rStyle w:val="StyleUnderline"/>
          <w:rFonts w:asciiTheme="minorHAnsi" w:hAnsiTheme="minorHAnsi" w:cstheme="minorHAnsi"/>
        </w:rPr>
        <w:t xml:space="preserve"> point global </w:t>
      </w:r>
      <w:r w:rsidRPr="004011D2">
        <w:rPr>
          <w:rStyle w:val="StyleUnderline"/>
          <w:rFonts w:asciiTheme="minorHAnsi" w:hAnsiTheme="minorHAnsi" w:cstheme="minorHAnsi"/>
          <w:highlight w:val="cyan"/>
        </w:rPr>
        <w:t>warming would be</w:t>
      </w:r>
      <w:r w:rsidRPr="006936C7">
        <w:rPr>
          <w:rStyle w:val="StyleUnderline"/>
          <w:rFonts w:asciiTheme="minorHAnsi" w:hAnsiTheme="minorHAnsi" w:cstheme="minorHAnsi"/>
        </w:rPr>
        <w:t xml:space="preserve">come </w:t>
      </w:r>
      <w:r w:rsidRPr="004011D2">
        <w:rPr>
          <w:rStyle w:val="StyleUnderline"/>
          <w:rFonts w:asciiTheme="minorHAnsi" w:hAnsiTheme="minorHAnsi" w:cstheme="minorHAnsi"/>
          <w:highlight w:val="cyan"/>
        </w:rPr>
        <w:t>severe enough</w:t>
      </w:r>
      <w:r w:rsidRPr="006936C7">
        <w:rPr>
          <w:rStyle w:val="StyleUnderline"/>
          <w:rFonts w:asciiTheme="minorHAnsi" w:hAnsiTheme="minorHAnsi" w:cstheme="minorHAnsi"/>
        </w:rPr>
        <w:t xml:space="preserve"> to pose an existential threat</w:t>
      </w:r>
      <w:r w:rsidRPr="006936C7">
        <w:rPr>
          <w:rFonts w:asciiTheme="minorHAnsi" w:hAnsiTheme="minorHAnsi" w:cstheme="minorHAnsi"/>
          <w:sz w:val="16"/>
        </w:rPr>
        <w:t xml:space="preserve">.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timescales</w:t>
      </w:r>
      <w:r w:rsidRPr="006936C7">
        <w:rPr>
          <w:rFonts w:asciiTheme="minorHAnsi" w:hAnsiTheme="minorHAnsi" w:cstheme="minorHAnsi"/>
          <w:sz w:val="16"/>
        </w:rPr>
        <w:t xml:space="preserve"> over which such changes might happen could </w:t>
      </w:r>
      <w:r w:rsidRPr="004011D2">
        <w:rPr>
          <w:rStyle w:val="StyleUnderline"/>
          <w:rFonts w:asciiTheme="minorHAnsi" w:hAnsiTheme="minorHAnsi" w:cstheme="minorHAnsi"/>
          <w:highlight w:val="cyan"/>
        </w:rPr>
        <w:t>mean</w:t>
      </w:r>
      <w:r w:rsidRPr="006936C7">
        <w:rPr>
          <w:rStyle w:val="StyleUnderline"/>
          <w:rFonts w:asciiTheme="minorHAnsi" w:hAnsiTheme="minorHAnsi" w:cstheme="minorHAnsi"/>
        </w:rPr>
        <w:t xml:space="preserve"> that </w:t>
      </w:r>
      <w:r w:rsidRPr="004011D2">
        <w:rPr>
          <w:rStyle w:val="StyleUnderline"/>
          <w:rFonts w:asciiTheme="minorHAnsi" w:hAnsiTheme="minorHAnsi" w:cstheme="minorHAnsi"/>
          <w:highlight w:val="cyan"/>
        </w:rPr>
        <w:t xml:space="preserve">humanity is able to </w:t>
      </w:r>
      <w:r w:rsidRPr="004011D2">
        <w:rPr>
          <w:rStyle w:val="Emphasis"/>
          <w:rFonts w:asciiTheme="minorHAnsi" w:hAnsiTheme="minorHAnsi" w:cstheme="minorHAnsi"/>
          <w:highlight w:val="cyan"/>
        </w:rPr>
        <w:t>adapt</w:t>
      </w:r>
      <w:r w:rsidRPr="006936C7">
        <w:rPr>
          <w:rStyle w:val="Emphasis"/>
          <w:rFonts w:asciiTheme="minorHAnsi" w:hAnsiTheme="minorHAnsi" w:cstheme="minorHAnsi"/>
        </w:rPr>
        <w:t xml:space="preserve"> enough</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to avoid extinction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even very </w:t>
      </w:r>
      <w:r w:rsidRPr="004011D2">
        <w:rPr>
          <w:rStyle w:val="Emphasis"/>
          <w:rFonts w:asciiTheme="minorHAnsi" w:hAnsiTheme="minorHAnsi" w:cstheme="minorHAnsi"/>
          <w:highlight w:val="cyan"/>
        </w:rPr>
        <w:t>extreme scenarios</w:t>
      </w:r>
      <w:r w:rsidRPr="006936C7">
        <w:rPr>
          <w:rFonts w:asciiTheme="minorHAnsi" w:hAnsiTheme="minorHAnsi" w:cstheme="minorHAnsi"/>
          <w:sz w:val="16"/>
        </w:rPr>
        <w:t>.</w:t>
      </w:r>
    </w:p>
    <w:p w14:paraId="6DEBE669" w14:textId="2FB9230F" w:rsidR="00B51F6B" w:rsidRDefault="00471EA1" w:rsidP="006D1153">
      <w:pPr>
        <w:pStyle w:val="Heading3"/>
      </w:pPr>
      <w:r>
        <w:t>2AC</w:t>
      </w:r>
      <w:r w:rsidR="006D1153">
        <w:t xml:space="preserve"> – Impact – AT: </w:t>
      </w:r>
      <w:r>
        <w:t>BioD</w:t>
      </w:r>
    </w:p>
    <w:p w14:paraId="71CEFE68" w14:textId="77777777" w:rsidR="006D1153" w:rsidRPr="00353F36" w:rsidRDefault="006D1153" w:rsidP="006D1153">
      <w:pPr>
        <w:pStyle w:val="Heading4"/>
      </w:pPr>
      <w:r>
        <w:t xml:space="preserve">Biodiversity isn’t existential and it’s </w:t>
      </w:r>
      <w:r w:rsidRPr="00C62D88">
        <w:rPr>
          <w:u w:val="single"/>
        </w:rPr>
        <w:t>resilient</w:t>
      </w:r>
      <w:r>
        <w:t>.</w:t>
      </w:r>
    </w:p>
    <w:p w14:paraId="2D02C9DA" w14:textId="77777777" w:rsidR="006D1153" w:rsidRDefault="006D1153" w:rsidP="006D1153">
      <w:r>
        <w:rPr>
          <w:rStyle w:val="Style13ptBold"/>
        </w:rPr>
        <w:t>Kareiva and Carranza 18</w:t>
      </w:r>
      <w:r>
        <w:t xml:space="preserve"> – Peter Kareiva, Director of the Institute of the Environment and Sustainability at UCLA and Pritzker Distinguished Professor in Environment &amp; Sustainability and Chair, and Valerie Carranza, PhD Student in Environmental Science at the University of California Riverside, September ("Existential Risk due to Ecosystem Collapse: Nature Strikes Back," Futures of Research in Catastrophic and Existential Risk, Volume 102, pg. 43, accessed online via Science Direct, accessed 7-7-2020) LR</w:t>
      </w:r>
    </w:p>
    <w:p w14:paraId="56E6DD92" w14:textId="6C82B6BC" w:rsidR="006D1153" w:rsidRDefault="006D1153" w:rsidP="006D1153">
      <w:pPr>
        <w:rPr>
          <w:rStyle w:val="StyleUnderline"/>
        </w:rPr>
      </w:pPr>
      <w:r w:rsidRPr="00C62D88">
        <w:rPr>
          <w:sz w:val="16"/>
        </w:rPr>
        <w:t xml:space="preserve">While there are </w:t>
      </w:r>
      <w:r w:rsidRPr="00C62D88">
        <w:rPr>
          <w:rStyle w:val="StyleUnderline"/>
        </w:rPr>
        <w:t>data that relate</w:t>
      </w:r>
      <w:r w:rsidRPr="00C62D88">
        <w:rPr>
          <w:sz w:val="16"/>
        </w:rPr>
        <w:t xml:space="preserve"> local </w:t>
      </w:r>
      <w:r w:rsidRPr="00C62D88">
        <w:rPr>
          <w:rStyle w:val="StyleUnderline"/>
        </w:rPr>
        <w:t>reductions in species richness to altered ecosystem function</w:t>
      </w:r>
      <w:r w:rsidRPr="00C62D88">
        <w:rPr>
          <w:sz w:val="16"/>
        </w:rPr>
        <w:t xml:space="preserve">, these results </w:t>
      </w:r>
      <w:r w:rsidRPr="00C62D88">
        <w:rPr>
          <w:rStyle w:val="StyleUnderline"/>
        </w:rPr>
        <w:t>do not point to</w:t>
      </w:r>
      <w:r w:rsidRPr="00C62D88">
        <w:rPr>
          <w:sz w:val="16"/>
        </w:rPr>
        <w:t xml:space="preserve"> substantial </w:t>
      </w:r>
      <w:r w:rsidRPr="00C62D88">
        <w:rPr>
          <w:rStyle w:val="StyleUnderline"/>
        </w:rPr>
        <w:t>existential risks. The data are small-scale experiments in which plant productivity, or nutrient retention is reduced as species numbers decline</w:t>
      </w:r>
      <w:r w:rsidRPr="00C62D88">
        <w:rPr>
          <w:sz w:val="16"/>
        </w:rPr>
        <w:t xml:space="preserve"> locally (Vellend, 2017), </w:t>
      </w:r>
      <w:r w:rsidRPr="00C62D88">
        <w:rPr>
          <w:rStyle w:val="StyleUnderline"/>
        </w:rPr>
        <w:t>or</w:t>
      </w:r>
      <w:r w:rsidRPr="00C62D88">
        <w:rPr>
          <w:sz w:val="16"/>
        </w:rPr>
        <w:t xml:space="preserve"> are </w:t>
      </w:r>
      <w:r w:rsidRPr="00C62D88">
        <w:rPr>
          <w:rStyle w:val="StyleUnderline"/>
        </w:rPr>
        <w:t>local observations of increased variability in fisheries</w:t>
      </w:r>
      <w:r w:rsidRPr="00C62D88">
        <w:rPr>
          <w:sz w:val="16"/>
        </w:rPr>
        <w:t xml:space="preserve"> yield </w:t>
      </w:r>
      <w:r w:rsidRPr="00C62D88">
        <w:rPr>
          <w:rStyle w:val="StyleUnderline"/>
        </w:rPr>
        <w:t>when</w:t>
      </w:r>
      <w:r w:rsidRPr="00C62D88">
        <w:rPr>
          <w:sz w:val="16"/>
        </w:rPr>
        <w:t xml:space="preserve"> stock </w:t>
      </w:r>
      <w:r w:rsidRPr="00C62D88">
        <w:rPr>
          <w:rStyle w:val="StyleUnderline"/>
        </w:rPr>
        <w:t xml:space="preserve">diversity is lost </w:t>
      </w:r>
      <w:r w:rsidRPr="00C62D88">
        <w:rPr>
          <w:sz w:val="16"/>
        </w:rPr>
        <w:t xml:space="preserve">(Schindler et al., 2010). </w:t>
      </w:r>
      <w:r w:rsidRPr="00C62D88">
        <w:rPr>
          <w:rStyle w:val="Emphasis"/>
        </w:rPr>
        <w:t>Those are not existential risks.</w:t>
      </w:r>
      <w:r w:rsidRPr="00C62D88">
        <w:rPr>
          <w:sz w:val="16"/>
          <w:szCs w:val="16"/>
        </w:rPr>
        <w:t xml:space="preserve"> </w:t>
      </w:r>
      <w:r w:rsidRPr="00C62D88">
        <w:rPr>
          <w:sz w:val="16"/>
        </w:rPr>
        <w:t xml:space="preserve">To make the link even more tenuous, </w:t>
      </w:r>
      <w:r w:rsidRPr="00C62D88">
        <w:rPr>
          <w:rStyle w:val="StyleUnderline"/>
        </w:rPr>
        <w:t xml:space="preserve">there is </w:t>
      </w:r>
      <w:r w:rsidRPr="00C62D88">
        <w:rPr>
          <w:rStyle w:val="Emphasis"/>
        </w:rPr>
        <w:t>little evidence</w:t>
      </w:r>
      <w:r w:rsidRPr="00C62D88">
        <w:rPr>
          <w:rStyle w:val="StyleUnderline"/>
        </w:rPr>
        <w:t xml:space="preserve"> that biodiversity is even declining at local scales</w:t>
      </w:r>
      <w:r w:rsidRPr="00C62D88">
        <w:rPr>
          <w:sz w:val="16"/>
        </w:rPr>
        <w:t xml:space="preserve"> (Vellend et al., 2013, Vellend et al., 2017). </w:t>
      </w:r>
      <w:r w:rsidRPr="00863B88">
        <w:rPr>
          <w:rStyle w:val="StyleUnderline"/>
        </w:rPr>
        <w:t>Total planetary biodiversity may</w:t>
      </w:r>
      <w:r w:rsidRPr="00C62D88">
        <w:rPr>
          <w:sz w:val="16"/>
        </w:rPr>
        <w:t xml:space="preserve"> be in </w:t>
      </w:r>
      <w:r w:rsidRPr="00863B88">
        <w:rPr>
          <w:rStyle w:val="StyleUnderline"/>
        </w:rPr>
        <w:t>decline, but local</w:t>
      </w:r>
      <w:r w:rsidRPr="00C62D88">
        <w:rPr>
          <w:rStyle w:val="StyleUnderline"/>
        </w:rPr>
        <w:t xml:space="preserve"> and </w:t>
      </w:r>
      <w:r w:rsidRPr="00863B88">
        <w:rPr>
          <w:rStyle w:val="Emphasis"/>
        </w:rPr>
        <w:t>regional biodiversity</w:t>
      </w:r>
      <w:r w:rsidRPr="00C62D88">
        <w:rPr>
          <w:sz w:val="16"/>
        </w:rPr>
        <w:t xml:space="preserve"> is </w:t>
      </w:r>
      <w:r w:rsidRPr="00C62D88">
        <w:rPr>
          <w:rStyle w:val="Emphasis"/>
        </w:rPr>
        <w:t>often staying the same</w:t>
      </w:r>
      <w:r w:rsidRPr="00C62D88">
        <w:rPr>
          <w:rStyle w:val="StyleUnderline"/>
        </w:rPr>
        <w:t xml:space="preserve"> because </w:t>
      </w:r>
      <w:r w:rsidRPr="00C62D88">
        <w:rPr>
          <w:rStyle w:val="Emphasis"/>
        </w:rPr>
        <w:t>species from elsewhere replace local losses</w:t>
      </w:r>
      <w:r w:rsidRPr="00C62D88">
        <w:rPr>
          <w:sz w:val="16"/>
        </w:rPr>
        <w:t xml:space="preserve">, albeit homogenizing the world in the process. Although the majority of conservation scientists are likely to flinch at this conclusion, </w:t>
      </w:r>
      <w:r w:rsidRPr="00C62D88">
        <w:rPr>
          <w:rStyle w:val="StyleUnderline"/>
        </w:rPr>
        <w:t>there is growing skepticism regarding</w:t>
      </w:r>
      <w:r w:rsidRPr="00C62D88">
        <w:rPr>
          <w:sz w:val="16"/>
        </w:rPr>
        <w:t xml:space="preserve"> the strength of evidence </w:t>
      </w:r>
      <w:r w:rsidRPr="00C62D88">
        <w:rPr>
          <w:rStyle w:val="StyleUnderline"/>
        </w:rPr>
        <w:t>linking trends in biodiversity loss to an existential risk for humans</w:t>
      </w:r>
      <w:r w:rsidRPr="00C62D88">
        <w:rPr>
          <w:sz w:val="16"/>
        </w:rPr>
        <w:t xml:space="preserve"> (Maier, 2012; Vellend, 2014). Obviously if all biodiversity disappeared civilization would end—but </w:t>
      </w:r>
      <w:r w:rsidRPr="00C62D88">
        <w:rPr>
          <w:rStyle w:val="StyleUnderline"/>
        </w:rPr>
        <w:t>no one is forecasting the loss of all species.</w:t>
      </w:r>
      <w:r w:rsidRPr="00C62D88">
        <w:rPr>
          <w:sz w:val="16"/>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w:t>
      </w:r>
      <w:r w:rsidRPr="00C62D88">
        <w:rPr>
          <w:rStyle w:val="StyleUnderline"/>
        </w:rPr>
        <w:t>Extinctions and biodiversity loss</w:t>
      </w:r>
      <w:r w:rsidRPr="00C62D88">
        <w:rPr>
          <w:sz w:val="16"/>
        </w:rPr>
        <w:t xml:space="preserve"> are ethical and spiritual losses, but perhaps </w:t>
      </w:r>
      <w:r w:rsidRPr="00C62D88">
        <w:rPr>
          <w:rStyle w:val="StyleUnderline"/>
        </w:rPr>
        <w:t>not an existential risk.</w:t>
      </w:r>
    </w:p>
    <w:p w14:paraId="6DA944A7" w14:textId="6501CAF0" w:rsidR="00471EA1" w:rsidRDefault="00471EA1" w:rsidP="00471EA1">
      <w:pPr>
        <w:pStyle w:val="Heading3"/>
      </w:pPr>
      <w:r>
        <w:t>1AR – Impact – AT: BioD</w:t>
      </w:r>
    </w:p>
    <w:p w14:paraId="1558B72D" w14:textId="77777777" w:rsidR="00471EA1" w:rsidRPr="006936C7" w:rsidRDefault="00471EA1" w:rsidP="00471EA1">
      <w:pPr>
        <w:pStyle w:val="Heading4"/>
        <w:rPr>
          <w:rFonts w:asciiTheme="minorHAnsi" w:hAnsiTheme="minorHAnsi" w:cstheme="minorHAnsi"/>
        </w:rPr>
      </w:pPr>
      <w:r w:rsidRPr="006936C7">
        <w:rPr>
          <w:rFonts w:asciiTheme="minorHAnsi" w:hAnsiTheme="minorHAnsi" w:cstheme="minorHAnsi"/>
        </w:rPr>
        <w:t xml:space="preserve">No BioD collapse – </w:t>
      </w:r>
      <w:r w:rsidRPr="006936C7">
        <w:rPr>
          <w:rFonts w:asciiTheme="minorHAnsi" w:hAnsiTheme="minorHAnsi" w:cstheme="minorHAnsi"/>
          <w:u w:val="single"/>
        </w:rPr>
        <w:t>metaanalysis</w:t>
      </w:r>
      <w:r w:rsidRPr="006936C7">
        <w:rPr>
          <w:rFonts w:asciiTheme="minorHAnsi" w:hAnsiTheme="minorHAnsi" w:cstheme="minorHAnsi"/>
        </w:rPr>
        <w:t xml:space="preserve"> demonstrates </w:t>
      </w:r>
      <w:r w:rsidRPr="006936C7">
        <w:rPr>
          <w:rFonts w:asciiTheme="minorHAnsi" w:hAnsiTheme="minorHAnsi" w:cstheme="minorHAnsi"/>
          <w:u w:val="single"/>
        </w:rPr>
        <w:t>slow pace</w:t>
      </w:r>
      <w:r w:rsidRPr="006936C7">
        <w:rPr>
          <w:rFonts w:asciiTheme="minorHAnsi" w:hAnsiTheme="minorHAnsi" w:cstheme="minorHAnsi"/>
        </w:rPr>
        <w:t xml:space="preserve"> and </w:t>
      </w:r>
      <w:r w:rsidRPr="006936C7">
        <w:rPr>
          <w:rFonts w:asciiTheme="minorHAnsi" w:hAnsiTheme="minorHAnsi" w:cstheme="minorHAnsi"/>
          <w:u w:val="single"/>
        </w:rPr>
        <w:t>resilience</w:t>
      </w:r>
      <w:r w:rsidRPr="006936C7">
        <w:rPr>
          <w:rFonts w:asciiTheme="minorHAnsi" w:hAnsiTheme="minorHAnsi" w:cstheme="minorHAnsi"/>
        </w:rPr>
        <w:t>.</w:t>
      </w:r>
    </w:p>
    <w:p w14:paraId="07780973" w14:textId="77777777" w:rsidR="00471EA1" w:rsidRPr="006936C7" w:rsidRDefault="00471EA1" w:rsidP="00471EA1">
      <w:pPr>
        <w:rPr>
          <w:rFonts w:asciiTheme="minorHAnsi" w:hAnsiTheme="minorHAnsi" w:cstheme="minorHAnsi"/>
        </w:rPr>
      </w:pPr>
      <w:r w:rsidRPr="006936C7">
        <w:rPr>
          <w:rStyle w:val="Style13ptBold"/>
          <w:rFonts w:asciiTheme="minorHAnsi" w:hAnsiTheme="minorHAnsi" w:cstheme="minorHAnsi"/>
        </w:rPr>
        <w:t>Hance Interviewing Montoya 18</w:t>
      </w:r>
      <w:r w:rsidRPr="006936C7">
        <w:rPr>
          <w:rFonts w:asciiTheme="minorHAnsi" w:hAnsiTheme="minorHAnsi" w:cstheme="minorHAnsi"/>
        </w:rPr>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https://www.theguardian.com/environment/radical-conservation/2018/jan/16/biodiversity-extinction-tipping-point-planetary-boundary]//BPS</w:t>
      </w:r>
    </w:p>
    <w:p w14:paraId="10D34DB4" w14:textId="1A5447C7" w:rsidR="00471EA1" w:rsidRPr="00471EA1" w:rsidRDefault="00471EA1" w:rsidP="00471EA1">
      <w:pPr>
        <w:rPr>
          <w:rFonts w:asciiTheme="minorHAnsi" w:hAnsiTheme="minorHAnsi" w:cstheme="minorHAnsi"/>
          <w:sz w:val="16"/>
        </w:rPr>
      </w:pPr>
      <w:r w:rsidRPr="00A20C2D">
        <w:rPr>
          <w:rFonts w:asciiTheme="minorHAnsi" w:hAnsiTheme="minorHAnsi" w:cstheme="minorHAnsi"/>
          <w:sz w:val="16"/>
        </w:rPr>
        <w:t xml:space="preserve">But </w:t>
      </w:r>
      <w:r w:rsidRPr="004011D2">
        <w:rPr>
          <w:rStyle w:val="StyleUnderline"/>
          <w:rFonts w:asciiTheme="minorHAnsi" w:hAnsiTheme="minorHAnsi" w:cstheme="minorHAnsi"/>
          <w:highlight w:val="cyan"/>
        </w:rPr>
        <w:t>what’s</w:t>
      </w:r>
      <w:r w:rsidRPr="00A20C2D">
        <w:rPr>
          <w:rFonts w:asciiTheme="minorHAnsi" w:hAnsiTheme="minorHAnsi" w:cstheme="minorHAnsi"/>
          <w:sz w:val="16"/>
        </w:rPr>
        <w:t xml:space="preserve"> arguably most </w:t>
      </w:r>
      <w:r w:rsidRPr="004011D2">
        <w:rPr>
          <w:rStyle w:val="StyleUnderline"/>
          <w:rFonts w:asciiTheme="minorHAnsi" w:hAnsiTheme="minorHAnsi" w:cstheme="minorHAnsi"/>
          <w:highlight w:val="cyan"/>
        </w:rPr>
        <w:t>fascinating about</w:t>
      </w:r>
      <w:r w:rsidRPr="00A20C2D">
        <w:rPr>
          <w:rFonts w:asciiTheme="minorHAnsi" w:hAnsiTheme="minorHAnsi" w:cstheme="minorHAnsi"/>
          <w:sz w:val="16"/>
        </w:rPr>
        <w:t xml:space="preserve"> this event – known as </w:t>
      </w:r>
      <w:r w:rsidRPr="006936C7">
        <w:rPr>
          <w:rStyle w:val="StyleUnderline"/>
          <w:rFonts w:asciiTheme="minorHAnsi" w:hAnsiTheme="minorHAnsi" w:cstheme="minorHAnsi"/>
        </w:rPr>
        <w:t>the Permian-Triassic extinction or</w:t>
      </w:r>
      <w:r w:rsidRPr="00A20C2D">
        <w:rPr>
          <w:rFonts w:asciiTheme="minorHAnsi" w:hAnsiTheme="minorHAnsi" w:cstheme="minorHAnsi"/>
          <w:sz w:val="16"/>
        </w:rPr>
        <w:t xml:space="preserve"> more poetically, </w:t>
      </w:r>
      <w:r w:rsidRPr="004011D2">
        <w:rPr>
          <w:rStyle w:val="StyleUnderline"/>
          <w:rFonts w:asciiTheme="minorHAnsi" w:hAnsiTheme="minorHAnsi" w:cstheme="minorHAnsi"/>
          <w:highlight w:val="cyan"/>
        </w:rPr>
        <w:t>the Great Dying</w:t>
      </w:r>
      <w:r w:rsidRPr="00A20C2D">
        <w:rPr>
          <w:rFonts w:asciiTheme="minorHAnsi" w:hAnsiTheme="minorHAnsi" w:cstheme="minorHAnsi"/>
          <w:sz w:val="16"/>
        </w:rPr>
        <w:t xml:space="preserve"> – </w:t>
      </w:r>
      <w:r w:rsidRPr="004011D2">
        <w:rPr>
          <w:rStyle w:val="StyleUnderline"/>
          <w:rFonts w:asciiTheme="minorHAnsi" w:hAnsiTheme="minorHAnsi" w:cstheme="minorHAnsi"/>
          <w:highlight w:val="cyan"/>
        </w:rPr>
        <w:t>is</w:t>
      </w:r>
      <w:r w:rsidRPr="00A20C2D">
        <w:rPr>
          <w:rFonts w:asciiTheme="minorHAnsi" w:hAnsiTheme="minorHAnsi" w:cstheme="minorHAnsi"/>
          <w:sz w:val="16"/>
        </w:rPr>
        <w:t xml:space="preserve"> the fact </w:t>
      </w:r>
      <w:r w:rsidRPr="006936C7">
        <w:rPr>
          <w:rStyle w:val="StyleUnderline"/>
          <w:rFonts w:asciiTheme="minorHAnsi" w:hAnsiTheme="minorHAnsi" w:cstheme="minorHAnsi"/>
        </w:rPr>
        <w:t xml:space="preserve">that </w:t>
      </w:r>
      <w:r w:rsidRPr="004011D2">
        <w:rPr>
          <w:rStyle w:val="StyleUnderline"/>
          <w:rFonts w:asciiTheme="minorHAnsi" w:hAnsiTheme="minorHAnsi" w:cstheme="minorHAnsi"/>
          <w:highlight w:val="cyan"/>
        </w:rPr>
        <w:t xml:space="preserve">anything </w:t>
      </w:r>
      <w:r w:rsidRPr="004011D2">
        <w:rPr>
          <w:rStyle w:val="Emphasis"/>
          <w:rFonts w:asciiTheme="minorHAnsi" w:hAnsiTheme="minorHAnsi" w:cstheme="minorHAnsi"/>
          <w:highlight w:val="cyan"/>
        </w:rPr>
        <w:t>survived</w:t>
      </w:r>
      <w:r w:rsidRPr="006936C7">
        <w:rPr>
          <w:rStyle w:val="Emphasis"/>
          <w:rFonts w:asciiTheme="minorHAnsi" w:hAnsiTheme="minorHAnsi" w:cstheme="minorHAnsi"/>
        </w:rPr>
        <w:t xml:space="preserve"> at all</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Life</w:t>
      </w:r>
      <w:r w:rsidRPr="00A20C2D">
        <w:rPr>
          <w:rFonts w:asciiTheme="minorHAnsi" w:hAnsiTheme="minorHAnsi" w:cstheme="minorHAnsi"/>
          <w:sz w:val="16"/>
        </w:rPr>
        <w:t xml:space="preserve">, it seems, </w:t>
      </w:r>
      <w:r w:rsidRPr="004011D2">
        <w:rPr>
          <w:rStyle w:val="StyleUnderline"/>
          <w:rFonts w:asciiTheme="minorHAnsi" w:hAnsiTheme="minorHAnsi" w:cstheme="minorHAnsi"/>
          <w:highlight w:val="cyan"/>
        </w:rPr>
        <w:t xml:space="preserve">is </w:t>
      </w:r>
      <w:r w:rsidRPr="004011D2">
        <w:rPr>
          <w:rStyle w:val="Emphasis"/>
          <w:rFonts w:asciiTheme="minorHAnsi" w:hAnsiTheme="minorHAnsi" w:cstheme="minorHAnsi"/>
          <w:highlight w:val="cyan"/>
        </w:rPr>
        <w:t>so</w:t>
      </w:r>
      <w:r w:rsidRPr="006936C7">
        <w:rPr>
          <w:rStyle w:val="Emphasis"/>
          <w:rFonts w:asciiTheme="minorHAnsi" w:hAnsiTheme="minorHAnsi" w:cstheme="minorHAnsi"/>
        </w:rPr>
        <w:t xml:space="preserve"> ridiculously </w:t>
      </w:r>
      <w:r w:rsidRPr="004011D2">
        <w:rPr>
          <w:rStyle w:val="Emphasis"/>
          <w:rFonts w:asciiTheme="minorHAnsi" w:hAnsiTheme="minorHAnsi" w:cstheme="minorHAnsi"/>
          <w:highlight w:val="cyan"/>
        </w:rPr>
        <w:t>adaptable</w:t>
      </w:r>
      <w:r w:rsidRPr="006936C7">
        <w:rPr>
          <w:rStyle w:val="StyleUnderline"/>
          <w:rFonts w:asciiTheme="minorHAnsi" w:hAnsiTheme="minorHAnsi" w:cstheme="minorHAnsi"/>
        </w:rPr>
        <w:t xml:space="preserve"> that</w:t>
      </w:r>
      <w:r w:rsidRPr="00A20C2D">
        <w:rPr>
          <w:rFonts w:asciiTheme="minorHAnsi" w:hAnsiTheme="minorHAnsi" w:cstheme="minorHAnsi"/>
          <w:sz w:val="16"/>
        </w:rPr>
        <w:t xml:space="preserve"> not only did </w:t>
      </w:r>
      <w:r w:rsidRPr="004011D2">
        <w:rPr>
          <w:rStyle w:val="StyleUnderline"/>
          <w:rFonts w:asciiTheme="minorHAnsi" w:hAnsiTheme="minorHAnsi" w:cstheme="minorHAnsi"/>
          <w:highlight w:val="cyan"/>
        </w:rPr>
        <w:t>thousands of species make it through</w:t>
      </w:r>
      <w:r w:rsidRPr="006936C7">
        <w:rPr>
          <w:rStyle w:val="StyleUnderline"/>
          <w:rFonts w:asciiTheme="minorHAnsi" w:hAnsiTheme="minorHAnsi" w:cstheme="minorHAnsi"/>
        </w:rPr>
        <w:t xml:space="preserve"> whatever killed off nearly </w:t>
      </w:r>
      <w:r w:rsidRPr="004011D2">
        <w:rPr>
          <w:rStyle w:val="StyleUnderline"/>
          <w:rFonts w:asciiTheme="minorHAnsi" w:hAnsiTheme="minorHAnsi" w:cstheme="minorHAnsi"/>
          <w:highlight w:val="cyan"/>
        </w:rPr>
        <w:t>everything</w:t>
      </w:r>
      <w:r w:rsidRPr="00A20C2D">
        <w:rPr>
          <w:rFonts w:asciiTheme="minorHAnsi" w:hAnsiTheme="minorHAnsi" w:cstheme="minorHAnsi"/>
          <w:sz w:val="16"/>
        </w:rPr>
        <w:t xml:space="preserve"> (no one knows for certain though theories abound) but, somehow, after millions of years life even recovered and went on to write new tales. Even as </w:t>
      </w:r>
      <w:r w:rsidRPr="004011D2">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Permian-</w:t>
      </w:r>
      <w:r w:rsidRPr="004011D2">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4011D2">
        <w:rPr>
          <w:rStyle w:val="StyleUnderline"/>
          <w:rFonts w:asciiTheme="minorHAnsi" w:hAnsiTheme="minorHAnsi" w:cstheme="minorHAnsi"/>
          <w:highlight w:val="cyan"/>
        </w:rPr>
        <w:t>shows</w:t>
      </w:r>
      <w:r w:rsidRPr="00A20C2D">
        <w:rPr>
          <w:rFonts w:asciiTheme="minorHAnsi" w:hAnsiTheme="minorHAnsi" w:cstheme="minorHAnsi"/>
          <w:sz w:val="16"/>
        </w:rPr>
        <w:t xml:space="preserve"> the fragility of life, it also proves its </w:t>
      </w:r>
      <w:r w:rsidRPr="004011D2">
        <w:rPr>
          <w:rStyle w:val="Emphasis"/>
          <w:rFonts w:asciiTheme="minorHAnsi" w:hAnsiTheme="minorHAnsi" w:cstheme="minorHAnsi"/>
          <w:highlight w:val="cyan"/>
        </w:rPr>
        <w:t>resilience</w:t>
      </w:r>
      <w:r w:rsidRPr="006936C7">
        <w:rPr>
          <w:rStyle w:val="Emphasis"/>
          <w:rFonts w:asciiTheme="minorHAnsi" w:hAnsiTheme="minorHAnsi" w:cstheme="minorHAnsi"/>
        </w:rPr>
        <w:t xml:space="preserve"> in the long-term</w:t>
      </w:r>
      <w:r w:rsidRPr="00A20C2D">
        <w:rPr>
          <w:rFonts w:asciiTheme="minorHAnsi" w:hAnsiTheme="minorHAnsi" w:cstheme="minorHAnsi"/>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4011D2">
        <w:rPr>
          <w:rStyle w:val="StyleUnderline"/>
          <w:rFonts w:asciiTheme="minorHAnsi" w:hAnsiTheme="minorHAnsi" w:cstheme="minorHAnsi"/>
          <w:highlight w:val="cyan"/>
        </w:rPr>
        <w:t xml:space="preserve">“It makes </w:t>
      </w:r>
      <w:r w:rsidRPr="004011D2">
        <w:rPr>
          <w:rStyle w:val="Emphasis"/>
          <w:rFonts w:asciiTheme="minorHAnsi" w:hAnsiTheme="minorHAnsi" w:cstheme="minorHAnsi"/>
          <w:highlight w:val="cyan"/>
        </w:rPr>
        <w:t>no sense</w:t>
      </w:r>
      <w:r w:rsidRPr="006936C7">
        <w:rPr>
          <w:rStyle w:val="StyleUnderline"/>
          <w:rFonts w:asciiTheme="minorHAnsi" w:hAnsiTheme="minorHAnsi" w:cstheme="minorHAnsi"/>
        </w:rPr>
        <w:t xml:space="preserve"> that </w:t>
      </w:r>
      <w:r w:rsidRPr="004011D2">
        <w:rPr>
          <w:rStyle w:val="StyleUnderline"/>
          <w:rFonts w:asciiTheme="minorHAnsi" w:hAnsiTheme="minorHAnsi" w:cstheme="minorHAnsi"/>
          <w:highlight w:val="cyan"/>
        </w:rPr>
        <w:t xml:space="preserve">there exists </w:t>
      </w:r>
      <w:r w:rsidRPr="004011D2">
        <w:rPr>
          <w:rStyle w:val="Emphasis"/>
          <w:rFonts w:asciiTheme="minorHAnsi" w:hAnsiTheme="minorHAnsi" w:cstheme="minorHAnsi"/>
          <w:highlight w:val="cyan"/>
        </w:rPr>
        <w:t>a tipping point</w:t>
      </w:r>
      <w:r w:rsidRPr="004011D2">
        <w:rPr>
          <w:rStyle w:val="StyleUnderline"/>
          <w:rFonts w:asciiTheme="minorHAnsi" w:hAnsiTheme="minorHAnsi" w:cstheme="minorHAnsi"/>
          <w:highlight w:val="cyan"/>
        </w:rPr>
        <w:t xml:space="preserve"> of </w:t>
      </w:r>
      <w:r w:rsidRPr="004011D2">
        <w:rPr>
          <w:rStyle w:val="Emphasis"/>
          <w:rFonts w:asciiTheme="minorHAnsi" w:hAnsiTheme="minorHAnsi" w:cstheme="minorHAnsi"/>
          <w:highlight w:val="cyan"/>
        </w:rPr>
        <w:t>biod</w:t>
      </w:r>
      <w:r w:rsidRPr="006936C7">
        <w:rPr>
          <w:rStyle w:val="Emphasis"/>
          <w:rFonts w:asciiTheme="minorHAnsi" w:hAnsiTheme="minorHAnsi" w:cstheme="minorHAnsi"/>
        </w:rPr>
        <w:t>iversity loss</w:t>
      </w:r>
      <w:r w:rsidRPr="006936C7">
        <w:rPr>
          <w:rStyle w:val="StyleUnderline"/>
          <w:rFonts w:asciiTheme="minorHAnsi" w:hAnsiTheme="minorHAnsi" w:cstheme="minorHAnsi"/>
        </w:rPr>
        <w:t xml:space="preserve"> beyond </w:t>
      </w:r>
      <w:r w:rsidRPr="004011D2">
        <w:rPr>
          <w:rStyle w:val="StyleUnderline"/>
          <w:rFonts w:asciiTheme="minorHAnsi" w:hAnsiTheme="minorHAnsi" w:cstheme="minorHAnsi"/>
          <w:highlight w:val="cyan"/>
        </w:rPr>
        <w:t>which the Earth will collapse,”</w:t>
      </w:r>
      <w:r w:rsidRPr="006936C7">
        <w:rPr>
          <w:rStyle w:val="StyleUnderline"/>
          <w:rFonts w:asciiTheme="minorHAnsi" w:hAnsiTheme="minorHAnsi" w:cstheme="minorHAnsi"/>
        </w:rPr>
        <w:t xml:space="preserve"> said</w:t>
      </w:r>
      <w:r w:rsidRPr="00A20C2D">
        <w:rPr>
          <w:rFonts w:asciiTheme="minorHAnsi" w:hAnsiTheme="minorHAnsi" w:cstheme="minorHAnsi"/>
          <w:sz w:val="16"/>
        </w:rPr>
        <w:t xml:space="preserve"> co-author and ecologist, José </w:t>
      </w:r>
      <w:r w:rsidRPr="006936C7">
        <w:rPr>
          <w:rStyle w:val="StyleUnderline"/>
          <w:rFonts w:asciiTheme="minorHAnsi" w:hAnsiTheme="minorHAnsi" w:cstheme="minorHAnsi"/>
        </w:rPr>
        <w:t>Montoya</w:t>
      </w:r>
      <w:r w:rsidRPr="00A20C2D">
        <w:rPr>
          <w:rFonts w:asciiTheme="minorHAnsi" w:hAnsiTheme="minorHAnsi" w:cstheme="minorHAnsi"/>
          <w:sz w:val="16"/>
        </w:rPr>
        <w:t xml:space="preserve">, with Paul Sabatier Univeristy in France. </w:t>
      </w:r>
      <w:r w:rsidRPr="006936C7">
        <w:rPr>
          <w:rStyle w:val="StyleUnderline"/>
          <w:rFonts w:asciiTheme="minorHAnsi" w:hAnsiTheme="minorHAnsi" w:cstheme="minorHAnsi"/>
        </w:rPr>
        <w:t xml:space="preserve">“There is </w:t>
      </w:r>
      <w:r w:rsidRPr="006936C7">
        <w:rPr>
          <w:rStyle w:val="Emphasis"/>
          <w:rFonts w:asciiTheme="minorHAnsi" w:hAnsiTheme="minorHAnsi" w:cstheme="minorHAnsi"/>
        </w:rPr>
        <w:t>no rationale</w:t>
      </w:r>
      <w:r w:rsidRPr="006936C7">
        <w:rPr>
          <w:rStyle w:val="StyleUnderline"/>
          <w:rFonts w:asciiTheme="minorHAnsi" w:hAnsiTheme="minorHAnsi" w:cstheme="minorHAnsi"/>
        </w:rPr>
        <w:t xml:space="preserve"> for this.”</w:t>
      </w:r>
      <w:r w:rsidRPr="00A20C2D">
        <w:rPr>
          <w:rFonts w:asciiTheme="minorHAnsi" w:hAnsiTheme="minorHAnsi" w:cstheme="minorHAnsi"/>
          <w:sz w:val="16"/>
        </w:rPr>
        <w:t xml:space="preserve"> Montoya wrote the paper along with Ian Donohue, an ecologist at Trinity College in Ireland and Stuart Pimm, one of the world’s leading experts on extinctions, with Duke University in the US. </w:t>
      </w:r>
      <w:r w:rsidRPr="006936C7">
        <w:rPr>
          <w:rStyle w:val="StyleUnderline"/>
          <w:rFonts w:asciiTheme="minorHAnsi" w:hAnsiTheme="minorHAnsi" w:cstheme="minorHAnsi"/>
        </w:rPr>
        <w:t>Montoya, Donohue and Pimm argue</w:t>
      </w:r>
      <w:r w:rsidRPr="00A20C2D">
        <w:rPr>
          <w:rFonts w:asciiTheme="minorHAnsi" w:hAnsiTheme="minorHAnsi" w:cstheme="minorHAnsi"/>
          <w:sz w:val="16"/>
        </w:rPr>
        <w:t xml:space="preserve"> that </w:t>
      </w:r>
      <w:r w:rsidRPr="004011D2">
        <w:rPr>
          <w:rStyle w:val="StyleUnderline"/>
          <w:rFonts w:asciiTheme="minorHAnsi" w:hAnsiTheme="minorHAnsi" w:cstheme="minorHAnsi"/>
          <w:highlight w:val="cyan"/>
        </w:rPr>
        <w:t>there isn’t evidence</w:t>
      </w:r>
      <w:r w:rsidRPr="006936C7">
        <w:rPr>
          <w:rStyle w:val="StyleUnderline"/>
          <w:rFonts w:asciiTheme="minorHAnsi" w:hAnsiTheme="minorHAnsi" w:cstheme="minorHAnsi"/>
        </w:rPr>
        <w:t xml:space="preserve"> of a point at which loss of species leads to ecosystem collapse, </w:t>
      </w:r>
      <w:r w:rsidRPr="006936C7">
        <w:rPr>
          <w:rStyle w:val="Emphasis"/>
          <w:rFonts w:asciiTheme="minorHAnsi" w:hAnsiTheme="minorHAnsi" w:cstheme="minorHAnsi"/>
        </w:rPr>
        <w:t xml:space="preserve">globally or </w:t>
      </w:r>
      <w:r w:rsidRPr="004011D2">
        <w:rPr>
          <w:rStyle w:val="Emphasis"/>
          <w:rFonts w:asciiTheme="minorHAnsi" w:hAnsiTheme="minorHAnsi" w:cstheme="minorHAnsi"/>
          <w:highlight w:val="cyan"/>
        </w:rPr>
        <w:t>even locally</w:t>
      </w:r>
      <w:r w:rsidRPr="004011D2">
        <w:rPr>
          <w:rStyle w:val="StyleUnderline"/>
          <w:rFonts w:asciiTheme="minorHAnsi" w:hAnsiTheme="minorHAnsi" w:cstheme="minorHAnsi"/>
          <w:highlight w:val="cyan"/>
        </w:rPr>
        <w:t>. If the planet didn’t collapse after the</w:t>
      </w:r>
      <w:r w:rsidRPr="006936C7">
        <w:rPr>
          <w:rStyle w:val="StyleUnderline"/>
          <w:rFonts w:asciiTheme="minorHAnsi" w:hAnsiTheme="minorHAnsi" w:cstheme="minorHAnsi"/>
        </w:rPr>
        <w:t xml:space="preserve"> Permian-</w:t>
      </w:r>
      <w:r w:rsidRPr="004011D2">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4011D2">
        <w:rPr>
          <w:rStyle w:val="StyleUnderline"/>
          <w:rFonts w:asciiTheme="minorHAnsi" w:hAnsiTheme="minorHAnsi" w:cstheme="minorHAnsi"/>
          <w:highlight w:val="cyan"/>
        </w:rPr>
        <w:t>it won’t collapse now</w:t>
      </w:r>
      <w:r w:rsidRPr="00A20C2D">
        <w:rPr>
          <w:rFonts w:asciiTheme="minorHAnsi" w:hAnsiTheme="minorHAnsi" w:cstheme="minorHAnsi"/>
          <w:sz w:val="16"/>
        </w:rPr>
        <w:t xml:space="preserve"> – though our descendants may well curse us for the damage we’ve done. Instead, according to the researchers, every loss of species counts. But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 xml:space="preserve">damage is </w:t>
      </w:r>
      <w:r w:rsidRPr="004011D2">
        <w:rPr>
          <w:rStyle w:val="Emphasis"/>
          <w:rFonts w:asciiTheme="minorHAnsi" w:hAnsiTheme="minorHAnsi" w:cstheme="minorHAnsi"/>
          <w:highlight w:val="cyan"/>
        </w:rPr>
        <w:t>gradual</w:t>
      </w:r>
      <w:r w:rsidRPr="006936C7">
        <w:rPr>
          <w:rStyle w:val="Emphasis"/>
          <w:rFonts w:asciiTheme="minorHAnsi" w:hAnsiTheme="minorHAnsi" w:cstheme="minorHAnsi"/>
        </w:rPr>
        <w:t xml:space="preserve"> and incremental</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not</w:t>
      </w:r>
      <w:r w:rsidRPr="006936C7">
        <w:rPr>
          <w:rStyle w:val="StyleUnderline"/>
          <w:rFonts w:asciiTheme="minorHAnsi" w:hAnsiTheme="minorHAnsi" w:cstheme="minorHAnsi"/>
        </w:rPr>
        <w:t xml:space="preserve"> a </w:t>
      </w:r>
      <w:r w:rsidRPr="004011D2">
        <w:rPr>
          <w:rStyle w:val="StyleUnderline"/>
          <w:rFonts w:asciiTheme="minorHAnsi" w:hAnsiTheme="minorHAnsi" w:cstheme="minorHAnsi"/>
          <w:highlight w:val="cyan"/>
        </w:rPr>
        <w:t>sudden</w:t>
      </w:r>
      <w:r w:rsidRPr="006936C7">
        <w:rPr>
          <w:rStyle w:val="StyleUnderline"/>
          <w:rFonts w:asciiTheme="minorHAnsi" w:hAnsiTheme="minorHAnsi" w:cstheme="minorHAnsi"/>
        </w:rPr>
        <w:t xml:space="preserve"> plunge. </w:t>
      </w:r>
      <w:r w:rsidRPr="004011D2">
        <w:rPr>
          <w:rStyle w:val="StyleUnderline"/>
          <w:rFonts w:asciiTheme="minorHAnsi" w:hAnsiTheme="minorHAnsi" w:cstheme="minorHAnsi"/>
          <w:highlight w:val="cyan"/>
        </w:rPr>
        <w:t>Ecosystems</w:t>
      </w:r>
      <w:r w:rsidRPr="00A20C2D">
        <w:rPr>
          <w:rFonts w:asciiTheme="minorHAnsi" w:hAnsiTheme="minorHAnsi" w:cstheme="minorHAnsi"/>
          <w:sz w:val="16"/>
        </w:rPr>
        <w:t xml:space="preserve">, according to them, </w:t>
      </w:r>
      <w:r w:rsidRPr="004011D2">
        <w:rPr>
          <w:rStyle w:val="Emphasis"/>
          <w:rFonts w:asciiTheme="minorHAnsi" w:hAnsiTheme="minorHAnsi" w:cstheme="minorHAnsi"/>
          <w:highlight w:val="cyan"/>
        </w:rPr>
        <w:t>slowly degrade</w:t>
      </w:r>
      <w:r w:rsidRPr="004011D2">
        <w:rPr>
          <w:rStyle w:val="StyleUnderline"/>
          <w:rFonts w:asciiTheme="minorHAnsi" w:hAnsiTheme="minorHAnsi" w:cstheme="minorHAnsi"/>
          <w:highlight w:val="cyan"/>
        </w:rPr>
        <w:t xml:space="preserve"> but </w:t>
      </w:r>
      <w:r w:rsidRPr="004011D2">
        <w:rPr>
          <w:rStyle w:val="Emphasis"/>
          <w:rFonts w:asciiTheme="minorHAnsi" w:hAnsiTheme="minorHAnsi" w:cstheme="minorHAnsi"/>
          <w:highlight w:val="cyan"/>
        </w:rPr>
        <w:t>never fail</w:t>
      </w:r>
      <w:r w:rsidRPr="006936C7">
        <w:rPr>
          <w:rStyle w:val="Emphasis"/>
          <w:rFonts w:asciiTheme="minorHAnsi" w:hAnsiTheme="minorHAnsi" w:cstheme="minorHAnsi"/>
        </w:rPr>
        <w:t xml:space="preserve"> outright</w:t>
      </w:r>
      <w:r w:rsidRPr="006936C7">
        <w:rPr>
          <w:rStyle w:val="StyleUnderline"/>
          <w:rFonts w:asciiTheme="minorHAnsi" w:hAnsiTheme="minorHAnsi" w:cstheme="minorHAnsi"/>
        </w:rPr>
        <w:t>. “</w:t>
      </w:r>
      <w:r w:rsidRPr="004011D2">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more than </w:t>
      </w:r>
      <w:r w:rsidRPr="004011D2">
        <w:rPr>
          <w:rStyle w:val="Emphasis"/>
          <w:rFonts w:asciiTheme="minorHAnsi" w:hAnsiTheme="minorHAnsi" w:cstheme="minorHAnsi"/>
          <w:highlight w:val="cyan"/>
        </w:rPr>
        <w:t>600 experiments</w:t>
      </w:r>
      <w:r w:rsidRPr="006936C7">
        <w:rPr>
          <w:rStyle w:val="Emphasis"/>
          <w:rFonts w:asciiTheme="minorHAnsi" w:hAnsiTheme="minorHAnsi" w:cstheme="minorHAnsi"/>
        </w:rPr>
        <w:t xml:space="preserve"> of biodiversity effects</w:t>
      </w:r>
      <w:r w:rsidRPr="00A20C2D">
        <w:rPr>
          <w:rFonts w:asciiTheme="minorHAnsi" w:hAnsiTheme="minorHAnsi" w:cstheme="minorHAnsi"/>
          <w:sz w:val="16"/>
        </w:rPr>
        <w:t xml:space="preserve"> on various functions, </w:t>
      </w:r>
      <w:r w:rsidRPr="004011D2">
        <w:rPr>
          <w:rStyle w:val="StyleUnderline"/>
          <w:rFonts w:asciiTheme="minorHAnsi" w:hAnsiTheme="minorHAnsi" w:cstheme="minorHAnsi"/>
          <w:highlight w:val="cyan"/>
        </w:rPr>
        <w:t>none showed</w:t>
      </w:r>
      <w:r w:rsidRPr="006936C7">
        <w:rPr>
          <w:rStyle w:val="StyleUnderline"/>
          <w:rFonts w:asciiTheme="minorHAnsi" w:hAnsiTheme="minorHAnsi" w:cstheme="minorHAnsi"/>
        </w:rPr>
        <w:t xml:space="preserve"> a </w:t>
      </w:r>
      <w:r w:rsidRPr="004011D2">
        <w:rPr>
          <w:rStyle w:val="StyleUnderline"/>
          <w:rFonts w:asciiTheme="minorHAnsi" w:hAnsiTheme="minorHAnsi" w:cstheme="minorHAnsi"/>
          <w:highlight w:val="cyan"/>
        </w:rPr>
        <w:t>collapse</w:t>
      </w:r>
      <w:r w:rsidRPr="00A20C2D">
        <w:rPr>
          <w:sz w:val="16"/>
        </w:rPr>
        <w:t xml:space="preserve">,” </w:t>
      </w:r>
      <w:r w:rsidRPr="00A20C2D">
        <w:rPr>
          <w:rFonts w:asciiTheme="minorHAnsi" w:hAnsiTheme="minorHAnsi" w:cstheme="minorHAnsi"/>
          <w:sz w:val="16"/>
        </w:rPr>
        <w:t xml:space="preserve">Montoya said. “In general, the loss of species has a detrimental effect on ecosystem functions...We progressively lose pollination services, water quality, plant biomass, and many other important functions as we lose species. But </w:t>
      </w:r>
      <w:r w:rsidRPr="006936C7">
        <w:rPr>
          <w:rStyle w:val="StyleUnderline"/>
          <w:rFonts w:asciiTheme="minorHAnsi" w:hAnsiTheme="minorHAnsi" w:cstheme="minorHAnsi"/>
        </w:rPr>
        <w:t>we never observe a critical level of biodiversity over which functions collapse.</w:t>
      </w:r>
      <w:r w:rsidRPr="00A20C2D">
        <w:rPr>
          <w:rFonts w:asciiTheme="minorHAnsi" w:hAnsiTheme="minorHAnsi" w:cstheme="minorHAnsi"/>
          <w:sz w:val="16"/>
        </w:rPr>
        <w:t>”</w:t>
      </w:r>
    </w:p>
    <w:p w14:paraId="1931A307" w14:textId="77777777" w:rsidR="00471EA1" w:rsidRPr="006936C7" w:rsidRDefault="00471EA1" w:rsidP="00471EA1">
      <w:pPr>
        <w:pStyle w:val="Heading4"/>
        <w:rPr>
          <w:rFonts w:asciiTheme="minorHAnsi" w:hAnsiTheme="minorHAnsi" w:cstheme="minorHAnsi"/>
        </w:rPr>
      </w:pPr>
      <w:r w:rsidRPr="006936C7">
        <w:rPr>
          <w:rFonts w:asciiTheme="minorHAnsi" w:hAnsiTheme="minorHAnsi" w:cstheme="minorHAnsi"/>
        </w:rPr>
        <w:t xml:space="preserve">The bio-d scenario for warming is </w:t>
      </w:r>
      <w:r>
        <w:rPr>
          <w:rFonts w:asciiTheme="minorHAnsi" w:hAnsiTheme="minorHAnsi" w:cstheme="minorHAnsi"/>
          <w:u w:val="single"/>
        </w:rPr>
        <w:t>extremely unlikely</w:t>
      </w:r>
      <w:r w:rsidRPr="006936C7">
        <w:rPr>
          <w:rFonts w:asciiTheme="minorHAnsi" w:hAnsiTheme="minorHAnsi" w:cstheme="minorHAnsi"/>
        </w:rPr>
        <w:t>.</w:t>
      </w:r>
    </w:p>
    <w:p w14:paraId="204807F4" w14:textId="77777777" w:rsidR="00471EA1" w:rsidRPr="006936C7" w:rsidRDefault="00471EA1" w:rsidP="00471EA1">
      <w:pPr>
        <w:rPr>
          <w:rFonts w:asciiTheme="minorHAnsi" w:hAnsiTheme="minorHAnsi" w:cstheme="minorHAnsi"/>
        </w:rPr>
      </w:pPr>
      <w:r w:rsidRPr="006936C7">
        <w:rPr>
          <w:rStyle w:val="Style13ptBold"/>
          <w:rFonts w:asciiTheme="minorHAnsi" w:hAnsiTheme="minorHAnsi" w:cstheme="minorHAnsi"/>
        </w:rPr>
        <w:t>Halstead 19</w:t>
      </w:r>
      <w:r w:rsidRPr="006936C7">
        <w:rPr>
          <w:rFonts w:asciiTheme="minorHAnsi" w:hAnsiTheme="minorHAnsi" w:cstheme="minorHAnsi"/>
        </w:rPr>
        <w:t xml:space="preserve"> John Halstead, doctorate in political philosophy. [Cause Area Report: Existential Risk, Founders Pledge, https://founderspledge.com/research/Cause%20Area%20Report%20-%20Existential%20Risk.pdf]//BPS</w:t>
      </w:r>
    </w:p>
    <w:p w14:paraId="6AE974C5" w14:textId="0F98AC18" w:rsidR="00471EA1" w:rsidRPr="00471EA1" w:rsidRDefault="00471EA1" w:rsidP="00471EA1">
      <w:pPr>
        <w:rPr>
          <w:rFonts w:asciiTheme="minorHAnsi" w:hAnsiTheme="minorHAnsi" w:cstheme="minorHAnsi"/>
          <w:sz w:val="16"/>
        </w:rPr>
      </w:pPr>
      <w:r w:rsidRPr="006936C7">
        <w:rPr>
          <w:rFonts w:asciiTheme="minorHAnsi" w:hAnsiTheme="minorHAnsi" w:cstheme="minorHAnsi"/>
          <w:sz w:val="16"/>
        </w:rPr>
        <w:t xml:space="preserve">Biodiversity A point of controversy in the scientific literature concerns the projected effects of extreme warming on biodiversity.147 Theoretical models suggest substantial effects on biodiversity,148 but </w:t>
      </w:r>
      <w:r w:rsidRPr="006936C7">
        <w:rPr>
          <w:rStyle w:val="StyleUnderline"/>
          <w:rFonts w:asciiTheme="minorHAnsi" w:hAnsiTheme="minorHAnsi" w:cstheme="minorHAnsi"/>
        </w:rPr>
        <w:t xml:space="preserve">the historical climatic </w:t>
      </w:r>
      <w:r w:rsidRPr="004011D2">
        <w:rPr>
          <w:rStyle w:val="StyleUnderline"/>
          <w:rFonts w:asciiTheme="minorHAnsi" w:hAnsiTheme="minorHAnsi" w:cstheme="minorHAnsi"/>
          <w:highlight w:val="cyan"/>
        </w:rPr>
        <w:t>record shows</w:t>
      </w:r>
      <w:r w:rsidRPr="006936C7">
        <w:rPr>
          <w:rFonts w:asciiTheme="minorHAnsi" w:hAnsiTheme="minorHAnsi" w:cstheme="minorHAnsi"/>
          <w:sz w:val="16"/>
        </w:rPr>
        <w:t xml:space="preserve"> that </w:t>
      </w:r>
      <w:r w:rsidRPr="004011D2">
        <w:rPr>
          <w:rStyle w:val="Emphasis"/>
          <w:rFonts w:asciiTheme="minorHAnsi" w:hAnsiTheme="minorHAnsi" w:cstheme="minorHAnsi"/>
          <w:highlight w:val="cyan"/>
        </w:rPr>
        <w:t>extreme</w:t>
      </w:r>
      <w:r w:rsidRPr="006936C7">
        <w:rPr>
          <w:rStyle w:val="Emphasis"/>
          <w:rFonts w:asciiTheme="minorHAnsi" w:hAnsiTheme="minorHAnsi" w:cstheme="minorHAnsi"/>
        </w:rPr>
        <w:t xml:space="preserve"> regional</w:t>
      </w:r>
      <w:r w:rsidRPr="006936C7">
        <w:rPr>
          <w:rStyle w:val="StyleUnderline"/>
          <w:rFonts w:asciiTheme="minorHAnsi" w:hAnsiTheme="minorHAnsi" w:cstheme="minorHAnsi"/>
        </w:rPr>
        <w:t xml:space="preserve"> or </w:t>
      </w:r>
      <w:r w:rsidRPr="006936C7">
        <w:rPr>
          <w:rStyle w:val="Emphasis"/>
          <w:rFonts w:asciiTheme="minorHAnsi" w:hAnsiTheme="minorHAnsi" w:cstheme="minorHAnsi"/>
        </w:rPr>
        <w:t xml:space="preserve">global </w:t>
      </w:r>
      <w:r w:rsidRPr="004011D2">
        <w:rPr>
          <w:rStyle w:val="Emphasis"/>
          <w:rFonts w:asciiTheme="minorHAnsi" w:hAnsiTheme="minorHAnsi" w:cstheme="minorHAnsi"/>
          <w:highlight w:val="cyan"/>
        </w:rPr>
        <w:t>warming</w:t>
      </w:r>
      <w:r w:rsidRPr="004011D2">
        <w:rPr>
          <w:rStyle w:val="StyleUnderline"/>
          <w:rFonts w:asciiTheme="minorHAnsi" w:hAnsiTheme="minorHAnsi" w:cstheme="minorHAnsi"/>
          <w:highlight w:val="cyan"/>
        </w:rPr>
        <w:t xml:space="preserve"> has not</w:t>
      </w:r>
      <w:r w:rsidRPr="006936C7">
        <w:rPr>
          <w:rFonts w:asciiTheme="minorHAnsi" w:hAnsiTheme="minorHAnsi" w:cstheme="minorHAnsi"/>
          <w:sz w:val="16"/>
        </w:rPr>
        <w:t xml:space="preserve"> been </w:t>
      </w:r>
      <w:r w:rsidRPr="004011D2">
        <w:rPr>
          <w:rStyle w:val="StyleUnderline"/>
          <w:rFonts w:asciiTheme="minorHAnsi" w:hAnsiTheme="minorHAnsi" w:cstheme="minorHAnsi"/>
          <w:highlight w:val="cyan"/>
        </w:rPr>
        <w:t>correlated with</w:t>
      </w:r>
      <w:r w:rsidRPr="006936C7">
        <w:rPr>
          <w:rStyle w:val="StyleUnderline"/>
          <w:rFonts w:asciiTheme="minorHAnsi" w:hAnsiTheme="minorHAnsi" w:cstheme="minorHAnsi"/>
        </w:rPr>
        <w:t xml:space="preserve"> increasing species </w:t>
      </w:r>
      <w:r w:rsidRPr="004011D2">
        <w:rPr>
          <w:rStyle w:val="StyleUnderline"/>
          <w:rFonts w:asciiTheme="minorHAnsi" w:hAnsiTheme="minorHAnsi" w:cstheme="minorHAnsi"/>
          <w:highlight w:val="cyan"/>
        </w:rPr>
        <w:t>extinctions</w:t>
      </w:r>
      <w:r w:rsidRPr="006936C7">
        <w:rPr>
          <w:rFonts w:asciiTheme="minorHAnsi" w:hAnsiTheme="minorHAnsi" w:cstheme="minorHAnsi"/>
          <w:sz w:val="16"/>
        </w:rPr>
        <w:t xml:space="preserve">, with the </w:t>
      </w:r>
      <w:r w:rsidRPr="004011D2">
        <w:rPr>
          <w:rStyle w:val="StyleUnderline"/>
          <w:rFonts w:asciiTheme="minorHAnsi" w:hAnsiTheme="minorHAnsi" w:cstheme="minorHAnsi"/>
          <w:highlight w:val="cyan"/>
        </w:rPr>
        <w:t>except</w:t>
      </w:r>
      <w:r w:rsidRPr="006936C7">
        <w:rPr>
          <w:rFonts w:asciiTheme="minorHAnsi" w:hAnsiTheme="minorHAnsi" w:cstheme="minorHAnsi"/>
          <w:sz w:val="16"/>
        </w:rPr>
        <w:t xml:space="preserve">ion of </w:t>
      </w:r>
      <w:r w:rsidRPr="004011D2">
        <w:rPr>
          <w:rStyle w:val="StyleUnderline"/>
          <w:rFonts w:asciiTheme="minorHAnsi" w:hAnsiTheme="minorHAnsi" w:cstheme="minorHAnsi"/>
          <w:highlight w:val="cyan"/>
        </w:rPr>
        <w:t>the Permian</w:t>
      </w:r>
      <w:r w:rsidRPr="006936C7">
        <w:rPr>
          <w:rStyle w:val="StyleUnderline"/>
          <w:rFonts w:asciiTheme="minorHAnsi" w:hAnsiTheme="minorHAnsi" w:cstheme="minorHAnsi"/>
        </w:rPr>
        <w:t xml:space="preserve"> mass extinction, </w:t>
      </w:r>
      <w:r w:rsidRPr="004011D2">
        <w:rPr>
          <w:rStyle w:val="StyleUnderline"/>
          <w:rFonts w:asciiTheme="minorHAnsi" w:hAnsiTheme="minorHAnsi" w:cstheme="minorHAnsi"/>
          <w:highlight w:val="cyan"/>
        </w:rPr>
        <w:t>in which</w:t>
      </w:r>
      <w:r w:rsidRPr="006936C7">
        <w:rPr>
          <w:rStyle w:val="StyleUnderline"/>
          <w:rFonts w:asciiTheme="minorHAnsi" w:hAnsiTheme="minorHAnsi" w:cstheme="minorHAnsi"/>
        </w:rPr>
        <w:t xml:space="preserve"> geological and climatic </w:t>
      </w:r>
      <w:r w:rsidRPr="004011D2">
        <w:rPr>
          <w:rStyle w:val="StyleUnderline"/>
          <w:rFonts w:asciiTheme="minorHAnsi" w:hAnsiTheme="minorHAnsi" w:cstheme="minorHAnsi"/>
          <w:highlight w:val="cyan"/>
        </w:rPr>
        <w:t xml:space="preserve">conditions were </w:t>
      </w:r>
      <w:r w:rsidRPr="004011D2">
        <w:rPr>
          <w:rStyle w:val="Emphasis"/>
          <w:rFonts w:asciiTheme="minorHAnsi" w:hAnsiTheme="minorHAnsi" w:cstheme="minorHAnsi"/>
          <w:highlight w:val="cyan"/>
        </w:rPr>
        <w:t>very different</w:t>
      </w:r>
      <w:r w:rsidRPr="006936C7">
        <w:rPr>
          <w:rStyle w:val="Emphasis"/>
          <w:rFonts w:asciiTheme="minorHAnsi" w:hAnsiTheme="minorHAnsi" w:cstheme="minorHAnsi"/>
        </w:rPr>
        <w:t xml:space="preserve"> to today</w:t>
      </w:r>
      <w:r w:rsidRPr="006936C7">
        <w:rPr>
          <w:rFonts w:asciiTheme="minorHAnsi" w:hAnsiTheme="minorHAnsi" w:cstheme="minorHAnsi"/>
          <w:sz w:val="16"/>
        </w:rPr>
        <w:t xml:space="preserve">.149 However, future warming is likely to occur in an importantly different context of habitat loss and pollution, which limit adaptability of species. Given the novelty of the situation, </w:t>
      </w:r>
      <w:r w:rsidRPr="004011D2">
        <w:rPr>
          <w:rStyle w:val="StyleUnderline"/>
          <w:rFonts w:asciiTheme="minorHAnsi" w:hAnsiTheme="minorHAnsi" w:cstheme="minorHAnsi"/>
          <w:highlight w:val="cyan"/>
        </w:rPr>
        <w:t>it is unclear what effect warming will have</w:t>
      </w:r>
      <w:r w:rsidRPr="006936C7">
        <w:rPr>
          <w:rStyle w:val="StyleUnderline"/>
          <w:rFonts w:asciiTheme="minorHAnsi" w:hAnsiTheme="minorHAnsi" w:cstheme="minorHAnsi"/>
        </w:rPr>
        <w:t xml:space="preserve"> on biodiversity</w:t>
      </w:r>
      <w:r w:rsidRPr="006936C7">
        <w:rPr>
          <w:rFonts w:asciiTheme="minorHAnsi" w:hAnsiTheme="minorHAnsi" w:cstheme="minorHAnsi"/>
          <w:sz w:val="16"/>
        </w:rPr>
        <w:t xml:space="preserve">. There is a further question of how biodiversity loss could affect human civilisation. Humans have made around 1% of species extinct, and if extinctions continue at current rates for the next few centuries, then we will eliminate more than 75% of the world’s species.150 </w:t>
      </w:r>
      <w:r w:rsidRPr="004011D2">
        <w:rPr>
          <w:rStyle w:val="StyleUnderline"/>
          <w:rFonts w:asciiTheme="minorHAnsi" w:hAnsiTheme="minorHAnsi" w:cstheme="minorHAnsi"/>
          <w:highlight w:val="cyan"/>
        </w:rPr>
        <w:t xml:space="preserve">It is unclear whether there is </w:t>
      </w:r>
      <w:r w:rsidRPr="004011D2">
        <w:rPr>
          <w:rStyle w:val="Emphasis"/>
          <w:rFonts w:asciiTheme="minorHAnsi" w:hAnsiTheme="minorHAnsi" w:cstheme="minorHAnsi"/>
          <w:highlight w:val="cyan"/>
        </w:rPr>
        <w:t>a</w:t>
      </w:r>
      <w:r w:rsidRPr="006936C7">
        <w:rPr>
          <w:rStyle w:val="Emphasis"/>
          <w:rFonts w:asciiTheme="minorHAnsi" w:hAnsiTheme="minorHAnsi" w:cstheme="minorHAnsi"/>
        </w:rPr>
        <w:t xml:space="preserve">ny abrupt </w:t>
      </w:r>
      <w:r w:rsidRPr="004011D2">
        <w:rPr>
          <w:rStyle w:val="Emphasis"/>
          <w:rFonts w:asciiTheme="minorHAnsi" w:hAnsiTheme="minorHAnsi" w:cstheme="minorHAnsi"/>
          <w:highlight w:val="cyan"/>
        </w:rPr>
        <w:t>threshold</w:t>
      </w:r>
      <w:r w:rsidRPr="004011D2">
        <w:rPr>
          <w:rStyle w:val="StyleUnderline"/>
          <w:rFonts w:asciiTheme="minorHAnsi" w:hAnsiTheme="minorHAnsi" w:cstheme="minorHAnsi"/>
          <w:highlight w:val="cyan"/>
        </w:rPr>
        <w:t xml:space="preserve"> for </w:t>
      </w:r>
      <w:r w:rsidRPr="004011D2">
        <w:rPr>
          <w:rStyle w:val="Emphasis"/>
          <w:rFonts w:asciiTheme="minorHAnsi" w:hAnsiTheme="minorHAnsi" w:cstheme="minorHAnsi"/>
          <w:highlight w:val="cyan"/>
        </w:rPr>
        <w:t>global</w:t>
      </w:r>
      <w:r w:rsidRPr="006936C7">
        <w:rPr>
          <w:rStyle w:val="Emphasis"/>
          <w:rFonts w:asciiTheme="minorHAnsi" w:hAnsiTheme="minorHAnsi" w:cstheme="minorHAnsi"/>
        </w:rPr>
        <w:t xml:space="preserve"> ecosystem </w:t>
      </w:r>
      <w:r w:rsidRPr="004011D2">
        <w:rPr>
          <w:rStyle w:val="Emphasis"/>
          <w:rFonts w:asciiTheme="minorHAnsi" w:hAnsiTheme="minorHAnsi" w:cstheme="minorHAnsi"/>
          <w:highlight w:val="cyan"/>
        </w:rPr>
        <w:t>collapse</w:t>
      </w:r>
      <w:r w:rsidRPr="006936C7">
        <w:rPr>
          <w:rFonts w:asciiTheme="minorHAnsi" w:hAnsiTheme="minorHAnsi" w:cstheme="minorHAnsi"/>
          <w:sz w:val="16"/>
        </w:rPr>
        <w:t xml:space="preserve">,151 and there is a further question of how this could threaten the long-term future of humanity. Overall,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path from climate</w:t>
      </w:r>
      <w:r w:rsidRPr="006936C7">
        <w:rPr>
          <w:rStyle w:val="StyleUnderline"/>
          <w:rFonts w:asciiTheme="minorHAnsi" w:hAnsiTheme="minorHAnsi" w:cstheme="minorHAnsi"/>
        </w:rPr>
        <w:t xml:space="preserve"> change </w:t>
      </w:r>
      <w:r w:rsidRPr="004011D2">
        <w:rPr>
          <w:rStyle w:val="StyleUnderline"/>
          <w:rFonts w:asciiTheme="minorHAnsi" w:hAnsiTheme="minorHAnsi" w:cstheme="minorHAnsi"/>
          <w:highlight w:val="cyan"/>
        </w:rPr>
        <w:t>to biod</w:t>
      </w:r>
      <w:r w:rsidRPr="006936C7">
        <w:rPr>
          <w:rStyle w:val="StyleUnderline"/>
          <w:rFonts w:asciiTheme="minorHAnsi" w:hAnsiTheme="minorHAnsi" w:cstheme="minorHAnsi"/>
        </w:rPr>
        <w:t xml:space="preserve">iversity loss </w:t>
      </w:r>
      <w:r w:rsidRPr="004011D2">
        <w:rPr>
          <w:rStyle w:val="StyleUnderline"/>
          <w:rFonts w:asciiTheme="minorHAnsi" w:hAnsiTheme="minorHAnsi" w:cstheme="minorHAnsi"/>
          <w:highlight w:val="cyan"/>
        </w:rPr>
        <w:t>to existential catastrophe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very </w:t>
      </w:r>
      <w:r w:rsidRPr="004011D2">
        <w:rPr>
          <w:rStyle w:val="Emphasis"/>
          <w:rFonts w:asciiTheme="minorHAnsi" w:hAnsiTheme="minorHAnsi" w:cstheme="minorHAnsi"/>
          <w:highlight w:val="cyan"/>
        </w:rPr>
        <w:t>unclear</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indirect</w:t>
      </w:r>
      <w:r w:rsidRPr="006936C7">
        <w:rPr>
          <w:rFonts w:asciiTheme="minorHAnsi" w:hAnsiTheme="minorHAnsi" w:cstheme="minorHAnsi"/>
          <w:sz w:val="16"/>
        </w:rPr>
        <w:t>.</w:t>
      </w:r>
    </w:p>
    <w:p w14:paraId="3F5CB4A4" w14:textId="77777777" w:rsidR="00B752E0" w:rsidRPr="00B752E0" w:rsidRDefault="00B752E0" w:rsidP="00B752E0">
      <w:pPr>
        <w:pStyle w:val="Heading3"/>
      </w:pPr>
      <w:r>
        <w:t xml:space="preserve">1AR – AT: </w:t>
      </w:r>
      <w:r>
        <w:rPr>
          <w:i/>
          <w:iCs/>
        </w:rPr>
        <w:t>Chevron</w:t>
      </w:r>
      <w:r>
        <w:t xml:space="preserve"> Solves Ag</w:t>
      </w:r>
    </w:p>
    <w:p w14:paraId="628AE040" w14:textId="77777777" w:rsidR="00B752E0" w:rsidRPr="00C80CAB" w:rsidRDefault="00B752E0" w:rsidP="00B752E0">
      <w:pPr>
        <w:pStyle w:val="Heading4"/>
        <w:rPr>
          <w:szCs w:val="26"/>
        </w:rPr>
      </w:pPr>
      <w:r w:rsidRPr="007721E6">
        <w:rPr>
          <w:i/>
          <w:iCs w:val="0"/>
          <w:szCs w:val="26"/>
        </w:rPr>
        <w:t>Chevron</w:t>
      </w:r>
      <w:r w:rsidRPr="00C80CAB">
        <w:rPr>
          <w:szCs w:val="26"/>
        </w:rPr>
        <w:t xml:space="preserve"> </w:t>
      </w:r>
      <w:r>
        <w:rPr>
          <w:szCs w:val="26"/>
        </w:rPr>
        <w:t>hammers ag.</w:t>
      </w:r>
    </w:p>
    <w:p w14:paraId="04C9EDF1" w14:textId="77777777" w:rsidR="00B752E0" w:rsidRPr="00684BF3" w:rsidRDefault="00B752E0" w:rsidP="00B752E0">
      <w:r w:rsidRPr="00C80CAB">
        <w:rPr>
          <w:rStyle w:val="Heading4Char"/>
          <w:szCs w:val="26"/>
        </w:rPr>
        <w:t>Bennett 17</w:t>
      </w:r>
      <w:r w:rsidRPr="00684BF3">
        <w:t xml:space="preserve"> – (Chris Bennett; “Chevron deference: Strangling farmers one regulation at a time?”; The Fence Post; D.A. July 7</w:t>
      </w:r>
      <w:r w:rsidRPr="00684BF3">
        <w:rPr>
          <w:vertAlign w:val="superscript"/>
        </w:rPr>
        <w:t>th</w:t>
      </w:r>
      <w:r w:rsidRPr="00684BF3">
        <w:t xml:space="preserve"> 2020, [Published October 24</w:t>
      </w:r>
      <w:r w:rsidRPr="00684BF3">
        <w:rPr>
          <w:vertAlign w:val="superscript"/>
        </w:rPr>
        <w:t>th</w:t>
      </w:r>
      <w:r w:rsidRPr="00684BF3">
        <w:t xml:space="preserve"> 2017]; </w:t>
      </w:r>
      <w:hyperlink r:id="rId224" w:history="1">
        <w:r w:rsidRPr="00684BF3">
          <w:rPr>
            <w:rStyle w:val="Hyperlink"/>
          </w:rPr>
          <w:t>https://www.thefencepost.com/news/chevron-deference-strangling-farmers-one-regulation-at-a-time/</w:t>
        </w:r>
      </w:hyperlink>
      <w:r w:rsidRPr="00684BF3">
        <w:t>) //LFS—JCM</w:t>
      </w:r>
    </w:p>
    <w:p w14:paraId="51B9DF3C" w14:textId="77777777" w:rsidR="00B752E0" w:rsidRPr="002060A6" w:rsidRDefault="00B752E0" w:rsidP="00B752E0">
      <w:pPr>
        <w:rPr>
          <w:sz w:val="16"/>
        </w:rPr>
      </w:pPr>
      <w:r w:rsidRPr="002060A6">
        <w:rPr>
          <w:rStyle w:val="StyleUnderline"/>
        </w:rPr>
        <w:t>The federal government has a hidden wild card</w:t>
      </w:r>
      <w:r w:rsidRPr="002060A6">
        <w:rPr>
          <w:sz w:val="16"/>
        </w:rPr>
        <w:t xml:space="preserve">. When </w:t>
      </w:r>
      <w:r w:rsidRPr="002060A6">
        <w:rPr>
          <w:rStyle w:val="Emphasis"/>
        </w:rPr>
        <w:t>farmers face the creep of federal agency regulation</w:t>
      </w:r>
      <w:r w:rsidRPr="002060A6">
        <w:rPr>
          <w:sz w:val="16"/>
        </w:rPr>
        <w:t xml:space="preserve">, </w:t>
      </w:r>
      <w:r w:rsidRPr="002060A6">
        <w:rPr>
          <w:rStyle w:val="StyleUnderline"/>
        </w:rPr>
        <w:t>the game is consistently tilted in the bureaucracy’s favor</w:t>
      </w:r>
      <w:r w:rsidRPr="002060A6">
        <w:rPr>
          <w:sz w:val="16"/>
        </w:rPr>
        <w:t xml:space="preserve">, and although agricultural producers know the deck is stacked, </w:t>
      </w:r>
      <w:r w:rsidRPr="002060A6">
        <w:rPr>
          <w:rStyle w:val="StyleUnderline"/>
        </w:rPr>
        <w:t>most are unaware of the joker</w:t>
      </w:r>
      <w:r w:rsidRPr="002060A6">
        <w:rPr>
          <w:sz w:val="16"/>
        </w:rPr>
        <w:t xml:space="preserve"> concealed </w:t>
      </w:r>
      <w:r w:rsidRPr="002060A6">
        <w:rPr>
          <w:rStyle w:val="StyleUnderline"/>
        </w:rPr>
        <w:t>in the government’s sleeve</w:t>
      </w:r>
      <w:r w:rsidRPr="002060A6">
        <w:rPr>
          <w:sz w:val="16"/>
        </w:rPr>
        <w:t xml:space="preserve">: </w:t>
      </w:r>
      <w:r w:rsidRPr="002060A6">
        <w:rPr>
          <w:rStyle w:val="Emphasis"/>
        </w:rPr>
        <w:t>Chevron deference</w:t>
      </w:r>
      <w:r w:rsidRPr="002060A6">
        <w:rPr>
          <w:sz w:val="16"/>
        </w:rPr>
        <w:t>.</w:t>
      </w:r>
    </w:p>
    <w:p w14:paraId="62B5F2D6" w14:textId="77777777" w:rsidR="00B752E0" w:rsidRPr="002060A6" w:rsidRDefault="00B752E0" w:rsidP="00B752E0">
      <w:pPr>
        <w:rPr>
          <w:sz w:val="16"/>
        </w:rPr>
      </w:pPr>
      <w:r w:rsidRPr="002060A6">
        <w:rPr>
          <w:sz w:val="16"/>
        </w:rPr>
        <w:t xml:space="preserve">Born of an environmentally related Supreme Court case (Chevron vs. NRDC) in 1984, Chevron deference allows judges to defer to agency interpretation when “ambiguous language” is found in federal law. (When in doubt, rely on agency judgement.) However, </w:t>
      </w:r>
      <w:r w:rsidRPr="002060A6">
        <w:rPr>
          <w:rStyle w:val="StyleUnderline"/>
        </w:rPr>
        <w:t>because ambiguous language is splashed across regulatory and environmental law</w:t>
      </w:r>
      <w:r w:rsidRPr="002060A6">
        <w:rPr>
          <w:sz w:val="16"/>
        </w:rPr>
        <w:t xml:space="preserve">, </w:t>
      </w:r>
      <w:r w:rsidRPr="002060A6">
        <w:rPr>
          <w:rStyle w:val="StyleUnderline"/>
        </w:rPr>
        <w:t>Chevron</w:t>
      </w:r>
      <w:r w:rsidRPr="002060A6">
        <w:rPr>
          <w:sz w:val="16"/>
        </w:rPr>
        <w:t xml:space="preserve"> deference </w:t>
      </w:r>
      <w:r w:rsidRPr="002060A6">
        <w:rPr>
          <w:rStyle w:val="StyleUnderline"/>
        </w:rPr>
        <w:t>provides a massive boost to government agency authority</w:t>
      </w:r>
      <w:r w:rsidRPr="002060A6">
        <w:rPr>
          <w:sz w:val="16"/>
        </w:rPr>
        <w:t xml:space="preserve">. </w:t>
      </w:r>
      <w:r w:rsidRPr="002060A6">
        <w:rPr>
          <w:rStyle w:val="StyleUnderline"/>
        </w:rPr>
        <w:t>The implications for agriculture are heavy</w:t>
      </w:r>
      <w:r w:rsidRPr="002060A6">
        <w:rPr>
          <w:sz w:val="16"/>
        </w:rPr>
        <w:t xml:space="preserve"> when the same regulatory agency can make and interpret rules.</w:t>
      </w:r>
    </w:p>
    <w:p w14:paraId="7931E71C" w14:textId="77777777" w:rsidR="00B752E0" w:rsidRPr="007721E6" w:rsidRDefault="00B752E0" w:rsidP="00B752E0">
      <w:pPr>
        <w:rPr>
          <w:sz w:val="16"/>
        </w:rPr>
      </w:pPr>
      <w:r w:rsidRPr="002060A6">
        <w:rPr>
          <w:rStyle w:val="Emphasis"/>
        </w:rPr>
        <w:t>Chevron</w:t>
      </w:r>
      <w:r w:rsidRPr="002060A6">
        <w:rPr>
          <w:rStyle w:val="StyleUnderline"/>
        </w:rPr>
        <w:t xml:space="preserve"> deference has a </w:t>
      </w:r>
      <w:r w:rsidRPr="002060A6">
        <w:rPr>
          <w:rStyle w:val="Emphasis"/>
        </w:rPr>
        <w:t>sledgehammer impact on agriculture</w:t>
      </w:r>
      <w:r w:rsidRPr="002060A6">
        <w:rPr>
          <w:sz w:val="16"/>
        </w:rPr>
        <w:t>, according to Roger McEowen, Kansas Farm Bureau professor of agricultural law and taxation at the Washburn University School of Law. “It’s absolutely huge and has tremendous influence on producer activity and private land ownership. WOTUS and Endangered Species Act interpretations are just a couple of examples of how deferring to the governmental agency’s interpretation of the law impacts activity on private property,” he said. “</w:t>
      </w:r>
      <w:r w:rsidRPr="002060A6">
        <w:rPr>
          <w:rStyle w:val="StyleUnderline"/>
        </w:rPr>
        <w:t>This is part of an ever-expanding bureaucracy where courts cede authority to an unelected bureaucratic body to decide what the law says</w:t>
      </w:r>
      <w:r w:rsidRPr="002060A6">
        <w:rPr>
          <w:sz w:val="16"/>
        </w:rPr>
        <w:t>. That is the root of the problem and it infects so many areas involving farmers. Frankly, it’s unbelievable.”</w:t>
      </w:r>
    </w:p>
    <w:p w14:paraId="1A807A9B" w14:textId="441612C2" w:rsidR="00644FD1" w:rsidRPr="00644FD1" w:rsidRDefault="00644FD1" w:rsidP="00644FD1">
      <w:pPr>
        <w:pStyle w:val="Heading2"/>
      </w:pPr>
      <w:r>
        <w:t>DAs</w:t>
      </w:r>
    </w:p>
    <w:p w14:paraId="6E576518" w14:textId="4B2B8D50" w:rsidR="00644FD1" w:rsidRDefault="00644FD1" w:rsidP="00644FD1">
      <w:pPr>
        <w:pStyle w:val="Heading3"/>
      </w:pPr>
      <w:r>
        <w:t>2AC – AT: Court Politics DA</w:t>
      </w:r>
    </w:p>
    <w:p w14:paraId="29CE3E75" w14:textId="77777777" w:rsidR="00644FD1" w:rsidRPr="00D366F0" w:rsidRDefault="00644FD1" w:rsidP="00644FD1">
      <w:pPr>
        <w:pStyle w:val="Heading4"/>
        <w:rPr>
          <w:u w:val="single"/>
        </w:rPr>
      </w:pPr>
      <w:r>
        <w:t>No backlash.</w:t>
      </w:r>
    </w:p>
    <w:p w14:paraId="683EE857" w14:textId="77777777" w:rsidR="00644FD1" w:rsidRPr="008B37A8" w:rsidRDefault="00644FD1" w:rsidP="00644FD1">
      <w:r w:rsidRPr="008B37A8">
        <w:rPr>
          <w:rStyle w:val="Style13ptBold"/>
        </w:rPr>
        <w:t>Paulson 16</w:t>
      </w:r>
      <w:r>
        <w:t xml:space="preserve"> – Colter Paulson, Law Professor at the University of Cincinnati, law clerk for Judge Max Rosenn of the US Court of Appeals for the Third Circuit, JD at Columbia University. [The Rule of Lenity and Chevron Deference, 1-16-16, https://www.sixthcircuitappellateblog.com/recent-cases/the-rule-of-lenity-and-chevron-deference/]//BPS</w:t>
      </w:r>
    </w:p>
    <w:p w14:paraId="506449A4" w14:textId="77777777" w:rsidR="00644FD1" w:rsidRPr="008B37A8" w:rsidRDefault="00644FD1" w:rsidP="00644FD1">
      <w:pPr>
        <w:rPr>
          <w:u w:val="single"/>
        </w:rPr>
      </w:pPr>
      <w:r w:rsidRPr="008B37A8">
        <w:rPr>
          <w:sz w:val="16"/>
        </w:rPr>
        <w:t xml:space="preserve">Courtesy of Judges Boggs and Sutton, the recent immigration appeal </w:t>
      </w:r>
      <w:r w:rsidRPr="008B37A8">
        <w:rPr>
          <w:rStyle w:val="Emphasis"/>
        </w:rPr>
        <w:t>Esquivel-Quintana v. Lynch</w:t>
      </w:r>
      <w:r w:rsidRPr="008B37A8">
        <w:rPr>
          <w:sz w:val="16"/>
        </w:rPr>
        <w:t xml:space="preserve"> (No. 15-3101) </w:t>
      </w:r>
      <w:r w:rsidRPr="008B37A8">
        <w:rPr>
          <w:rStyle w:val="StyleUnderline"/>
        </w:rPr>
        <w:t xml:space="preserve">provides </w:t>
      </w:r>
      <w:r w:rsidRPr="008B37A8">
        <w:rPr>
          <w:rStyle w:val="Emphasis"/>
        </w:rPr>
        <w:t>an excellent view</w:t>
      </w:r>
      <w:r w:rsidRPr="008B37A8">
        <w:rPr>
          <w:rStyle w:val="StyleUnderline"/>
        </w:rPr>
        <w:t xml:space="preserve"> of </w:t>
      </w:r>
      <w:r w:rsidRPr="008B37A8">
        <w:rPr>
          <w:rStyle w:val="Emphasis"/>
        </w:rPr>
        <w:t>a developing doctrine</w:t>
      </w:r>
      <w:r w:rsidRPr="008B37A8">
        <w:rPr>
          <w:sz w:val="16"/>
        </w:rPr>
        <w:t xml:space="preserve">.  Courts grant Chevron deference to reasonable agency interpretations of ambiguous civil statutes, but do not defer to agency interpretations of criminal statutes.  But </w:t>
      </w:r>
      <w:r w:rsidRPr="00456038">
        <w:rPr>
          <w:rStyle w:val="StyleUnderline"/>
          <w:highlight w:val="cyan"/>
        </w:rPr>
        <w:t>what about statutes that have</w:t>
      </w:r>
      <w:r w:rsidRPr="008B37A8">
        <w:rPr>
          <w:rStyle w:val="StyleUnderline"/>
        </w:rPr>
        <w:t xml:space="preserve"> both </w:t>
      </w:r>
      <w:r w:rsidRPr="00456038">
        <w:rPr>
          <w:rStyle w:val="StyleUnderline"/>
          <w:highlight w:val="cyan"/>
        </w:rPr>
        <w:t>criminal and civil applications?</w:t>
      </w:r>
    </w:p>
    <w:p w14:paraId="3269F1F8" w14:textId="77777777" w:rsidR="00644FD1" w:rsidRPr="008B37A8" w:rsidRDefault="00644FD1" w:rsidP="00644FD1">
      <w:pPr>
        <w:rPr>
          <w:sz w:val="16"/>
        </w:rPr>
      </w:pPr>
      <w:r w:rsidRPr="008B37A8">
        <w:rPr>
          <w:sz w:val="16"/>
        </w:rPr>
        <w:t>Judge Boggs, writing for the majority, and Judge Sutton, writing separately, both describe the “emerging” doctrine that Chevron deference should not apply to statutes with both civil and criminal applications, and that the rule of lenity –that ambiguity in a criminal statute must be resolved in the defendant’s favor – should apply instead.  Judge Sutton argues persuasively that granting deference over dual-use criminal statutes would give the Department of Justice “explicit (executive) power to enforce the criminal laws, an implied (legislative) power to fill policy gaps in ambiguous criminal statutes, and an implied (judicial) power to interpret ambiguous criminal laws.”</w:t>
      </w:r>
    </w:p>
    <w:p w14:paraId="25748552" w14:textId="77777777" w:rsidR="00644FD1" w:rsidRPr="008B37A8" w:rsidRDefault="00644FD1" w:rsidP="00644FD1">
      <w:pPr>
        <w:rPr>
          <w:sz w:val="16"/>
        </w:rPr>
      </w:pPr>
      <w:r w:rsidRPr="008B37A8">
        <w:rPr>
          <w:sz w:val="16"/>
        </w:rPr>
        <w:t>The majority, however, feel that their hands are tied by a footnote in Babbitt v. Sweet Home Chapter of Communities for a Great Oregon, 515 U.S. 687, 703–04 (1995), which deferred to an agency interpretation of a statute that also carried criminal penalties.  Judge Boggs notes that the Supreme Court has “begun to distance itself” from Babbit, but states that the court is compelled to follow it until that decision is actually overturned.  Judge Sutton views the Babbitt footnote as dicta, would have applied the rule of lenity to favor the defendant.</w:t>
      </w:r>
    </w:p>
    <w:p w14:paraId="022B668C" w14:textId="77777777" w:rsidR="00644FD1" w:rsidRDefault="00644FD1" w:rsidP="00644FD1">
      <w:pPr>
        <w:rPr>
          <w:sz w:val="16"/>
        </w:rPr>
      </w:pPr>
      <w:r w:rsidRPr="008B37A8">
        <w:rPr>
          <w:sz w:val="16"/>
        </w:rPr>
        <w:t xml:space="preserve">While </w:t>
      </w:r>
      <w:r w:rsidRPr="00456038">
        <w:rPr>
          <w:rStyle w:val="Emphasis"/>
          <w:highlight w:val="cyan"/>
        </w:rPr>
        <w:t>this issue</w:t>
      </w:r>
      <w:r w:rsidRPr="00644FD1">
        <w:rPr>
          <w:rStyle w:val="Emphasis"/>
        </w:rPr>
        <w:t xml:space="preserve"> of statutory interpretation</w:t>
      </w:r>
      <w:r w:rsidRPr="008B37A8">
        <w:rPr>
          <w:rStyle w:val="StyleUnderline"/>
        </w:rPr>
        <w:t xml:space="preserve"> </w:t>
      </w:r>
      <w:r w:rsidRPr="00456038">
        <w:rPr>
          <w:rStyle w:val="StyleUnderline"/>
          <w:highlight w:val="cyan"/>
        </w:rPr>
        <w:t>may not make headlines</w:t>
      </w:r>
      <w:r w:rsidRPr="008B37A8">
        <w:rPr>
          <w:sz w:val="16"/>
        </w:rPr>
        <w:t xml:space="preserve">, Chevron deference often makes the difference between winning (or not) against the government.  </w:t>
      </w:r>
      <w:r w:rsidRPr="00456038">
        <w:rPr>
          <w:rStyle w:val="StyleUnderline"/>
          <w:highlight w:val="cyan"/>
        </w:rPr>
        <w:t xml:space="preserve">This issue might be </w:t>
      </w:r>
      <w:r w:rsidRPr="00456038">
        <w:rPr>
          <w:rStyle w:val="Emphasis"/>
          <w:highlight w:val="cyan"/>
        </w:rPr>
        <w:t>a sleeper</w:t>
      </w:r>
      <w:r w:rsidRPr="00456038">
        <w:rPr>
          <w:rStyle w:val="StyleUnderline"/>
          <w:highlight w:val="cyan"/>
        </w:rPr>
        <w:t xml:space="preserve"> for </w:t>
      </w:r>
      <w:r w:rsidRPr="00456038">
        <w:rPr>
          <w:rStyle w:val="Emphasis"/>
          <w:highlight w:val="cyan"/>
        </w:rPr>
        <w:t>the</w:t>
      </w:r>
      <w:r w:rsidRPr="008B37A8">
        <w:rPr>
          <w:rStyle w:val="Emphasis"/>
        </w:rPr>
        <w:t xml:space="preserve"> Supreme </w:t>
      </w:r>
      <w:r w:rsidRPr="00456038">
        <w:rPr>
          <w:rStyle w:val="Emphasis"/>
          <w:highlight w:val="cyan"/>
        </w:rPr>
        <w:t>Court</w:t>
      </w:r>
      <w:r w:rsidRPr="008B37A8">
        <w:rPr>
          <w:sz w:val="16"/>
        </w:rPr>
        <w:t>.</w:t>
      </w:r>
    </w:p>
    <w:p w14:paraId="5609AE79" w14:textId="77777777" w:rsidR="00644FD1" w:rsidRPr="00591015" w:rsidRDefault="00644FD1" w:rsidP="00644FD1">
      <w:pPr>
        <w:pStyle w:val="Heading4"/>
      </w:pPr>
      <w:r>
        <w:t xml:space="preserve">BUT it </w:t>
      </w:r>
      <w:r>
        <w:rPr>
          <w:u w:val="single"/>
        </w:rPr>
        <w:t>woos</w:t>
      </w:r>
      <w:r>
        <w:t xml:space="preserve"> conservatives.</w:t>
      </w:r>
    </w:p>
    <w:p w14:paraId="4C7738D7" w14:textId="77777777" w:rsidR="00644FD1" w:rsidRPr="003E25C2" w:rsidRDefault="00644FD1" w:rsidP="00644FD1">
      <w:r w:rsidRPr="00C8282D">
        <w:rPr>
          <w:rStyle w:val="Style13ptBold"/>
        </w:rPr>
        <w:t>Safstrom 19</w:t>
      </w:r>
      <w:r>
        <w:t xml:space="preserve"> – Jennifer Safstrom, JD at Georgetown University in 2018 (already earned at time of writing), Dunn Legal Fellow for the American Civil Liberties Union of Virginia. [An Analysis of the Applications and Implications of Chevron Deference in Immigration, Georgetown Immigration Law Journal, 34(1), https://www.law.georgetown.edu/immigration-law-journal/wp-content/uploads/sites/19/2020/01/GT-GILJ190044.pdf]//BPS</w:t>
      </w:r>
    </w:p>
    <w:p w14:paraId="14CC7BA1" w14:textId="77777777" w:rsidR="00644FD1" w:rsidRPr="003E25C2" w:rsidRDefault="00644FD1" w:rsidP="00644FD1">
      <w:pPr>
        <w:rPr>
          <w:sz w:val="16"/>
        </w:rPr>
      </w:pPr>
      <w:r w:rsidRPr="003E25C2">
        <w:rPr>
          <w:sz w:val="16"/>
        </w:rPr>
        <w:t xml:space="preserve">This question looms large, in part, because of the changed composition of the Supreme Court, notably the recent addition of Justice Brett Kavanaugh. Justice </w:t>
      </w:r>
      <w:r w:rsidRPr="00C61A0E">
        <w:rPr>
          <w:rStyle w:val="StyleUnderline"/>
        </w:rPr>
        <w:t>Kavanaugh’s</w:t>
      </w:r>
      <w:r w:rsidRPr="003E25C2">
        <w:rPr>
          <w:sz w:val="16"/>
        </w:rPr>
        <w:t xml:space="preserve"> presence on the Court is </w:t>
      </w:r>
      <w:r w:rsidRPr="00D366F0">
        <w:rPr>
          <w:rStyle w:val="StyleUnderline"/>
        </w:rPr>
        <w:t>significant</w:t>
      </w:r>
      <w:r w:rsidRPr="003E25C2">
        <w:rPr>
          <w:sz w:val="16"/>
        </w:rPr>
        <w:t xml:space="preserve">, in part because he replaced Justice Anthony Kennedy, who was widely viewed as a swing vote on a number of key issues. His stance on this issue is also important because it is unclear how he would address an immigration issue turning on Chevron, which pits his hardline oppositional posture towards immigration against his skepticism towards agency deference established in Chevron. One scholar observed that Justice </w:t>
      </w:r>
      <w:r w:rsidRPr="00456038">
        <w:rPr>
          <w:rStyle w:val="StyleUnderline"/>
          <w:highlight w:val="cyan"/>
        </w:rPr>
        <w:t xml:space="preserve">Kavanaugh has been </w:t>
      </w:r>
      <w:r w:rsidRPr="00456038">
        <w:rPr>
          <w:rStyle w:val="Emphasis"/>
          <w:highlight w:val="cyan"/>
        </w:rPr>
        <w:t>a</w:t>
      </w:r>
      <w:r w:rsidRPr="00D366F0">
        <w:rPr>
          <w:rStyle w:val="Emphasis"/>
        </w:rPr>
        <w:t xml:space="preserve"> powerful </w:t>
      </w:r>
      <w:r w:rsidRPr="00456038">
        <w:rPr>
          <w:rStyle w:val="Emphasis"/>
          <w:highlight w:val="cyan"/>
        </w:rPr>
        <w:t>critic</w:t>
      </w:r>
      <w:r w:rsidRPr="00456038">
        <w:rPr>
          <w:rStyle w:val="StyleUnderline"/>
          <w:highlight w:val="cyan"/>
        </w:rPr>
        <w:t xml:space="preserve"> of Chevron</w:t>
      </w:r>
      <w:r w:rsidRPr="003E25C2">
        <w:rPr>
          <w:sz w:val="16"/>
        </w:rPr>
        <w:t xml:space="preserve"> as “an abdication of the court’s Article III duty to independently interpret the law, . . . [which] aggrandizes the power of the executive branch at the expense of both the legislative and the judicial.”171 </w:t>
      </w:r>
      <w:r w:rsidRPr="00D366F0">
        <w:rPr>
          <w:rStyle w:val="StyleUnderline"/>
        </w:rPr>
        <w:t>Kavanaugh</w:t>
      </w:r>
      <w:r w:rsidRPr="003E25C2">
        <w:rPr>
          <w:sz w:val="16"/>
        </w:rPr>
        <w:t xml:space="preserve"> has </w:t>
      </w:r>
      <w:r w:rsidRPr="00D366F0">
        <w:rPr>
          <w:rStyle w:val="StyleUnderline"/>
        </w:rPr>
        <w:t>described himself</w:t>
      </w:r>
      <w:r w:rsidRPr="003E25C2">
        <w:rPr>
          <w:sz w:val="16"/>
        </w:rPr>
        <w:t xml:space="preserve">, not as “a skeptic of regulation,” but </w:t>
      </w:r>
      <w:r w:rsidRPr="00D366F0">
        <w:rPr>
          <w:rStyle w:val="StyleUnderline"/>
        </w:rPr>
        <w:t>as “</w:t>
      </w:r>
      <w:r w:rsidRPr="00456038">
        <w:rPr>
          <w:rStyle w:val="StyleUnderline"/>
          <w:highlight w:val="cyan"/>
        </w:rPr>
        <w:t>a skeptic of</w:t>
      </w:r>
      <w:r w:rsidRPr="00D366F0">
        <w:rPr>
          <w:rStyle w:val="StyleUnderline"/>
        </w:rPr>
        <w:t xml:space="preserve"> </w:t>
      </w:r>
      <w:r w:rsidRPr="00D366F0">
        <w:rPr>
          <w:rStyle w:val="Emphasis"/>
        </w:rPr>
        <w:t xml:space="preserve">illegal </w:t>
      </w:r>
      <w:r w:rsidRPr="00456038">
        <w:rPr>
          <w:rStyle w:val="Emphasis"/>
          <w:highlight w:val="cyan"/>
        </w:rPr>
        <w:t>regulation</w:t>
      </w:r>
      <w:r w:rsidRPr="003E25C2">
        <w:rPr>
          <w:sz w:val="16"/>
        </w:rPr>
        <w:t xml:space="preserve">, of regulation </w:t>
      </w:r>
      <w:r w:rsidRPr="00456038">
        <w:rPr>
          <w:rStyle w:val="StyleUnderline"/>
          <w:highlight w:val="cyan"/>
        </w:rPr>
        <w:t>outside</w:t>
      </w:r>
      <w:r w:rsidRPr="003E25C2">
        <w:rPr>
          <w:sz w:val="16"/>
        </w:rPr>
        <w:t xml:space="preserve"> the bounds of </w:t>
      </w:r>
      <w:r w:rsidRPr="00456038">
        <w:rPr>
          <w:rStyle w:val="StyleUnderline"/>
          <w:highlight w:val="cyan"/>
        </w:rPr>
        <w:t>what</w:t>
      </w:r>
      <w:r w:rsidRPr="00D366F0">
        <w:rPr>
          <w:rStyle w:val="StyleUnderline"/>
        </w:rPr>
        <w:t xml:space="preserve"> the laws passed by </w:t>
      </w:r>
      <w:r w:rsidRPr="00456038">
        <w:rPr>
          <w:rStyle w:val="StyleUnderline"/>
          <w:highlight w:val="cyan"/>
        </w:rPr>
        <w:t>Congress</w:t>
      </w:r>
      <w:r w:rsidRPr="00D366F0">
        <w:rPr>
          <w:rStyle w:val="StyleUnderline"/>
        </w:rPr>
        <w:t xml:space="preserve"> have </w:t>
      </w:r>
      <w:r w:rsidRPr="00456038">
        <w:rPr>
          <w:rStyle w:val="StyleUnderline"/>
          <w:highlight w:val="cyan"/>
        </w:rPr>
        <w:t>said.”</w:t>
      </w:r>
      <w:r w:rsidRPr="003E25C2">
        <w:rPr>
          <w:sz w:val="16"/>
        </w:rPr>
        <w:t>172 Yet, Kavanaugh’s skepticism for Chevron is at odds with the justice’s unsympathetic and recalcitrant stance on immigration issues. In a recent case before the Court, Justice Kavanaugh adopted the position that federal law requires detention of “immigrants who had committed crimes, often minor ones, no matter how long ago they were released from criminal custody” even if individuals were held “without an opportunity for a bail hearing.”173</w:t>
      </w:r>
    </w:p>
    <w:p w14:paraId="03AF9C12" w14:textId="77777777" w:rsidR="00644FD1" w:rsidRPr="00C61A0E" w:rsidRDefault="00644FD1" w:rsidP="00644FD1">
      <w:pPr>
        <w:rPr>
          <w:sz w:val="16"/>
        </w:rPr>
      </w:pPr>
      <w:r w:rsidRPr="00C61A0E">
        <w:rPr>
          <w:sz w:val="16"/>
        </w:rPr>
        <w:t xml:space="preserve">However, Justice Neil </w:t>
      </w:r>
      <w:r w:rsidRPr="00456038">
        <w:rPr>
          <w:rStyle w:val="StyleUnderline"/>
          <w:highlight w:val="cyan"/>
        </w:rPr>
        <w:t>Gorsuch could</w:t>
      </w:r>
      <w:r w:rsidRPr="00C61A0E">
        <w:rPr>
          <w:sz w:val="16"/>
        </w:rPr>
        <w:t xml:space="preserve"> also </w:t>
      </w:r>
      <w:r w:rsidRPr="00456038">
        <w:rPr>
          <w:rStyle w:val="StyleUnderline"/>
          <w:highlight w:val="cyan"/>
        </w:rPr>
        <w:t xml:space="preserve">wield </w:t>
      </w:r>
      <w:r w:rsidRPr="00456038">
        <w:rPr>
          <w:rStyle w:val="Emphasis"/>
          <w:highlight w:val="cyan"/>
        </w:rPr>
        <w:t>influential voice</w:t>
      </w:r>
      <w:r w:rsidRPr="00C61A0E">
        <w:rPr>
          <w:sz w:val="16"/>
        </w:rPr>
        <w:t xml:space="preserve"> on the resolution of this issue. Like Kavanaugh, Justice Gorsuch has been critical of the administrative state. </w:t>
      </w:r>
      <w:r w:rsidRPr="00456038">
        <w:rPr>
          <w:rStyle w:val="StyleUnderline"/>
          <w:highlight w:val="cyan"/>
        </w:rPr>
        <w:t>Joined by</w:t>
      </w:r>
      <w:r w:rsidRPr="00C61A0E">
        <w:rPr>
          <w:sz w:val="16"/>
        </w:rPr>
        <w:t xml:space="preserve"> Chief Justice John </w:t>
      </w:r>
      <w:r w:rsidRPr="00456038">
        <w:rPr>
          <w:rStyle w:val="StyleUnderline"/>
          <w:highlight w:val="cyan"/>
        </w:rPr>
        <w:t>Roberts and</w:t>
      </w:r>
      <w:r w:rsidRPr="00C61A0E">
        <w:rPr>
          <w:sz w:val="16"/>
        </w:rPr>
        <w:t xml:space="preserve"> Justice Clarence </w:t>
      </w:r>
      <w:r w:rsidRPr="00456038">
        <w:rPr>
          <w:rStyle w:val="StyleUnderline"/>
          <w:highlight w:val="cyan"/>
        </w:rPr>
        <w:t>Thomas</w:t>
      </w:r>
      <w:r w:rsidRPr="00C61A0E">
        <w:rPr>
          <w:sz w:val="16"/>
        </w:rPr>
        <w:t xml:space="preserve">, Justice </w:t>
      </w:r>
      <w:r w:rsidRPr="00456038">
        <w:rPr>
          <w:rStyle w:val="StyleUnderline"/>
          <w:highlight w:val="cyan"/>
        </w:rPr>
        <w:t xml:space="preserve">Gorsuch wrote </w:t>
      </w:r>
      <w:r w:rsidRPr="00456038">
        <w:rPr>
          <w:rStyle w:val="Emphasis"/>
          <w:highlight w:val="cyan"/>
        </w:rPr>
        <w:t>a powerful dissent</w:t>
      </w:r>
      <w:r w:rsidRPr="00D366F0">
        <w:rPr>
          <w:rStyle w:val="StyleUnderline"/>
        </w:rPr>
        <w:t xml:space="preserve"> in Gundy v. United</w:t>
      </w:r>
      <w:r w:rsidRPr="00C61A0E">
        <w:rPr>
          <w:sz w:val="16"/>
        </w:rPr>
        <w:t xml:space="preserve"> States. 174 In Gundy, the Court upheld Congress’ delegation of authority to the Attorney General to determine whether people who offended before the Sex Offender Registration and Notification Act (“SORNA”) became law must register pursuant to the provision’s requirements.175 In his dissent, Justice Gorsuch is critical of Congress’ delegation of authority to the Attorney General as “simply pass[ing] the problem to the Attorney General.”176 This </w:t>
      </w:r>
      <w:r w:rsidRPr="00456038">
        <w:rPr>
          <w:rStyle w:val="Emphasis"/>
          <w:highlight w:val="cyan"/>
        </w:rPr>
        <w:t>vast</w:t>
      </w:r>
      <w:r w:rsidRPr="00D366F0">
        <w:rPr>
          <w:rStyle w:val="Emphasis"/>
        </w:rPr>
        <w:t xml:space="preserve"> grant of </w:t>
      </w:r>
      <w:r w:rsidRPr="00456038">
        <w:rPr>
          <w:rStyle w:val="Emphasis"/>
          <w:highlight w:val="cyan"/>
        </w:rPr>
        <w:t>authority</w:t>
      </w:r>
      <w:r w:rsidRPr="00D366F0">
        <w:rPr>
          <w:rStyle w:val="StyleUnderline"/>
        </w:rPr>
        <w:t xml:space="preserve">, per Gorsuch, </w:t>
      </w:r>
      <w:r w:rsidRPr="00D366F0">
        <w:rPr>
          <w:rStyle w:val="Emphasis"/>
        </w:rPr>
        <w:t xml:space="preserve">impermissibly </w:t>
      </w:r>
      <w:r w:rsidRPr="00456038">
        <w:rPr>
          <w:rStyle w:val="Emphasis"/>
          <w:highlight w:val="cyan"/>
        </w:rPr>
        <w:t>imbues</w:t>
      </w:r>
      <w:r w:rsidRPr="00456038">
        <w:rPr>
          <w:rStyle w:val="StyleUnderline"/>
          <w:highlight w:val="cyan"/>
        </w:rPr>
        <w:t xml:space="preserve"> the</w:t>
      </w:r>
      <w:r w:rsidRPr="00D366F0">
        <w:rPr>
          <w:rStyle w:val="StyleUnderline"/>
        </w:rPr>
        <w:t xml:space="preserve"> “</w:t>
      </w:r>
      <w:r w:rsidRPr="00D366F0">
        <w:rPr>
          <w:rStyle w:val="Emphasis"/>
        </w:rPr>
        <w:t xml:space="preserve">nation’s chief </w:t>
      </w:r>
      <w:r w:rsidRPr="00456038">
        <w:rPr>
          <w:rStyle w:val="Emphasis"/>
          <w:highlight w:val="cyan"/>
        </w:rPr>
        <w:t>prosecutor</w:t>
      </w:r>
      <w:r w:rsidRPr="00456038">
        <w:rPr>
          <w:rStyle w:val="StyleUnderline"/>
          <w:highlight w:val="cyan"/>
        </w:rPr>
        <w:t xml:space="preserve"> [with]</w:t>
      </w:r>
      <w:r w:rsidRPr="00D366F0">
        <w:rPr>
          <w:rStyle w:val="StyleUnderline"/>
        </w:rPr>
        <w:t xml:space="preserve"> the power to write </w:t>
      </w:r>
      <w:r w:rsidRPr="00456038">
        <w:rPr>
          <w:rStyle w:val="Emphasis"/>
          <w:highlight w:val="cyan"/>
        </w:rPr>
        <w:t>a criminal code</w:t>
      </w:r>
      <w:r w:rsidRPr="00456038">
        <w:rPr>
          <w:rStyle w:val="StyleUnderline"/>
          <w:highlight w:val="cyan"/>
        </w:rPr>
        <w:t xml:space="preserve"> rife with his own policy choices[.]”</w:t>
      </w:r>
      <w:r w:rsidRPr="00C61A0E">
        <w:rPr>
          <w:sz w:val="16"/>
        </w:rPr>
        <w:t xml:space="preserve">177 This criticism is partly based on his understanding of the intelligible doctrine principle, a central concept on which agency delegation is based. </w:t>
      </w:r>
      <w:r w:rsidRPr="00456038">
        <w:rPr>
          <w:rStyle w:val="Emphasis"/>
          <w:highlight w:val="cyan"/>
        </w:rPr>
        <w:t>The</w:t>
      </w:r>
      <w:r w:rsidRPr="00D366F0">
        <w:rPr>
          <w:rStyle w:val="Emphasis"/>
        </w:rPr>
        <w:t xml:space="preserve"> current, </w:t>
      </w:r>
      <w:r w:rsidRPr="00456038">
        <w:rPr>
          <w:rStyle w:val="Emphasis"/>
          <w:highlight w:val="cyan"/>
        </w:rPr>
        <w:t>“mutated”</w:t>
      </w:r>
      <w:r w:rsidRPr="00C61A0E">
        <w:rPr>
          <w:sz w:val="16"/>
        </w:rPr>
        <w:t xml:space="preserve"> version of the </w:t>
      </w:r>
      <w:r w:rsidRPr="00456038">
        <w:rPr>
          <w:rStyle w:val="StyleUnderline"/>
          <w:highlight w:val="cyan"/>
        </w:rPr>
        <w:t>doctrine</w:t>
      </w:r>
      <w:r w:rsidRPr="00C61A0E">
        <w:rPr>
          <w:sz w:val="16"/>
        </w:rPr>
        <w:t>, he argues, “</w:t>
      </w:r>
      <w:r w:rsidRPr="00456038">
        <w:rPr>
          <w:rStyle w:val="StyleUnderline"/>
          <w:highlight w:val="cyan"/>
        </w:rPr>
        <w:t xml:space="preserve">has </w:t>
      </w:r>
      <w:r w:rsidRPr="00456038">
        <w:rPr>
          <w:rStyle w:val="Emphasis"/>
          <w:highlight w:val="cyan"/>
        </w:rPr>
        <w:t>no basis</w:t>
      </w:r>
      <w:r w:rsidRPr="00456038">
        <w:rPr>
          <w:rStyle w:val="StyleUnderline"/>
          <w:highlight w:val="cyan"/>
        </w:rPr>
        <w:t xml:space="preserve"> in</w:t>
      </w:r>
      <w:r w:rsidRPr="00C61A0E">
        <w:rPr>
          <w:sz w:val="16"/>
        </w:rPr>
        <w:t xml:space="preserve"> the original meaning of </w:t>
      </w:r>
      <w:r w:rsidRPr="00456038">
        <w:rPr>
          <w:rStyle w:val="StyleUnderline"/>
          <w:highlight w:val="cyan"/>
        </w:rPr>
        <w:t>the Constitution</w:t>
      </w:r>
      <w:r w:rsidRPr="00C61A0E">
        <w:rPr>
          <w:sz w:val="16"/>
        </w:rPr>
        <w:t xml:space="preserve">, in history, or even in the decision from which it was plucked.”178 Yet, Justice Gorsuch’s interpretation, on its own, is not the concern. Rather, Justice Samuel Alito’s concurrence signaled a willingness to reconsider the intelligible doctrine principle, “strongly indicat[ing] that in a future case, with Kavanaugh’s vote, </w:t>
      </w:r>
      <w:r w:rsidRPr="00D366F0">
        <w:rPr>
          <w:rStyle w:val="StyleUnderline"/>
        </w:rPr>
        <w:t>the conservatives</w:t>
      </w:r>
      <w:r w:rsidRPr="00C61A0E">
        <w:rPr>
          <w:sz w:val="16"/>
        </w:rPr>
        <w:t xml:space="preserve"> are coming for the intelligible principle doctrine — and </w:t>
      </w:r>
      <w:r w:rsidRPr="00D366F0">
        <w:rPr>
          <w:rStyle w:val="Emphasis"/>
        </w:rPr>
        <w:t>may well smash</w:t>
      </w:r>
      <w:r w:rsidRPr="00D366F0">
        <w:rPr>
          <w:rStyle w:val="StyleUnderline"/>
        </w:rPr>
        <w:t xml:space="preserve"> one of the </w:t>
      </w:r>
      <w:r w:rsidRPr="00D366F0">
        <w:rPr>
          <w:rStyle w:val="Emphasis"/>
        </w:rPr>
        <w:t>basic building blocks</w:t>
      </w:r>
      <w:r w:rsidRPr="00D366F0">
        <w:rPr>
          <w:rStyle w:val="StyleUnderline"/>
        </w:rPr>
        <w:t xml:space="preserve"> of administrative law.”</w:t>
      </w:r>
      <w:r w:rsidRPr="00C61A0E">
        <w:rPr>
          <w:sz w:val="16"/>
        </w:rPr>
        <w:t xml:space="preserve">179 </w:t>
      </w:r>
    </w:p>
    <w:p w14:paraId="03030415" w14:textId="77777777" w:rsidR="00644FD1" w:rsidRPr="003E25C2" w:rsidRDefault="00644FD1" w:rsidP="00644FD1">
      <w:pPr>
        <w:rPr>
          <w:sz w:val="16"/>
        </w:rPr>
      </w:pPr>
      <w:r w:rsidRPr="003E25C2">
        <w:rPr>
          <w:sz w:val="16"/>
        </w:rPr>
        <w:t xml:space="preserve">However, Justice </w:t>
      </w:r>
      <w:r w:rsidRPr="00456038">
        <w:rPr>
          <w:rStyle w:val="StyleUnderline"/>
          <w:highlight w:val="cyan"/>
        </w:rPr>
        <w:t>Gorsuch</w:t>
      </w:r>
      <w:r w:rsidRPr="00C61A0E">
        <w:rPr>
          <w:sz w:val="16"/>
        </w:rPr>
        <w:t>’s</w:t>
      </w:r>
      <w:r w:rsidRPr="003E25C2">
        <w:rPr>
          <w:sz w:val="16"/>
        </w:rPr>
        <w:t xml:space="preserve"> skepticism of the administrative state </w:t>
      </w:r>
      <w:r w:rsidRPr="00456038">
        <w:rPr>
          <w:rStyle w:val="StyleUnderline"/>
          <w:highlight w:val="cyan"/>
        </w:rPr>
        <w:t>signals</w:t>
      </w:r>
      <w:r w:rsidRPr="003E25C2">
        <w:rPr>
          <w:rStyle w:val="StyleUnderline"/>
        </w:rPr>
        <w:t xml:space="preserve"> </w:t>
      </w:r>
      <w:r w:rsidRPr="003E25C2">
        <w:rPr>
          <w:rStyle w:val="Emphasis"/>
        </w:rPr>
        <w:t xml:space="preserve">his broader </w:t>
      </w:r>
      <w:r w:rsidRPr="00456038">
        <w:rPr>
          <w:rStyle w:val="Emphasis"/>
          <w:highlight w:val="cyan"/>
        </w:rPr>
        <w:t>distrust</w:t>
      </w:r>
      <w:r w:rsidRPr="00456038">
        <w:rPr>
          <w:rStyle w:val="StyleUnderline"/>
          <w:highlight w:val="cyan"/>
        </w:rPr>
        <w:t xml:space="preserve"> for government</w:t>
      </w:r>
      <w:r w:rsidRPr="003E25C2">
        <w:rPr>
          <w:rStyle w:val="StyleUnderline"/>
        </w:rPr>
        <w:t xml:space="preserve">, as he has sided against the government </w:t>
      </w:r>
      <w:r w:rsidRPr="00456038">
        <w:rPr>
          <w:rStyle w:val="StyleUnderline"/>
          <w:highlight w:val="cyan"/>
        </w:rPr>
        <w:t>in</w:t>
      </w:r>
      <w:r w:rsidRPr="003E25C2">
        <w:rPr>
          <w:rStyle w:val="StyleUnderline"/>
        </w:rPr>
        <w:t xml:space="preserve"> </w:t>
      </w:r>
      <w:r w:rsidRPr="003E25C2">
        <w:rPr>
          <w:rStyle w:val="Emphasis"/>
        </w:rPr>
        <w:t xml:space="preserve">the </w:t>
      </w:r>
      <w:r w:rsidRPr="00456038">
        <w:rPr>
          <w:rStyle w:val="Emphasis"/>
          <w:highlight w:val="cyan"/>
        </w:rPr>
        <w:t>criminal context</w:t>
      </w:r>
      <w:r w:rsidRPr="003E25C2">
        <w:rPr>
          <w:sz w:val="16"/>
        </w:rPr>
        <w:t xml:space="preserve">.180 </w:t>
      </w:r>
      <w:r w:rsidRPr="003E25C2">
        <w:rPr>
          <w:rStyle w:val="StyleUnderline"/>
        </w:rPr>
        <w:t xml:space="preserve">In </w:t>
      </w:r>
      <w:r w:rsidRPr="00C61A0E">
        <w:rPr>
          <w:rStyle w:val="StyleUnderline"/>
        </w:rPr>
        <w:t>U</w:t>
      </w:r>
      <w:r w:rsidRPr="00C61A0E">
        <w:rPr>
          <w:sz w:val="16"/>
        </w:rPr>
        <w:t>nited</w:t>
      </w:r>
      <w:r w:rsidRPr="003E25C2">
        <w:rPr>
          <w:sz w:val="16"/>
        </w:rPr>
        <w:t xml:space="preserve"> </w:t>
      </w:r>
      <w:r w:rsidRPr="003E25C2">
        <w:rPr>
          <w:rStyle w:val="StyleUnderline"/>
        </w:rPr>
        <w:t>S</w:t>
      </w:r>
      <w:r w:rsidRPr="003E25C2">
        <w:rPr>
          <w:sz w:val="16"/>
        </w:rPr>
        <w:t xml:space="preserve">tates v. </w:t>
      </w:r>
      <w:r w:rsidRPr="00C61A0E">
        <w:rPr>
          <w:rStyle w:val="StyleUnderline"/>
        </w:rPr>
        <w:t>Davis</w:t>
      </w:r>
      <w:r w:rsidRPr="003E25C2">
        <w:rPr>
          <w:rStyle w:val="StyleUnderline"/>
        </w:rPr>
        <w:t xml:space="preserve">, </w:t>
      </w:r>
      <w:r w:rsidRPr="00C61A0E">
        <w:rPr>
          <w:rStyle w:val="StyleUnderline"/>
        </w:rPr>
        <w:t>Gorsuch joined the</w:t>
      </w:r>
      <w:r w:rsidRPr="003E25C2">
        <w:rPr>
          <w:rStyle w:val="StyleUnderline"/>
        </w:rPr>
        <w:t xml:space="preserve"> liberal wing</w:t>
      </w:r>
      <w:r w:rsidRPr="003E25C2">
        <w:rPr>
          <w:sz w:val="16"/>
        </w:rPr>
        <w:t xml:space="preserve"> of the Court in a 5-4 decision </w:t>
      </w:r>
      <w:r w:rsidRPr="003E25C2">
        <w:rPr>
          <w:rStyle w:val="StyleUnderline"/>
        </w:rPr>
        <w:t>“holding</w:t>
      </w:r>
      <w:r w:rsidRPr="003E25C2">
        <w:rPr>
          <w:sz w:val="16"/>
        </w:rPr>
        <w:t xml:space="preserve"> that </w:t>
      </w:r>
      <w:r w:rsidRPr="003E25C2">
        <w:rPr>
          <w:rStyle w:val="Emphasis"/>
        </w:rPr>
        <w:t>a federal law</w:t>
      </w:r>
      <w:r w:rsidRPr="003E25C2">
        <w:rPr>
          <w:rStyle w:val="StyleUnderline"/>
        </w:rPr>
        <w:t xml:space="preserve"> imposing </w:t>
      </w:r>
      <w:r w:rsidRPr="003E25C2">
        <w:rPr>
          <w:rStyle w:val="Emphasis"/>
        </w:rPr>
        <w:t>stricter sentences</w:t>
      </w:r>
      <w:r w:rsidRPr="003E25C2">
        <w:rPr>
          <w:sz w:val="16"/>
        </w:rPr>
        <w:t xml:space="preserve"> on some criminal defendants who use firearms </w:t>
      </w:r>
      <w:r w:rsidRPr="003E25C2">
        <w:rPr>
          <w:rStyle w:val="StyleUnderline"/>
        </w:rPr>
        <w:t xml:space="preserve">is </w:t>
      </w:r>
      <w:r w:rsidRPr="003E25C2">
        <w:rPr>
          <w:rStyle w:val="Emphasis"/>
        </w:rPr>
        <w:t>so vague</w:t>
      </w:r>
      <w:r w:rsidRPr="003E25C2">
        <w:rPr>
          <w:rStyle w:val="StyleUnderline"/>
        </w:rPr>
        <w:t xml:space="preserve"> as to be </w:t>
      </w:r>
      <w:r w:rsidRPr="003E25C2">
        <w:rPr>
          <w:rStyle w:val="Emphasis"/>
        </w:rPr>
        <w:t>unconstitutional</w:t>
      </w:r>
      <w:r w:rsidRPr="003E25C2">
        <w:rPr>
          <w:rStyle w:val="StyleUnderline"/>
        </w:rPr>
        <w:t>.”</w:t>
      </w:r>
      <w:r w:rsidRPr="003E25C2">
        <w:rPr>
          <w:sz w:val="16"/>
        </w:rPr>
        <w:t xml:space="preserve">181 In Davis, Justice Gorsuch sides with the majority’s conclusion “that the text, structure and context of [the provision in question] all suggest that the statute requires courts to look at a generic offense and assess the risk of that offense, rather than the defendant’s conduct” and “ensures that the canon of constitutional avoidance can function as a sword for criminal defendants.”182 Justice </w:t>
      </w:r>
      <w:r w:rsidRPr="00456038">
        <w:rPr>
          <w:rStyle w:val="StyleUnderline"/>
          <w:highlight w:val="cyan"/>
        </w:rPr>
        <w:t>Gorsuch</w:t>
      </w:r>
      <w:r w:rsidRPr="003E25C2">
        <w:rPr>
          <w:sz w:val="16"/>
        </w:rPr>
        <w:t xml:space="preserve"> and the majority’s “concern about judges’ broadening already expansive criminal statutes — is very different from the tone of Kavanaugh’s dissent” and </w:t>
      </w:r>
      <w:r w:rsidRPr="00456038">
        <w:rPr>
          <w:rStyle w:val="StyleUnderline"/>
          <w:highlight w:val="cyan"/>
        </w:rPr>
        <w:t>underscores</w:t>
      </w:r>
      <w:r w:rsidRPr="003E25C2">
        <w:rPr>
          <w:rStyle w:val="StyleUnderline"/>
        </w:rPr>
        <w:t xml:space="preserve"> the </w:t>
      </w:r>
      <w:r w:rsidRPr="00456038">
        <w:rPr>
          <w:rStyle w:val="Emphasis"/>
          <w:highlight w:val="cyan"/>
        </w:rPr>
        <w:t>philosophical differences</w:t>
      </w:r>
      <w:r w:rsidRPr="00456038">
        <w:rPr>
          <w:rStyle w:val="StyleUnderline"/>
          <w:highlight w:val="cyan"/>
        </w:rPr>
        <w:t xml:space="preserve"> between</w:t>
      </w:r>
      <w:r w:rsidRPr="003E25C2">
        <w:rPr>
          <w:rStyle w:val="StyleUnderline"/>
        </w:rPr>
        <w:t xml:space="preserve"> the two </w:t>
      </w:r>
      <w:r w:rsidRPr="00456038">
        <w:rPr>
          <w:rStyle w:val="StyleUnderline"/>
          <w:highlight w:val="cyan"/>
        </w:rPr>
        <w:t>Trump appointees</w:t>
      </w:r>
      <w:r w:rsidRPr="003E25C2">
        <w:rPr>
          <w:rStyle w:val="StyleUnderline"/>
        </w:rPr>
        <w:t xml:space="preserve"> to the Court</w:t>
      </w:r>
      <w:r w:rsidRPr="003E25C2">
        <w:rPr>
          <w:sz w:val="16"/>
        </w:rPr>
        <w:t>.183</w:t>
      </w:r>
    </w:p>
    <w:p w14:paraId="25C04D2E" w14:textId="77777777" w:rsidR="00644FD1" w:rsidRPr="003E25C2" w:rsidRDefault="00644FD1" w:rsidP="00644FD1">
      <w:pPr>
        <w:rPr>
          <w:sz w:val="16"/>
        </w:rPr>
      </w:pPr>
      <w:r w:rsidRPr="003E25C2">
        <w:rPr>
          <w:sz w:val="16"/>
        </w:rPr>
        <w:t xml:space="preserve">To the extent that the current split on the interpretation of a “crime of child abuse” pits the interests of the administrative state and of criminal defendants against one another, Justice </w:t>
      </w:r>
      <w:r w:rsidRPr="003E25C2">
        <w:rPr>
          <w:rStyle w:val="StyleUnderline"/>
        </w:rPr>
        <w:t>Gorsuch’s interpretation</w:t>
      </w:r>
      <w:r w:rsidRPr="003E25C2">
        <w:rPr>
          <w:sz w:val="16"/>
        </w:rPr>
        <w:t xml:space="preserve"> in resolving this conflict </w:t>
      </w:r>
      <w:r w:rsidRPr="003E25C2">
        <w:rPr>
          <w:rStyle w:val="StyleUnderline"/>
        </w:rPr>
        <w:t xml:space="preserve">is likely to have </w:t>
      </w:r>
      <w:r w:rsidRPr="003E25C2">
        <w:rPr>
          <w:rStyle w:val="Emphasis"/>
        </w:rPr>
        <w:t>a critical influence</w:t>
      </w:r>
      <w:r w:rsidRPr="003E25C2">
        <w:rPr>
          <w:rStyle w:val="StyleUnderline"/>
        </w:rPr>
        <w:t xml:space="preserve"> on the Supreme Court’s decision</w:t>
      </w:r>
      <w:r w:rsidRPr="003E25C2">
        <w:rPr>
          <w:sz w:val="16"/>
        </w:rPr>
        <w:t xml:space="preserve">. Yet, to the extent “Gorsuch’s opinion [in Davis] often seems to blur the line between the uncontroversial proposition that courts should treat vague criminal laws with suspicion, and the much more radical proposition that any ambiguous law is constitutionally dubious,” may signal that far more dramatic shifts in the legal landscape of the administrative state await.184 </w:t>
      </w:r>
    </w:p>
    <w:p w14:paraId="13FD9764" w14:textId="7A7A4828" w:rsidR="006A4DFB" w:rsidRDefault="006A4DFB" w:rsidP="000D25BD">
      <w:pPr>
        <w:pStyle w:val="Heading3"/>
      </w:pPr>
      <w:r>
        <w:t>2AC – AT: Elections</w:t>
      </w:r>
    </w:p>
    <w:p w14:paraId="6B07D663" w14:textId="77777777" w:rsidR="006A4DFB" w:rsidRPr="00C80CAB" w:rsidRDefault="006A4DFB" w:rsidP="006A4DFB">
      <w:pPr>
        <w:pStyle w:val="Heading4"/>
        <w:rPr>
          <w:szCs w:val="26"/>
        </w:rPr>
      </w:pPr>
      <w:r w:rsidRPr="00C80CAB">
        <w:rPr>
          <w:szCs w:val="26"/>
        </w:rPr>
        <w:t>Court decisions don’t influence public opinion</w:t>
      </w:r>
    </w:p>
    <w:p w14:paraId="26B88B1A" w14:textId="77777777" w:rsidR="006A4DFB" w:rsidRPr="00684BF3" w:rsidRDefault="006A4DFB" w:rsidP="006A4DFB">
      <w:r w:rsidRPr="00C80CAB">
        <w:rPr>
          <w:rStyle w:val="Heading4Char"/>
          <w:szCs w:val="26"/>
        </w:rPr>
        <w:t>Choi 16</w:t>
      </w:r>
      <w:r w:rsidRPr="00684BF3">
        <w:t xml:space="preserve"> – (Gyu Choi, undergraduate student @ University of California, Berkeley; “THE SUPREME COURT, PUBLIC OPINION, AND THE AFFORDABLE CARE ACT: THE STABILITY OF PARTISAN CLEAVAGE OVER HEALTH CARE”; The Charles H. Percy Undergraduate Grant for Public Affairs Research Papers; D.A. July 2</w:t>
      </w:r>
      <w:r w:rsidRPr="00684BF3">
        <w:rPr>
          <w:vertAlign w:val="superscript"/>
        </w:rPr>
        <w:t>nd</w:t>
      </w:r>
      <w:r w:rsidRPr="00684BF3">
        <w:t xml:space="preserve"> 2020, [Published 2016]; pg. 7-9; </w:t>
      </w:r>
      <w:hyperlink r:id="rId225" w:history="1">
        <w:r w:rsidRPr="00684BF3">
          <w:rPr>
            <w:rStyle w:val="Hyperlink"/>
          </w:rPr>
          <w:t>https://escholarship.org/uc/item/31m8w6x0</w:t>
        </w:r>
      </w:hyperlink>
      <w:r w:rsidRPr="00684BF3">
        <w:t>) //LFS—JCM</w:t>
      </w:r>
    </w:p>
    <w:p w14:paraId="10BD3718" w14:textId="77777777" w:rsidR="006A4DFB" w:rsidRPr="00684BF3" w:rsidRDefault="006A4DFB" w:rsidP="006A4DFB">
      <w:pPr>
        <w:rPr>
          <w:sz w:val="16"/>
        </w:rPr>
      </w:pPr>
      <w:r w:rsidRPr="00684BF3">
        <w:rPr>
          <w:sz w:val="16"/>
        </w:rPr>
        <w:t xml:space="preserve">Ample </w:t>
      </w:r>
      <w:r w:rsidRPr="00684BF3">
        <w:rPr>
          <w:rStyle w:val="Emphasis"/>
        </w:rPr>
        <w:t>evidence</w:t>
      </w:r>
      <w:r w:rsidRPr="00684BF3">
        <w:rPr>
          <w:rStyle w:val="StyleUnderline"/>
        </w:rPr>
        <w:t xml:space="preserve"> suggests </w:t>
      </w:r>
      <w:r w:rsidRPr="00684BF3">
        <w:rPr>
          <w:sz w:val="16"/>
        </w:rPr>
        <w:t xml:space="preserve">that </w:t>
      </w:r>
      <w:r w:rsidRPr="00684BF3">
        <w:rPr>
          <w:rStyle w:val="StyleUnderline"/>
        </w:rPr>
        <w:t xml:space="preserve">the vast majority of Supreme </w:t>
      </w:r>
      <w:r w:rsidRPr="00684BF3">
        <w:rPr>
          <w:rStyle w:val="Emphasis"/>
        </w:rPr>
        <w:t>Court decisions do not change public opinion</w:t>
      </w:r>
      <w:r w:rsidRPr="00684BF3">
        <w:rPr>
          <w:sz w:val="16"/>
        </w:rPr>
        <w:t xml:space="preserve"> at the aggregate level, </w:t>
      </w:r>
      <w:r w:rsidRPr="00684BF3">
        <w:rPr>
          <w:rStyle w:val="Emphasis"/>
        </w:rPr>
        <w:t>even for salient issues</w:t>
      </w:r>
      <w:r w:rsidRPr="00684BF3">
        <w:rPr>
          <w:sz w:val="16"/>
        </w:rPr>
        <w:t xml:space="preserve">. This is mainly due to the simple fact that </w:t>
      </w:r>
      <w:r w:rsidRPr="00684BF3">
        <w:rPr>
          <w:rStyle w:val="StyleUnderline"/>
        </w:rPr>
        <w:t xml:space="preserve">most average </w:t>
      </w:r>
      <w:r w:rsidRPr="00684BF3">
        <w:rPr>
          <w:rStyle w:val="Emphasis"/>
        </w:rPr>
        <w:t>Americans do not have knowledge</w:t>
      </w:r>
      <w:r w:rsidRPr="00684BF3">
        <w:rPr>
          <w:rStyle w:val="StyleUnderline"/>
        </w:rPr>
        <w:t xml:space="preserve"> of the outcome of Supreme Court </w:t>
      </w:r>
      <w:r w:rsidRPr="00684BF3">
        <w:rPr>
          <w:rStyle w:val="Emphasis"/>
        </w:rPr>
        <w:t>decisions</w:t>
      </w:r>
      <w:r w:rsidRPr="00684BF3">
        <w:rPr>
          <w:rStyle w:val="StyleUnderline"/>
        </w:rPr>
        <w:t xml:space="preserve">, the </w:t>
      </w:r>
      <w:r w:rsidRPr="00684BF3">
        <w:rPr>
          <w:rStyle w:val="Emphasis"/>
        </w:rPr>
        <w:t>functions</w:t>
      </w:r>
      <w:r w:rsidRPr="00684BF3">
        <w:rPr>
          <w:rStyle w:val="StyleUnderline"/>
        </w:rPr>
        <w:t xml:space="preserve"> and </w:t>
      </w:r>
      <w:r w:rsidRPr="00684BF3">
        <w:rPr>
          <w:rStyle w:val="Emphasis"/>
        </w:rPr>
        <w:t>roles</w:t>
      </w:r>
      <w:r w:rsidRPr="00684BF3">
        <w:rPr>
          <w:rStyle w:val="StyleUnderline"/>
        </w:rPr>
        <w:t xml:space="preserve"> of the Court, </w:t>
      </w:r>
      <w:r w:rsidRPr="00684BF3">
        <w:rPr>
          <w:rStyle w:val="Emphasis"/>
        </w:rPr>
        <w:t>or</w:t>
      </w:r>
      <w:r w:rsidRPr="00684BF3">
        <w:rPr>
          <w:rStyle w:val="StyleUnderline"/>
        </w:rPr>
        <w:t xml:space="preserve"> even </w:t>
      </w:r>
      <w:r w:rsidRPr="00684BF3">
        <w:rPr>
          <w:rStyle w:val="Emphasis"/>
        </w:rPr>
        <w:t>the existence of the Court</w:t>
      </w:r>
      <w:r w:rsidRPr="00684BF3">
        <w:rPr>
          <w:sz w:val="16"/>
        </w:rPr>
        <w:t xml:space="preserve"> (Murphy and Tanenhaus 1968; Segal, Spaeth, and Benesh 2005). As Jaros and Roper (1980) put it, “</w:t>
      </w:r>
      <w:r w:rsidRPr="00684BF3">
        <w:rPr>
          <w:rStyle w:val="StyleUnderline"/>
        </w:rPr>
        <w:t>Few [Americans] have the necessary awareness [of Court decisions] to give—or withhold—support</w:t>
      </w:r>
      <w:r w:rsidRPr="00684BF3">
        <w:rPr>
          <w:sz w:val="16"/>
        </w:rPr>
        <w:t xml:space="preserve">” (102). Without the relevant knowledge of decisions, </w:t>
      </w:r>
      <w:r w:rsidRPr="00684BF3">
        <w:rPr>
          <w:rStyle w:val="StyleUnderline"/>
        </w:rPr>
        <w:t xml:space="preserve">the </w:t>
      </w:r>
      <w:r w:rsidRPr="00684BF3">
        <w:rPr>
          <w:rStyle w:val="Emphasis"/>
        </w:rPr>
        <w:t>public cannot change</w:t>
      </w:r>
      <w:r w:rsidRPr="00684BF3">
        <w:rPr>
          <w:rStyle w:val="StyleUnderline"/>
        </w:rPr>
        <w:t xml:space="preserve"> its </w:t>
      </w:r>
      <w:r w:rsidRPr="00684BF3">
        <w:rPr>
          <w:rStyle w:val="Emphasis"/>
        </w:rPr>
        <w:t>opinion in any way</w:t>
      </w:r>
      <w:r w:rsidRPr="00684BF3">
        <w:rPr>
          <w:rStyle w:val="StyleUnderline"/>
        </w:rPr>
        <w:t xml:space="preserve"> based </w:t>
      </w:r>
      <w:r w:rsidRPr="00684BF3">
        <w:rPr>
          <w:rStyle w:val="Emphasis"/>
        </w:rPr>
        <w:t>on</w:t>
      </w:r>
      <w:r w:rsidRPr="00684BF3">
        <w:rPr>
          <w:rStyle w:val="StyleUnderline"/>
        </w:rPr>
        <w:t xml:space="preserve"> the outcome of </w:t>
      </w:r>
      <w:r w:rsidRPr="00684BF3">
        <w:rPr>
          <w:rStyle w:val="Emphasis"/>
        </w:rPr>
        <w:t>decisions</w:t>
      </w:r>
      <w:r w:rsidRPr="00684BF3">
        <w:rPr>
          <w:sz w:val="16"/>
        </w:rPr>
        <w:t xml:space="preserve">. This is precisely why many scholars (Baas and Thomas 1984; Gash and Gonzales 2008; Le and Citrin 2008; Luks and Salamone 2008; Marshall 1987, 1989; Murphy and Tanenhaus 1990; Rosenberg 2008) </w:t>
      </w:r>
      <w:r w:rsidRPr="00684BF3">
        <w:rPr>
          <w:rStyle w:val="StyleUnderline"/>
        </w:rPr>
        <w:t>reject the claim</w:t>
      </w:r>
      <w:r w:rsidRPr="00684BF3">
        <w:rPr>
          <w:sz w:val="16"/>
        </w:rPr>
        <w:t xml:space="preserve"> that Supreme </w:t>
      </w:r>
      <w:r w:rsidRPr="00684BF3">
        <w:rPr>
          <w:rStyle w:val="StyleUnderline"/>
        </w:rPr>
        <w:t>Court decisions themselves can shape public attitudes</w:t>
      </w:r>
      <w:r w:rsidRPr="00684BF3">
        <w:rPr>
          <w:sz w:val="16"/>
        </w:rPr>
        <w:t>, explaining that any change in public opinion after the Court decision is most likely the result of the public responding to political leaders or other significant events, rather than to justices.</w:t>
      </w:r>
    </w:p>
    <w:p w14:paraId="45F7549B" w14:textId="77777777" w:rsidR="006A4DFB" w:rsidRPr="00684BF3" w:rsidRDefault="006A4DFB" w:rsidP="006A4DFB">
      <w:pPr>
        <w:rPr>
          <w:sz w:val="16"/>
        </w:rPr>
      </w:pPr>
      <w:r w:rsidRPr="00684BF3">
        <w:rPr>
          <w:sz w:val="16"/>
        </w:rPr>
        <w:t xml:space="preserve">Analyzing aggregate shifts in public opinion by comparing various pre- and post-decision polls, Marshall (1987) finds that </w:t>
      </w:r>
      <w:r w:rsidRPr="00684BF3">
        <w:rPr>
          <w:rStyle w:val="StyleUnderline"/>
        </w:rPr>
        <w:t>there is little or no effect of the Court decisions on public opinion</w:t>
      </w:r>
      <w:r w:rsidRPr="00684BF3">
        <w:rPr>
          <w:sz w:val="16"/>
        </w:rPr>
        <w:t xml:space="preserve">. In the 18 instances he studied, Marshall finds that </w:t>
      </w:r>
      <w:r w:rsidRPr="00684BF3">
        <w:rPr>
          <w:rStyle w:val="StyleUnderline"/>
        </w:rPr>
        <w:t xml:space="preserve">the average </w:t>
      </w:r>
      <w:r w:rsidRPr="00684BF3">
        <w:rPr>
          <w:rStyle w:val="Emphasis"/>
        </w:rPr>
        <w:t>shift of public opinion</w:t>
      </w:r>
      <w:r w:rsidRPr="00684BF3">
        <w:rPr>
          <w:rStyle w:val="StyleUnderline"/>
        </w:rPr>
        <w:t xml:space="preserve"> in the direction of the Court’s decisions was </w:t>
      </w:r>
      <w:r w:rsidRPr="00684BF3">
        <w:rPr>
          <w:rStyle w:val="Emphasis"/>
        </w:rPr>
        <w:t>essentially zero percent</w:t>
      </w:r>
      <w:r w:rsidRPr="00684BF3">
        <w:rPr>
          <w:sz w:val="16"/>
        </w:rPr>
        <w:t xml:space="preserve">. However, it is important to note here that Marshall’s study relies on the “average” (arithmetic mean) of public opinion shifts of 18 selected cases. A simple example might help illustrate the implication of this caveat. Finding the mean of opinion shifts requires adding two or more opinion shifts (positive if toward the direction of the Court and negative if not) and dividing the sum by the number of cases. So for instance, a post-decision poll that shows a 10% increase of public support for Court decision A (as a positive value) and a 10% decrease of public support for Court decision B (as a negative value) will average out as a net 0% change in the overall public opinion, when in fact each shift in these cases, if considered as an absolute value, clearly shows a significant move toward and away from Court decisions. Likewise, Marshall (1987) claims that Loving v. Virginia, which yielded a 10% increase in support for interracial marriage,1 and </w:t>
      </w:r>
      <w:r w:rsidRPr="00684BF3">
        <w:rPr>
          <w:rStyle w:val="StyleUnderline"/>
        </w:rPr>
        <w:t>Furman v. Georgia</w:t>
      </w:r>
      <w:r w:rsidRPr="00684BF3">
        <w:rPr>
          <w:sz w:val="16"/>
        </w:rPr>
        <w:t xml:space="preserve">, which </w:t>
      </w:r>
      <w:r w:rsidRPr="00684BF3">
        <w:rPr>
          <w:rStyle w:val="StyleUnderline"/>
        </w:rPr>
        <w:t>resulted in a 9% decrease in support for elimination of death penalty</w:t>
      </w:r>
      <w:r w:rsidRPr="00684BF3">
        <w:rPr>
          <w:sz w:val="16"/>
        </w:rPr>
        <w:t xml:space="preserve">,2 </w:t>
      </w:r>
      <w:r w:rsidRPr="00684BF3">
        <w:rPr>
          <w:rStyle w:val="StyleUnderline"/>
        </w:rPr>
        <w:t xml:space="preserve">indicate that the </w:t>
      </w:r>
      <w:r w:rsidRPr="00684BF3">
        <w:rPr>
          <w:rStyle w:val="Emphasis"/>
        </w:rPr>
        <w:t>average shift toward the Court’s position</w:t>
      </w:r>
      <w:r w:rsidRPr="00684BF3">
        <w:rPr>
          <w:rStyle w:val="StyleUnderline"/>
        </w:rPr>
        <w:t xml:space="preserve"> is only </w:t>
      </w:r>
      <w:r w:rsidRPr="00684BF3">
        <w:rPr>
          <w:rStyle w:val="Emphasis"/>
        </w:rPr>
        <w:t>1%</w:t>
      </w:r>
      <w:r w:rsidRPr="00684BF3">
        <w:rPr>
          <w:rStyle w:val="StyleUnderline"/>
        </w:rPr>
        <w:t>.</w:t>
      </w:r>
      <w:r w:rsidRPr="00684BF3">
        <w:rPr>
          <w:sz w:val="16"/>
        </w:rPr>
        <w:t xml:space="preserve"> Using this approach, Marshall (1987) finds that the average shift from pre- to post-decision polls of the 18 decisions he studied is only 0.06%, even though there are extreme instances in which as many as 20% of respondents switching their opinion toward the Court’s position.</w:t>
      </w:r>
    </w:p>
    <w:p w14:paraId="3C75A3B0" w14:textId="77777777" w:rsidR="006A4DFB" w:rsidRPr="00684BF3" w:rsidRDefault="006A4DFB" w:rsidP="006A4DFB">
      <w:pPr>
        <w:rPr>
          <w:sz w:val="16"/>
        </w:rPr>
      </w:pPr>
      <w:r w:rsidRPr="00684BF3">
        <w:rPr>
          <w:sz w:val="16"/>
        </w:rPr>
        <w:t xml:space="preserve">However, one must not hastily conclude that these extreme instances alone nullify the “no effect” hypothesis. In fact, in the same study (Marshall 1987), there were several individual instances where virtually no respondents altered their opinion before and after the decisions, such as in United Steelworkers of America v. Weber (affirmative action in industry) and Bob Jones University v. United States (revoking tax exemptions for segregated religious schools). Other </w:t>
      </w:r>
      <w:r w:rsidRPr="00684BF3">
        <w:rPr>
          <w:rStyle w:val="StyleUnderline"/>
        </w:rPr>
        <w:t>studies agree</w:t>
      </w:r>
      <w:r w:rsidRPr="00684BF3">
        <w:rPr>
          <w:sz w:val="16"/>
        </w:rPr>
        <w:t xml:space="preserve"> with Marshall (1987, 1989) that </w:t>
      </w:r>
      <w:r w:rsidRPr="00684BF3">
        <w:rPr>
          <w:rStyle w:val="StyleUnderline"/>
        </w:rPr>
        <w:t xml:space="preserve">the </w:t>
      </w:r>
      <w:r w:rsidRPr="00684BF3">
        <w:rPr>
          <w:rStyle w:val="Emphasis"/>
        </w:rPr>
        <w:t>Court cannot shape public opinion</w:t>
      </w:r>
      <w:r w:rsidRPr="00684BF3">
        <w:rPr>
          <w:rStyle w:val="StyleUnderline"/>
        </w:rPr>
        <w:t xml:space="preserve">, pointing that the </w:t>
      </w:r>
      <w:r w:rsidRPr="00684BF3">
        <w:rPr>
          <w:rStyle w:val="Emphasis"/>
        </w:rPr>
        <w:t>Court can neither influence</w:t>
      </w:r>
      <w:r w:rsidRPr="00684BF3">
        <w:rPr>
          <w:rStyle w:val="StyleUnderline"/>
        </w:rPr>
        <w:t xml:space="preserve"> public </w:t>
      </w:r>
      <w:r w:rsidRPr="00684BF3">
        <w:rPr>
          <w:rStyle w:val="Emphasis"/>
        </w:rPr>
        <w:t>opinion</w:t>
      </w:r>
      <w:r w:rsidRPr="00684BF3">
        <w:rPr>
          <w:rStyle w:val="StyleUnderline"/>
        </w:rPr>
        <w:t xml:space="preserve"> on </w:t>
      </w:r>
      <w:r w:rsidRPr="00684BF3">
        <w:rPr>
          <w:rStyle w:val="Emphasis"/>
        </w:rPr>
        <w:t>non-landmark cases</w:t>
      </w:r>
      <w:r w:rsidRPr="00684BF3">
        <w:rPr>
          <w:sz w:val="16"/>
        </w:rPr>
        <w:t xml:space="preserve"> (Johnson and Martin 1998) </w:t>
      </w:r>
      <w:r w:rsidRPr="00684BF3">
        <w:rPr>
          <w:rStyle w:val="Emphasis"/>
        </w:rPr>
        <w:t>nor move people</w:t>
      </w:r>
      <w:r w:rsidRPr="00684BF3">
        <w:rPr>
          <w:rStyle w:val="StyleUnderline"/>
        </w:rPr>
        <w:t xml:space="preserve"> toward its articulated positions</w:t>
      </w:r>
      <w:r w:rsidRPr="00684BF3">
        <w:rPr>
          <w:sz w:val="16"/>
        </w:rPr>
        <w:t xml:space="preserve"> (Rosenberg 2008).</w:t>
      </w:r>
    </w:p>
    <w:p w14:paraId="08156790" w14:textId="77777777" w:rsidR="006A4DFB" w:rsidRPr="00684BF3" w:rsidRDefault="006A4DFB" w:rsidP="006A4DFB">
      <w:pPr>
        <w:rPr>
          <w:sz w:val="16"/>
        </w:rPr>
      </w:pPr>
      <w:r w:rsidRPr="00684BF3">
        <w:rPr>
          <w:sz w:val="16"/>
        </w:rPr>
        <w:t xml:space="preserve">The non-effect of Court decisions on public opinion stems from various factors. </w:t>
      </w:r>
      <w:r w:rsidRPr="00684BF3">
        <w:rPr>
          <w:rStyle w:val="StyleUnderline"/>
        </w:rPr>
        <w:t xml:space="preserve">One strong argument in favor of the irrelevance of Supreme Court decisions on public opinion is that </w:t>
      </w:r>
      <w:r w:rsidRPr="00684BF3">
        <w:rPr>
          <w:rStyle w:val="Emphasis"/>
        </w:rPr>
        <w:t>people’s attitude about salient issues is</w:t>
      </w:r>
      <w:r w:rsidRPr="00684BF3">
        <w:rPr>
          <w:rStyle w:val="StyleUnderline"/>
        </w:rPr>
        <w:t xml:space="preserve"> often </w:t>
      </w:r>
      <w:r w:rsidRPr="00684BF3">
        <w:rPr>
          <w:rStyle w:val="Emphasis"/>
        </w:rPr>
        <w:t>firmly fixed</w:t>
      </w:r>
      <w:r w:rsidRPr="00684BF3">
        <w:rPr>
          <w:sz w:val="16"/>
        </w:rPr>
        <w:t xml:space="preserve">. Thus, </w:t>
      </w:r>
      <w:r w:rsidRPr="00684BF3">
        <w:rPr>
          <w:rStyle w:val="StyleUnderline"/>
        </w:rPr>
        <w:t>even if people have the relevant information concerning the Court</w:t>
      </w:r>
      <w:r w:rsidRPr="00684BF3">
        <w:rPr>
          <w:sz w:val="16"/>
        </w:rPr>
        <w:t xml:space="preserve"> and its decisions, </w:t>
      </w:r>
      <w:r w:rsidRPr="00684BF3">
        <w:rPr>
          <w:rStyle w:val="StyleUnderline"/>
        </w:rPr>
        <w:t xml:space="preserve">we may expect to see </w:t>
      </w:r>
      <w:r w:rsidRPr="00684BF3">
        <w:rPr>
          <w:rStyle w:val="Emphasis"/>
        </w:rPr>
        <w:t>no significant shift in opinion for salient issues</w:t>
      </w:r>
      <w:r w:rsidRPr="00684BF3">
        <w:rPr>
          <w:rStyle w:val="StyleUnderline"/>
        </w:rPr>
        <w:t>, on which people usually have cemented their opinion</w:t>
      </w:r>
      <w:r w:rsidRPr="00684BF3">
        <w:rPr>
          <w:sz w:val="16"/>
        </w:rPr>
        <w:t xml:space="preserve"> well before they learn about the decision (Persily 2008). Therefore, in order to conclude that the Court decisions shift public attitudes on salient issues, we need significant segments of the public to be willing to change opinion.</w:t>
      </w:r>
    </w:p>
    <w:p w14:paraId="402F20BD" w14:textId="0E912392" w:rsidR="006A4DFB" w:rsidRPr="006A4DFB" w:rsidRDefault="006A4DFB" w:rsidP="006A4DFB">
      <w:pPr>
        <w:rPr>
          <w:sz w:val="16"/>
        </w:rPr>
      </w:pPr>
      <w:r w:rsidRPr="00684BF3">
        <w:rPr>
          <w:sz w:val="16"/>
        </w:rPr>
        <w:t xml:space="preserve">Furthermore, </w:t>
      </w:r>
      <w:r w:rsidRPr="00684BF3">
        <w:rPr>
          <w:rStyle w:val="StyleUnderline"/>
        </w:rPr>
        <w:t xml:space="preserve">most Court decisions are </w:t>
      </w:r>
      <w:r w:rsidRPr="00684BF3">
        <w:rPr>
          <w:rStyle w:val="Emphasis"/>
        </w:rPr>
        <w:t>too complex</w:t>
      </w:r>
      <w:r w:rsidRPr="00684BF3">
        <w:rPr>
          <w:rStyle w:val="StyleUnderline"/>
        </w:rPr>
        <w:t xml:space="preserve"> to </w:t>
      </w:r>
      <w:r w:rsidRPr="00684BF3">
        <w:rPr>
          <w:rStyle w:val="Emphasis"/>
        </w:rPr>
        <w:t>generate</w:t>
      </w:r>
      <w:r w:rsidRPr="00684BF3">
        <w:rPr>
          <w:rStyle w:val="StyleUnderline"/>
        </w:rPr>
        <w:t xml:space="preserve"> extensive, </w:t>
      </w:r>
      <w:r w:rsidRPr="00684BF3">
        <w:rPr>
          <w:rStyle w:val="Emphasis"/>
        </w:rPr>
        <w:t>coherent media coverage</w:t>
      </w:r>
      <w:r w:rsidRPr="00684BF3">
        <w:rPr>
          <w:sz w:val="16"/>
        </w:rPr>
        <w:t xml:space="preserve">, </w:t>
      </w:r>
      <w:r w:rsidRPr="00684BF3">
        <w:rPr>
          <w:rStyle w:val="StyleUnderline"/>
        </w:rPr>
        <w:t>without which the public cannot receive information about the rulings</w:t>
      </w:r>
      <w:r w:rsidRPr="00684BF3">
        <w:rPr>
          <w:sz w:val="16"/>
        </w:rPr>
        <w:t xml:space="preserve"> to form an opinion. For example, </w:t>
      </w:r>
      <w:r w:rsidRPr="00684BF3">
        <w:rPr>
          <w:rStyle w:val="StyleUnderline"/>
        </w:rPr>
        <w:t>federalism decisions</w:t>
      </w:r>
      <w:r w:rsidRPr="00684BF3">
        <w:rPr>
          <w:sz w:val="16"/>
        </w:rPr>
        <w:t xml:space="preserve"> of the Rehnquist Court, </w:t>
      </w:r>
      <w:r w:rsidRPr="00684BF3">
        <w:rPr>
          <w:rStyle w:val="StyleUnderline"/>
        </w:rPr>
        <w:t>despite their significance</w:t>
      </w:r>
      <w:r w:rsidRPr="00684BF3">
        <w:rPr>
          <w:sz w:val="16"/>
        </w:rPr>
        <w:t xml:space="preserve"> for legal doctrine, </w:t>
      </w:r>
      <w:r w:rsidRPr="00684BF3">
        <w:rPr>
          <w:rStyle w:val="StyleUnderline"/>
        </w:rPr>
        <w:t xml:space="preserve">have no observable effect on public opinion because </w:t>
      </w:r>
      <w:r w:rsidRPr="00684BF3">
        <w:rPr>
          <w:rStyle w:val="Emphasis"/>
        </w:rPr>
        <w:t>they are too complex</w:t>
      </w:r>
      <w:r w:rsidRPr="00684BF3">
        <w:rPr>
          <w:sz w:val="16"/>
        </w:rPr>
        <w:t xml:space="preserve"> for a general American to understand (Mullin 2008). Similarly, </w:t>
      </w:r>
      <w:r w:rsidRPr="00684BF3">
        <w:rPr>
          <w:rStyle w:val="StyleUnderline"/>
        </w:rPr>
        <w:t>the Court’s terrorism decisions</w:t>
      </w:r>
      <w:r w:rsidRPr="00684BF3">
        <w:rPr>
          <w:sz w:val="16"/>
        </w:rPr>
        <w:t>— Hamdi v. Rumsfeld (2004), Rasul v. Bush (2004), and Rumsfeld v. Padilla (2004)—</w:t>
      </w:r>
      <w:r w:rsidRPr="00684BF3">
        <w:rPr>
          <w:rStyle w:val="Emphasis"/>
        </w:rPr>
        <w:t>do not</w:t>
      </w:r>
      <w:r w:rsidRPr="00684BF3">
        <w:rPr>
          <w:rStyle w:val="StyleUnderline"/>
        </w:rPr>
        <w:t xml:space="preserve"> seem to have </w:t>
      </w:r>
      <w:r w:rsidRPr="00684BF3">
        <w:rPr>
          <w:rStyle w:val="Emphasis"/>
        </w:rPr>
        <w:t>impact</w:t>
      </w:r>
      <w:r w:rsidRPr="00684BF3">
        <w:rPr>
          <w:rStyle w:val="StyleUnderline"/>
        </w:rPr>
        <w:t xml:space="preserve"> on </w:t>
      </w:r>
      <w:r w:rsidRPr="00684BF3">
        <w:rPr>
          <w:rStyle w:val="Emphasis"/>
        </w:rPr>
        <w:t>public opinion</w:t>
      </w:r>
      <w:r w:rsidRPr="00684BF3">
        <w:rPr>
          <w:rStyle w:val="StyleUnderline"/>
        </w:rPr>
        <w:t xml:space="preserve"> because of the </w:t>
      </w:r>
      <w:r w:rsidRPr="00684BF3">
        <w:rPr>
          <w:rStyle w:val="Emphasis"/>
        </w:rPr>
        <w:t>obscure legal issues</w:t>
      </w:r>
      <w:r w:rsidRPr="00684BF3">
        <w:rPr>
          <w:rStyle w:val="StyleUnderline"/>
        </w:rPr>
        <w:t xml:space="preserve"> involved in these cases</w:t>
      </w:r>
      <w:r w:rsidRPr="00684BF3">
        <w:rPr>
          <w:sz w:val="16"/>
        </w:rPr>
        <w:t xml:space="preserve">, which </w:t>
      </w:r>
      <w:r w:rsidRPr="00684BF3">
        <w:rPr>
          <w:rStyle w:val="StyleUnderline"/>
        </w:rPr>
        <w:t>stymie people’s ability to assess their opinion on national security</w:t>
      </w:r>
      <w:r w:rsidRPr="00684BF3">
        <w:rPr>
          <w:sz w:val="16"/>
        </w:rPr>
        <w:t xml:space="preserve"> using Court decisions as cues (Goux, Egan, and Citrin 2008). </w:t>
      </w:r>
      <w:r w:rsidRPr="00684BF3">
        <w:rPr>
          <w:rStyle w:val="Emphasis"/>
        </w:rPr>
        <w:t>Even on</w:t>
      </w:r>
      <w:r w:rsidRPr="00684BF3">
        <w:rPr>
          <w:sz w:val="16"/>
        </w:rPr>
        <w:t xml:space="preserve"> relatively </w:t>
      </w:r>
      <w:r w:rsidRPr="00684BF3">
        <w:rPr>
          <w:rStyle w:val="Emphasis"/>
        </w:rPr>
        <w:t>simple issues</w:t>
      </w:r>
      <w:r w:rsidRPr="00684BF3">
        <w:rPr>
          <w:rStyle w:val="StyleUnderline"/>
        </w:rPr>
        <w:t xml:space="preserve"> like affirmative action</w:t>
      </w:r>
      <w:r w:rsidRPr="00684BF3">
        <w:rPr>
          <w:sz w:val="16"/>
        </w:rPr>
        <w:t xml:space="preserve">, </w:t>
      </w:r>
      <w:r w:rsidRPr="00684BF3">
        <w:rPr>
          <w:rStyle w:val="StyleUnderline"/>
        </w:rPr>
        <w:t>the public is not persuaded when the Court itself confuses people through</w:t>
      </w:r>
      <w:r w:rsidRPr="00684BF3">
        <w:rPr>
          <w:sz w:val="16"/>
        </w:rPr>
        <w:t xml:space="preserve"> several conflicting, </w:t>
      </w:r>
      <w:r w:rsidRPr="00684BF3">
        <w:rPr>
          <w:rStyle w:val="StyleUnderline"/>
        </w:rPr>
        <w:t>nuanced, and divided decisions</w:t>
      </w:r>
      <w:r w:rsidRPr="00684BF3">
        <w:rPr>
          <w:sz w:val="16"/>
        </w:rPr>
        <w:t xml:space="preserve"> over a long period of time (Le and Citrin 2008).</w:t>
      </w:r>
    </w:p>
    <w:p w14:paraId="0E674DEC" w14:textId="395F3193" w:rsidR="000D25BD" w:rsidRPr="00595928" w:rsidRDefault="000D25BD" w:rsidP="000D25BD">
      <w:pPr>
        <w:pStyle w:val="Heading3"/>
      </w:pPr>
      <w:r>
        <w:t xml:space="preserve">2AC – </w:t>
      </w:r>
      <w:r w:rsidR="006966A8">
        <w:t xml:space="preserve">AT: </w:t>
      </w:r>
      <w:r>
        <w:t>Taxes DA</w:t>
      </w:r>
    </w:p>
    <w:p w14:paraId="2C251813" w14:textId="75F5A780" w:rsidR="000D25BD" w:rsidRDefault="000D25BD" w:rsidP="000D25BD">
      <w:pPr>
        <w:pStyle w:val="Heading4"/>
      </w:pPr>
      <w:r>
        <w:t xml:space="preserve">The squo makes the tax code </w:t>
      </w:r>
      <w:r>
        <w:rPr>
          <w:u w:val="single"/>
        </w:rPr>
        <w:t>incoherent</w:t>
      </w:r>
      <w:r>
        <w:t>.</w:t>
      </w:r>
    </w:p>
    <w:p w14:paraId="2619535E" w14:textId="77777777" w:rsidR="000D25BD" w:rsidRPr="005A49E2" w:rsidRDefault="000D25BD" w:rsidP="000D25BD">
      <w:r w:rsidRPr="00E7574B">
        <w:rPr>
          <w:rStyle w:val="Style13ptBold"/>
        </w:rPr>
        <w:t>Miller 17</w:t>
      </w:r>
      <w:r>
        <w:t xml:space="preserve"> – Caitlin Miller, JD at Hofstra University the same year. [The Balancing Act Between Chevron Deference and The Rule of Lenity, 18 Tex. Tech. Admin. L. J. 193, Nexis Uni]//BPS</w:t>
      </w:r>
    </w:p>
    <w:p w14:paraId="349FF50C" w14:textId="77777777" w:rsidR="000D25BD" w:rsidRPr="00F234DF" w:rsidRDefault="000D25BD" w:rsidP="000D25BD">
      <w:pPr>
        <w:rPr>
          <w:u w:val="single"/>
        </w:rPr>
      </w:pPr>
      <w:r w:rsidRPr="005A49E2">
        <w:rPr>
          <w:sz w:val="16"/>
        </w:rPr>
        <w:t xml:space="preserve">VII. </w:t>
      </w:r>
      <w:r w:rsidRPr="005B44C7">
        <w:rPr>
          <w:rStyle w:val="StyleUnderline"/>
        </w:rPr>
        <w:t>CHEVRON, LENITY, AND TAX</w:t>
      </w:r>
    </w:p>
    <w:p w14:paraId="7788942A" w14:textId="77777777" w:rsidR="000D25BD" w:rsidRPr="005A49E2" w:rsidRDefault="000D25BD" w:rsidP="000D25BD">
      <w:pPr>
        <w:rPr>
          <w:sz w:val="16"/>
        </w:rPr>
      </w:pPr>
      <w:r w:rsidRPr="005A49E2">
        <w:rPr>
          <w:sz w:val="16"/>
        </w:rPr>
        <w:t xml:space="preserve">The laws of </w:t>
      </w:r>
      <w:r w:rsidRPr="005B44C7">
        <w:rPr>
          <w:rStyle w:val="StyleUnderline"/>
        </w:rPr>
        <w:t>tax</w:t>
      </w:r>
      <w:r w:rsidRPr="005A49E2">
        <w:rPr>
          <w:sz w:val="16"/>
        </w:rPr>
        <w:t xml:space="preserve"> can </w:t>
      </w:r>
      <w:r w:rsidRPr="005B44C7">
        <w:rPr>
          <w:rStyle w:val="StyleUnderline"/>
        </w:rPr>
        <w:t>have both criminal and civil implications</w:t>
      </w:r>
      <w:r w:rsidRPr="005A49E2">
        <w:rPr>
          <w:sz w:val="16"/>
        </w:rPr>
        <w:t xml:space="preserve">, especially </w:t>
      </w:r>
      <w:r w:rsidRPr="005B44C7">
        <w:rPr>
          <w:rStyle w:val="StyleUnderline"/>
        </w:rPr>
        <w:t xml:space="preserve">in regard to </w:t>
      </w:r>
      <w:r w:rsidRPr="005B44C7">
        <w:rPr>
          <w:rStyle w:val="Emphasis"/>
        </w:rPr>
        <w:t>the IRS</w:t>
      </w:r>
      <w:r w:rsidRPr="005A49E2">
        <w:rPr>
          <w:sz w:val="16"/>
        </w:rPr>
        <w:t>. So, when a law has both criminal and civil implications under the tax code, which rule of law would apply?</w:t>
      </w:r>
    </w:p>
    <w:p w14:paraId="4DA9020C" w14:textId="77777777" w:rsidR="000D25BD" w:rsidRPr="005A49E2" w:rsidRDefault="000D25BD" w:rsidP="000D25BD">
      <w:pPr>
        <w:rPr>
          <w:sz w:val="16"/>
        </w:rPr>
      </w:pPr>
      <w:r w:rsidRPr="005A49E2">
        <w:rPr>
          <w:sz w:val="16"/>
        </w:rPr>
        <w:t xml:space="preserve">Some of </w:t>
      </w:r>
      <w:r w:rsidRPr="005B44C7">
        <w:rPr>
          <w:rStyle w:val="StyleUnderline"/>
        </w:rPr>
        <w:t>the</w:t>
      </w:r>
      <w:r w:rsidRPr="005A49E2">
        <w:rPr>
          <w:sz w:val="16"/>
        </w:rPr>
        <w:t xml:space="preserve"> Supreme </w:t>
      </w:r>
      <w:r w:rsidRPr="005B44C7">
        <w:rPr>
          <w:rStyle w:val="StyleUnderline"/>
        </w:rPr>
        <w:t xml:space="preserve">Court's opinions </w:t>
      </w:r>
      <w:r w:rsidRPr="005B44C7">
        <w:rPr>
          <w:rStyle w:val="Emphasis"/>
        </w:rPr>
        <w:t>hint</w:t>
      </w:r>
      <w:r w:rsidRPr="005A49E2">
        <w:rPr>
          <w:sz w:val="16"/>
        </w:rPr>
        <w:t xml:space="preserve"> that </w:t>
      </w:r>
      <w:r w:rsidRPr="005B44C7">
        <w:rPr>
          <w:rStyle w:val="StyleUnderline"/>
        </w:rPr>
        <w:t xml:space="preserve">lenity </w:t>
      </w:r>
      <w:r w:rsidRPr="005B44C7">
        <w:rPr>
          <w:rStyle w:val="Emphasis"/>
        </w:rPr>
        <w:t>may well 'trump'</w:t>
      </w:r>
      <w:r w:rsidRPr="005B44C7">
        <w:rPr>
          <w:rStyle w:val="StyleUnderline"/>
        </w:rPr>
        <w:t xml:space="preserve"> deference</w:t>
      </w:r>
      <w:r w:rsidRPr="005A49E2">
        <w:rPr>
          <w:sz w:val="16"/>
        </w:rPr>
        <w:t xml:space="preserve"> principles in civil cases involving regulatory statutes, like the  [*217]  Code, that provide for both criminal and civil enforcement mechanisms. </w:t>
      </w:r>
      <w:r w:rsidRPr="00F234DF">
        <w:rPr>
          <w:rStyle w:val="StyleUnderline"/>
        </w:rPr>
        <w:t xml:space="preserve">Other opinions of the Court hint </w:t>
      </w:r>
      <w:r w:rsidRPr="00F234DF">
        <w:rPr>
          <w:rStyle w:val="Emphasis"/>
        </w:rPr>
        <w:t>the opposite</w:t>
      </w:r>
      <w:r w:rsidRPr="00F234DF">
        <w:rPr>
          <w:rStyle w:val="StyleUnderline"/>
        </w:rPr>
        <w:t xml:space="preserve">. By pursuing tax lawyers and accountants </w:t>
      </w:r>
      <w:r w:rsidRPr="00F234DF">
        <w:rPr>
          <w:rStyle w:val="Emphasis"/>
        </w:rPr>
        <w:t>criminally</w:t>
      </w:r>
      <w:r w:rsidRPr="00F234DF">
        <w:rPr>
          <w:rStyle w:val="StyleUnderline"/>
        </w:rPr>
        <w:t xml:space="preserve"> for</w:t>
      </w:r>
      <w:r w:rsidRPr="005A49E2">
        <w:rPr>
          <w:sz w:val="16"/>
        </w:rPr>
        <w:t xml:space="preserve"> planning and promoting </w:t>
      </w:r>
      <w:r w:rsidRPr="00F234DF">
        <w:rPr>
          <w:rStyle w:val="Emphasis"/>
        </w:rPr>
        <w:t>tax shelters</w:t>
      </w:r>
      <w:r w:rsidRPr="00F234DF">
        <w:rPr>
          <w:rStyle w:val="StyleUnderline"/>
        </w:rPr>
        <w:t xml:space="preserve">, the executive branch is plunging </w:t>
      </w:r>
      <w:r w:rsidRPr="00F234DF">
        <w:rPr>
          <w:rStyle w:val="Emphasis"/>
        </w:rPr>
        <w:t>headlong</w:t>
      </w:r>
      <w:r w:rsidRPr="00F234DF">
        <w:rPr>
          <w:rStyle w:val="StyleUnderline"/>
        </w:rPr>
        <w:t xml:space="preserve"> into </w:t>
      </w:r>
      <w:r w:rsidRPr="00F234DF">
        <w:rPr>
          <w:rStyle w:val="Emphasis"/>
        </w:rPr>
        <w:t>this bramble bush</w:t>
      </w:r>
      <w:r w:rsidRPr="005A49E2">
        <w:rPr>
          <w:sz w:val="16"/>
        </w:rPr>
        <w:t xml:space="preserve"> and may actually push the courts to decide between lenity and deference. The question that arises, therefore, is whether the courts could really choose the taxpayer-friendly rule of lenity over the pro-government deference doctrines for Code interpretation in civil as well as criminal enforcement actions.</w:t>
      </w:r>
    </w:p>
    <w:p w14:paraId="67C06AB0" w14:textId="77777777" w:rsidR="000D25BD" w:rsidRPr="005A49E2" w:rsidRDefault="000D25BD" w:rsidP="000D25BD">
      <w:pPr>
        <w:rPr>
          <w:sz w:val="16"/>
        </w:rPr>
      </w:pPr>
      <w:r w:rsidRPr="005A49E2">
        <w:rPr>
          <w:sz w:val="16"/>
        </w:rPr>
        <w:t xml:space="preserve">The tax court, along with the tax code and other statutes, may be the first area for courts to determine if the rule of lenity or Chevron Deference should apply. Because </w:t>
      </w:r>
      <w:r w:rsidRPr="00F234DF">
        <w:rPr>
          <w:rStyle w:val="StyleUnderline"/>
        </w:rPr>
        <w:t>the outcomes of</w:t>
      </w:r>
      <w:r w:rsidRPr="005A49E2">
        <w:rPr>
          <w:sz w:val="16"/>
        </w:rPr>
        <w:t xml:space="preserve"> the rule of </w:t>
      </w:r>
      <w:r w:rsidRPr="00F234DF">
        <w:rPr>
          <w:rStyle w:val="StyleUnderline"/>
        </w:rPr>
        <w:t>lenity and Chevron</w:t>
      </w:r>
      <w:r w:rsidRPr="005A49E2">
        <w:rPr>
          <w:sz w:val="16"/>
        </w:rPr>
        <w:t xml:space="preserve"> Deference </w:t>
      </w:r>
      <w:r w:rsidRPr="00F234DF">
        <w:rPr>
          <w:rStyle w:val="StyleUnderline"/>
        </w:rPr>
        <w:t xml:space="preserve">are </w:t>
      </w:r>
      <w:r w:rsidRPr="00F234DF">
        <w:rPr>
          <w:rStyle w:val="Emphasis"/>
        </w:rPr>
        <w:t>completely opposite</w:t>
      </w:r>
      <w:r w:rsidRPr="005A49E2">
        <w:rPr>
          <w:sz w:val="16"/>
        </w:rPr>
        <w:t>, they are clearly not compatible.</w:t>
      </w:r>
    </w:p>
    <w:p w14:paraId="5BC9C418" w14:textId="77777777" w:rsidR="000D25BD" w:rsidRPr="005A49E2" w:rsidRDefault="000D25BD" w:rsidP="000D25BD">
      <w:pPr>
        <w:rPr>
          <w:sz w:val="16"/>
        </w:rPr>
      </w:pPr>
      <w:r w:rsidRPr="005A49E2">
        <w:rPr>
          <w:sz w:val="16"/>
        </w:rPr>
        <w:t>Chevron Deference and the tax court have not always seen eye-to-eye, debating about how much weight should be given to it in the tax court system.</w:t>
      </w:r>
    </w:p>
    <w:p w14:paraId="6674A49C" w14:textId="77777777" w:rsidR="000D25BD" w:rsidRPr="005A49E2" w:rsidRDefault="000D25BD" w:rsidP="000D25BD">
      <w:pPr>
        <w:ind w:left="720"/>
        <w:rPr>
          <w:sz w:val="16"/>
        </w:rPr>
      </w:pPr>
      <w:r w:rsidRPr="005A49E2">
        <w:rPr>
          <w:sz w:val="16"/>
        </w:rPr>
        <w:t xml:space="preserve">It was at first unclear whether Chevron applied to the Treasury's interpretive regulations, because unlike legislative regulations, there is no statutory requirement that the public be given notice and an opportunity for comment before interpretive regulations are promulgated. Even though the Treasury in fact provides notice and opportunity for comment in issuing interpretive regulations, some suggested that Chevron might not apply in this context. Second, given the specialized nature of the Tax Court and its expertise, there was some doubt whether it would be appropriate to impose Chevron and thereby require the court to defer to the expertise of the Treasury. Both of these questions, however, are now [sic] resolved. </w:t>
      </w:r>
      <w:r w:rsidRPr="00F234DF">
        <w:rPr>
          <w:rStyle w:val="StyleUnderline"/>
        </w:rPr>
        <w:t>The</w:t>
      </w:r>
      <w:r w:rsidRPr="005A49E2">
        <w:rPr>
          <w:sz w:val="16"/>
        </w:rPr>
        <w:t xml:space="preserve"> Supreme </w:t>
      </w:r>
      <w:r w:rsidRPr="00F234DF">
        <w:rPr>
          <w:rStyle w:val="StyleUnderline"/>
        </w:rPr>
        <w:t>Court</w:t>
      </w:r>
      <w:r w:rsidRPr="005A49E2">
        <w:rPr>
          <w:sz w:val="16"/>
        </w:rPr>
        <w:t xml:space="preserve"> has </w:t>
      </w:r>
      <w:r w:rsidRPr="00F234DF">
        <w:rPr>
          <w:rStyle w:val="StyleUnderline"/>
        </w:rPr>
        <w:t xml:space="preserve">made </w:t>
      </w:r>
      <w:r w:rsidRPr="00F234DF">
        <w:rPr>
          <w:rStyle w:val="Emphasis"/>
        </w:rPr>
        <w:t>clear</w:t>
      </w:r>
      <w:r w:rsidRPr="005A49E2">
        <w:rPr>
          <w:sz w:val="16"/>
        </w:rPr>
        <w:t xml:space="preserve"> that </w:t>
      </w:r>
      <w:r w:rsidRPr="00F234DF">
        <w:rPr>
          <w:rStyle w:val="StyleUnderline"/>
        </w:rPr>
        <w:t>Chevron's</w:t>
      </w:r>
      <w:r w:rsidRPr="005A49E2">
        <w:rPr>
          <w:sz w:val="16"/>
        </w:rPr>
        <w:t xml:space="preserve"> framework </w:t>
      </w:r>
      <w:r w:rsidRPr="00F234DF">
        <w:rPr>
          <w:rStyle w:val="StyleUnderline"/>
        </w:rPr>
        <w:t xml:space="preserve">is applicable to </w:t>
      </w:r>
      <w:r w:rsidRPr="00F234DF">
        <w:rPr>
          <w:rStyle w:val="Emphasis"/>
        </w:rPr>
        <w:t>interpretive regulations</w:t>
      </w:r>
      <w:r w:rsidRPr="00F234DF">
        <w:rPr>
          <w:rStyle w:val="StyleUnderline"/>
        </w:rPr>
        <w:t xml:space="preserve"> and</w:t>
      </w:r>
      <w:r w:rsidRPr="005A49E2">
        <w:rPr>
          <w:sz w:val="16"/>
        </w:rPr>
        <w:t xml:space="preserve"> that </w:t>
      </w:r>
      <w:r w:rsidRPr="00F234DF">
        <w:rPr>
          <w:rStyle w:val="StyleUnderline"/>
        </w:rPr>
        <w:t xml:space="preserve">the Tax Court, despite its own expertise, is </w:t>
      </w:r>
      <w:r w:rsidRPr="00F234DF">
        <w:rPr>
          <w:rStyle w:val="Emphasis"/>
        </w:rPr>
        <w:t>required</w:t>
      </w:r>
      <w:r w:rsidRPr="00F234DF">
        <w:rPr>
          <w:rStyle w:val="StyleUnderline"/>
        </w:rPr>
        <w:t xml:space="preserve"> to give </w:t>
      </w:r>
      <w:r w:rsidRPr="00F234DF">
        <w:rPr>
          <w:rStyle w:val="Emphasis"/>
        </w:rPr>
        <w:t>Chevron deference</w:t>
      </w:r>
      <w:r w:rsidRPr="00F234DF">
        <w:rPr>
          <w:rStyle w:val="StyleUnderline"/>
        </w:rPr>
        <w:t xml:space="preserve"> to the </w:t>
      </w:r>
      <w:r w:rsidRPr="00F234DF">
        <w:rPr>
          <w:rStyle w:val="Emphasis"/>
        </w:rPr>
        <w:t>Treasury's regulations</w:t>
      </w:r>
      <w:r w:rsidRPr="005A49E2">
        <w:rPr>
          <w:sz w:val="16"/>
        </w:rPr>
        <w:t>. Recently, moreover, the Supreme Court held that an interpretation issued without notice and comment might nevertheless be entitled to Chevron deference.</w:t>
      </w:r>
    </w:p>
    <w:p w14:paraId="23DBD0FC" w14:textId="77777777" w:rsidR="000D25BD" w:rsidRPr="005A49E2" w:rsidRDefault="000D25BD" w:rsidP="000D25BD">
      <w:pPr>
        <w:rPr>
          <w:sz w:val="16"/>
        </w:rPr>
      </w:pPr>
      <w:r w:rsidRPr="005A49E2">
        <w:rPr>
          <w:sz w:val="16"/>
        </w:rPr>
        <w:t xml:space="preserve"> [*218]  The Supreme Court has used two different ways to interpret an ambiguous tax statute--using Chevron Deference and the rule from National Muffler Dealers Ass'n v. United States. In National Muffler Dealers Assn, the Court held:</w:t>
      </w:r>
    </w:p>
    <w:p w14:paraId="42ED24FE" w14:textId="77777777" w:rsidR="000D25BD" w:rsidRPr="005A49E2" w:rsidRDefault="000D25BD" w:rsidP="000D25BD">
      <w:pPr>
        <w:ind w:left="720"/>
        <w:rPr>
          <w:sz w:val="16"/>
        </w:rPr>
      </w:pPr>
      <w:r w:rsidRPr="005A49E2">
        <w:rPr>
          <w:sz w:val="16"/>
        </w:rPr>
        <w:t>A regulation may have particular force if it is a substantially contemporaneous construction of the statute by those presumed to have been aware of congressional intent. If the regulation dates from a later period, the manner in which it evolved merits inquiry. Other relevant considerations are the length of time the regulation has been in effect, the reliance placed on it, the consistency of the Commissioner's interpretation, and the degree of scrutiny Congress has devoted to the regulation during subsequent re-enactments of the statute.</w:t>
      </w:r>
    </w:p>
    <w:p w14:paraId="1EB10F20" w14:textId="77777777" w:rsidR="000D25BD" w:rsidRPr="005A49E2" w:rsidRDefault="000D25BD" w:rsidP="000D25BD">
      <w:pPr>
        <w:rPr>
          <w:sz w:val="16"/>
        </w:rPr>
      </w:pPr>
      <w:r w:rsidRPr="005A49E2">
        <w:rPr>
          <w:sz w:val="16"/>
        </w:rPr>
        <w:t xml:space="preserve">However, </w:t>
      </w:r>
      <w:r w:rsidRPr="00F234DF">
        <w:rPr>
          <w:rStyle w:val="StyleUnderline"/>
        </w:rPr>
        <w:t>the rise of Chevron</w:t>
      </w:r>
      <w:r w:rsidRPr="005A49E2">
        <w:rPr>
          <w:sz w:val="16"/>
        </w:rPr>
        <w:t xml:space="preserve"> Deference in the court system has </w:t>
      </w:r>
      <w:r w:rsidRPr="00F234DF">
        <w:rPr>
          <w:rStyle w:val="Emphasis"/>
        </w:rPr>
        <w:t>expanded</w:t>
      </w:r>
      <w:r w:rsidRPr="00F234DF">
        <w:rPr>
          <w:rStyle w:val="StyleUnderline"/>
        </w:rPr>
        <w:t xml:space="preserve"> pertaining to tax. Mayo</w:t>
      </w:r>
      <w:r w:rsidRPr="005A49E2">
        <w:rPr>
          <w:sz w:val="16"/>
        </w:rPr>
        <w:t xml:space="preserve"> Foundation for Medical Education &amp; Research v. United States clearly </w:t>
      </w:r>
      <w:r w:rsidRPr="00F234DF">
        <w:rPr>
          <w:rStyle w:val="Emphasis"/>
        </w:rPr>
        <w:t>exemplified this</w:t>
      </w:r>
      <w:r w:rsidRPr="005A49E2">
        <w:rPr>
          <w:sz w:val="16"/>
        </w:rPr>
        <w:t>. The Mayo ruling is significant for three reasons:</w:t>
      </w:r>
    </w:p>
    <w:p w14:paraId="099DF2DB" w14:textId="77777777" w:rsidR="000D25BD" w:rsidRPr="005A49E2" w:rsidRDefault="000D25BD" w:rsidP="000D25BD">
      <w:pPr>
        <w:ind w:left="720"/>
        <w:rPr>
          <w:sz w:val="16"/>
        </w:rPr>
      </w:pPr>
      <w:r w:rsidRPr="005A49E2">
        <w:rPr>
          <w:sz w:val="16"/>
        </w:rPr>
        <w:t xml:space="preserve">First, </w:t>
      </w:r>
      <w:r w:rsidRPr="00F234DF">
        <w:rPr>
          <w:rStyle w:val="StyleUnderline"/>
        </w:rPr>
        <w:t xml:space="preserve">dealing </w:t>
      </w:r>
      <w:r w:rsidRPr="00F234DF">
        <w:rPr>
          <w:rStyle w:val="Emphasis"/>
        </w:rPr>
        <w:t>a mortal blow</w:t>
      </w:r>
      <w:r w:rsidRPr="00F234DF">
        <w:rPr>
          <w:rStyle w:val="StyleUnderline"/>
        </w:rPr>
        <w:t xml:space="preserve"> to </w:t>
      </w:r>
      <w:r w:rsidRPr="00F234DF">
        <w:rPr>
          <w:rStyle w:val="Emphasis"/>
        </w:rPr>
        <w:t>tax exceptionalism</w:t>
      </w:r>
      <w:r w:rsidRPr="009B6EB8">
        <w:rPr>
          <w:rStyle w:val="StyleUnderline"/>
        </w:rPr>
        <w:t xml:space="preserve">, </w:t>
      </w:r>
      <w:r w:rsidRPr="00F234DF">
        <w:rPr>
          <w:rStyle w:val="StyleUnderline"/>
        </w:rPr>
        <w:t xml:space="preserve">the Court stressed the </w:t>
      </w:r>
      <w:r w:rsidRPr="00F234DF">
        <w:rPr>
          <w:rStyle w:val="Emphasis"/>
        </w:rPr>
        <w:t>'importance</w:t>
      </w:r>
      <w:r w:rsidRPr="00F234DF">
        <w:rPr>
          <w:rStyle w:val="StyleUnderline"/>
        </w:rPr>
        <w:t xml:space="preserve"> of maintaining </w:t>
      </w:r>
      <w:r w:rsidRPr="00F234DF">
        <w:rPr>
          <w:rStyle w:val="Emphasis"/>
        </w:rPr>
        <w:t>a uniform approach</w:t>
      </w:r>
      <w:r w:rsidRPr="00F234DF">
        <w:rPr>
          <w:rStyle w:val="StyleUnderline"/>
        </w:rPr>
        <w:t xml:space="preserve"> to judicial review of administrative action'</w:t>
      </w:r>
      <w:r w:rsidRPr="005A49E2">
        <w:rPr>
          <w:sz w:val="16"/>
        </w:rPr>
        <w:t xml:space="preserve"> … Second, the Mayo Court made clear that </w:t>
      </w:r>
      <w:r w:rsidRPr="00F234DF">
        <w:rPr>
          <w:rStyle w:val="StyleUnderline"/>
        </w:rPr>
        <w:t>'[t]he principles underlying</w:t>
      </w:r>
      <w:r w:rsidRPr="005A49E2">
        <w:rPr>
          <w:sz w:val="16"/>
        </w:rPr>
        <w:t xml:space="preserve"> our decision in </w:t>
      </w:r>
      <w:r w:rsidRPr="00F234DF">
        <w:rPr>
          <w:rStyle w:val="StyleUnderline"/>
        </w:rPr>
        <w:t xml:space="preserve">Chevron apply with </w:t>
      </w:r>
      <w:r w:rsidRPr="00F234DF">
        <w:rPr>
          <w:rStyle w:val="Emphasis"/>
        </w:rPr>
        <w:t>full force</w:t>
      </w:r>
      <w:r w:rsidRPr="00F234DF">
        <w:rPr>
          <w:rStyle w:val="StyleUnderline"/>
        </w:rPr>
        <w:t xml:space="preserve"> in </w:t>
      </w:r>
      <w:r w:rsidRPr="00F234DF">
        <w:rPr>
          <w:rStyle w:val="Emphasis"/>
        </w:rPr>
        <w:t>the tax context</w:t>
      </w:r>
      <w:r w:rsidRPr="005A49E2">
        <w:rPr>
          <w:sz w:val="16"/>
        </w:rPr>
        <w:t xml:space="preserve"> … We see no reason why our review of tax regulations should not be guided by agency expertise pursuant to Chevron to the same extent as our review of other regulations ....' Third, the Court made clear that the same standard applies to general authority regulations as applies to specific authority regulations.</w:t>
      </w:r>
    </w:p>
    <w:p w14:paraId="0B7A5FD4" w14:textId="77777777" w:rsidR="000D25BD" w:rsidRPr="005A49E2" w:rsidRDefault="000D25BD" w:rsidP="000D25BD">
      <w:pPr>
        <w:rPr>
          <w:sz w:val="16"/>
        </w:rPr>
      </w:pPr>
      <w:r w:rsidRPr="00F234DF">
        <w:rPr>
          <w:rStyle w:val="StyleUnderline"/>
        </w:rPr>
        <w:t>With this precedent, courts</w:t>
      </w:r>
      <w:r w:rsidRPr="005A49E2">
        <w:rPr>
          <w:sz w:val="16"/>
        </w:rPr>
        <w:t xml:space="preserve"> can </w:t>
      </w:r>
      <w:r w:rsidRPr="00F234DF">
        <w:rPr>
          <w:rStyle w:val="StyleUnderline"/>
        </w:rPr>
        <w:t>continue to</w:t>
      </w:r>
      <w:r w:rsidRPr="005A49E2">
        <w:rPr>
          <w:sz w:val="16"/>
        </w:rPr>
        <w:t xml:space="preserve"> use and </w:t>
      </w:r>
      <w:r w:rsidRPr="00F234DF">
        <w:rPr>
          <w:rStyle w:val="Emphasis"/>
        </w:rPr>
        <w:t>expand</w:t>
      </w:r>
      <w:r w:rsidRPr="00F234DF">
        <w:rPr>
          <w:rStyle w:val="StyleUnderline"/>
        </w:rPr>
        <w:t xml:space="preserve"> Chevron</w:t>
      </w:r>
      <w:r w:rsidRPr="005A49E2">
        <w:rPr>
          <w:sz w:val="16"/>
        </w:rPr>
        <w:t xml:space="preserve"> Deference </w:t>
      </w:r>
      <w:r w:rsidRPr="00F234DF">
        <w:rPr>
          <w:rStyle w:val="StyleUnderline"/>
        </w:rPr>
        <w:t>in tax</w:t>
      </w:r>
      <w:r w:rsidRPr="005A49E2">
        <w:rPr>
          <w:sz w:val="16"/>
        </w:rPr>
        <w:t xml:space="preserve"> related cases. The Supreme Court solidified this when they recently "considered the effect of an IRS revenue ruling position without citing Chevron. </w:t>
      </w:r>
      <w:r w:rsidRPr="00CB43EC">
        <w:rPr>
          <w:rStyle w:val="StyleUnderline"/>
        </w:rPr>
        <w:t>In Davis</w:t>
      </w:r>
      <w:r w:rsidRPr="005A49E2">
        <w:rPr>
          <w:sz w:val="16"/>
        </w:rPr>
        <w:t xml:space="preserve"> v. United States, </w:t>
      </w:r>
      <w:r w:rsidRPr="00CB43EC">
        <w:rPr>
          <w:rStyle w:val="StyleUnderline"/>
        </w:rPr>
        <w:t>the Court</w:t>
      </w:r>
      <w:r w:rsidRPr="005A49E2">
        <w:rPr>
          <w:sz w:val="16"/>
        </w:rPr>
        <w:t xml:space="preserve"> applied traditional canons of statutory construction (as they pertain to agency interpretations) and </w:t>
      </w:r>
      <w:r w:rsidRPr="00CB43EC">
        <w:rPr>
          <w:rStyle w:val="StyleUnderline"/>
        </w:rPr>
        <w:t>concluded</w:t>
      </w:r>
      <w:r w:rsidRPr="005A49E2">
        <w:rPr>
          <w:sz w:val="16"/>
        </w:rPr>
        <w:t xml:space="preserve"> that </w:t>
      </w:r>
      <w:r w:rsidRPr="00CB43EC">
        <w:rPr>
          <w:rStyle w:val="StyleUnderline"/>
        </w:rPr>
        <w:t xml:space="preserve">an IRS revenue ruling was entitled to </w:t>
      </w:r>
      <w:r w:rsidRPr="00CB43EC">
        <w:rPr>
          <w:rStyle w:val="Emphasis"/>
        </w:rPr>
        <w:t>'considerable weight</w:t>
      </w:r>
      <w:r w:rsidRPr="00CB43EC">
        <w:rPr>
          <w:rStyle w:val="StyleUnderline"/>
        </w:rPr>
        <w:t>.'" The ruling</w:t>
      </w:r>
      <w:r w:rsidRPr="005A49E2">
        <w:rPr>
          <w:sz w:val="16"/>
        </w:rPr>
        <w:t xml:space="preserve"> from the Davis court </w:t>
      </w:r>
      <w:r w:rsidRPr="00CB43EC">
        <w:rPr>
          <w:rStyle w:val="Emphasis"/>
        </w:rPr>
        <w:t>only added</w:t>
      </w:r>
      <w:r w:rsidRPr="00CB43EC">
        <w:rPr>
          <w:rStyle w:val="StyleUnderline"/>
        </w:rPr>
        <w:t xml:space="preserve"> to the confusion of whether the courts should use Chevron Deference in tax related cases because</w:t>
      </w:r>
      <w:r w:rsidRPr="005A49E2">
        <w:rPr>
          <w:sz w:val="16"/>
        </w:rPr>
        <w:t xml:space="preserve">  [*219]  the Court does not mention Chevron Deference by name in the case, </w:t>
      </w:r>
      <w:r w:rsidRPr="00CB43EC">
        <w:rPr>
          <w:rStyle w:val="StyleUnderline"/>
        </w:rPr>
        <w:t xml:space="preserve">making it </w:t>
      </w:r>
      <w:r w:rsidRPr="00CB43EC">
        <w:rPr>
          <w:rStyle w:val="Emphasis"/>
        </w:rPr>
        <w:t>unclear</w:t>
      </w:r>
      <w:r w:rsidRPr="005A49E2">
        <w:rPr>
          <w:sz w:val="16"/>
        </w:rPr>
        <w:t xml:space="preserve"> whether the Court wanted it to apply. Although there has been a decline in the use of Chevron Deference in some tax regulation cases, the Supreme Court could begin to use Chevron Deference again, especially pertaining to cases where both Chevron Deference and the rule of lenity apply.</w:t>
      </w:r>
    </w:p>
    <w:p w14:paraId="70BAF831" w14:textId="77777777" w:rsidR="000D25BD" w:rsidRPr="005A49E2" w:rsidRDefault="000D25BD" w:rsidP="000D25BD">
      <w:pPr>
        <w:rPr>
          <w:sz w:val="16"/>
        </w:rPr>
      </w:pPr>
      <w:r w:rsidRPr="005A49E2">
        <w:rPr>
          <w:sz w:val="16"/>
        </w:rPr>
        <w:t xml:space="preserve">Historically, the rule of lenity seems to have a more prominent and defined place when compared to Chevron Deference in cases regarding the IRS and tax. In Commissioner v. Acker, the Court found it should enforce laws that have penal repercussions strictly, and no penalty can be enforced unless it is plainly and clearly there. It is very clear that in order for courts to penalize under a statute, the "penal statutes [must] be construed strictly[,]" and "penalty is not to be readily implied, and, on the contrary that a person or corporation is not to be subjected to a penalty unless the words of the statute plainly impose it." Although courts did not make these findings in tax cases specifically, "the Supreme Court of the United States subjected tax laws to the same or a similar canon, holding that '[i]n [the] case of doubt [statutes levying taxes] are construed most strongly against the government, and in favor of the citizen.'" But, </w:t>
      </w:r>
      <w:r w:rsidRPr="00CB43EC">
        <w:rPr>
          <w:rStyle w:val="StyleUnderline"/>
        </w:rPr>
        <w:t>the rule of lenity does not enjoy "</w:t>
      </w:r>
      <w:r w:rsidRPr="00CB43EC">
        <w:rPr>
          <w:rStyle w:val="Emphasis"/>
        </w:rPr>
        <w:t>universal approval</w:t>
      </w:r>
      <w:r w:rsidRPr="00CB43EC">
        <w:rPr>
          <w:rStyle w:val="StyleUnderline"/>
        </w:rPr>
        <w:t xml:space="preserve">" anymore, leading to </w:t>
      </w:r>
      <w:r w:rsidRPr="00CB43EC">
        <w:rPr>
          <w:rStyle w:val="Emphasis"/>
        </w:rPr>
        <w:t>confusing</w:t>
      </w:r>
      <w:r w:rsidRPr="00CB43EC">
        <w:rPr>
          <w:rStyle w:val="StyleUnderline"/>
        </w:rPr>
        <w:t xml:space="preserve"> and </w:t>
      </w:r>
      <w:r w:rsidRPr="00CB43EC">
        <w:rPr>
          <w:rStyle w:val="Emphasis"/>
        </w:rPr>
        <w:t>misleading</w:t>
      </w:r>
      <w:r w:rsidRPr="00CB43EC">
        <w:rPr>
          <w:rStyle w:val="StyleUnderline"/>
        </w:rPr>
        <w:t xml:space="preserve"> court holdings in </w:t>
      </w:r>
      <w:r w:rsidRPr="00CB43EC">
        <w:rPr>
          <w:rStyle w:val="Emphasis"/>
        </w:rPr>
        <w:t>tax court</w:t>
      </w:r>
      <w:r w:rsidRPr="005A49E2">
        <w:rPr>
          <w:sz w:val="16"/>
        </w:rPr>
        <w:t>.</w:t>
      </w:r>
    </w:p>
    <w:p w14:paraId="4FD06823" w14:textId="77777777" w:rsidR="000D25BD" w:rsidRPr="005A49E2" w:rsidRDefault="000D25BD" w:rsidP="000D25BD">
      <w:pPr>
        <w:rPr>
          <w:sz w:val="16"/>
        </w:rPr>
      </w:pPr>
      <w:r w:rsidRPr="005A49E2">
        <w:rPr>
          <w:sz w:val="16"/>
        </w:rPr>
        <w:t xml:space="preserve">Many </w:t>
      </w:r>
      <w:r w:rsidRPr="00CB43EC">
        <w:rPr>
          <w:rStyle w:val="StyleUnderline"/>
        </w:rPr>
        <w:t>states</w:t>
      </w:r>
      <w:r w:rsidRPr="005A49E2">
        <w:rPr>
          <w:sz w:val="16"/>
        </w:rPr>
        <w:t xml:space="preserve"> continue to </w:t>
      </w:r>
      <w:r w:rsidRPr="00CB43EC">
        <w:rPr>
          <w:rStyle w:val="StyleUnderline"/>
        </w:rPr>
        <w:t xml:space="preserve">use the rule of lenity, but </w:t>
      </w:r>
      <w:r w:rsidRPr="00CB43EC">
        <w:rPr>
          <w:rStyle w:val="Emphasis"/>
        </w:rPr>
        <w:t>other courts</w:t>
      </w:r>
      <w:r w:rsidRPr="00CB43EC">
        <w:rPr>
          <w:rStyle w:val="StyleUnderline"/>
        </w:rPr>
        <w:t xml:space="preserve"> decide not to</w:t>
      </w:r>
      <w:r w:rsidRPr="005A49E2">
        <w:rPr>
          <w:sz w:val="16"/>
        </w:rPr>
        <w:t xml:space="preserve"> use this rule. For example, the court of Sane Transit v. Sound Transit used the rule from Gould to find for the taxpayer because the statute was ambiguous. Additionally, in Stryker Corp. v. Director, Division of Taxation, the court held in favor for the division of taxation because it found that "tax laws also must be construed reasonably so that the Legislature's purpose in enacting the statute is not destroyed." The court recognized the  [*220]  time-honored rule that ambiguous tax statutes must rule in favor of the taxpayer, but felt it should rule the other way regardless. Johnson v. State Tax Commission held similarly. The court's main focus was not on the ambiguity of the statute, but on the legislature's intent. The court found:</w:t>
      </w:r>
    </w:p>
    <w:p w14:paraId="0937D5C5" w14:textId="77777777" w:rsidR="000D25BD" w:rsidRPr="005A49E2" w:rsidRDefault="000D25BD" w:rsidP="000D25BD">
      <w:pPr>
        <w:ind w:left="720"/>
        <w:rPr>
          <w:sz w:val="16"/>
        </w:rPr>
      </w:pPr>
      <w:r w:rsidRPr="005A49E2">
        <w:rPr>
          <w:sz w:val="16"/>
        </w:rPr>
        <w:t>[I]n case of uncertainty as to the proper application of a tax statute it generally should be construed favorably to the taxpayer. On the other hand the court should not accept an interpretation which places undue importance on words subordinate to the plainly apparent objective of the statute in order to reward persons who resort to some unusual and not reasonably to be expected procedure in order to circumvent its purpose. Rather it should be so applied as to give effect to that purpose and with due consideration not only to the rights of the plaintiff and the minority similarly situated, but also to the entitlement of all the other taxpayers of the state, who file in conformity with the law, to uniformity of treatment and the equal protection of the law. If the legislature had intended to give the advantage of the lower old tax rates to those who filed early, it undoubtedly would have said so in a more direct way and would not have left it to the tortuous logic and irregular procedure that plaintiff and others have attempted to employ to reach that result.</w:t>
      </w:r>
    </w:p>
    <w:p w14:paraId="3E108BE2" w14:textId="02C5DBA1" w:rsidR="000D25BD" w:rsidRDefault="000D25BD" w:rsidP="000D25BD">
      <w:pPr>
        <w:rPr>
          <w:sz w:val="16"/>
        </w:rPr>
      </w:pPr>
      <w:r w:rsidRPr="005A49E2">
        <w:rPr>
          <w:rStyle w:val="StyleUnderline"/>
        </w:rPr>
        <w:t xml:space="preserve">Although it is </w:t>
      </w:r>
      <w:r w:rsidRPr="005A49E2">
        <w:rPr>
          <w:rStyle w:val="Emphasis"/>
        </w:rPr>
        <w:t>clear</w:t>
      </w:r>
      <w:r w:rsidRPr="005A49E2">
        <w:rPr>
          <w:sz w:val="16"/>
        </w:rPr>
        <w:t xml:space="preserve"> that </w:t>
      </w:r>
      <w:r w:rsidRPr="005A49E2">
        <w:rPr>
          <w:rStyle w:val="StyleUnderline"/>
        </w:rPr>
        <w:t>courts have used the rule of lenity when interpreting tax</w:t>
      </w:r>
      <w:r w:rsidRPr="005A49E2">
        <w:rPr>
          <w:sz w:val="16"/>
        </w:rPr>
        <w:t xml:space="preserve"> related </w:t>
      </w:r>
      <w:r w:rsidRPr="005A49E2">
        <w:rPr>
          <w:rStyle w:val="StyleUnderline"/>
        </w:rPr>
        <w:t xml:space="preserve">cases and not in others, it is </w:t>
      </w:r>
      <w:r w:rsidRPr="005A49E2">
        <w:rPr>
          <w:rStyle w:val="Emphasis"/>
        </w:rPr>
        <w:t>not clear</w:t>
      </w:r>
      <w:r w:rsidRPr="005A49E2">
        <w:rPr>
          <w:rStyle w:val="StyleUnderline"/>
        </w:rPr>
        <w:t xml:space="preserve"> when the rule of lenity will apply</w:t>
      </w:r>
      <w:r w:rsidRPr="005A49E2">
        <w:rPr>
          <w:sz w:val="16"/>
        </w:rPr>
        <w:t xml:space="preserve">. And </w:t>
      </w:r>
      <w:r w:rsidRPr="005A49E2">
        <w:rPr>
          <w:rStyle w:val="StyleUnderline"/>
        </w:rPr>
        <w:t xml:space="preserve">while the rule itself seems simple and has clear applications, the courts do not apply it in </w:t>
      </w:r>
      <w:r w:rsidRPr="005A49E2">
        <w:rPr>
          <w:rStyle w:val="Emphasis"/>
        </w:rPr>
        <w:t>a clear and consistent fashion</w:t>
      </w:r>
      <w:r w:rsidRPr="005A49E2">
        <w:rPr>
          <w:rStyle w:val="StyleUnderline"/>
        </w:rPr>
        <w:t xml:space="preserve">, which makes the rule </w:t>
      </w:r>
      <w:r w:rsidRPr="005A49E2">
        <w:rPr>
          <w:rStyle w:val="Emphasis"/>
        </w:rPr>
        <w:t>convoluted</w:t>
      </w:r>
      <w:r w:rsidRPr="005A49E2">
        <w:rPr>
          <w:sz w:val="16"/>
        </w:rPr>
        <w:t xml:space="preserve">. In their book, Antonin </w:t>
      </w:r>
      <w:r w:rsidRPr="005A49E2">
        <w:rPr>
          <w:rStyle w:val="StyleUnderline"/>
        </w:rPr>
        <w:t>Scalia and</w:t>
      </w:r>
      <w:r w:rsidRPr="005A49E2">
        <w:rPr>
          <w:sz w:val="16"/>
        </w:rPr>
        <w:t xml:space="preserve"> Bryan A. </w:t>
      </w:r>
      <w:r w:rsidRPr="005A49E2">
        <w:rPr>
          <w:rStyle w:val="StyleUnderline"/>
        </w:rPr>
        <w:t xml:space="preserve">Garner demonstrate the need to have a rule showing </w:t>
      </w:r>
      <w:r w:rsidRPr="005A49E2">
        <w:rPr>
          <w:rStyle w:val="Emphasis"/>
        </w:rPr>
        <w:t>the rule of lenity</w:t>
      </w:r>
      <w:r w:rsidRPr="005A49E2">
        <w:rPr>
          <w:rStyle w:val="StyleUnderline"/>
        </w:rPr>
        <w:t xml:space="preserve"> should apply </w:t>
      </w:r>
      <w:r w:rsidRPr="005A49E2">
        <w:rPr>
          <w:rStyle w:val="Emphasis"/>
        </w:rPr>
        <w:t>over</w:t>
      </w:r>
      <w:r w:rsidRPr="005A49E2">
        <w:rPr>
          <w:rStyle w:val="StyleUnderline"/>
        </w:rPr>
        <w:t xml:space="preserve"> Chevron Deference</w:t>
      </w:r>
      <w:r w:rsidRPr="005A49E2">
        <w:rPr>
          <w:sz w:val="16"/>
        </w:rPr>
        <w:t>.</w:t>
      </w:r>
    </w:p>
    <w:p w14:paraId="111AEFDE" w14:textId="6E38E971" w:rsidR="001A77F6" w:rsidRPr="001A77F6" w:rsidRDefault="001A77F6" w:rsidP="001A77F6">
      <w:pPr>
        <w:pStyle w:val="Heading4"/>
      </w:pPr>
      <w:r w:rsidRPr="007C6F40">
        <w:t xml:space="preserve">Their studies are </w:t>
      </w:r>
      <w:r w:rsidRPr="001A77F6">
        <w:rPr>
          <w:u w:val="single"/>
        </w:rPr>
        <w:t>false</w:t>
      </w:r>
      <w:r w:rsidRPr="007C6F40">
        <w:t xml:space="preserve"> and admit </w:t>
      </w:r>
      <w:r w:rsidRPr="001A77F6">
        <w:rPr>
          <w:u w:val="single"/>
        </w:rPr>
        <w:t>alt causes</w:t>
      </w:r>
      <w:r>
        <w:t>.</w:t>
      </w:r>
    </w:p>
    <w:p w14:paraId="7257F7D3" w14:textId="18608186" w:rsidR="001A77F6" w:rsidRPr="007C6F40" w:rsidRDefault="001A77F6" w:rsidP="001A77F6">
      <w:r w:rsidRPr="007C6F40">
        <w:t xml:space="preserve">Lawrence W. </w:t>
      </w:r>
      <w:r w:rsidRPr="007C6F40">
        <w:rPr>
          <w:rStyle w:val="Style13ptBold"/>
        </w:rPr>
        <w:t>Kenny</w:t>
      </w:r>
      <w:r w:rsidRPr="007C6F40">
        <w:t xml:space="preserve"> </w:t>
      </w:r>
      <w:r w:rsidRPr="007C6F40">
        <w:rPr>
          <w:rStyle w:val="Style13ptBold"/>
        </w:rPr>
        <w:t>and</w:t>
      </w:r>
      <w:r w:rsidRPr="007C6F40">
        <w:t xml:space="preserve"> Stanley L. </w:t>
      </w:r>
      <w:r w:rsidRPr="007C6F40">
        <w:rPr>
          <w:rStyle w:val="Style13ptBold"/>
        </w:rPr>
        <w:t>Winer</w:t>
      </w:r>
      <w:r w:rsidRPr="007C6F40">
        <w:t xml:space="preserve"> </w:t>
      </w:r>
      <w:r w:rsidRPr="007C6F40">
        <w:rPr>
          <w:rStyle w:val="Style13ptBold"/>
        </w:rPr>
        <w:t>06</w:t>
      </w:r>
      <w:r w:rsidRPr="007C6F40">
        <w:t xml:space="preserve"> (, May 2006, "Tax Systems in the World: An Empirical Investigation into the Importance of Tax Bases, Administration Costs, Scale and Political Regime", International Tax and Public Finance, https://link.springer.com/article/10.1007/s10797-006-3564-7, accessed: 6-24-2020)//yeed</w:t>
      </w:r>
    </w:p>
    <w:p w14:paraId="33CB4E2B" w14:textId="77777777" w:rsidR="001A77F6" w:rsidRPr="007C6F40" w:rsidRDefault="001A77F6" w:rsidP="001A77F6">
      <w:r w:rsidRPr="007C6F40">
        <w:rPr>
          <w:rStyle w:val="StyleUnderline"/>
        </w:rPr>
        <w:t xml:space="preserve">To allow for the </w:t>
      </w:r>
      <w:r w:rsidRPr="007C6F40">
        <w:rPr>
          <w:rStyle w:val="Emphasis"/>
        </w:rPr>
        <w:t>possibility that we have left out some relevant explanatory variables</w:t>
      </w:r>
      <w:r w:rsidRPr="007C6F40">
        <w:rPr>
          <w:rStyle w:val="StyleUnderline"/>
        </w:rPr>
        <w:t>, each of the 14 regressions in Tables 3 and 4 include two time period dummy variables</w:t>
      </w:r>
      <w:r w:rsidRPr="007C6F40">
        <w:t>,</w:t>
      </w:r>
      <w:r w:rsidRPr="007C6F40">
        <w:rPr>
          <w:sz w:val="12"/>
        </w:rPr>
        <w:t xml:space="preserve"> </w:t>
      </w:r>
      <w:r w:rsidRPr="007C6F40">
        <w:t>representing the second and third of the three time periods. These represent time period fixed effects that capture anytime-specific factors that were missed by the other</w:t>
      </w:r>
      <w:r w:rsidRPr="007C6F40">
        <w:rPr>
          <w:sz w:val="12"/>
        </w:rPr>
        <w:t xml:space="preserve"> </w:t>
      </w:r>
      <w:r w:rsidRPr="007C6F40">
        <w:t xml:space="preserve">explanatory variables. </w:t>
      </w:r>
      <w:r w:rsidRPr="007C6F40">
        <w:rPr>
          <w:rStyle w:val="StyleUnderline"/>
        </w:rPr>
        <w:t>Only one (see Table 4) of the 28 time dummy coefficients is significant at the 5 percent level using a two tailed test, indicating that the other variables are successfully capturing the changes in tax composition over time.</w:t>
      </w:r>
    </w:p>
    <w:p w14:paraId="19828C7C" w14:textId="77777777" w:rsidR="001A77F6" w:rsidRPr="007C6F40" w:rsidRDefault="001A77F6" w:rsidP="001A77F6">
      <w:r w:rsidRPr="007C6F40">
        <w:rPr>
          <w:rStyle w:val="Emphasis"/>
        </w:rPr>
        <w:t xml:space="preserve">We do not include country specific fixed effects </w:t>
      </w:r>
      <w:r w:rsidRPr="007C6F40">
        <w:t>(</w:t>
      </w:r>
      <w:r w:rsidRPr="007C6F40">
        <w:rPr>
          <w:rStyle w:val="StyleUnderline"/>
        </w:rPr>
        <w:t>in addition to already included fixed effects related to federalism</w:t>
      </w:r>
      <w:r w:rsidRPr="007C6F40">
        <w:t xml:space="preserve">). This is primarily </w:t>
      </w:r>
      <w:r w:rsidRPr="007C6F40">
        <w:rPr>
          <w:rStyle w:val="StyleUnderline"/>
        </w:rPr>
        <w:t>because the cross country variation</w:t>
      </w:r>
      <w:r w:rsidRPr="007C6F40">
        <w:rPr>
          <w:sz w:val="12"/>
        </w:rPr>
        <w:t xml:space="preserve"> </w:t>
      </w:r>
      <w:r w:rsidRPr="007C6F40">
        <w:t>removed by such fixed effects is precisely what we are trying to model. One should</w:t>
      </w:r>
      <w:r w:rsidRPr="007C6F40">
        <w:rPr>
          <w:sz w:val="12"/>
        </w:rPr>
        <w:t xml:space="preserve"> </w:t>
      </w:r>
      <w:r w:rsidRPr="007C6F40">
        <w:t xml:space="preserve">also note that </w:t>
      </w:r>
      <w:r w:rsidRPr="007C6F40">
        <w:rPr>
          <w:rStyle w:val="StyleUnderline"/>
        </w:rPr>
        <w:t>country specific fixed effects remove or attenuate the role of variables that are fixed or move slowly over our three time periods</w:t>
      </w:r>
      <w:r w:rsidRPr="007C6F40">
        <w:t xml:space="preserve">, and that many of </w:t>
      </w:r>
      <w:r w:rsidRPr="007C6F40">
        <w:rPr>
          <w:rStyle w:val="Emphasis"/>
        </w:rPr>
        <w:t>our explanatory variables are of this sort</w:t>
      </w:r>
      <w:r w:rsidRPr="007C6F40">
        <w:t xml:space="preserve">, </w:t>
      </w:r>
      <w:r w:rsidRPr="007C6F40">
        <w:rPr>
          <w:rStyle w:val="StyleUnderline"/>
        </w:rPr>
        <w:t>notably the index of freedom as well as</w:t>
      </w:r>
      <w:r w:rsidRPr="007C6F40">
        <w:t xml:space="preserve"> the period averages of</w:t>
      </w:r>
      <w:r w:rsidRPr="007C6F40">
        <w:rPr>
          <w:sz w:val="12"/>
        </w:rPr>
        <w:t xml:space="preserve"> </w:t>
      </w:r>
      <w:r w:rsidRPr="007C6F40">
        <w:rPr>
          <w:rStyle w:val="Emphasis"/>
        </w:rPr>
        <w:t>population density</w:t>
      </w:r>
      <w:r w:rsidRPr="007C6F40">
        <w:t xml:space="preserve">, </w:t>
      </w:r>
      <w:r w:rsidRPr="007C6F40">
        <w:rPr>
          <w:rStyle w:val="Emphasis"/>
        </w:rPr>
        <w:t>female labor force participation</w:t>
      </w:r>
      <w:r w:rsidRPr="007C6F40">
        <w:t xml:space="preserve"> </w:t>
      </w:r>
      <w:r w:rsidRPr="007C6F40">
        <w:rPr>
          <w:rStyle w:val="StyleUnderline"/>
        </w:rPr>
        <w:t>and</w:t>
      </w:r>
      <w:r w:rsidRPr="007C6F40">
        <w:t xml:space="preserve"> the </w:t>
      </w:r>
      <w:r w:rsidRPr="007C6F40">
        <w:rPr>
          <w:rStyle w:val="Emphasis"/>
        </w:rPr>
        <w:t>education measures</w:t>
      </w:r>
      <w:r w:rsidRPr="007C6F40">
        <w:t xml:space="preserve">, </w:t>
      </w:r>
      <w:r w:rsidRPr="007C6F40">
        <w:rPr>
          <w:rStyle w:val="StyleUnderline"/>
        </w:rPr>
        <w:t>among</w:t>
      </w:r>
      <w:r w:rsidRPr="007C6F40">
        <w:rPr>
          <w:sz w:val="12"/>
        </w:rPr>
        <w:t xml:space="preserve"> </w:t>
      </w:r>
      <w:r w:rsidRPr="007C6F40">
        <w:rPr>
          <w:rStyle w:val="StyleUnderline"/>
        </w:rPr>
        <w:t>other</w:t>
      </w:r>
      <w:r w:rsidRPr="007C6F40">
        <w:t xml:space="preserve"> </w:t>
      </w:r>
      <w:r w:rsidRPr="007C6F40">
        <w:rPr>
          <w:rStyle w:val="StyleUnderline"/>
        </w:rPr>
        <w:t>variables</w:t>
      </w:r>
      <w:r w:rsidRPr="007C6F40">
        <w:t>.</w:t>
      </w:r>
    </w:p>
    <w:p w14:paraId="2DAD7CCB" w14:textId="3072D403" w:rsidR="001A77F6" w:rsidRPr="007C6F40" w:rsidRDefault="001A77F6" w:rsidP="001A77F6">
      <w:pPr>
        <w:pStyle w:val="Heading4"/>
      </w:pPr>
      <w:r w:rsidRPr="007C6F40">
        <w:t>Alt causes</w:t>
      </w:r>
      <w:r>
        <w:t>.</w:t>
      </w:r>
    </w:p>
    <w:p w14:paraId="739951CF" w14:textId="77777777" w:rsidR="001A77F6" w:rsidRPr="007C6F40" w:rsidRDefault="001A77F6" w:rsidP="001A77F6">
      <w:r w:rsidRPr="007C6F40">
        <w:t xml:space="preserve">Lawrence W. </w:t>
      </w:r>
      <w:r w:rsidRPr="007C6F40">
        <w:rPr>
          <w:rStyle w:val="Style13ptBold"/>
        </w:rPr>
        <w:t>Kenny</w:t>
      </w:r>
      <w:r w:rsidRPr="007C6F40">
        <w:t xml:space="preserve"> </w:t>
      </w:r>
      <w:r w:rsidRPr="007C6F40">
        <w:rPr>
          <w:rStyle w:val="Style13ptBold"/>
        </w:rPr>
        <w:t>and</w:t>
      </w:r>
      <w:r w:rsidRPr="007C6F40">
        <w:t xml:space="preserve"> Stanley L. </w:t>
      </w:r>
      <w:r w:rsidRPr="007C6F40">
        <w:rPr>
          <w:rStyle w:val="Style13ptBold"/>
        </w:rPr>
        <w:t>Winer</w:t>
      </w:r>
      <w:r w:rsidRPr="007C6F40">
        <w:t xml:space="preserve"> </w:t>
      </w:r>
      <w:r w:rsidRPr="007C6F40">
        <w:rPr>
          <w:rStyle w:val="Style13ptBold"/>
        </w:rPr>
        <w:t>06</w:t>
      </w:r>
      <w:r w:rsidRPr="007C6F40">
        <w:t xml:space="preserve"> (, May 2006, "Tax Systems in the World: An Empirical Investigation into the Importance of Tax Bases, Administration Costs, Scale and Political Regime", International Tax and Public Finance, https://link.springer.com/article/10.1007/s10797-006-3564-7, accessed: 6-24-2020)//yeed</w:t>
      </w:r>
    </w:p>
    <w:p w14:paraId="7B875027" w14:textId="403C3428" w:rsidR="001A77F6" w:rsidRPr="001A77F6" w:rsidRDefault="001A77F6" w:rsidP="000D25BD">
      <w:r w:rsidRPr="007C6F40">
        <w:t xml:space="preserve">Finally, we note that </w:t>
      </w:r>
      <w:r w:rsidRPr="007C6F40">
        <w:rPr>
          <w:rStyle w:val="Emphasis"/>
        </w:rPr>
        <w:t>much remains to be done</w:t>
      </w:r>
      <w:r w:rsidRPr="007C6F40">
        <w:t xml:space="preserve">. </w:t>
      </w:r>
      <w:r w:rsidRPr="007C6F40">
        <w:rPr>
          <w:rStyle w:val="StyleUnderline"/>
        </w:rPr>
        <w:t>We have not dealt with</w:t>
      </w:r>
      <w:r w:rsidRPr="007C6F40">
        <w:t xml:space="preserve"> the choice</w:t>
      </w:r>
      <w:r w:rsidRPr="007C6F40">
        <w:rPr>
          <w:sz w:val="12"/>
        </w:rPr>
        <w:t xml:space="preserve"> </w:t>
      </w:r>
      <w:r w:rsidRPr="007C6F40">
        <w:rPr>
          <w:rStyle w:val="StyleUnderline"/>
        </w:rPr>
        <w:t>between current and future taxation (i.e.,</w:t>
      </w:r>
      <w:r w:rsidRPr="007C6F40">
        <w:t xml:space="preserve"> </w:t>
      </w:r>
      <w:r w:rsidRPr="007C6F40">
        <w:rPr>
          <w:rStyle w:val="StyleUnderline"/>
        </w:rPr>
        <w:t>the deficit</w:t>
      </w:r>
      <w:r w:rsidRPr="007C6F40">
        <w:t xml:space="preserve">). </w:t>
      </w:r>
      <w:r w:rsidRPr="007C6F40">
        <w:rPr>
          <w:rStyle w:val="StyleUnderline"/>
        </w:rPr>
        <w:t>And allowing for the simultaneous determination of revenue structure and the expenditure side of the budget in cross country panels of the sort we utilize still presents substantial challenges</w:t>
      </w:r>
      <w:r w:rsidRPr="007C6F40">
        <w:t>. A theoretical foundation for the estimating equations that explicitly encompasses both democratic</w:t>
      </w:r>
      <w:r w:rsidRPr="007C6F40">
        <w:rPr>
          <w:sz w:val="12"/>
        </w:rPr>
        <w:t xml:space="preserve"> </w:t>
      </w:r>
      <w:r w:rsidRPr="007C6F40">
        <w:t>and non-democratic regimes would be of much help in investigating these and related</w:t>
      </w:r>
      <w:r w:rsidRPr="007C6F40">
        <w:rPr>
          <w:sz w:val="12"/>
        </w:rPr>
        <w:t xml:space="preserve"> </w:t>
      </w:r>
      <w:r w:rsidRPr="007C6F40">
        <w:t>matters</w:t>
      </w:r>
      <w:r w:rsidRPr="007C6F40">
        <w:rPr>
          <w:rStyle w:val="StyleUnderline"/>
        </w:rPr>
        <w:t>. The general approach to revenue systems we have pursued here and the stylized facts that we have uncovered should be useful in developing such a model</w:t>
      </w:r>
      <w:r w:rsidRPr="007C6F40">
        <w:t>.</w:t>
      </w:r>
    </w:p>
    <w:p w14:paraId="296DB75A" w14:textId="3078D303" w:rsidR="00B8678D" w:rsidRDefault="00B8678D" w:rsidP="00B8678D">
      <w:pPr>
        <w:pStyle w:val="Heading3"/>
      </w:pPr>
      <w:r>
        <w:t>2AC – AT: War Powers DA</w:t>
      </w:r>
    </w:p>
    <w:p w14:paraId="18A6DAFD" w14:textId="211066C4" w:rsidR="00B8678D" w:rsidRDefault="00B8678D" w:rsidP="00B8678D">
      <w:pPr>
        <w:pStyle w:val="Heading4"/>
      </w:pPr>
      <w:r w:rsidRPr="0051277F">
        <w:rPr>
          <w:u w:val="single"/>
        </w:rPr>
        <w:t>No link</w:t>
      </w:r>
      <w:r>
        <w:t xml:space="preserve"> – plenary powers doesn’t apply to sentencing. </w:t>
      </w:r>
    </w:p>
    <w:p w14:paraId="542BD7DA" w14:textId="77777777" w:rsidR="00B8678D" w:rsidRDefault="00B8678D" w:rsidP="00B8678D">
      <w:r w:rsidRPr="0051277F">
        <w:rPr>
          <w:rStyle w:val="Style13ptBold"/>
        </w:rPr>
        <w:t xml:space="preserve">Price </w:t>
      </w:r>
      <w:r w:rsidRPr="004A2D33">
        <w:rPr>
          <w:rStyle w:val="Style13ptBold"/>
          <w:sz w:val="24"/>
          <w:szCs w:val="20"/>
        </w:rPr>
        <w:t>14.</w:t>
      </w:r>
      <w:r>
        <w:t xml:space="preserve"> </w:t>
      </w:r>
      <w:r w:rsidRPr="00791E15">
        <w:rPr>
          <w:sz w:val="20"/>
          <w:szCs w:val="20"/>
        </w:rPr>
        <w:t>Zachary S. Price, Visiting Assistant Professor, University of California Hastings College of the Law; J.D., Harvard Law School; A.B., Stanford University. (April 2014, "Enforcement Discretion and Executive Duty." Vanderbilt Law Review, vol. 67, no. 3, pp. 671-770, HeinOnline)//pacc</w:t>
      </w:r>
    </w:p>
    <w:p w14:paraId="2643F8A7" w14:textId="1B483640" w:rsidR="00B8678D" w:rsidRPr="00B8678D" w:rsidRDefault="00B8678D" w:rsidP="00B8678D">
      <w:pPr>
        <w:rPr>
          <w:sz w:val="14"/>
        </w:rPr>
      </w:pPr>
      <w:r w:rsidRPr="0051277F">
        <w:rPr>
          <w:sz w:val="14"/>
        </w:rPr>
        <w:t xml:space="preserve">This interpretive approach is rooted in </w:t>
      </w:r>
      <w:r w:rsidRPr="0051277F">
        <w:rPr>
          <w:u w:val="single"/>
        </w:rPr>
        <w:t xml:space="preserve">the </w:t>
      </w:r>
      <w:r w:rsidRPr="0051277F">
        <w:rPr>
          <w:rStyle w:val="Emphasis"/>
        </w:rPr>
        <w:t>mistaken</w:t>
      </w:r>
      <w:r>
        <w:rPr>
          <w:rStyle w:val="Emphasis"/>
        </w:rPr>
        <w:t xml:space="preserve"> </w:t>
      </w:r>
      <w:r w:rsidRPr="0051277F">
        <w:rPr>
          <w:rStyle w:val="Emphasis"/>
        </w:rPr>
        <w:t>assumption</w:t>
      </w:r>
      <w:r w:rsidRPr="0051277F">
        <w:rPr>
          <w:u w:val="single"/>
        </w:rPr>
        <w:t xml:space="preserve"> that the </w:t>
      </w:r>
      <w:r w:rsidRPr="0051277F">
        <w:rPr>
          <w:rStyle w:val="Emphasis"/>
        </w:rPr>
        <w:t>executive</w:t>
      </w:r>
      <w:r w:rsidRPr="0051277F">
        <w:rPr>
          <w:u w:val="single"/>
        </w:rPr>
        <w:t xml:space="preserve"> branch necessarily </w:t>
      </w:r>
      <w:r w:rsidRPr="0051277F">
        <w:rPr>
          <w:rStyle w:val="Emphasis"/>
        </w:rPr>
        <w:t>possesses plenary</w:t>
      </w:r>
      <w:r>
        <w:rPr>
          <w:rStyle w:val="Emphasis"/>
        </w:rPr>
        <w:t xml:space="preserve"> </w:t>
      </w:r>
      <w:r w:rsidRPr="0051277F">
        <w:rPr>
          <w:rStyle w:val="Emphasis"/>
        </w:rPr>
        <w:t xml:space="preserve">authority </w:t>
      </w:r>
      <w:r w:rsidRPr="0051277F">
        <w:rPr>
          <w:u w:val="single"/>
        </w:rPr>
        <w:t>to select criminal charges</w:t>
      </w:r>
      <w:r w:rsidRPr="0051277F">
        <w:rPr>
          <w:sz w:val="14"/>
        </w:rPr>
        <w:t xml:space="preserve">. 408 Recognition that the baseline executive duty is to prosecute all statutory violations, making exceptions only for unusual cases, should produce a different orientation. Specifically, </w:t>
      </w:r>
      <w:r w:rsidRPr="0051277F">
        <w:rPr>
          <w:u w:val="single"/>
        </w:rPr>
        <w:t>it should prompt courts instead to view</w:t>
      </w:r>
      <w:r>
        <w:rPr>
          <w:u w:val="single"/>
        </w:rPr>
        <w:t xml:space="preserve"> </w:t>
      </w:r>
      <w:r w:rsidRPr="0051277F">
        <w:rPr>
          <w:u w:val="single"/>
        </w:rPr>
        <w:t>overlapping statutes as reflecting a gradation of mutually exclusive</w:t>
      </w:r>
      <w:r>
        <w:rPr>
          <w:u w:val="single"/>
        </w:rPr>
        <w:t xml:space="preserve"> </w:t>
      </w:r>
      <w:r w:rsidRPr="0051277F">
        <w:rPr>
          <w:u w:val="single"/>
        </w:rPr>
        <w:t>offenses-a real code of conduct</w:t>
      </w:r>
      <w:r w:rsidRPr="0051277F">
        <w:rPr>
          <w:sz w:val="14"/>
        </w:rPr>
        <w:t xml:space="preserve">, in other words, </w:t>
      </w:r>
      <w:r w:rsidRPr="0051277F">
        <w:rPr>
          <w:u w:val="single"/>
        </w:rPr>
        <w:t>rather than a</w:t>
      </w:r>
      <w:r>
        <w:rPr>
          <w:u w:val="single"/>
        </w:rPr>
        <w:t xml:space="preserve"> </w:t>
      </w:r>
      <w:r w:rsidRPr="0051277F">
        <w:rPr>
          <w:u w:val="single"/>
        </w:rPr>
        <w:t>delegation of authority to the executive branch to reshape the law on</w:t>
      </w:r>
      <w:r>
        <w:rPr>
          <w:u w:val="single"/>
        </w:rPr>
        <w:t xml:space="preserve"> </w:t>
      </w:r>
      <w:r w:rsidRPr="0051277F">
        <w:rPr>
          <w:u w:val="single"/>
        </w:rPr>
        <w:t>the ground by selectively enforcing the law on the books</w:t>
      </w:r>
      <w:r w:rsidRPr="0051277F">
        <w:rPr>
          <w:sz w:val="14"/>
        </w:rPr>
        <w:t>.</w:t>
      </w:r>
    </w:p>
    <w:p w14:paraId="4728250F" w14:textId="7D91384A" w:rsidR="00CA323B" w:rsidRDefault="00CA323B" w:rsidP="00CA323B">
      <w:pPr>
        <w:pStyle w:val="Heading1"/>
      </w:pPr>
      <w:r>
        <w:t xml:space="preserve">Neg – </w:t>
      </w:r>
      <w:r w:rsidR="002E524B">
        <w:t>Hybrid Statutes</w:t>
      </w:r>
    </w:p>
    <w:p w14:paraId="32D1D8AA" w14:textId="77777777" w:rsidR="00D91D7C" w:rsidRDefault="00D91D7C" w:rsidP="00D91D7C">
      <w:pPr>
        <w:pStyle w:val="Heading2"/>
      </w:pPr>
      <w:r>
        <w:t>Executive Criminalization</w:t>
      </w:r>
    </w:p>
    <w:p w14:paraId="3771BA84" w14:textId="77777777" w:rsidR="00D91D7C" w:rsidRPr="00CA323B" w:rsidRDefault="00D91D7C" w:rsidP="00D91D7C"/>
    <w:p w14:paraId="210D1BBE" w14:textId="77777777" w:rsidR="00D91D7C" w:rsidRPr="00CA323B" w:rsidRDefault="00D91D7C" w:rsidP="00D91D7C">
      <w:pPr>
        <w:pStyle w:val="Heading3"/>
      </w:pPr>
      <w:r>
        <w:t xml:space="preserve">1NC – AT: </w:t>
      </w:r>
      <w:r>
        <w:rPr>
          <w:i/>
          <w:iCs/>
        </w:rPr>
        <w:t>Babbitt</w:t>
      </w:r>
      <w:r>
        <w:t xml:space="preserve"> Bad</w:t>
      </w:r>
    </w:p>
    <w:p w14:paraId="0EEE0DEF" w14:textId="77777777" w:rsidR="00D91D7C" w:rsidRDefault="00D91D7C" w:rsidP="00D91D7C">
      <w:pPr>
        <w:pStyle w:val="Heading4"/>
      </w:pPr>
      <w:r>
        <w:t xml:space="preserve">The plan submits criminal law to </w:t>
      </w:r>
      <w:r>
        <w:rPr>
          <w:u w:val="single"/>
        </w:rPr>
        <w:t>judicial interpretation</w:t>
      </w:r>
      <w:r>
        <w:t xml:space="preserve"> instead, which is </w:t>
      </w:r>
      <w:r>
        <w:rPr>
          <w:u w:val="single"/>
        </w:rPr>
        <w:t>worse</w:t>
      </w:r>
      <w:r>
        <w:t>.</w:t>
      </w:r>
    </w:p>
    <w:p w14:paraId="5D994F5B" w14:textId="77777777" w:rsidR="00D91D7C" w:rsidRPr="00C60DB8" w:rsidRDefault="00D91D7C" w:rsidP="00D91D7C">
      <w:r w:rsidRPr="00C60DB8">
        <w:rPr>
          <w:rStyle w:val="Style13ptBold"/>
        </w:rPr>
        <w:t>Steinberg 15</w:t>
      </w:r>
      <w:r>
        <w:t xml:space="preserve"> – Asher Steinberg founded The Narrowest Grounds, a law blog, and has clerked for multiple members of the federal bench, JD from Georgetown Law. [Torres v. Lynch – the Case on Chevron Deference to Agency Interpretations of Criminal Law We've All Been Waiting For? 11-2-15, http://narrowestgrounds.blogspot.com/2015/11/torres-v-lynch-case-on-chevron.html]//BPS</w:t>
      </w:r>
    </w:p>
    <w:p w14:paraId="5D86457A" w14:textId="77777777" w:rsidR="00D91D7C" w:rsidRPr="00745279" w:rsidRDefault="00D91D7C" w:rsidP="00D91D7C">
      <w:pPr>
        <w:rPr>
          <w:sz w:val="16"/>
        </w:rPr>
      </w:pPr>
      <w:r w:rsidRPr="00745279">
        <w:rPr>
          <w:sz w:val="16"/>
        </w:rPr>
        <w:t xml:space="preserve">The core of the argument against giving the Board Chevron deference, and the core of the Scalia/Sutton argument against giving agencies deference to their interpretations of criminal law, is lenity.  </w:t>
      </w:r>
      <w:r w:rsidRPr="00456038">
        <w:rPr>
          <w:rStyle w:val="StyleUnderline"/>
          <w:highlight w:val="cyan"/>
        </w:rPr>
        <w:t>Lenity</w:t>
      </w:r>
      <w:r w:rsidRPr="00745279">
        <w:rPr>
          <w:sz w:val="16"/>
        </w:rPr>
        <w:t xml:space="preserve">, the argument goes, resolves all ambiguities in criminal laws, leaving agencies with no gaps to fill.  </w:t>
      </w:r>
      <w:r w:rsidRPr="00C60DB8">
        <w:rPr>
          <w:sz w:val="16"/>
        </w:rPr>
        <w:t xml:space="preserve">This </w:t>
      </w:r>
      <w:r w:rsidRPr="00456038">
        <w:rPr>
          <w:rStyle w:val="StyleUnderline"/>
          <w:highlight w:val="cyan"/>
        </w:rPr>
        <w:t xml:space="preserve">is </w:t>
      </w:r>
      <w:r w:rsidRPr="00456038">
        <w:rPr>
          <w:rStyle w:val="Emphasis"/>
          <w:highlight w:val="cyan"/>
        </w:rPr>
        <w:t>wrong</w:t>
      </w:r>
      <w:r w:rsidRPr="00745279">
        <w:rPr>
          <w:sz w:val="16"/>
        </w:rPr>
        <w:t xml:space="preserve"> for several reasons.</w:t>
      </w:r>
    </w:p>
    <w:p w14:paraId="032436FC" w14:textId="77777777" w:rsidR="00D91D7C" w:rsidRPr="00745279" w:rsidRDefault="00D91D7C" w:rsidP="00D91D7C">
      <w:pPr>
        <w:rPr>
          <w:sz w:val="16"/>
        </w:rPr>
      </w:pPr>
      <w:r w:rsidRPr="00745279">
        <w:rPr>
          <w:sz w:val="16"/>
        </w:rPr>
        <w:t xml:space="preserve">First, </w:t>
      </w:r>
      <w:r w:rsidRPr="002C07E5">
        <w:rPr>
          <w:rStyle w:val="StyleUnderline"/>
        </w:rPr>
        <w:t xml:space="preserve">it </w:t>
      </w:r>
      <w:r w:rsidRPr="002C07E5">
        <w:rPr>
          <w:rStyle w:val="Emphasis"/>
        </w:rPr>
        <w:t>misunderstands</w:t>
      </w:r>
      <w:r w:rsidRPr="002C07E5">
        <w:rPr>
          <w:rStyle w:val="StyleUnderline"/>
        </w:rPr>
        <w:t xml:space="preserve"> how lenity </w:t>
      </w:r>
      <w:r w:rsidRPr="002C07E5">
        <w:rPr>
          <w:rStyle w:val="Emphasis"/>
        </w:rPr>
        <w:t>actually works</w:t>
      </w:r>
      <w:r w:rsidRPr="00945AFF">
        <w:rPr>
          <w:rStyle w:val="StyleUnderline"/>
        </w:rPr>
        <w:t>.  Lenity</w:t>
      </w:r>
      <w:r w:rsidRPr="00745279">
        <w:rPr>
          <w:sz w:val="16"/>
        </w:rPr>
        <w:t xml:space="preserve"> doesn't kick in whenever a statute is ambiguous in the Chevron Step One sense; it </w:t>
      </w:r>
      <w:r w:rsidRPr="00945AFF">
        <w:rPr>
          <w:rStyle w:val="StyleUnderline"/>
        </w:rPr>
        <w:t>kicks in</w:t>
      </w:r>
      <w:r w:rsidRPr="00745279">
        <w:rPr>
          <w:sz w:val="16"/>
        </w:rPr>
        <w:t xml:space="preserve"> when, </w:t>
      </w:r>
      <w:r w:rsidRPr="00945AFF">
        <w:rPr>
          <w:rStyle w:val="StyleUnderline"/>
        </w:rPr>
        <w:t xml:space="preserve">after exhausting </w:t>
      </w:r>
      <w:r w:rsidRPr="00945AFF">
        <w:rPr>
          <w:rStyle w:val="Emphasis"/>
        </w:rPr>
        <w:t>every source</w:t>
      </w:r>
      <w:r w:rsidRPr="00945AFF">
        <w:rPr>
          <w:rStyle w:val="StyleUnderline"/>
        </w:rPr>
        <w:t xml:space="preserve"> of statutory meaning</w:t>
      </w:r>
      <w:r w:rsidRPr="00745279">
        <w:rPr>
          <w:sz w:val="16"/>
        </w:rPr>
        <w:t xml:space="preserve">, including "history and purpose," a criminal statute remains "grievously" ambiguous.  Now, </w:t>
      </w:r>
      <w:r w:rsidRPr="00945AFF">
        <w:rPr>
          <w:rStyle w:val="StyleUnderline"/>
        </w:rPr>
        <w:t>Chevron is</w:t>
      </w:r>
      <w:r w:rsidRPr="00745279">
        <w:rPr>
          <w:sz w:val="16"/>
        </w:rPr>
        <w:t xml:space="preserve"> itself </w:t>
      </w:r>
      <w:r w:rsidRPr="00945AFF">
        <w:rPr>
          <w:rStyle w:val="Emphasis"/>
        </w:rPr>
        <w:t>a canon</w:t>
      </w:r>
      <w:r w:rsidRPr="00745279">
        <w:rPr>
          <w:sz w:val="16"/>
        </w:rPr>
        <w:t xml:space="preserve"> of interpretation of sorts; it claims that whenever Congress enacts a statute that is ambiguous (whether or not it's "grievously" so), and gives an agency power to regulate or adjudicate under that statute in a formal enough way, it intends for the statute to bear any reasonable meaning the agency gives it.  Lenity, on the other hand, says that when we can't tell what Congress intended, after every means of answering that question is exhausted, the defendant wins on ambiguities.  </w:t>
      </w:r>
      <w:r w:rsidRPr="00456038">
        <w:rPr>
          <w:rStyle w:val="StyleUnderline"/>
          <w:highlight w:val="cyan"/>
        </w:rPr>
        <w:t>Chevron</w:t>
      </w:r>
      <w:r w:rsidRPr="00945AFF">
        <w:rPr>
          <w:rStyle w:val="StyleUnderline"/>
        </w:rPr>
        <w:t xml:space="preserve"> purports to </w:t>
      </w:r>
      <w:r w:rsidRPr="00456038">
        <w:rPr>
          <w:rStyle w:val="StyleUnderline"/>
          <w:highlight w:val="cyan"/>
        </w:rPr>
        <w:t xml:space="preserve">tell us what Congress </w:t>
      </w:r>
      <w:r w:rsidRPr="00456038">
        <w:rPr>
          <w:rStyle w:val="Emphasis"/>
          <w:highlight w:val="cyan"/>
        </w:rPr>
        <w:t>intended</w:t>
      </w:r>
      <w:r w:rsidRPr="00945AFF">
        <w:rPr>
          <w:rStyle w:val="StyleUnderline"/>
        </w:rPr>
        <w:t xml:space="preserve">; ergo, </w:t>
      </w:r>
      <w:r w:rsidRPr="00456038">
        <w:rPr>
          <w:rStyle w:val="StyleUnderline"/>
          <w:highlight w:val="cyan"/>
        </w:rPr>
        <w:t xml:space="preserve">it should </w:t>
      </w:r>
      <w:r w:rsidRPr="00456038">
        <w:rPr>
          <w:rStyle w:val="Emphasis"/>
          <w:highlight w:val="cyan"/>
        </w:rPr>
        <w:t>trump</w:t>
      </w:r>
      <w:r w:rsidRPr="00456038">
        <w:rPr>
          <w:rStyle w:val="StyleUnderline"/>
          <w:highlight w:val="cyan"/>
        </w:rPr>
        <w:t xml:space="preserve"> lenity</w:t>
      </w:r>
      <w:r w:rsidRPr="00945AFF">
        <w:rPr>
          <w:rStyle w:val="StyleUnderline"/>
        </w:rPr>
        <w:t>, not the other way around</w:t>
      </w:r>
      <w:r w:rsidRPr="00745279">
        <w:rPr>
          <w:sz w:val="16"/>
        </w:rPr>
        <w:t xml:space="preserve">.  (Besides, </w:t>
      </w:r>
      <w:r w:rsidRPr="00945AFF">
        <w:rPr>
          <w:rStyle w:val="StyleUnderline"/>
        </w:rPr>
        <w:t xml:space="preserve">Chevron is </w:t>
      </w:r>
      <w:r w:rsidRPr="00945AFF">
        <w:rPr>
          <w:rStyle w:val="Emphasis"/>
        </w:rPr>
        <w:t>stronger stuff</w:t>
      </w:r>
      <w:r w:rsidRPr="00945AFF">
        <w:rPr>
          <w:rStyle w:val="StyleUnderline"/>
        </w:rPr>
        <w:t xml:space="preserve"> than the </w:t>
      </w:r>
      <w:r w:rsidRPr="00945AFF">
        <w:rPr>
          <w:rStyle w:val="Emphasis"/>
        </w:rPr>
        <w:t>inferences</w:t>
      </w:r>
      <w:r w:rsidRPr="00945AFF">
        <w:rPr>
          <w:rStyle w:val="StyleUnderline"/>
        </w:rPr>
        <w:t xml:space="preserve"> from history and purpose</w:t>
      </w:r>
      <w:r w:rsidRPr="00745279">
        <w:rPr>
          <w:sz w:val="16"/>
        </w:rPr>
        <w:t xml:space="preserve"> that </w:t>
      </w:r>
      <w:r w:rsidRPr="00945AFF">
        <w:rPr>
          <w:rStyle w:val="StyleUnderline"/>
        </w:rPr>
        <w:t xml:space="preserve">the Court has said </w:t>
      </w:r>
      <w:r w:rsidRPr="00945AFF">
        <w:rPr>
          <w:rStyle w:val="Emphasis"/>
        </w:rPr>
        <w:t>numerous times</w:t>
      </w:r>
      <w:r w:rsidRPr="00945AFF">
        <w:rPr>
          <w:rStyle w:val="StyleUnderline"/>
        </w:rPr>
        <w:t xml:space="preserve"> trump lenity</w:t>
      </w:r>
      <w:r w:rsidRPr="00745279">
        <w:rPr>
          <w:sz w:val="16"/>
        </w:rPr>
        <w:t>.)</w:t>
      </w:r>
    </w:p>
    <w:p w14:paraId="1F5E16F9" w14:textId="77777777" w:rsidR="00D91D7C" w:rsidRPr="00745279" w:rsidRDefault="00D91D7C" w:rsidP="00D91D7C">
      <w:pPr>
        <w:rPr>
          <w:sz w:val="16"/>
        </w:rPr>
      </w:pPr>
      <w:r w:rsidRPr="00745279">
        <w:rPr>
          <w:sz w:val="16"/>
        </w:rPr>
        <w:t xml:space="preserve">Second, </w:t>
      </w:r>
      <w:r w:rsidRPr="00456038">
        <w:rPr>
          <w:rStyle w:val="StyleUnderline"/>
          <w:highlight w:val="cyan"/>
        </w:rPr>
        <w:t>lenity</w:t>
      </w:r>
      <w:r w:rsidRPr="00945AFF">
        <w:rPr>
          <w:rStyle w:val="StyleUnderline"/>
        </w:rPr>
        <w:t xml:space="preserve">, which </w:t>
      </w:r>
      <w:r w:rsidRPr="00456038">
        <w:rPr>
          <w:rStyle w:val="Emphasis"/>
          <w:highlight w:val="cyan"/>
        </w:rPr>
        <w:t>predates</w:t>
      </w:r>
      <w:r w:rsidRPr="00945AFF">
        <w:rPr>
          <w:rStyle w:val="Emphasis"/>
        </w:rPr>
        <w:t xml:space="preserve"> modern administrative </w:t>
      </w:r>
      <w:r w:rsidRPr="00456038">
        <w:rPr>
          <w:rStyle w:val="Emphasis"/>
          <w:highlight w:val="cyan"/>
        </w:rPr>
        <w:t>agencies by centuries</w:t>
      </w:r>
      <w:r w:rsidRPr="005572C1">
        <w:rPr>
          <w:rStyle w:val="StyleUnderline"/>
        </w:rPr>
        <w:t xml:space="preserve">, was developed as a response to judicial interpretation of criminal laws.  </w:t>
      </w:r>
      <w:r w:rsidRPr="005572C1">
        <w:rPr>
          <w:rStyle w:val="Emphasis"/>
        </w:rPr>
        <w:t>Unsurprisingly</w:t>
      </w:r>
      <w:r w:rsidRPr="005572C1">
        <w:rPr>
          <w:rStyle w:val="StyleUnderline"/>
        </w:rPr>
        <w:t xml:space="preserve">, its purposes have </w:t>
      </w:r>
      <w:r w:rsidRPr="005572C1">
        <w:rPr>
          <w:rStyle w:val="Emphasis"/>
        </w:rPr>
        <w:t>little bite</w:t>
      </w:r>
      <w:r w:rsidRPr="005572C1">
        <w:rPr>
          <w:rStyle w:val="StyleUnderline"/>
        </w:rPr>
        <w:t xml:space="preserve"> in</w:t>
      </w:r>
      <w:r w:rsidRPr="00945AFF">
        <w:rPr>
          <w:rStyle w:val="StyleUnderline"/>
        </w:rPr>
        <w:t xml:space="preserve"> the agency context</w:t>
      </w:r>
      <w:r w:rsidRPr="00745279">
        <w:rPr>
          <w:sz w:val="16"/>
        </w:rPr>
        <w:t xml:space="preserve">.  Most famously, lenity is about fair warning - the concern that if courts interpret criminal laws to cover conduct they don't clearly cover, defendants will lack adequate notice of their criminal liability.  How does fair notice play in the agency context?  Federal </w:t>
      </w:r>
      <w:r w:rsidRPr="00456038">
        <w:rPr>
          <w:rStyle w:val="Emphasis"/>
          <w:highlight w:val="cyan"/>
        </w:rPr>
        <w:t>agencies, unlike courts</w:t>
      </w:r>
      <w:r w:rsidRPr="00456038">
        <w:rPr>
          <w:rStyle w:val="StyleUnderline"/>
          <w:highlight w:val="cyan"/>
        </w:rPr>
        <w:t xml:space="preserve"> with </w:t>
      </w:r>
      <w:r w:rsidRPr="00456038">
        <w:rPr>
          <w:rStyle w:val="Emphasis"/>
          <w:highlight w:val="cyan"/>
        </w:rPr>
        <w:t>limited</w:t>
      </w:r>
      <w:r w:rsidRPr="00945AFF">
        <w:rPr>
          <w:rStyle w:val="Emphasis"/>
        </w:rPr>
        <w:t xml:space="preserve"> geographical </w:t>
      </w:r>
      <w:r w:rsidRPr="00456038">
        <w:rPr>
          <w:rStyle w:val="Emphasis"/>
          <w:highlight w:val="cyan"/>
        </w:rPr>
        <w:t>jurisdiction</w:t>
      </w:r>
      <w:r w:rsidRPr="00456038">
        <w:rPr>
          <w:rStyle w:val="StyleUnderline"/>
          <w:highlight w:val="cyan"/>
        </w:rPr>
        <w:t>, interpret statutes</w:t>
      </w:r>
      <w:r w:rsidRPr="00945AFF">
        <w:rPr>
          <w:rStyle w:val="StyleUnderline"/>
        </w:rPr>
        <w:t xml:space="preserve"> in regulations</w:t>
      </w:r>
      <w:r w:rsidRPr="00745279">
        <w:rPr>
          <w:sz w:val="16"/>
        </w:rPr>
        <w:t xml:space="preserve"> or adjudications </w:t>
      </w:r>
      <w:r w:rsidRPr="00945AFF">
        <w:rPr>
          <w:rStyle w:val="StyleUnderline"/>
        </w:rPr>
        <w:t xml:space="preserve">that apply </w:t>
      </w:r>
      <w:r w:rsidRPr="00456038">
        <w:rPr>
          <w:rStyle w:val="Emphasis"/>
          <w:highlight w:val="cyan"/>
        </w:rPr>
        <w:t>nationwide</w:t>
      </w:r>
      <w:r w:rsidRPr="00745279">
        <w:rPr>
          <w:sz w:val="16"/>
        </w:rPr>
        <w:t xml:space="preserve">.  Really, then, </w:t>
      </w:r>
      <w:r w:rsidRPr="00456038">
        <w:rPr>
          <w:rStyle w:val="StyleUnderline"/>
          <w:highlight w:val="cyan"/>
        </w:rPr>
        <w:t>people</w:t>
      </w:r>
      <w:r w:rsidRPr="00945AFF">
        <w:rPr>
          <w:rStyle w:val="StyleUnderline"/>
        </w:rPr>
        <w:t xml:space="preserve"> will</w:t>
      </w:r>
      <w:r w:rsidRPr="00745279">
        <w:rPr>
          <w:sz w:val="16"/>
        </w:rPr>
        <w:t xml:space="preserve"> </w:t>
      </w:r>
      <w:r w:rsidRPr="005572C1">
        <w:rPr>
          <w:sz w:val="16"/>
        </w:rPr>
        <w:t xml:space="preserve">usually </w:t>
      </w:r>
      <w:r w:rsidRPr="00456038">
        <w:rPr>
          <w:rStyle w:val="StyleUnderline"/>
          <w:highlight w:val="cyan"/>
        </w:rPr>
        <w:t xml:space="preserve">have </w:t>
      </w:r>
      <w:r w:rsidRPr="00456038">
        <w:rPr>
          <w:rStyle w:val="Emphasis"/>
          <w:highlight w:val="cyan"/>
        </w:rPr>
        <w:t>better notice</w:t>
      </w:r>
      <w:r w:rsidRPr="005572C1">
        <w:rPr>
          <w:rStyle w:val="Emphasis"/>
        </w:rPr>
        <w:t xml:space="preserve"> of their criminal</w:t>
      </w:r>
      <w:r w:rsidRPr="00945AFF">
        <w:rPr>
          <w:rStyle w:val="Emphasis"/>
        </w:rPr>
        <w:t xml:space="preserve"> liability</w:t>
      </w:r>
      <w:r w:rsidRPr="00945AFF">
        <w:rPr>
          <w:rStyle w:val="StyleUnderline"/>
        </w:rPr>
        <w:t xml:space="preserve"> </w:t>
      </w:r>
      <w:r w:rsidRPr="00456038">
        <w:rPr>
          <w:rStyle w:val="StyleUnderline"/>
          <w:highlight w:val="cyan"/>
        </w:rPr>
        <w:t>if</w:t>
      </w:r>
      <w:r w:rsidRPr="00945AFF">
        <w:rPr>
          <w:rStyle w:val="StyleUnderline"/>
        </w:rPr>
        <w:t xml:space="preserve"> the meaning of </w:t>
      </w:r>
      <w:r w:rsidRPr="00456038">
        <w:rPr>
          <w:rStyle w:val="StyleUnderline"/>
          <w:highlight w:val="cyan"/>
        </w:rPr>
        <w:t xml:space="preserve">criminal laws is </w:t>
      </w:r>
      <w:r w:rsidRPr="00456038">
        <w:rPr>
          <w:rStyle w:val="Emphasis"/>
          <w:highlight w:val="cyan"/>
        </w:rPr>
        <w:t>fixed</w:t>
      </w:r>
      <w:r w:rsidRPr="00456038">
        <w:rPr>
          <w:rStyle w:val="StyleUnderline"/>
          <w:highlight w:val="cyan"/>
        </w:rPr>
        <w:t xml:space="preserve"> by </w:t>
      </w:r>
      <w:r w:rsidRPr="00456038">
        <w:rPr>
          <w:rStyle w:val="Emphasis"/>
          <w:highlight w:val="cyan"/>
        </w:rPr>
        <w:t>agency</w:t>
      </w:r>
      <w:r w:rsidRPr="00945AFF">
        <w:rPr>
          <w:rStyle w:val="Emphasis"/>
        </w:rPr>
        <w:t xml:space="preserve"> glosses</w:t>
      </w:r>
      <w:r w:rsidRPr="00945AFF">
        <w:rPr>
          <w:rStyle w:val="StyleUnderline"/>
        </w:rPr>
        <w:t xml:space="preserve"> that apply </w:t>
      </w:r>
      <w:r w:rsidRPr="00945AFF">
        <w:rPr>
          <w:rStyle w:val="Emphasis"/>
        </w:rPr>
        <w:t>nationwide</w:t>
      </w:r>
      <w:r w:rsidRPr="00745279">
        <w:rPr>
          <w:sz w:val="16"/>
        </w:rPr>
        <w:t xml:space="preserve"> and interpret a statute with some specificity than they will in the normal situation, where thousands of district judges with local jurisdictions can interpret ambiguous criminal laws as they like, so long as they don't find "grievous" ambiguity.   </w:t>
      </w:r>
    </w:p>
    <w:p w14:paraId="77A4157D" w14:textId="77777777" w:rsidR="00D91D7C" w:rsidRPr="00745279" w:rsidRDefault="00D91D7C" w:rsidP="00D91D7C">
      <w:pPr>
        <w:rPr>
          <w:sz w:val="16"/>
        </w:rPr>
      </w:pPr>
      <w:r w:rsidRPr="005572C1">
        <w:rPr>
          <w:sz w:val="16"/>
        </w:rPr>
        <w:t xml:space="preserve">Judge Sutton has strained to argue that Chevron deference creates a notice problem because even after Mead agencies can, occasionally, get Chevron deference to some pretty obscure acts of interpretation - policy statements, opinion letters, and the like.  Of course, </w:t>
      </w:r>
      <w:r w:rsidRPr="005572C1">
        <w:rPr>
          <w:rStyle w:val="Emphasis"/>
        </w:rPr>
        <w:t xml:space="preserve">a </w:t>
      </w:r>
      <w:r w:rsidRPr="00456038">
        <w:rPr>
          <w:rStyle w:val="Emphasis"/>
          <w:highlight w:val="cyan"/>
        </w:rPr>
        <w:t>patchwork</w:t>
      </w:r>
      <w:r w:rsidRPr="00456038">
        <w:rPr>
          <w:rStyle w:val="StyleUnderline"/>
          <w:highlight w:val="cyan"/>
        </w:rPr>
        <w:t xml:space="preserve"> of </w:t>
      </w:r>
      <w:r w:rsidRPr="00456038">
        <w:rPr>
          <w:rStyle w:val="Emphasis"/>
          <w:highlight w:val="cyan"/>
        </w:rPr>
        <w:t>unpublished</w:t>
      </w:r>
      <w:r w:rsidRPr="005572C1">
        <w:rPr>
          <w:rStyle w:val="Emphasis"/>
        </w:rPr>
        <w:t xml:space="preserve"> district court </w:t>
      </w:r>
      <w:r w:rsidRPr="00456038">
        <w:rPr>
          <w:rStyle w:val="Emphasis"/>
          <w:highlight w:val="cyan"/>
        </w:rPr>
        <w:t>opinions</w:t>
      </w:r>
      <w:r w:rsidRPr="00456038">
        <w:rPr>
          <w:rStyle w:val="StyleUnderline"/>
          <w:highlight w:val="cyan"/>
        </w:rPr>
        <w:t xml:space="preserve"> is</w:t>
      </w:r>
      <w:r w:rsidRPr="005572C1">
        <w:rPr>
          <w:sz w:val="16"/>
        </w:rPr>
        <w:t xml:space="preserve"> equally </w:t>
      </w:r>
      <w:r w:rsidRPr="00456038">
        <w:rPr>
          <w:rStyle w:val="Emphasis"/>
          <w:highlight w:val="cyan"/>
        </w:rPr>
        <w:t>obscure</w:t>
      </w:r>
      <w:r w:rsidRPr="005572C1">
        <w:rPr>
          <w:sz w:val="16"/>
        </w:rPr>
        <w:t xml:space="preserve">, if not more so, and </w:t>
      </w:r>
      <w:r w:rsidRPr="00456038">
        <w:rPr>
          <w:rStyle w:val="StyleUnderline"/>
          <w:highlight w:val="cyan"/>
        </w:rPr>
        <w:t>I don't see why someone</w:t>
      </w:r>
      <w:r w:rsidRPr="005572C1">
        <w:rPr>
          <w:sz w:val="16"/>
        </w:rPr>
        <w:t xml:space="preserve"> seriously </w:t>
      </w:r>
      <w:r w:rsidRPr="00456038">
        <w:rPr>
          <w:rStyle w:val="StyleUnderline"/>
          <w:highlight w:val="cyan"/>
        </w:rPr>
        <w:t>investigating</w:t>
      </w:r>
      <w:r w:rsidRPr="005572C1">
        <w:rPr>
          <w:rStyle w:val="StyleUnderline"/>
        </w:rPr>
        <w:t xml:space="preserve"> </w:t>
      </w:r>
      <w:r w:rsidRPr="005572C1">
        <w:rPr>
          <w:rStyle w:val="Emphasis"/>
        </w:rPr>
        <w:t xml:space="preserve">their </w:t>
      </w:r>
      <w:r w:rsidRPr="00456038">
        <w:rPr>
          <w:rStyle w:val="Emphasis"/>
          <w:highlight w:val="cyan"/>
        </w:rPr>
        <w:t>criminal liability</w:t>
      </w:r>
      <w:r w:rsidRPr="00456038">
        <w:rPr>
          <w:rStyle w:val="StyleUnderline"/>
          <w:highlight w:val="cyan"/>
        </w:rPr>
        <w:t xml:space="preserve"> shouldn't</w:t>
      </w:r>
      <w:r w:rsidRPr="005572C1">
        <w:rPr>
          <w:sz w:val="16"/>
        </w:rPr>
        <w:t xml:space="preserve"> be expected to </w:t>
      </w:r>
      <w:r w:rsidRPr="00456038">
        <w:rPr>
          <w:rStyle w:val="StyleUnderline"/>
          <w:highlight w:val="cyan"/>
        </w:rPr>
        <w:t>read</w:t>
      </w:r>
      <w:r w:rsidRPr="005572C1">
        <w:rPr>
          <w:rStyle w:val="StyleUnderline"/>
        </w:rPr>
        <w:t xml:space="preserve"> relevant </w:t>
      </w:r>
      <w:r w:rsidRPr="00456038">
        <w:rPr>
          <w:rStyle w:val="Emphasis"/>
          <w:highlight w:val="cyan"/>
        </w:rPr>
        <w:t>agency</w:t>
      </w:r>
      <w:r w:rsidRPr="005572C1">
        <w:rPr>
          <w:rStyle w:val="Emphasis"/>
        </w:rPr>
        <w:t xml:space="preserve"> policy </w:t>
      </w:r>
      <w:r w:rsidRPr="00456038">
        <w:rPr>
          <w:rStyle w:val="Emphasis"/>
          <w:highlight w:val="cyan"/>
        </w:rPr>
        <w:t>statements</w:t>
      </w:r>
      <w:r w:rsidRPr="005572C1">
        <w:rPr>
          <w:sz w:val="16"/>
        </w:rPr>
        <w:t>.  But if obscure policy statements are a serious fair warning concern, that's only a reason to modify Mead so as to not give Chevron deference to agency interpretations of criminal law in policy statements - not a reason to never give Chevron deference to agency interpretations of criminal law.  Torres's amici argue that deferring to agency interpretations of criminal law would create a notice problem because agencies aren't bound by horizontal stare decisis to follow their own prior interpretations.  But neither are district courts.  Stare decisis, horizontal or vertical, doesn't kick in until a court of appeals decides a question.  And even statutory stare decisis doesn't always last forever.  What's more conducive to fair notice - nationally applicable interpretations of criminal law that sometimes change, or numerous locally applicable interpretations of criminal law that, in the aggregate, change a little less?</w:t>
      </w:r>
    </w:p>
    <w:p w14:paraId="6CD954BE" w14:textId="77777777" w:rsidR="00D91D7C" w:rsidRPr="00745279" w:rsidRDefault="00D91D7C" w:rsidP="00D91D7C">
      <w:pPr>
        <w:rPr>
          <w:sz w:val="16"/>
        </w:rPr>
      </w:pPr>
      <w:r w:rsidRPr="00745279">
        <w:rPr>
          <w:rStyle w:val="StyleUnderline"/>
        </w:rPr>
        <w:t>Lenity is</w:t>
      </w:r>
      <w:r w:rsidRPr="00745279">
        <w:rPr>
          <w:sz w:val="16"/>
        </w:rPr>
        <w:t xml:space="preserve"> also sometimes </w:t>
      </w:r>
      <w:r w:rsidRPr="00745279">
        <w:rPr>
          <w:rStyle w:val="StyleUnderline"/>
        </w:rPr>
        <w:t>said to have a separation-of-powers purpose</w:t>
      </w:r>
      <w:r w:rsidRPr="00745279">
        <w:rPr>
          <w:sz w:val="16"/>
        </w:rPr>
        <w:t xml:space="preserve">; lenity, the story goes, ensures that democratically accountable legislatures, not unaccountable courts, define crimes. The advocates of a criminal law carve-out from Chevron say that this purpose of lenity, at least, is served by denying deference to agency interpretations of criminal law.  Agencies, however, aren't courts where accountability is concerned; indeed, the whole premise of Chevron is that they aren't.  What's more, given the realities of lenity doctrine, </w:t>
      </w:r>
      <w:r w:rsidRPr="00745279">
        <w:rPr>
          <w:rStyle w:val="StyleUnderline"/>
        </w:rPr>
        <w:t xml:space="preserve">there's </w:t>
      </w:r>
      <w:r w:rsidRPr="00745279">
        <w:rPr>
          <w:rStyle w:val="Emphasis"/>
        </w:rPr>
        <w:t>a good argument</w:t>
      </w:r>
      <w:r w:rsidRPr="00745279">
        <w:rPr>
          <w:sz w:val="16"/>
        </w:rPr>
        <w:t xml:space="preserve"> that </w:t>
      </w:r>
      <w:r w:rsidRPr="00456038">
        <w:rPr>
          <w:rStyle w:val="StyleUnderline"/>
          <w:highlight w:val="cyan"/>
        </w:rPr>
        <w:t>Chevron</w:t>
      </w:r>
      <w:r w:rsidRPr="00745279">
        <w:rPr>
          <w:rStyle w:val="StyleUnderline"/>
        </w:rPr>
        <w:t xml:space="preserve"> deference </w:t>
      </w:r>
      <w:r w:rsidRPr="00456038">
        <w:rPr>
          <w:rStyle w:val="StyleUnderline"/>
          <w:highlight w:val="cyan"/>
        </w:rPr>
        <w:t>would enhance</w:t>
      </w:r>
      <w:r w:rsidRPr="00745279">
        <w:rPr>
          <w:rStyle w:val="StyleUnderline"/>
        </w:rPr>
        <w:t xml:space="preserve"> </w:t>
      </w:r>
      <w:r w:rsidRPr="00745279">
        <w:rPr>
          <w:rStyle w:val="Emphasis"/>
        </w:rPr>
        <w:t xml:space="preserve">the </w:t>
      </w:r>
      <w:r w:rsidRPr="00456038">
        <w:rPr>
          <w:rStyle w:val="Emphasis"/>
          <w:highlight w:val="cyan"/>
        </w:rPr>
        <w:t>democratic legitimacy of criminal law</w:t>
      </w:r>
      <w:r w:rsidRPr="00745279">
        <w:rPr>
          <w:rStyle w:val="StyleUnderline"/>
        </w:rPr>
        <w:t xml:space="preserve">, not reduce it.  </w:t>
      </w:r>
      <w:r w:rsidRPr="00456038">
        <w:rPr>
          <w:rStyle w:val="StyleUnderline"/>
          <w:highlight w:val="cyan"/>
        </w:rPr>
        <w:t xml:space="preserve">In </w:t>
      </w:r>
      <w:r w:rsidRPr="00456038">
        <w:rPr>
          <w:rStyle w:val="Emphasis"/>
          <w:highlight w:val="cyan"/>
        </w:rPr>
        <w:t>a Chevron-free</w:t>
      </w:r>
      <w:r w:rsidRPr="00745279">
        <w:rPr>
          <w:rStyle w:val="Emphasis"/>
        </w:rPr>
        <w:t xml:space="preserve"> criminal law interpretive </w:t>
      </w:r>
      <w:r w:rsidRPr="00456038">
        <w:rPr>
          <w:rStyle w:val="Emphasis"/>
          <w:highlight w:val="cyan"/>
        </w:rPr>
        <w:t>regime</w:t>
      </w:r>
      <w:r w:rsidRPr="00745279">
        <w:rPr>
          <w:rStyle w:val="StyleUnderline"/>
        </w:rPr>
        <w:t xml:space="preserve">, </w:t>
      </w:r>
      <w:r w:rsidRPr="005572C1">
        <w:rPr>
          <w:rStyle w:val="Emphasis"/>
        </w:rPr>
        <w:t xml:space="preserve">completely </w:t>
      </w:r>
      <w:r w:rsidRPr="00456038">
        <w:rPr>
          <w:rStyle w:val="Emphasis"/>
          <w:highlight w:val="cyan"/>
        </w:rPr>
        <w:t>unaccountable courts</w:t>
      </w:r>
      <w:r w:rsidRPr="00745279">
        <w:rPr>
          <w:sz w:val="16"/>
        </w:rPr>
        <w:t xml:space="preserve"> are free to </w:t>
      </w:r>
      <w:r w:rsidRPr="00456038">
        <w:rPr>
          <w:rStyle w:val="StyleUnderline"/>
          <w:highlight w:val="cyan"/>
        </w:rPr>
        <w:t>make</w:t>
      </w:r>
      <w:r w:rsidRPr="00745279">
        <w:rPr>
          <w:rStyle w:val="StyleUnderline"/>
        </w:rPr>
        <w:t xml:space="preserve"> </w:t>
      </w:r>
      <w:r w:rsidRPr="00745279">
        <w:rPr>
          <w:rStyle w:val="Emphasis"/>
        </w:rPr>
        <w:t xml:space="preserve">significant </w:t>
      </w:r>
      <w:r w:rsidRPr="00456038">
        <w:rPr>
          <w:rStyle w:val="Emphasis"/>
          <w:highlight w:val="cyan"/>
        </w:rPr>
        <w:t>policy</w:t>
      </w:r>
      <w:r w:rsidRPr="00745279">
        <w:rPr>
          <w:rStyle w:val="Emphasis"/>
        </w:rPr>
        <w:t xml:space="preserve"> choices</w:t>
      </w:r>
      <w:r w:rsidRPr="00745279">
        <w:rPr>
          <w:rStyle w:val="StyleUnderline"/>
        </w:rPr>
        <w:t xml:space="preserve"> about the content of criminal law so long as they don't find </w:t>
      </w:r>
      <w:r w:rsidRPr="00745279">
        <w:rPr>
          <w:rStyle w:val="Emphasis"/>
        </w:rPr>
        <w:t>grievous ambiguity</w:t>
      </w:r>
      <w:r w:rsidRPr="00745279">
        <w:rPr>
          <w:sz w:val="16"/>
        </w:rPr>
        <w:t xml:space="preserve">.  In my preferred world, it's true that an agency, rather than Congress, could create criminal liability in the rare cases where a statute is so ambiguous that lenity would apply.  (Then again, one could take the position that in those rare cases of grievous ambiguity, lenity should kick in at Step One.)  But in the minerun of cases where there's enough ambiguity for courts to have interpretive leeway, but sufficient material to work with that lenity is off the table, </w:t>
      </w:r>
      <w:r w:rsidRPr="00456038">
        <w:rPr>
          <w:rStyle w:val="StyleUnderline"/>
          <w:highlight w:val="cyan"/>
        </w:rPr>
        <w:t>Chevron would move</w:t>
      </w:r>
      <w:r w:rsidRPr="00745279">
        <w:rPr>
          <w:rStyle w:val="StyleUnderline"/>
        </w:rPr>
        <w:t xml:space="preserve"> interpretive </w:t>
      </w:r>
      <w:r w:rsidRPr="00456038">
        <w:rPr>
          <w:rStyle w:val="StyleUnderline"/>
          <w:highlight w:val="cyan"/>
        </w:rPr>
        <w:t xml:space="preserve">authority to </w:t>
      </w:r>
      <w:r w:rsidRPr="00456038">
        <w:rPr>
          <w:rStyle w:val="Emphasis"/>
          <w:highlight w:val="cyan"/>
        </w:rPr>
        <w:t>a more</w:t>
      </w:r>
      <w:r w:rsidRPr="00745279">
        <w:rPr>
          <w:rStyle w:val="Emphasis"/>
        </w:rPr>
        <w:t xml:space="preserve"> politically </w:t>
      </w:r>
      <w:r w:rsidRPr="00456038">
        <w:rPr>
          <w:rStyle w:val="Emphasis"/>
          <w:highlight w:val="cyan"/>
        </w:rPr>
        <w:t>accountable</w:t>
      </w:r>
      <w:r w:rsidRPr="00745279">
        <w:rPr>
          <w:rStyle w:val="StyleUnderline"/>
        </w:rPr>
        <w:t xml:space="preserve">, and </w:t>
      </w:r>
      <w:r w:rsidRPr="00456038">
        <w:rPr>
          <w:rStyle w:val="Emphasis"/>
          <w:highlight w:val="cyan"/>
        </w:rPr>
        <w:t>congressional</w:t>
      </w:r>
      <w:r w:rsidRPr="005572C1">
        <w:rPr>
          <w:rStyle w:val="Emphasis"/>
        </w:rPr>
        <w:t>ly</w:t>
      </w:r>
      <w:r w:rsidRPr="00745279">
        <w:rPr>
          <w:rStyle w:val="Emphasis"/>
        </w:rPr>
        <w:t xml:space="preserve"> controlled, </w:t>
      </w:r>
      <w:r w:rsidRPr="00456038">
        <w:rPr>
          <w:rStyle w:val="Emphasis"/>
          <w:highlight w:val="cyan"/>
        </w:rPr>
        <w:t>branch</w:t>
      </w:r>
      <w:r w:rsidRPr="00745279">
        <w:rPr>
          <w:rStyle w:val="Emphasis"/>
        </w:rPr>
        <w:t xml:space="preserve"> of government</w:t>
      </w:r>
      <w:r w:rsidRPr="00745279">
        <w:rPr>
          <w:sz w:val="16"/>
        </w:rPr>
        <w:t xml:space="preserve">. </w:t>
      </w:r>
    </w:p>
    <w:p w14:paraId="6894F26F" w14:textId="77777777" w:rsidR="00D91D7C" w:rsidRPr="00745279" w:rsidRDefault="00D91D7C" w:rsidP="00D91D7C">
      <w:pPr>
        <w:rPr>
          <w:sz w:val="16"/>
        </w:rPr>
      </w:pPr>
      <w:r w:rsidRPr="00745279">
        <w:rPr>
          <w:sz w:val="16"/>
        </w:rPr>
        <w:t xml:space="preserve">The </w:t>
      </w:r>
      <w:r w:rsidRPr="00456038">
        <w:rPr>
          <w:rStyle w:val="StyleUnderline"/>
          <w:highlight w:val="cyan"/>
        </w:rPr>
        <w:t>opponents</w:t>
      </w:r>
      <w:r w:rsidRPr="00745279">
        <w:rPr>
          <w:rStyle w:val="StyleUnderline"/>
        </w:rPr>
        <w:t xml:space="preserve"> of deference to agency interpretations of criminal law</w:t>
      </w:r>
      <w:r w:rsidRPr="00745279">
        <w:rPr>
          <w:sz w:val="16"/>
        </w:rPr>
        <w:t xml:space="preserve"> also </w:t>
      </w:r>
      <w:r w:rsidRPr="00745279">
        <w:rPr>
          <w:rStyle w:val="StyleUnderline"/>
        </w:rPr>
        <w:t>argue</w:t>
      </w:r>
      <w:r w:rsidRPr="00745279">
        <w:rPr>
          <w:sz w:val="16"/>
        </w:rPr>
        <w:t xml:space="preserve"> that, apart from lenity, </w:t>
      </w:r>
      <w:r w:rsidRPr="00745279">
        <w:rPr>
          <w:rStyle w:val="StyleUnderline"/>
        </w:rPr>
        <w:t xml:space="preserve">there's </w:t>
      </w:r>
      <w:r w:rsidRPr="00745279">
        <w:rPr>
          <w:rStyle w:val="Emphasis"/>
        </w:rPr>
        <w:t>a freestanding separation-of-powers rule</w:t>
      </w:r>
      <w:r w:rsidRPr="00745279">
        <w:rPr>
          <w:sz w:val="16"/>
        </w:rPr>
        <w:t xml:space="preserve"> (or really, soft principle) </w:t>
      </w:r>
      <w:r w:rsidRPr="00745279">
        <w:rPr>
          <w:rStyle w:val="StyleUnderline"/>
        </w:rPr>
        <w:t>against the executive defining crimes.  Yet</w:t>
      </w:r>
      <w:r w:rsidRPr="00745279">
        <w:rPr>
          <w:sz w:val="16"/>
        </w:rPr>
        <w:t xml:space="preserve"> they </w:t>
      </w:r>
      <w:r w:rsidRPr="00745279">
        <w:rPr>
          <w:rStyle w:val="Emphasis"/>
        </w:rPr>
        <w:t xml:space="preserve">readily </w:t>
      </w:r>
      <w:r w:rsidRPr="00456038">
        <w:rPr>
          <w:rStyle w:val="Emphasis"/>
          <w:highlight w:val="cyan"/>
        </w:rPr>
        <w:t>concede</w:t>
      </w:r>
      <w:r w:rsidRPr="00745279">
        <w:rPr>
          <w:sz w:val="16"/>
        </w:rPr>
        <w:t xml:space="preserve"> that </w:t>
      </w:r>
      <w:r w:rsidRPr="00456038">
        <w:rPr>
          <w:rStyle w:val="StyleUnderline"/>
          <w:highlight w:val="cyan"/>
        </w:rPr>
        <w:t>Congress may make it a crime to violate</w:t>
      </w:r>
      <w:r w:rsidRPr="00745279">
        <w:rPr>
          <w:rStyle w:val="StyleUnderline"/>
        </w:rPr>
        <w:t xml:space="preserve"> </w:t>
      </w:r>
      <w:r w:rsidRPr="00745279">
        <w:rPr>
          <w:rStyle w:val="Emphasis"/>
        </w:rPr>
        <w:t xml:space="preserve">a class of </w:t>
      </w:r>
      <w:r w:rsidRPr="00456038">
        <w:rPr>
          <w:rStyle w:val="Emphasis"/>
          <w:highlight w:val="cyan"/>
        </w:rPr>
        <w:t>regulations</w:t>
      </w:r>
      <w:r w:rsidRPr="00456038">
        <w:rPr>
          <w:rStyle w:val="StyleUnderline"/>
          <w:highlight w:val="cyan"/>
        </w:rPr>
        <w:t xml:space="preserve"> that don't</w:t>
      </w:r>
      <w:r w:rsidRPr="00745279">
        <w:rPr>
          <w:rStyle w:val="StyleUnderline"/>
        </w:rPr>
        <w:t xml:space="preserve"> </w:t>
      </w:r>
      <w:r w:rsidRPr="00745279">
        <w:rPr>
          <w:rStyle w:val="Emphasis"/>
        </w:rPr>
        <w:t xml:space="preserve">yet </w:t>
      </w:r>
      <w:r w:rsidRPr="00456038">
        <w:rPr>
          <w:rStyle w:val="Emphasis"/>
          <w:highlight w:val="cyan"/>
        </w:rPr>
        <w:t>exist</w:t>
      </w:r>
      <w:r w:rsidRPr="00745279">
        <w:rPr>
          <w:rStyle w:val="StyleUnderline"/>
        </w:rPr>
        <w:t xml:space="preserve"> and then authorize an agency to write the regulations</w:t>
      </w:r>
      <w:r w:rsidRPr="00745279">
        <w:rPr>
          <w:sz w:val="16"/>
        </w:rPr>
        <w:t xml:space="preserve">.  Judge Sutton suggests that that's different than Chevron, because in that instance Congress has clearly stated an intent to let agencies write criminal law.  He argues a clear-statement rule should govern whether Congress has delegated criminal lawmaking power to agencies.  Justice Scalia, for his part, has vaguely suggested that agency interpretation of existing criminal law is somehow worse than agencies making criminal law from scratch. </w:t>
      </w:r>
    </w:p>
    <w:p w14:paraId="35257E71" w14:textId="77777777" w:rsidR="00D91D7C" w:rsidRDefault="00D91D7C" w:rsidP="00D91D7C">
      <w:pPr>
        <w:rPr>
          <w:sz w:val="16"/>
        </w:rPr>
      </w:pPr>
      <w:r w:rsidRPr="00745279">
        <w:rPr>
          <w:sz w:val="16"/>
        </w:rPr>
        <w:t>I don't understand Scalia's point at all.  Judge Sutton's argument has, at least, an internal logic to it.  But whatever one's general views on the virtues of courts using clear statement rules to dissuade Congress from doing things it's constitutionally allowed to do (I'm skeptical, obviously), this particular clear statement rule seems a b</w:t>
      </w:r>
      <w:r w:rsidRPr="005572C1">
        <w:rPr>
          <w:sz w:val="16"/>
        </w:rPr>
        <w:t xml:space="preserve">ad idea.  </w:t>
      </w:r>
      <w:r w:rsidRPr="005572C1">
        <w:rPr>
          <w:rStyle w:val="StyleUnderline"/>
        </w:rPr>
        <w:t xml:space="preserve">Under the </w:t>
      </w:r>
      <w:r w:rsidRPr="005572C1">
        <w:rPr>
          <w:rStyle w:val="Emphasis"/>
        </w:rPr>
        <w:t>guise of ensuring</w:t>
      </w:r>
      <w:r w:rsidRPr="005572C1">
        <w:rPr>
          <w:sz w:val="16"/>
        </w:rPr>
        <w:t xml:space="preserve"> that </w:t>
      </w:r>
      <w:r w:rsidRPr="005572C1">
        <w:rPr>
          <w:rStyle w:val="StyleUnderline"/>
        </w:rPr>
        <w:t>only Congress defines crimes un</w:t>
      </w:r>
      <w:r w:rsidRPr="00745279">
        <w:rPr>
          <w:rStyle w:val="StyleUnderline"/>
        </w:rPr>
        <w:t xml:space="preserve">less it </w:t>
      </w:r>
      <w:r w:rsidRPr="00745279">
        <w:rPr>
          <w:rStyle w:val="Emphasis"/>
        </w:rPr>
        <w:t>clearly states otherwise</w:t>
      </w:r>
      <w:r w:rsidRPr="00456038">
        <w:rPr>
          <w:rStyle w:val="StyleUnderline"/>
          <w:highlight w:val="cyan"/>
        </w:rPr>
        <w:t>, it would</w:t>
      </w:r>
      <w:r w:rsidRPr="00745279">
        <w:rPr>
          <w:rStyle w:val="StyleUnderline"/>
        </w:rPr>
        <w:t xml:space="preserve"> </w:t>
      </w:r>
      <w:r w:rsidRPr="00745279">
        <w:rPr>
          <w:rStyle w:val="Emphasis"/>
        </w:rPr>
        <w:t xml:space="preserve">actually </w:t>
      </w:r>
      <w:r w:rsidRPr="00456038">
        <w:rPr>
          <w:rStyle w:val="Emphasis"/>
          <w:highlight w:val="cyan"/>
        </w:rPr>
        <w:t>shift</w:t>
      </w:r>
      <w:r w:rsidRPr="00456038">
        <w:rPr>
          <w:rStyle w:val="StyleUnderline"/>
          <w:highlight w:val="cyan"/>
        </w:rPr>
        <w:t xml:space="preserve"> criminal-law</w:t>
      </w:r>
      <w:r w:rsidRPr="005572C1">
        <w:rPr>
          <w:rStyle w:val="StyleUnderline"/>
        </w:rPr>
        <w:t>making</w:t>
      </w:r>
      <w:r w:rsidRPr="00745279">
        <w:rPr>
          <w:rStyle w:val="StyleUnderline"/>
        </w:rPr>
        <w:t xml:space="preserve"> authority </w:t>
      </w:r>
      <w:r w:rsidRPr="00456038">
        <w:rPr>
          <w:rStyle w:val="StyleUnderline"/>
          <w:highlight w:val="cyan"/>
        </w:rPr>
        <w:t xml:space="preserve">from </w:t>
      </w:r>
      <w:r w:rsidRPr="00456038">
        <w:rPr>
          <w:rStyle w:val="Emphasis"/>
          <w:highlight w:val="cyan"/>
        </w:rPr>
        <w:t>mildly</w:t>
      </w:r>
      <w:r w:rsidRPr="00745279">
        <w:rPr>
          <w:rStyle w:val="Emphasis"/>
        </w:rPr>
        <w:t xml:space="preserve"> politically </w:t>
      </w:r>
      <w:r w:rsidRPr="00456038">
        <w:rPr>
          <w:rStyle w:val="Emphasis"/>
          <w:highlight w:val="cyan"/>
        </w:rPr>
        <w:t>accountable</w:t>
      </w:r>
      <w:r w:rsidRPr="00745279">
        <w:rPr>
          <w:rStyle w:val="Emphasis"/>
        </w:rPr>
        <w:t xml:space="preserve"> agency actors</w:t>
      </w:r>
      <w:r w:rsidRPr="00745279">
        <w:rPr>
          <w:rStyle w:val="StyleUnderline"/>
        </w:rPr>
        <w:t xml:space="preserve"> </w:t>
      </w:r>
      <w:r w:rsidRPr="00456038">
        <w:rPr>
          <w:rStyle w:val="StyleUnderline"/>
          <w:highlight w:val="cyan"/>
        </w:rPr>
        <w:t>to</w:t>
      </w:r>
      <w:r w:rsidRPr="00745279">
        <w:rPr>
          <w:rStyle w:val="StyleUnderline"/>
        </w:rPr>
        <w:t xml:space="preserve"> </w:t>
      </w:r>
      <w:r w:rsidRPr="00745279">
        <w:rPr>
          <w:rStyle w:val="Emphasis"/>
        </w:rPr>
        <w:t xml:space="preserve">completely </w:t>
      </w:r>
      <w:r w:rsidRPr="00456038">
        <w:rPr>
          <w:rStyle w:val="Emphasis"/>
          <w:highlight w:val="cyan"/>
        </w:rPr>
        <w:t>unaccountable courts</w:t>
      </w:r>
      <w:r w:rsidRPr="00745279">
        <w:rPr>
          <w:sz w:val="16"/>
        </w:rPr>
        <w:t xml:space="preserve">.  As is almost always the case in debates over Chevron's domain, </w:t>
      </w:r>
      <w:r w:rsidRPr="00456038">
        <w:rPr>
          <w:rStyle w:val="StyleUnderline"/>
          <w:highlight w:val="cyan"/>
        </w:rPr>
        <w:t>the choice isn't</w:t>
      </w:r>
      <w:r w:rsidRPr="00745279">
        <w:rPr>
          <w:rStyle w:val="StyleUnderline"/>
        </w:rPr>
        <w:t xml:space="preserve"> between </w:t>
      </w:r>
      <w:r w:rsidRPr="00456038">
        <w:rPr>
          <w:rStyle w:val="Emphasis"/>
          <w:highlight w:val="cyan"/>
        </w:rPr>
        <w:t>fidelity</w:t>
      </w:r>
      <w:r w:rsidRPr="00745279">
        <w:rPr>
          <w:rStyle w:val="Emphasis"/>
        </w:rPr>
        <w:t xml:space="preserve"> to the law Congress made</w:t>
      </w:r>
      <w:r w:rsidRPr="00745279">
        <w:rPr>
          <w:rStyle w:val="StyleUnderline"/>
        </w:rPr>
        <w:t xml:space="preserve"> </w:t>
      </w:r>
      <w:r w:rsidRPr="00456038">
        <w:rPr>
          <w:rStyle w:val="StyleUnderline"/>
          <w:highlight w:val="cyan"/>
        </w:rPr>
        <w:t xml:space="preserve">and </w:t>
      </w:r>
      <w:r w:rsidRPr="00456038">
        <w:rPr>
          <w:rStyle w:val="Emphasis"/>
          <w:highlight w:val="cyan"/>
        </w:rPr>
        <w:t>agencies</w:t>
      </w:r>
      <w:r w:rsidRPr="00745279">
        <w:rPr>
          <w:rStyle w:val="Emphasis"/>
        </w:rPr>
        <w:t xml:space="preserve"> running amok</w:t>
      </w:r>
      <w:r w:rsidRPr="00745279">
        <w:rPr>
          <w:rStyle w:val="StyleUnderline"/>
        </w:rPr>
        <w:t xml:space="preserve">, </w:t>
      </w:r>
      <w:r w:rsidRPr="00456038">
        <w:rPr>
          <w:rStyle w:val="StyleUnderline"/>
          <w:highlight w:val="cyan"/>
        </w:rPr>
        <w:t>but</w:t>
      </w:r>
      <w:r w:rsidRPr="00745279">
        <w:rPr>
          <w:rStyle w:val="StyleUnderline"/>
        </w:rPr>
        <w:t xml:space="preserve"> between </w:t>
      </w:r>
      <w:r w:rsidRPr="00456038">
        <w:rPr>
          <w:rStyle w:val="StyleUnderline"/>
          <w:highlight w:val="cyan"/>
        </w:rPr>
        <w:t xml:space="preserve">a political branch making policy and </w:t>
      </w:r>
      <w:r w:rsidRPr="00456038">
        <w:rPr>
          <w:rStyle w:val="Emphasis"/>
          <w:highlight w:val="cyan"/>
        </w:rPr>
        <w:t>a court</w:t>
      </w:r>
      <w:r w:rsidRPr="00745279">
        <w:rPr>
          <w:rStyle w:val="StyleUnderline"/>
        </w:rPr>
        <w:t xml:space="preserve"> doing it</w:t>
      </w:r>
      <w:r w:rsidRPr="00745279">
        <w:rPr>
          <w:sz w:val="16"/>
        </w:rPr>
        <w:t>.</w:t>
      </w:r>
    </w:p>
    <w:p w14:paraId="7A708106" w14:textId="77777777" w:rsidR="00D91D7C" w:rsidRPr="001D655B" w:rsidRDefault="00D91D7C" w:rsidP="00D91D7C">
      <w:pPr>
        <w:pStyle w:val="Heading3"/>
      </w:pPr>
      <w:r>
        <w:t xml:space="preserve">2NC – AT: </w:t>
      </w:r>
      <w:r>
        <w:rPr>
          <w:i/>
          <w:iCs/>
        </w:rPr>
        <w:t>Babbitt</w:t>
      </w:r>
      <w:r>
        <w:t xml:space="preserve"> Bad</w:t>
      </w:r>
    </w:p>
    <w:p w14:paraId="4912CA6D" w14:textId="77777777" w:rsidR="00D91D7C" w:rsidRPr="002E73BE" w:rsidRDefault="00D91D7C" w:rsidP="00D91D7C">
      <w:pPr>
        <w:pStyle w:val="Heading4"/>
      </w:pPr>
      <w:r>
        <w:t xml:space="preserve">The exception becomes </w:t>
      </w:r>
      <w:r>
        <w:rPr>
          <w:u w:val="single"/>
        </w:rPr>
        <w:t>incoherent</w:t>
      </w:r>
      <w:r>
        <w:t>.</w:t>
      </w:r>
    </w:p>
    <w:p w14:paraId="70EC8C30" w14:textId="77777777" w:rsidR="00D91D7C" w:rsidRDefault="00D91D7C" w:rsidP="00D91D7C">
      <w:r w:rsidRPr="00242E54">
        <w:rPr>
          <w:rStyle w:val="Style13ptBold"/>
        </w:rPr>
        <w:t>Greenberg 96</w:t>
      </w:r>
      <w:r>
        <w:t xml:space="preserve"> – Sanford N. Greenberg, Law Professor at the Chicago-Kent School of Law. [Who Says It's a Crime? Chevron Deference to Agency Interpretations of Regulatory Statutes That Create Criminal Liability, University of Pittsburg Law Review, 58(1), HeinOnline]//BPS</w:t>
      </w:r>
    </w:p>
    <w:p w14:paraId="3DCB106A" w14:textId="77777777" w:rsidR="00D91D7C" w:rsidRPr="00242E54" w:rsidRDefault="00D91D7C" w:rsidP="00D91D7C">
      <w:pPr>
        <w:rPr>
          <w:sz w:val="16"/>
        </w:rPr>
      </w:pPr>
      <w:r w:rsidRPr="00242E54">
        <w:rPr>
          <w:sz w:val="16"/>
        </w:rPr>
        <w:t xml:space="preserve">However, part III of this article contends that </w:t>
      </w:r>
      <w:r w:rsidRPr="00242E54">
        <w:rPr>
          <w:rStyle w:val="StyleUnderline"/>
        </w:rPr>
        <w:t xml:space="preserve">courts should </w:t>
      </w:r>
      <w:r w:rsidRPr="00242E54">
        <w:rPr>
          <w:rStyle w:val="Emphasis"/>
        </w:rPr>
        <w:t>reject</w:t>
      </w:r>
      <w:r w:rsidRPr="00242E54">
        <w:rPr>
          <w:rStyle w:val="StyleUnderline"/>
        </w:rPr>
        <w:t xml:space="preserve"> both </w:t>
      </w:r>
      <w:r w:rsidRPr="00242E54">
        <w:rPr>
          <w:rStyle w:val="Emphasis"/>
        </w:rPr>
        <w:t>the criminal liability exception</w:t>
      </w:r>
      <w:r w:rsidRPr="00242E54">
        <w:rPr>
          <w:rStyle w:val="StyleUnderline"/>
        </w:rPr>
        <w:t xml:space="preserve"> and </w:t>
      </w:r>
      <w:r w:rsidRPr="00242E54">
        <w:rPr>
          <w:rStyle w:val="Emphasis"/>
        </w:rPr>
        <w:t>its deportation analogue</w:t>
      </w:r>
      <w:r w:rsidRPr="00242E54">
        <w:rPr>
          <w:sz w:val="16"/>
        </w:rPr>
        <w:t xml:space="preserve">. The </w:t>
      </w:r>
      <w:r w:rsidRPr="00242E54">
        <w:rPr>
          <w:rStyle w:val="StyleUnderline"/>
        </w:rPr>
        <w:t xml:space="preserve">exceptions are not </w:t>
      </w:r>
      <w:r w:rsidRPr="00242E54">
        <w:rPr>
          <w:rStyle w:val="Emphasis"/>
        </w:rPr>
        <w:t>desirable</w:t>
      </w:r>
      <w:r w:rsidRPr="00242E54">
        <w:rPr>
          <w:rStyle w:val="StyleUnderline"/>
        </w:rPr>
        <w:t xml:space="preserve">, </w:t>
      </w:r>
      <w:r w:rsidRPr="00242E54">
        <w:rPr>
          <w:rStyle w:val="Emphasis"/>
        </w:rPr>
        <w:t>necessary</w:t>
      </w:r>
      <w:r w:rsidRPr="00242E54">
        <w:rPr>
          <w:rStyle w:val="StyleUnderline"/>
        </w:rPr>
        <w:t xml:space="preserve">, or </w:t>
      </w:r>
      <w:r w:rsidRPr="00242E54">
        <w:rPr>
          <w:rStyle w:val="Emphasis"/>
        </w:rPr>
        <w:t>easily administered</w:t>
      </w:r>
      <w:r w:rsidRPr="00242E54">
        <w:rPr>
          <w:rStyle w:val="StyleUnderline"/>
        </w:rPr>
        <w:t>. Properly applied, Chevron</w:t>
      </w:r>
      <w:r w:rsidRPr="00242E54">
        <w:rPr>
          <w:sz w:val="16"/>
        </w:rPr>
        <w:t xml:space="preserve"> principles </w:t>
      </w:r>
      <w:r w:rsidRPr="00242E54">
        <w:rPr>
          <w:rStyle w:val="StyleUnderline"/>
        </w:rPr>
        <w:t>should</w:t>
      </w:r>
      <w:r w:rsidRPr="00242E54">
        <w:rPr>
          <w:sz w:val="16"/>
        </w:rPr>
        <w:t xml:space="preserve"> help </w:t>
      </w:r>
      <w:r w:rsidRPr="00242E54">
        <w:rPr>
          <w:rStyle w:val="StyleUnderline"/>
        </w:rPr>
        <w:t>promote</w:t>
      </w:r>
      <w:r w:rsidRPr="00242E54">
        <w:rPr>
          <w:sz w:val="16"/>
        </w:rPr>
        <w:t xml:space="preserve"> important values of </w:t>
      </w:r>
      <w:r w:rsidRPr="00242E54">
        <w:rPr>
          <w:rStyle w:val="StyleUnderline"/>
        </w:rPr>
        <w:t>national uniformity, policy coherence, and equal treatment</w:t>
      </w:r>
      <w:r w:rsidRPr="00242E54">
        <w:rPr>
          <w:sz w:val="16"/>
        </w:rPr>
        <w:t xml:space="preserve"> of private parties. In contrast, </w:t>
      </w:r>
      <w:r w:rsidRPr="00242E54">
        <w:rPr>
          <w:rStyle w:val="Emphasis"/>
        </w:rPr>
        <w:t>the proposed exceptions</w:t>
      </w:r>
      <w:r w:rsidRPr="00242E54">
        <w:rPr>
          <w:sz w:val="16"/>
        </w:rPr>
        <w:t xml:space="preserve"> to Chevron deference threaten to </w:t>
      </w:r>
      <w:r w:rsidRPr="00242E54">
        <w:rPr>
          <w:rStyle w:val="StyleUnderline"/>
        </w:rPr>
        <w:t>undermine such values</w:t>
      </w:r>
      <w:r w:rsidRPr="00242E54">
        <w:rPr>
          <w:sz w:val="16"/>
        </w:rPr>
        <w:t>. 20 Moreover, despite the legislative supremacy rhetoric underlying the doctrine of lenity, Chevron reflects a more realistic understanding of how Congress and agencies together define administrative crimes.</w:t>
      </w:r>
    </w:p>
    <w:p w14:paraId="32417977" w14:textId="77777777" w:rsidR="00D91D7C" w:rsidRPr="00242E54" w:rsidRDefault="00D91D7C" w:rsidP="00D91D7C">
      <w:pPr>
        <w:rPr>
          <w:sz w:val="16"/>
        </w:rPr>
      </w:pPr>
      <w:r w:rsidRPr="00242E54">
        <w:rPr>
          <w:sz w:val="16"/>
        </w:rPr>
        <w:t xml:space="preserve">The fair warning principle also does not justify the criminal liability exception. Courts often would reach the same conclusion regarding a statute's meaning whether they viewed the statute through a lenity- or Chevron-oriented lens. In such cases there would be no need for a criminal liability exception. But even where sufficient statutory ambiguity might trigger lenity (or its deportation analogue), the fair warning rationale that animates both proposed exceptions can be served by administrative constructions that clarify the ambiguous statutory provision.21 </w:t>
      </w:r>
      <w:r w:rsidRPr="00242E54">
        <w:rPr>
          <w:rStyle w:val="StyleUnderline"/>
        </w:rPr>
        <w:t>Chevron</w:t>
      </w:r>
      <w:r w:rsidRPr="00242E54">
        <w:rPr>
          <w:sz w:val="16"/>
        </w:rPr>
        <w:t xml:space="preserve"> deference to such interpretations, especially in the case of regulations adopted after notice and comment,2 thus </w:t>
      </w:r>
      <w:r w:rsidRPr="00242E54">
        <w:rPr>
          <w:rStyle w:val="StyleUnderline"/>
        </w:rPr>
        <w:t xml:space="preserve">does not sacrifice fair warning as long as they </w:t>
      </w:r>
      <w:r w:rsidRPr="00242E54">
        <w:rPr>
          <w:rStyle w:val="Emphasis"/>
        </w:rPr>
        <w:t>predate</w:t>
      </w:r>
      <w:r w:rsidRPr="00242E54">
        <w:rPr>
          <w:rStyle w:val="StyleUnderline"/>
        </w:rPr>
        <w:t xml:space="preserve"> the conduct</w:t>
      </w:r>
      <w:r w:rsidRPr="00242E54">
        <w:rPr>
          <w:sz w:val="16"/>
        </w:rPr>
        <w:t xml:space="preserve"> at issue. Moreover, </w:t>
      </w:r>
      <w:r w:rsidRPr="00242E54">
        <w:rPr>
          <w:rStyle w:val="StyleUnderline"/>
        </w:rPr>
        <w:t xml:space="preserve">there is </w:t>
      </w:r>
      <w:r w:rsidRPr="00242E54">
        <w:rPr>
          <w:rStyle w:val="Emphasis"/>
        </w:rPr>
        <w:t>less risk</w:t>
      </w:r>
      <w:r w:rsidRPr="00242E54">
        <w:rPr>
          <w:rStyle w:val="StyleUnderline"/>
        </w:rPr>
        <w:t xml:space="preserve"> o</w:t>
      </w:r>
      <w:r w:rsidRPr="00DC3E31">
        <w:rPr>
          <w:rStyle w:val="StyleUnderline"/>
        </w:rPr>
        <w:t xml:space="preserve">f </w:t>
      </w:r>
      <w:r w:rsidRPr="00242E54">
        <w:rPr>
          <w:rStyle w:val="Emphasis"/>
        </w:rPr>
        <w:t>prosecutorial overreaching</w:t>
      </w:r>
      <w:r w:rsidRPr="00242E54">
        <w:rPr>
          <w:rStyle w:val="StyleUnderline"/>
        </w:rPr>
        <w:t xml:space="preserve"> in </w:t>
      </w:r>
      <w:r w:rsidRPr="00242E54">
        <w:rPr>
          <w:rStyle w:val="Emphasis"/>
        </w:rPr>
        <w:t>the administrative crime context</w:t>
      </w:r>
      <w:r w:rsidRPr="00242E54">
        <w:rPr>
          <w:rStyle w:val="StyleUnderline"/>
        </w:rPr>
        <w:t xml:space="preserve"> than in</w:t>
      </w:r>
      <w:r w:rsidRPr="00242E54">
        <w:rPr>
          <w:sz w:val="16"/>
        </w:rPr>
        <w:t xml:space="preserve"> relation to </w:t>
      </w:r>
      <w:r w:rsidRPr="00242E54">
        <w:rPr>
          <w:rStyle w:val="Emphasis"/>
        </w:rPr>
        <w:t>traditional criminal statutes</w:t>
      </w:r>
      <w:r w:rsidRPr="00242E54">
        <w:rPr>
          <w:sz w:val="16"/>
        </w:rPr>
        <w:t>. 23</w:t>
      </w:r>
    </w:p>
    <w:p w14:paraId="14DDA499" w14:textId="77777777" w:rsidR="00D91D7C" w:rsidRDefault="00D91D7C" w:rsidP="00D91D7C">
      <w:pPr>
        <w:rPr>
          <w:sz w:val="16"/>
        </w:rPr>
      </w:pPr>
      <w:r w:rsidRPr="00242E54">
        <w:rPr>
          <w:sz w:val="16"/>
        </w:rPr>
        <w:t xml:space="preserve">Finally, </w:t>
      </w:r>
      <w:r w:rsidRPr="00242E54">
        <w:rPr>
          <w:rStyle w:val="Emphasis"/>
        </w:rPr>
        <w:t>even if</w:t>
      </w:r>
      <w:r w:rsidRPr="00242E54">
        <w:rPr>
          <w:sz w:val="16"/>
        </w:rPr>
        <w:t xml:space="preserve"> the proposed criminal liability exception were to be considered </w:t>
      </w:r>
      <w:r w:rsidRPr="00242E54">
        <w:rPr>
          <w:rStyle w:val="StyleUnderline"/>
        </w:rPr>
        <w:t xml:space="preserve">desirable, the exception would be </w:t>
      </w:r>
      <w:r w:rsidRPr="00242E54">
        <w:rPr>
          <w:rStyle w:val="Emphasis"/>
        </w:rPr>
        <w:t>difficult to administer</w:t>
      </w:r>
      <w:r w:rsidRPr="00242E54">
        <w:rPr>
          <w:sz w:val="16"/>
        </w:rPr>
        <w:t xml:space="preserve"> in some circumstances. Proponents of the exception are wrong to suggest that a bright line always separates criminal from civil sanctions.24 </w:t>
      </w:r>
      <w:r w:rsidRPr="00242E54">
        <w:rPr>
          <w:rStyle w:val="StyleUnderline"/>
        </w:rPr>
        <w:t>Courts</w:t>
      </w:r>
      <w:r w:rsidRPr="00242E54">
        <w:rPr>
          <w:sz w:val="16"/>
        </w:rPr>
        <w:t xml:space="preserve"> sometimes </w:t>
      </w:r>
      <w:r w:rsidRPr="00242E54">
        <w:rPr>
          <w:rStyle w:val="StyleUnderline"/>
        </w:rPr>
        <w:t xml:space="preserve">deem </w:t>
      </w:r>
      <w:r w:rsidRPr="00242E54">
        <w:rPr>
          <w:rStyle w:val="Emphasis"/>
        </w:rPr>
        <w:t>nominally civil sanctions</w:t>
      </w:r>
      <w:r w:rsidRPr="00242E54">
        <w:rPr>
          <w:rStyle w:val="StyleUnderline"/>
        </w:rPr>
        <w:t xml:space="preserve"> as criminal for certain purposes</w:t>
      </w:r>
      <w:r w:rsidRPr="00242E54">
        <w:rPr>
          <w:sz w:val="16"/>
        </w:rPr>
        <w:t>, such as double jeopardy.25 Therefore, before deciding whether to apply the Chevron two-step or the criminal liability exception, courts could face the difficult task of deciding whether a sanction in a given case should be treated as civil or criminal. These practical difficulties provide yet another reason to reject the criminal liability exception.</w:t>
      </w:r>
    </w:p>
    <w:p w14:paraId="1600374F" w14:textId="77777777" w:rsidR="00D91D7C" w:rsidRPr="002E73BE" w:rsidRDefault="00D91D7C" w:rsidP="00D91D7C">
      <w:pPr>
        <w:pStyle w:val="Heading4"/>
      </w:pPr>
      <w:r>
        <w:rPr>
          <w:i/>
          <w:iCs w:val="0"/>
        </w:rPr>
        <w:t>Chevron</w:t>
      </w:r>
      <w:r>
        <w:t>’s desirable, and the aff’s anti-democratic.</w:t>
      </w:r>
    </w:p>
    <w:p w14:paraId="21568E3E" w14:textId="77777777" w:rsidR="00D91D7C" w:rsidRDefault="00D91D7C" w:rsidP="00D91D7C">
      <w:r w:rsidRPr="00242E54">
        <w:rPr>
          <w:rStyle w:val="Style13ptBold"/>
        </w:rPr>
        <w:t>Greenberg 96</w:t>
      </w:r>
      <w:r>
        <w:t xml:space="preserve"> – Sanford N. Greenberg, Law Professor at the Chicago-Kent School of Law. [Who Says It's a Crime? Chevron Deference to Agency Interpretations of Regulatory Statutes That Create Criminal Liability, University of Pittsburg Law Review, 58(1), HeinOnline]//BPS</w:t>
      </w:r>
    </w:p>
    <w:p w14:paraId="109BB160" w14:textId="77777777" w:rsidR="00D91D7C" w:rsidRPr="002E73BE" w:rsidRDefault="00D91D7C" w:rsidP="00D91D7C">
      <w:pPr>
        <w:rPr>
          <w:sz w:val="16"/>
        </w:rPr>
      </w:pPr>
      <w:r w:rsidRPr="002E73BE">
        <w:rPr>
          <w:sz w:val="16"/>
        </w:rPr>
        <w:t xml:space="preserve">Despite the important values underlying the proposed criminal liability and deportation exceptions, courts should reject these exceptions. First, </w:t>
      </w:r>
      <w:r w:rsidRPr="00242E54">
        <w:rPr>
          <w:rStyle w:val="StyleUnderline"/>
        </w:rPr>
        <w:t>Chevron deference</w:t>
      </w:r>
      <w:r w:rsidRPr="002E73BE">
        <w:rPr>
          <w:sz w:val="16"/>
        </w:rPr>
        <w:t xml:space="preserve"> should help </w:t>
      </w:r>
      <w:r w:rsidRPr="00242E54">
        <w:rPr>
          <w:rStyle w:val="StyleUnderline"/>
        </w:rPr>
        <w:t xml:space="preserve">promote </w:t>
      </w:r>
      <w:r w:rsidRPr="00242E54">
        <w:rPr>
          <w:rStyle w:val="Emphasis"/>
        </w:rPr>
        <w:t>national uniformity</w:t>
      </w:r>
      <w:r w:rsidRPr="002E73BE">
        <w:rPr>
          <w:sz w:val="16"/>
        </w:rPr>
        <w:t xml:space="preserve">, which itself is an important value in administrative law. In relation to administrative crimes and deportation, </w:t>
      </w:r>
      <w:r w:rsidRPr="00242E54">
        <w:rPr>
          <w:rStyle w:val="StyleUnderline"/>
        </w:rPr>
        <w:t>such uniformity</w:t>
      </w:r>
      <w:r w:rsidRPr="002E73BE">
        <w:rPr>
          <w:sz w:val="16"/>
        </w:rPr>
        <w:t xml:space="preserve"> does more than </w:t>
      </w:r>
      <w:r w:rsidRPr="00242E54">
        <w:rPr>
          <w:rStyle w:val="StyleUnderline"/>
        </w:rPr>
        <w:t xml:space="preserve">foster </w:t>
      </w:r>
      <w:r w:rsidRPr="00242E54">
        <w:rPr>
          <w:rStyle w:val="Emphasis"/>
        </w:rPr>
        <w:t>efficient administration</w:t>
      </w:r>
      <w:r w:rsidRPr="00242E54">
        <w:rPr>
          <w:rStyle w:val="StyleUnderline"/>
        </w:rPr>
        <w:t>. It</w:t>
      </w:r>
      <w:r w:rsidRPr="002E73BE">
        <w:rPr>
          <w:sz w:val="16"/>
        </w:rPr>
        <w:t xml:space="preserve"> also </w:t>
      </w:r>
      <w:r w:rsidRPr="00242E54">
        <w:rPr>
          <w:rStyle w:val="StyleUnderline"/>
        </w:rPr>
        <w:t xml:space="preserve">promotes </w:t>
      </w:r>
      <w:r w:rsidRPr="00242E54">
        <w:rPr>
          <w:rStyle w:val="Emphasis"/>
        </w:rPr>
        <w:t>fundamental fairness</w:t>
      </w:r>
      <w:r w:rsidRPr="002E73BE">
        <w:rPr>
          <w:sz w:val="16"/>
        </w:rPr>
        <w:t xml:space="preserve"> for affected individuals and regulated parties. Thus, courts should reject the narrow version of the criminal liability exception in order to avoid interpreting a statute differently in criminal, as opposed to civil, contexts. And the broad version of the exception must be rejected because </w:t>
      </w:r>
      <w:r w:rsidRPr="002E73BE">
        <w:rPr>
          <w:rStyle w:val="StyleUnderline"/>
        </w:rPr>
        <w:t>lenity</w:t>
      </w:r>
      <w:r w:rsidRPr="002E73BE">
        <w:rPr>
          <w:sz w:val="16"/>
        </w:rPr>
        <w:t xml:space="preserve">, a doctrine intended to protect individuals from criminal punishment, </w:t>
      </w:r>
      <w:r w:rsidRPr="002E73BE">
        <w:rPr>
          <w:rStyle w:val="StyleUnderline"/>
        </w:rPr>
        <w:t xml:space="preserve">should not control the interpretation of statutes that apply </w:t>
      </w:r>
      <w:r w:rsidRPr="002E73BE">
        <w:rPr>
          <w:rStyle w:val="Emphasis"/>
        </w:rPr>
        <w:t>only rarely</w:t>
      </w:r>
      <w:r w:rsidRPr="002E73BE">
        <w:rPr>
          <w:rStyle w:val="StyleUnderline"/>
        </w:rPr>
        <w:t xml:space="preserve"> to </w:t>
      </w:r>
      <w:r w:rsidRPr="002E73BE">
        <w:rPr>
          <w:rStyle w:val="Emphasis"/>
        </w:rPr>
        <w:t>criminal cases</w:t>
      </w:r>
      <w:r w:rsidRPr="002E73BE">
        <w:rPr>
          <w:rStyle w:val="StyleUnderline"/>
        </w:rPr>
        <w:t xml:space="preserve">. If Chevron were </w:t>
      </w:r>
      <w:r w:rsidRPr="002E73BE">
        <w:rPr>
          <w:rStyle w:val="Emphasis"/>
        </w:rPr>
        <w:t>inapplicable</w:t>
      </w:r>
      <w:r w:rsidRPr="002E73BE">
        <w:rPr>
          <w:rStyle w:val="StyleUnderline"/>
        </w:rPr>
        <w:t xml:space="preserve"> to regulatory statutes that define crime, the same arguments would make it </w:t>
      </w:r>
      <w:r w:rsidRPr="002E73BE">
        <w:rPr>
          <w:rStyle w:val="Emphasis"/>
        </w:rPr>
        <w:t>inapplicable</w:t>
      </w:r>
      <w:r w:rsidRPr="002E73BE">
        <w:rPr>
          <w:rStyle w:val="StyleUnderline"/>
        </w:rPr>
        <w:t xml:space="preserve"> to other</w:t>
      </w:r>
      <w:r w:rsidRPr="002E73BE">
        <w:rPr>
          <w:sz w:val="16"/>
        </w:rPr>
        <w:t xml:space="preserve"> types of </w:t>
      </w:r>
      <w:r w:rsidRPr="002E73BE">
        <w:rPr>
          <w:rStyle w:val="StyleUnderline"/>
        </w:rPr>
        <w:t xml:space="preserve">statutes for which the lenity doctrine is </w:t>
      </w:r>
      <w:r w:rsidRPr="002E73BE">
        <w:rPr>
          <w:rStyle w:val="Emphasis"/>
        </w:rPr>
        <w:t>potentially applicable</w:t>
      </w:r>
      <w:r w:rsidRPr="002E73BE">
        <w:rPr>
          <w:sz w:val="16"/>
        </w:rPr>
        <w:t>.</w:t>
      </w:r>
    </w:p>
    <w:p w14:paraId="3FF062FA" w14:textId="77777777" w:rsidR="00D91D7C" w:rsidRPr="002E73BE" w:rsidRDefault="00D91D7C" w:rsidP="00D91D7C">
      <w:pPr>
        <w:rPr>
          <w:sz w:val="16"/>
        </w:rPr>
      </w:pPr>
      <w:r w:rsidRPr="002E73BE">
        <w:rPr>
          <w:sz w:val="16"/>
        </w:rPr>
        <w:t xml:space="preserve">A second reason to reject the criminal liability exception is that the </w:t>
      </w:r>
      <w:r w:rsidRPr="002E73BE">
        <w:rPr>
          <w:rStyle w:val="StyleUnderline"/>
        </w:rPr>
        <w:t>lenity</w:t>
      </w:r>
      <w:r w:rsidRPr="002E73BE">
        <w:rPr>
          <w:sz w:val="16"/>
        </w:rPr>
        <w:t xml:space="preserve"> doctrine </w:t>
      </w:r>
      <w:r w:rsidRPr="002E73BE">
        <w:rPr>
          <w:rStyle w:val="StyleUnderline"/>
        </w:rPr>
        <w:t xml:space="preserve">rests on </w:t>
      </w:r>
      <w:r w:rsidRPr="002E73BE">
        <w:rPr>
          <w:rStyle w:val="Emphasis"/>
        </w:rPr>
        <w:t>an anachronistic notion</w:t>
      </w:r>
      <w:r w:rsidRPr="002E73BE">
        <w:rPr>
          <w:rStyle w:val="StyleUnderline"/>
        </w:rPr>
        <w:t xml:space="preserve"> of Congress's power </w:t>
      </w:r>
      <w:r w:rsidRPr="002E73BE">
        <w:rPr>
          <w:rStyle w:val="Emphasis"/>
        </w:rPr>
        <w:t>independently</w:t>
      </w:r>
      <w:r w:rsidRPr="002E73BE">
        <w:rPr>
          <w:rStyle w:val="StyleUnderline"/>
        </w:rPr>
        <w:t xml:space="preserve"> to define</w:t>
      </w:r>
      <w:r w:rsidRPr="002E73BE">
        <w:rPr>
          <w:sz w:val="16"/>
        </w:rPr>
        <w:t xml:space="preserve"> administrative </w:t>
      </w:r>
      <w:r w:rsidRPr="002E73BE">
        <w:rPr>
          <w:rStyle w:val="StyleUnderline"/>
        </w:rPr>
        <w:t>crimes. Administrative crimes</w:t>
      </w:r>
      <w:r w:rsidRPr="002E73BE">
        <w:rPr>
          <w:sz w:val="16"/>
        </w:rPr>
        <w:t xml:space="preserve"> typically </w:t>
      </w:r>
      <w:r w:rsidRPr="002E73BE">
        <w:rPr>
          <w:rStyle w:val="StyleUnderline"/>
        </w:rPr>
        <w:t>require statutory and regulatory definition</w:t>
      </w:r>
      <w:r w:rsidRPr="002E73BE">
        <w:rPr>
          <w:sz w:val="16"/>
        </w:rPr>
        <w:t xml:space="preserve">, either </w:t>
      </w:r>
      <w:r w:rsidRPr="002E73BE">
        <w:rPr>
          <w:rStyle w:val="StyleUnderline"/>
        </w:rPr>
        <w:t xml:space="preserve">because Congress permits agencies to fill </w:t>
      </w:r>
      <w:r w:rsidRPr="002E73BE">
        <w:rPr>
          <w:rStyle w:val="Emphasis"/>
        </w:rPr>
        <w:t>legislative gaps</w:t>
      </w:r>
      <w:r w:rsidRPr="002E73BE">
        <w:rPr>
          <w:rStyle w:val="StyleUnderline"/>
        </w:rPr>
        <w:t xml:space="preserve"> or because Congress </w:t>
      </w:r>
      <w:r w:rsidRPr="002E73BE">
        <w:rPr>
          <w:rStyle w:val="Emphasis"/>
        </w:rPr>
        <w:t>expressly makes</w:t>
      </w:r>
      <w:r w:rsidRPr="002E73BE">
        <w:rPr>
          <w:sz w:val="16"/>
        </w:rPr>
        <w:t xml:space="preserve"> criminal </w:t>
      </w:r>
      <w:r w:rsidRPr="002E73BE">
        <w:rPr>
          <w:rStyle w:val="StyleUnderline"/>
        </w:rPr>
        <w:t xml:space="preserve">liability rest on violation of </w:t>
      </w:r>
      <w:r w:rsidRPr="002E73BE">
        <w:rPr>
          <w:rStyle w:val="Emphasis"/>
        </w:rPr>
        <w:t>a regulation</w:t>
      </w:r>
      <w:r w:rsidRPr="002E73BE">
        <w:rPr>
          <w:rStyle w:val="StyleUnderline"/>
        </w:rPr>
        <w:t>. Proponents of the</w:t>
      </w:r>
      <w:r w:rsidRPr="002E73BE">
        <w:rPr>
          <w:sz w:val="16"/>
        </w:rPr>
        <w:t xml:space="preserve"> criminal liability </w:t>
      </w:r>
      <w:r w:rsidRPr="002E73BE">
        <w:rPr>
          <w:rStyle w:val="StyleUnderline"/>
        </w:rPr>
        <w:t>exception are</w:t>
      </w:r>
      <w:r w:rsidRPr="002E73BE">
        <w:rPr>
          <w:sz w:val="16"/>
        </w:rPr>
        <w:t xml:space="preserve"> seemingly </w:t>
      </w:r>
      <w:r w:rsidRPr="002E73BE">
        <w:rPr>
          <w:rStyle w:val="Emphasis"/>
        </w:rPr>
        <w:t>at war</w:t>
      </w:r>
      <w:r w:rsidRPr="002E73BE">
        <w:rPr>
          <w:sz w:val="16"/>
        </w:rPr>
        <w:t xml:space="preserve">, not only </w:t>
      </w:r>
      <w:r w:rsidRPr="002E73BE">
        <w:rPr>
          <w:rStyle w:val="StyleUnderline"/>
        </w:rPr>
        <w:t>with Chevron</w:t>
      </w:r>
      <w:r w:rsidRPr="002E73BE">
        <w:rPr>
          <w:sz w:val="16"/>
        </w:rPr>
        <w:t>, but also with the modern version of the nondelegation doctrine.</w:t>
      </w:r>
    </w:p>
    <w:p w14:paraId="0411E605" w14:textId="77777777" w:rsidR="00D91D7C" w:rsidRPr="002E73BE" w:rsidRDefault="00D91D7C" w:rsidP="00D91D7C">
      <w:pPr>
        <w:rPr>
          <w:sz w:val="16"/>
        </w:rPr>
      </w:pPr>
      <w:r w:rsidRPr="002E73BE">
        <w:rPr>
          <w:sz w:val="16"/>
        </w:rPr>
        <w:t xml:space="preserve">Third, </w:t>
      </w:r>
      <w:r w:rsidRPr="002E73BE">
        <w:rPr>
          <w:rStyle w:val="StyleUnderline"/>
        </w:rPr>
        <w:t xml:space="preserve">lenity's fair </w:t>
      </w:r>
      <w:r w:rsidRPr="002E73BE">
        <w:rPr>
          <w:rStyle w:val="Emphasis"/>
        </w:rPr>
        <w:t>warning rationale</w:t>
      </w:r>
      <w:r w:rsidRPr="002E73BE">
        <w:rPr>
          <w:rStyle w:val="StyleUnderline"/>
        </w:rPr>
        <w:t xml:space="preserve"> does not justify </w:t>
      </w:r>
      <w:r w:rsidRPr="002E73BE">
        <w:rPr>
          <w:rStyle w:val="Emphasis"/>
        </w:rPr>
        <w:t>the criminal liability exception</w:t>
      </w:r>
      <w:r w:rsidRPr="002E73BE">
        <w:rPr>
          <w:rStyle w:val="StyleUnderline"/>
        </w:rPr>
        <w:t xml:space="preserve">. Those who propose the exception </w:t>
      </w:r>
      <w:r w:rsidRPr="002E73BE">
        <w:rPr>
          <w:rStyle w:val="Emphasis"/>
        </w:rPr>
        <w:t>overestimate</w:t>
      </w:r>
      <w:r w:rsidRPr="002E73BE">
        <w:rPr>
          <w:sz w:val="16"/>
        </w:rPr>
        <w:t xml:space="preserve"> both </w:t>
      </w:r>
      <w:r w:rsidRPr="002E73BE">
        <w:rPr>
          <w:rStyle w:val="StyleUnderline"/>
        </w:rPr>
        <w:t>the</w:t>
      </w:r>
      <w:r w:rsidRPr="002E73BE">
        <w:rPr>
          <w:sz w:val="16"/>
        </w:rPr>
        <w:t xml:space="preserve"> independent </w:t>
      </w:r>
      <w:r w:rsidRPr="002E73BE">
        <w:rPr>
          <w:rStyle w:val="Emphasis"/>
        </w:rPr>
        <w:t>significance</w:t>
      </w:r>
      <w:r w:rsidRPr="002E73BE">
        <w:rPr>
          <w:rStyle w:val="StyleUnderline"/>
        </w:rPr>
        <w:t xml:space="preserve"> of</w:t>
      </w:r>
      <w:r w:rsidRPr="002E73BE">
        <w:rPr>
          <w:sz w:val="16"/>
        </w:rPr>
        <w:t xml:space="preserve"> the doctrine of </w:t>
      </w:r>
      <w:r w:rsidRPr="002E73BE">
        <w:rPr>
          <w:rStyle w:val="StyleUnderline"/>
        </w:rPr>
        <w:t xml:space="preserve">lenity and </w:t>
      </w:r>
      <w:r w:rsidRPr="002E73BE">
        <w:rPr>
          <w:rStyle w:val="Emphasis"/>
        </w:rPr>
        <w:t>the alleged tension</w:t>
      </w:r>
      <w:r w:rsidRPr="002E73BE">
        <w:rPr>
          <w:rStyle w:val="StyleUnderline"/>
        </w:rPr>
        <w:t xml:space="preserve"> between lenity and Chevron </w:t>
      </w:r>
      <w:r w:rsidRPr="002E73BE">
        <w:rPr>
          <w:sz w:val="16"/>
        </w:rPr>
        <w:t>deference. Courts often should reach the same result whether they intend to apply a Chevron mode of analysis or the rule of strict construction. Where a potential conflict does exist, courts can harmonize lenity's fair notice value with Chevron deference by demanding that an agency resolve any statutory ambiguity prior to seeking criminal enforcement. This approach is consistent with standard administrative law doctrine and would allow Chevron to continue playing its proper role in promoting uniform national policymaking by administrative agencies.</w:t>
      </w:r>
    </w:p>
    <w:p w14:paraId="3DB1EF16" w14:textId="77777777" w:rsidR="00D91D7C" w:rsidRPr="002E73BE" w:rsidRDefault="00D91D7C" w:rsidP="00D91D7C">
      <w:pPr>
        <w:rPr>
          <w:sz w:val="16"/>
        </w:rPr>
      </w:pPr>
      <w:r w:rsidRPr="002E73BE">
        <w:rPr>
          <w:sz w:val="16"/>
        </w:rPr>
        <w:t xml:space="preserve">Fourth, </w:t>
      </w:r>
      <w:r w:rsidRPr="002E73BE">
        <w:rPr>
          <w:rStyle w:val="Emphasis"/>
        </w:rPr>
        <w:t>the criminal liability exception</w:t>
      </w:r>
      <w:r w:rsidRPr="002E73BE">
        <w:rPr>
          <w:rStyle w:val="StyleUnderline"/>
        </w:rPr>
        <w:t xml:space="preserve"> is </w:t>
      </w:r>
      <w:r w:rsidRPr="002E73BE">
        <w:rPr>
          <w:rStyle w:val="Emphasis"/>
        </w:rPr>
        <w:t>not needed</w:t>
      </w:r>
      <w:r w:rsidRPr="002E73BE">
        <w:rPr>
          <w:rStyle w:val="StyleUnderline"/>
        </w:rPr>
        <w:t xml:space="preserve"> to serve lenity's rationale of combatting </w:t>
      </w:r>
      <w:r w:rsidRPr="002E73BE">
        <w:rPr>
          <w:rStyle w:val="Emphasis"/>
        </w:rPr>
        <w:t>prosecutorial bias</w:t>
      </w:r>
      <w:r w:rsidRPr="002E73BE">
        <w:rPr>
          <w:sz w:val="16"/>
        </w:rPr>
        <w:t xml:space="preserve">. Although administrative enforcement procedures are not entirely free from such dangers, the due process concerns that underlie the lenity doctrine are largely absent in the administrative crime arena. 56 </w:t>
      </w:r>
      <w:r w:rsidRPr="002E73BE">
        <w:rPr>
          <w:rStyle w:val="StyleUnderline"/>
        </w:rPr>
        <w:t>Agencies</w:t>
      </w:r>
      <w:r w:rsidRPr="002E73BE">
        <w:rPr>
          <w:sz w:val="16"/>
        </w:rPr>
        <w:t xml:space="preserve"> frequently </w:t>
      </w:r>
      <w:r w:rsidRPr="002E73BE">
        <w:rPr>
          <w:rStyle w:val="StyleUnderline"/>
        </w:rPr>
        <w:t xml:space="preserve">perform </w:t>
      </w:r>
      <w:r w:rsidRPr="002E73BE">
        <w:rPr>
          <w:rStyle w:val="Emphasis"/>
        </w:rPr>
        <w:t>their crime-defining functions</w:t>
      </w:r>
      <w:r w:rsidRPr="002E73BE">
        <w:rPr>
          <w:rStyle w:val="StyleUnderline"/>
        </w:rPr>
        <w:t xml:space="preserve"> in </w:t>
      </w:r>
      <w:r w:rsidRPr="002E73BE">
        <w:rPr>
          <w:rStyle w:val="Emphasis"/>
        </w:rPr>
        <w:t>an open process</w:t>
      </w:r>
      <w:r w:rsidRPr="002E73BE">
        <w:rPr>
          <w:sz w:val="16"/>
        </w:rPr>
        <w:t xml:space="preserve">, which permits considerable input from regulated parties. Although agency adjudicators do not have the independence of Article III judges, agency adjudication does provide numerous due process protections. Furthermore, because regulatory statutes often contain multiple objectives, 157 administrators often must seek to balance goals and please </w:t>
      </w:r>
      <w:r w:rsidRPr="002E73BE">
        <w:rPr>
          <w:rStyle w:val="StyleUnderline"/>
        </w:rPr>
        <w:t>different constituencies</w:t>
      </w:r>
      <w:r w:rsidRPr="002E73BE">
        <w:rPr>
          <w:sz w:val="16"/>
        </w:rPr>
        <w:t xml:space="preserve">. This task </w:t>
      </w:r>
      <w:r w:rsidRPr="002E73BE">
        <w:rPr>
          <w:rStyle w:val="StyleUnderline"/>
        </w:rPr>
        <w:t xml:space="preserve">should decrease </w:t>
      </w:r>
      <w:r w:rsidRPr="002E73BE">
        <w:rPr>
          <w:rStyle w:val="Emphasis"/>
        </w:rPr>
        <w:t>the threat of prosecutorial bias</w:t>
      </w:r>
      <w:r w:rsidRPr="002E73BE">
        <w:rPr>
          <w:rStyle w:val="StyleUnderline"/>
        </w:rPr>
        <w:t xml:space="preserve"> when administrators must decide whether to seek </w:t>
      </w:r>
      <w:r w:rsidRPr="002E73BE">
        <w:rPr>
          <w:rStyle w:val="Emphasis"/>
        </w:rPr>
        <w:t>criminal enforcement</w:t>
      </w:r>
      <w:r w:rsidRPr="002E73BE">
        <w:rPr>
          <w:rStyle w:val="StyleUnderline"/>
        </w:rPr>
        <w:t xml:space="preserve"> of their statutes</w:t>
      </w:r>
      <w:r w:rsidRPr="002E73BE">
        <w:rPr>
          <w:sz w:val="16"/>
        </w:rPr>
        <w:t>.</w:t>
      </w:r>
    </w:p>
    <w:p w14:paraId="6E2DEB57" w14:textId="77777777" w:rsidR="00D91D7C" w:rsidRDefault="00D91D7C" w:rsidP="00D91D7C">
      <w:pPr>
        <w:rPr>
          <w:sz w:val="16"/>
        </w:rPr>
      </w:pPr>
      <w:r w:rsidRPr="002E73BE">
        <w:rPr>
          <w:sz w:val="16"/>
        </w:rPr>
        <w:t xml:space="preserve">Finally, </w:t>
      </w:r>
      <w:r w:rsidRPr="002E73BE">
        <w:rPr>
          <w:rStyle w:val="StyleUnderline"/>
        </w:rPr>
        <w:t xml:space="preserve">the criminal liability exception should be rejected because it is based on </w:t>
      </w:r>
      <w:r w:rsidRPr="002E73BE">
        <w:rPr>
          <w:rStyle w:val="Emphasis"/>
        </w:rPr>
        <w:t>the false assumption</w:t>
      </w:r>
      <w:r w:rsidRPr="002E73BE">
        <w:rPr>
          <w:rStyle w:val="StyleUnderline"/>
        </w:rPr>
        <w:t xml:space="preserve"> that criminal and civil sanctions differ </w:t>
      </w:r>
      <w:r w:rsidRPr="002E73BE">
        <w:rPr>
          <w:rStyle w:val="Emphasis"/>
        </w:rPr>
        <w:t>categorically</w:t>
      </w:r>
      <w:r w:rsidRPr="002E73BE">
        <w:rPr>
          <w:rStyle w:val="StyleUnderline"/>
        </w:rPr>
        <w:t xml:space="preserve">. Because </w:t>
      </w:r>
      <w:r w:rsidRPr="002E73BE">
        <w:rPr>
          <w:rStyle w:val="Emphasis"/>
        </w:rPr>
        <w:t>nominally civil penalties</w:t>
      </w:r>
      <w:r w:rsidRPr="002E73BE">
        <w:rPr>
          <w:rStyle w:val="StyleUnderline"/>
        </w:rPr>
        <w:t xml:space="preserve"> can serve </w:t>
      </w:r>
      <w:r w:rsidRPr="002E73BE">
        <w:rPr>
          <w:rStyle w:val="Emphasis"/>
        </w:rPr>
        <w:t>punitive functions</w:t>
      </w:r>
      <w:r w:rsidRPr="002E73BE">
        <w:rPr>
          <w:rStyle w:val="StyleUnderline"/>
        </w:rPr>
        <w:t>, no bright line separates criminal punishment from the</w:t>
      </w:r>
      <w:r w:rsidRPr="002E73BE">
        <w:rPr>
          <w:sz w:val="16"/>
        </w:rPr>
        <w:t xml:space="preserve"> more typical enforcement tools of the </w:t>
      </w:r>
      <w:r w:rsidRPr="002E73BE">
        <w:rPr>
          <w:rStyle w:val="StyleUnderline"/>
        </w:rPr>
        <w:t>administrative state</w:t>
      </w:r>
      <w:r w:rsidRPr="002E73BE">
        <w:rPr>
          <w:sz w:val="16"/>
        </w:rPr>
        <w:t>. Therefore, courts could not always easily decide whether a given case required application of Chevron or its criminal liability exception.</w:t>
      </w:r>
    </w:p>
    <w:p w14:paraId="72AA6C54" w14:textId="77777777" w:rsidR="00D91D7C" w:rsidRPr="001A6E5B" w:rsidRDefault="00D91D7C" w:rsidP="00D91D7C">
      <w:pPr>
        <w:pStyle w:val="Heading4"/>
      </w:pPr>
      <w:r>
        <w:t xml:space="preserve">The plan backfires – Congress responds granting </w:t>
      </w:r>
      <w:r>
        <w:rPr>
          <w:u w:val="single"/>
        </w:rPr>
        <w:t>broad regulatory authority</w:t>
      </w:r>
      <w:r>
        <w:t>.</w:t>
      </w:r>
    </w:p>
    <w:p w14:paraId="0F0AB8F2" w14:textId="77777777" w:rsidR="00D91D7C" w:rsidRPr="005E4AA6" w:rsidRDefault="00D91D7C" w:rsidP="00D91D7C">
      <w:pPr>
        <w:rPr>
          <w:rStyle w:val="Style13ptBold"/>
          <w:b w:val="0"/>
          <w:bCs w:val="0"/>
        </w:rPr>
      </w:pPr>
      <w:r w:rsidRPr="00CE107F">
        <w:rPr>
          <w:rStyle w:val="Style13ptBold"/>
        </w:rPr>
        <w:t>P</w:t>
      </w:r>
      <w:r>
        <w:rPr>
          <w:rStyle w:val="Style13ptBold"/>
        </w:rPr>
        <w:t>opofsky 10</w:t>
      </w:r>
      <w:r>
        <w:rPr>
          <w:rStyle w:val="Style13ptBold"/>
          <w:b w:val="0"/>
          <w:bCs w:val="0"/>
        </w:rPr>
        <w:t xml:space="preserve"> </w:t>
      </w:r>
      <w:r w:rsidRPr="005E4AA6">
        <w:t>— Mark Popofsky</w:t>
      </w:r>
      <w:r>
        <w:t xml:space="preserve"> is an Adjunct Professor of Advanced Antitrust Law and Economics, Georgetown University Law Center and Harvard Law; Partner, Ropes &amp; Gray LLP; Member, California and District of Columbia Bars. (“The Section 2 Debate: Should Lenity Play a Role?” Rutgers Business Law Journal. https://www.ropesgray.com/en/newsroom/alerts/2010/05/the-section-2-debate-should-lenity-play-a-role)//JLPark</w:t>
      </w:r>
    </w:p>
    <w:p w14:paraId="2965DB15" w14:textId="77777777" w:rsidR="00D91D7C" w:rsidRPr="00920E6D" w:rsidRDefault="00D91D7C" w:rsidP="00D91D7C">
      <w:pPr>
        <w:rPr>
          <w:sz w:val="14"/>
        </w:rPr>
      </w:pPr>
      <w:r w:rsidRPr="00920E6D">
        <w:rPr>
          <w:sz w:val="14"/>
        </w:rPr>
        <w:t xml:space="preserve">Although the Rule of Lenity “is perhaps not much less old than construction itself,”144 great disagreement persists as to the underlying purpose it serves.145 </w:t>
      </w:r>
      <w:r w:rsidRPr="008A6E68">
        <w:rPr>
          <w:rStyle w:val="StyleUnderline"/>
        </w:rPr>
        <w:t>Some contend</w:t>
      </w:r>
      <w:r w:rsidRPr="00920E6D">
        <w:rPr>
          <w:sz w:val="14"/>
        </w:rPr>
        <w:t xml:space="preserve"> that </w:t>
      </w:r>
      <w:r w:rsidRPr="008A6E68">
        <w:rPr>
          <w:rStyle w:val="StyleUnderline"/>
        </w:rPr>
        <w:t>lenity reinforces</w:t>
      </w:r>
      <w:r w:rsidRPr="00920E6D">
        <w:rPr>
          <w:sz w:val="14"/>
        </w:rPr>
        <w:t xml:space="preserve"> the same “</w:t>
      </w:r>
      <w:r w:rsidRPr="008A6E68">
        <w:rPr>
          <w:rStyle w:val="StyleUnderline"/>
        </w:rPr>
        <w:t>fair notice</w:t>
      </w:r>
      <w:r w:rsidRPr="00920E6D">
        <w:rPr>
          <w:sz w:val="14"/>
        </w:rPr>
        <w:t xml:space="preserve">” </w:t>
      </w:r>
      <w:r w:rsidRPr="008A6E68">
        <w:rPr>
          <w:rStyle w:val="StyleUnderline"/>
        </w:rPr>
        <w:t>values that underlie</w:t>
      </w:r>
      <w:r w:rsidRPr="00920E6D">
        <w:rPr>
          <w:sz w:val="14"/>
        </w:rPr>
        <w:t xml:space="preserve"> the void </w:t>
      </w:r>
      <w:r w:rsidRPr="008A6E68">
        <w:rPr>
          <w:rStyle w:val="StyleUnderline"/>
        </w:rPr>
        <w:t>for vagueness</w:t>
      </w:r>
      <w:r w:rsidRPr="00920E6D">
        <w:rPr>
          <w:sz w:val="14"/>
        </w:rPr>
        <w:t xml:space="preserve"> doctrine.146 </w:t>
      </w:r>
      <w:r w:rsidRPr="008A6E68">
        <w:rPr>
          <w:rStyle w:val="StyleUnderline"/>
        </w:rPr>
        <w:t>This rationale</w:t>
      </w:r>
      <w:r w:rsidRPr="00920E6D">
        <w:rPr>
          <w:sz w:val="14"/>
        </w:rPr>
        <w:t>, as many observe</w:t>
      </w:r>
      <w:r w:rsidRPr="008A6E68">
        <w:rPr>
          <w:rStyle w:val="StyleUnderline"/>
        </w:rPr>
        <w:t xml:space="preserve">, </w:t>
      </w:r>
      <w:r w:rsidRPr="008A6E68">
        <w:rPr>
          <w:rStyle w:val="Emphasis"/>
        </w:rPr>
        <w:t>is essentially a legal fiction</w:t>
      </w:r>
      <w:r w:rsidRPr="008A6E68">
        <w:rPr>
          <w:rStyle w:val="StyleUnderline"/>
        </w:rPr>
        <w:t xml:space="preserve"> and cannot withstand “critical examination.”</w:t>
      </w:r>
      <w:r w:rsidRPr="00920E6D">
        <w:rPr>
          <w:sz w:val="14"/>
        </w:rPr>
        <w:t>147 For one thing, “</w:t>
      </w:r>
      <w:r w:rsidRPr="008A6E68">
        <w:rPr>
          <w:rStyle w:val="StyleUnderline"/>
        </w:rPr>
        <w:t>criminals do not read statutes</w:t>
      </w:r>
      <w:r w:rsidRPr="00920E6D">
        <w:rPr>
          <w:sz w:val="14"/>
        </w:rPr>
        <w:t xml:space="preserve">.”148 For another, </w:t>
      </w:r>
      <w:r w:rsidRPr="008A6E68">
        <w:rPr>
          <w:rStyle w:val="StyleUnderline"/>
        </w:rPr>
        <w:t>interpretive tools that can preclude a conclusion of statutory ambiguity</w:t>
      </w:r>
      <w:r w:rsidRPr="00920E6D">
        <w:rPr>
          <w:sz w:val="14"/>
        </w:rPr>
        <w:t xml:space="preserve"> (</w:t>
      </w:r>
      <w:r w:rsidRPr="008A6E68">
        <w:rPr>
          <w:rStyle w:val="StyleUnderline"/>
        </w:rPr>
        <w:t>judicial gloss and the polices behind the law, to name a few</w:t>
      </w:r>
      <w:r w:rsidRPr="00920E6D">
        <w:rPr>
          <w:sz w:val="14"/>
        </w:rPr>
        <w:t xml:space="preserve">) “hardly provide notice „in language that the common world will understand‟”149 of what the law condemns. The Rule of </w:t>
      </w:r>
      <w:r w:rsidRPr="008A6E68">
        <w:rPr>
          <w:rStyle w:val="StyleUnderline"/>
        </w:rPr>
        <w:t>Lenity</w:t>
      </w:r>
      <w:r w:rsidRPr="00920E6D">
        <w:rPr>
          <w:sz w:val="14"/>
        </w:rPr>
        <w:t>, in other words, “</w:t>
      </w:r>
      <w:r w:rsidRPr="008A6E68">
        <w:rPr>
          <w:rStyle w:val="Emphasis"/>
        </w:rPr>
        <w:t>substantially underprotects the interest</w:t>
      </w:r>
      <w:r w:rsidRPr="008A6E68">
        <w:rPr>
          <w:rStyle w:val="StyleUnderline"/>
        </w:rPr>
        <w:t xml:space="preserve"> in fair notice</w:t>
      </w:r>
      <w:r w:rsidRPr="00920E6D">
        <w:rPr>
          <w:sz w:val="14"/>
        </w:rPr>
        <w:t>.”150</w:t>
      </w:r>
    </w:p>
    <w:p w14:paraId="43926CD3" w14:textId="77777777" w:rsidR="00D91D7C" w:rsidRPr="00920E6D" w:rsidRDefault="00D91D7C" w:rsidP="00D91D7C">
      <w:pPr>
        <w:rPr>
          <w:sz w:val="14"/>
        </w:rPr>
      </w:pPr>
      <w:r w:rsidRPr="00920E6D">
        <w:rPr>
          <w:sz w:val="14"/>
        </w:rPr>
        <w:t xml:space="preserve">Lenity, it is argued, reinforces legislative supremacy and its corollary that only the legislature, and not courts, can create crimes.151 This rationale for the Rule of </w:t>
      </w:r>
      <w:r w:rsidRPr="008A6E68">
        <w:rPr>
          <w:rStyle w:val="StyleUnderline"/>
        </w:rPr>
        <w:t>Lenity</w:t>
      </w:r>
      <w:r w:rsidRPr="00920E6D">
        <w:rPr>
          <w:sz w:val="14"/>
        </w:rPr>
        <w:t xml:space="preserve">, however, </w:t>
      </w:r>
      <w:r w:rsidRPr="008A6E68">
        <w:rPr>
          <w:rStyle w:val="StyleUnderline"/>
        </w:rPr>
        <w:t>cannot be squared with</w:t>
      </w:r>
      <w:r w:rsidRPr="00920E6D">
        <w:rPr>
          <w:sz w:val="14"/>
        </w:rPr>
        <w:t xml:space="preserve"> the </w:t>
      </w:r>
      <w:r w:rsidRPr="008A6E68">
        <w:rPr>
          <w:rStyle w:val="StyleUnderline"/>
        </w:rPr>
        <w:t>reality of judicial elaboration of innumerable</w:t>
      </w:r>
      <w:r w:rsidRPr="00920E6D">
        <w:rPr>
          <w:sz w:val="14"/>
        </w:rPr>
        <w:t xml:space="preserve"> federal </w:t>
      </w:r>
      <w:r w:rsidRPr="008A6E68">
        <w:rPr>
          <w:rStyle w:val="StyleUnderline"/>
        </w:rPr>
        <w:t>statutes that contain language that is not self-execu</w:t>
      </w:r>
      <w:r w:rsidRPr="00920E6D">
        <w:rPr>
          <w:sz w:val="14"/>
        </w:rPr>
        <w:t>ting.152 Moreover, as one commentator noted, “</w:t>
      </w:r>
      <w:r w:rsidRPr="008A6E68">
        <w:rPr>
          <w:rStyle w:val="StyleUnderline"/>
        </w:rPr>
        <w:t>[t]here is no reason to suppose legislatures would not sometimes prefer” to “pass[] off the details of criminal lawmaking to the courts</w:t>
      </w:r>
      <w:r w:rsidRPr="00920E6D">
        <w:rPr>
          <w:sz w:val="14"/>
        </w:rPr>
        <w:t xml:space="preserve">.”153 Put more generally, </w:t>
      </w:r>
      <w:r w:rsidRPr="008A6E68">
        <w:rPr>
          <w:rStyle w:val="StyleUnderline"/>
        </w:rPr>
        <w:t>promoting legislative supremacy cannot explain the doctrine as a descriptive matter</w:t>
      </w:r>
      <w:r w:rsidRPr="00920E6D">
        <w:rPr>
          <w:sz w:val="14"/>
        </w:rPr>
        <w:t>, because</w:t>
      </w:r>
      <w:r w:rsidRPr="008A6E68">
        <w:rPr>
          <w:rStyle w:val="StyleUnderline"/>
        </w:rPr>
        <w:t xml:space="preserve"> the doctrine has not served </w:t>
      </w:r>
      <w:r w:rsidRPr="00920E6D">
        <w:rPr>
          <w:sz w:val="14"/>
        </w:rPr>
        <w:t xml:space="preserve">to protect </w:t>
      </w:r>
      <w:r w:rsidRPr="008A6E68">
        <w:rPr>
          <w:rStyle w:val="StyleUnderline"/>
        </w:rPr>
        <w:t>against the de facto creation of common-law crimes through judicial elabo</w:t>
      </w:r>
      <w:r w:rsidRPr="00920E6D">
        <w:rPr>
          <w:rStyle w:val="StyleUnderline"/>
        </w:rPr>
        <w:t>ration of statutes and because “state legislatures</w:t>
      </w:r>
      <w:r w:rsidRPr="00920E6D">
        <w:rPr>
          <w:sz w:val="14"/>
        </w:rPr>
        <w:t xml:space="preserve"> almost </w:t>
      </w:r>
      <w:r w:rsidRPr="00920E6D">
        <w:rPr>
          <w:rStyle w:val="StyleUnderline"/>
        </w:rPr>
        <w:t>universally have attempted to abrogate lenity by statutory rules of construction</w:t>
      </w:r>
      <w:r w:rsidRPr="00920E6D">
        <w:rPr>
          <w:sz w:val="14"/>
        </w:rPr>
        <w:t>.”154 Nor can legislative supremacy justify the doctrine normatively in light of the practical inability of legislatures to specify every application of statutes in advance and the doctrine‟s inapplicability to the construction of solely civil statutes.155</w:t>
      </w:r>
    </w:p>
    <w:p w14:paraId="6365BD55" w14:textId="77777777" w:rsidR="00D91D7C" w:rsidRPr="001A6E5B" w:rsidRDefault="00D91D7C" w:rsidP="00D91D7C">
      <w:pPr>
        <w:rPr>
          <w:sz w:val="14"/>
        </w:rPr>
      </w:pPr>
      <w:r w:rsidRPr="00E84CFD">
        <w:rPr>
          <w:sz w:val="14"/>
        </w:rPr>
        <w:t xml:space="preserve">Some also suggest that the Rule of Lenity promotes the rule of law by reducing prosecutorial discretion and ensuring legislative accountability.156 Strict construction of criminal statutes, it is argued, ensures that legislatures do not criminalize conduct without the voters knowing it.157 A strong application of the Rule of Lenity, the argument further runs, ensures that prosecutors do not abuse their discretion in charging decisions.158 But as one commentator has observed, </w:t>
      </w:r>
      <w:r w:rsidRPr="00E84CFD">
        <w:rPr>
          <w:rStyle w:val="StyleUnderline"/>
        </w:rPr>
        <w:t>“[t]he rule of law justification for lenity fails because it confuses ambiguity with [over]breadth</w:t>
      </w:r>
      <w:r w:rsidRPr="00E84CFD">
        <w:rPr>
          <w:sz w:val="14"/>
        </w:rPr>
        <w:t xml:space="preserve">.”159 </w:t>
      </w:r>
      <w:r w:rsidRPr="00E84CFD">
        <w:rPr>
          <w:rStyle w:val="StyleUnderline"/>
        </w:rPr>
        <w:t>Congress can pass “broad yet clear” statutes</w:t>
      </w:r>
      <w:r w:rsidRPr="00E84CFD">
        <w:rPr>
          <w:sz w:val="14"/>
        </w:rPr>
        <w:t xml:space="preserve">, the breadth of which may escape notice of the voters yet </w:t>
      </w:r>
      <w:r w:rsidRPr="00E84CFD">
        <w:rPr>
          <w:rStyle w:val="Emphasis"/>
        </w:rPr>
        <w:t>create opportunities for selective prosecution</w:t>
      </w:r>
      <w:r w:rsidRPr="00E84CFD">
        <w:rPr>
          <w:sz w:val="14"/>
        </w:rPr>
        <w:t>.160 Moreover, “</w:t>
      </w:r>
      <w:r w:rsidRPr="00E84CFD">
        <w:rPr>
          <w:rStyle w:val="StyleUnderline"/>
        </w:rPr>
        <w:t>a strong rule of lenity could</w:t>
      </w:r>
      <w:r w:rsidRPr="00E84CFD">
        <w:rPr>
          <w:sz w:val="14"/>
        </w:rPr>
        <w:t xml:space="preserve"> even „</w:t>
      </w:r>
      <w:r w:rsidRPr="00E84CFD">
        <w:rPr>
          <w:rStyle w:val="Emphasis"/>
        </w:rPr>
        <w:t>cause more overcriminalization than it prevents</w:t>
      </w:r>
      <w:r w:rsidRPr="00E84CFD">
        <w:rPr>
          <w:rStyle w:val="StyleUnderline"/>
        </w:rPr>
        <w:t>‟ by giving legislators incentives to pass even broader statutes</w:t>
      </w:r>
      <w:r w:rsidRPr="00E84CFD">
        <w:rPr>
          <w:sz w:val="14"/>
        </w:rPr>
        <w:t>.”161</w:t>
      </w:r>
    </w:p>
    <w:p w14:paraId="511D482F" w14:textId="77777777" w:rsidR="00D91D7C" w:rsidRDefault="00D91D7C" w:rsidP="00D91D7C">
      <w:pPr>
        <w:pStyle w:val="Heading4"/>
      </w:pPr>
      <w:r>
        <w:t xml:space="preserve">“Legislative supremacy” can’t justify the advantage – that reasoning is </w:t>
      </w:r>
      <w:r>
        <w:rPr>
          <w:u w:val="single"/>
        </w:rPr>
        <w:t>the now-bogus nondelegation doctrine</w:t>
      </w:r>
      <w:r>
        <w:t>.</w:t>
      </w:r>
    </w:p>
    <w:p w14:paraId="6B6718E6" w14:textId="77777777" w:rsidR="00D91D7C" w:rsidRPr="00BD2519" w:rsidRDefault="00D91D7C" w:rsidP="00D91D7C">
      <w:r w:rsidRPr="00242E54">
        <w:rPr>
          <w:rStyle w:val="Style13ptBold"/>
        </w:rPr>
        <w:t>Greenberg 96</w:t>
      </w:r>
      <w:r>
        <w:t xml:space="preserve"> – Sanford N. Greenberg, Law Professor at the Chicago-Kent School of Law. [Who Says It's a Crime? Chevron Deference to Agency Interpretations of Regulatory Statutes That Create Criminal Liability, University of Pittsburg Law Review, 58(1), HeinOnline]//BPS</w:t>
      </w:r>
    </w:p>
    <w:p w14:paraId="6D3329FC" w14:textId="77777777" w:rsidR="00D91D7C" w:rsidRPr="00BD2519" w:rsidRDefault="00D91D7C" w:rsidP="00D91D7C">
      <w:pPr>
        <w:rPr>
          <w:sz w:val="16"/>
        </w:rPr>
      </w:pPr>
      <w:r w:rsidRPr="00BD2519">
        <w:rPr>
          <w:sz w:val="16"/>
        </w:rPr>
        <w:t xml:space="preserve">Although Chevron deference thus appears to have advantages over the criminal liability exception in terms of national uniformity and policy coherence, perhaps these advantages come at too great a price. That is, perhaps the proponents of the criminal liability exception are correct in maintaining that Chevron deference is inconsistent with the rule of lenity and its underlying three-part rationale232 However, there is less tension between lenity and Chevron than advocates of the criminal liability exception believe. In addition, the first supposed justification for the lenity doctrine, its </w:t>
      </w:r>
      <w:r w:rsidRPr="00771C1E">
        <w:rPr>
          <w:rStyle w:val="Emphasis"/>
        </w:rPr>
        <w:t>anachronistic contention</w:t>
      </w:r>
      <w:r w:rsidRPr="00771C1E">
        <w:rPr>
          <w:rStyle w:val="StyleUnderline"/>
        </w:rPr>
        <w:t xml:space="preserve"> that </w:t>
      </w:r>
      <w:r w:rsidRPr="00771C1E">
        <w:rPr>
          <w:rStyle w:val="Emphasis"/>
        </w:rPr>
        <w:t>only Congress</w:t>
      </w:r>
      <w:r w:rsidRPr="00771C1E">
        <w:rPr>
          <w:rStyle w:val="StyleUnderline"/>
        </w:rPr>
        <w:t xml:space="preserve"> can create federal crimes, provides </w:t>
      </w:r>
      <w:r w:rsidRPr="00771C1E">
        <w:rPr>
          <w:rStyle w:val="Emphasis"/>
        </w:rPr>
        <w:t>an inadequate reason</w:t>
      </w:r>
      <w:r w:rsidRPr="00771C1E">
        <w:rPr>
          <w:rStyle w:val="StyleUnderline"/>
        </w:rPr>
        <w:t xml:space="preserve"> to accept </w:t>
      </w:r>
      <w:r w:rsidRPr="00771C1E">
        <w:rPr>
          <w:rStyle w:val="Emphasis"/>
        </w:rPr>
        <w:t>the criminal liability exception</w:t>
      </w:r>
      <w:r w:rsidRPr="00BD2519">
        <w:rPr>
          <w:sz w:val="16"/>
        </w:rPr>
        <w:t>.</w:t>
      </w:r>
    </w:p>
    <w:p w14:paraId="5EDEA141" w14:textId="77777777" w:rsidR="00D91D7C" w:rsidRPr="00BD2519" w:rsidRDefault="00D91D7C" w:rsidP="00D91D7C">
      <w:pPr>
        <w:rPr>
          <w:sz w:val="16"/>
        </w:rPr>
      </w:pPr>
      <w:r w:rsidRPr="00BD2519">
        <w:rPr>
          <w:sz w:val="16"/>
        </w:rPr>
        <w:t xml:space="preserve">B. </w:t>
      </w:r>
      <w:r w:rsidRPr="00771C1E">
        <w:rPr>
          <w:rStyle w:val="StyleUnderline"/>
        </w:rPr>
        <w:t>Chevron and Legislative Supremacy</w:t>
      </w:r>
    </w:p>
    <w:p w14:paraId="1DDD2C6F" w14:textId="77777777" w:rsidR="00D91D7C" w:rsidRPr="00BD2519" w:rsidRDefault="00D91D7C" w:rsidP="00D91D7C">
      <w:pPr>
        <w:rPr>
          <w:sz w:val="16"/>
        </w:rPr>
      </w:pPr>
      <w:r w:rsidRPr="00BD2519">
        <w:rPr>
          <w:sz w:val="16"/>
        </w:rPr>
        <w:t xml:space="preserve">The doctrine of </w:t>
      </w:r>
      <w:r w:rsidRPr="00771C1E">
        <w:rPr>
          <w:rStyle w:val="StyleUnderline"/>
        </w:rPr>
        <w:t xml:space="preserve">lenity cannot </w:t>
      </w:r>
      <w:r w:rsidRPr="00771C1E">
        <w:rPr>
          <w:rStyle w:val="Emphasis"/>
        </w:rPr>
        <w:t>convincingly support</w:t>
      </w:r>
      <w:r w:rsidRPr="00771C1E">
        <w:rPr>
          <w:rStyle w:val="StyleUnderline"/>
        </w:rPr>
        <w:t xml:space="preserve"> the criminal liability exception to Chevron</w:t>
      </w:r>
      <w:r w:rsidRPr="00BD2519">
        <w:rPr>
          <w:sz w:val="16"/>
        </w:rPr>
        <w:t xml:space="preserve">. Both the lenity rule and Chevron picture an unelected judiciary as the wrong institution to make policy in a democratic society. More important, </w:t>
      </w:r>
      <w:r w:rsidRPr="00771C1E">
        <w:rPr>
          <w:rStyle w:val="StyleUnderline"/>
        </w:rPr>
        <w:t xml:space="preserve">Chevron reflects </w:t>
      </w:r>
      <w:r w:rsidRPr="00771C1E">
        <w:rPr>
          <w:rStyle w:val="Emphasis"/>
        </w:rPr>
        <w:t>a more realistic understanding</w:t>
      </w:r>
      <w:r w:rsidRPr="00771C1E">
        <w:rPr>
          <w:rStyle w:val="StyleUnderline"/>
        </w:rPr>
        <w:t xml:space="preserve"> than</w:t>
      </w:r>
      <w:r w:rsidRPr="00BD2519">
        <w:rPr>
          <w:sz w:val="16"/>
        </w:rPr>
        <w:t xml:space="preserve"> does </w:t>
      </w:r>
      <w:r w:rsidRPr="00771C1E">
        <w:rPr>
          <w:rStyle w:val="StyleUnderline"/>
        </w:rPr>
        <w:t xml:space="preserve">lenity of </w:t>
      </w:r>
      <w:r w:rsidRPr="00771C1E">
        <w:rPr>
          <w:rStyle w:val="Emphasis"/>
        </w:rPr>
        <w:t>the modern regulatory state</w:t>
      </w:r>
      <w:r w:rsidRPr="00BD2519">
        <w:rPr>
          <w:sz w:val="16"/>
        </w:rPr>
        <w:t xml:space="preserve">, including its long-accepted mechanisms for defining administrative crimes. </w:t>
      </w:r>
      <w:r w:rsidRPr="00771C1E">
        <w:rPr>
          <w:rStyle w:val="StyleUnderline"/>
        </w:rPr>
        <w:t>To argue</w:t>
      </w:r>
      <w:r w:rsidRPr="00BD2519">
        <w:rPr>
          <w:sz w:val="16"/>
        </w:rPr>
        <w:t xml:space="preserve"> today that </w:t>
      </w:r>
      <w:r w:rsidRPr="00771C1E">
        <w:rPr>
          <w:rStyle w:val="StyleUnderline"/>
        </w:rPr>
        <w:t xml:space="preserve">only legislatures can define administrative crimes entails more than </w:t>
      </w:r>
      <w:r w:rsidRPr="00771C1E">
        <w:rPr>
          <w:rStyle w:val="Emphasis"/>
        </w:rPr>
        <w:t>a critique of Chevron deference</w:t>
      </w:r>
      <w:r w:rsidRPr="00771C1E">
        <w:rPr>
          <w:rStyle w:val="StyleUnderline"/>
        </w:rPr>
        <w:t xml:space="preserve">. Such an argument appears to call for </w:t>
      </w:r>
      <w:r w:rsidRPr="00771C1E">
        <w:rPr>
          <w:rStyle w:val="Emphasis"/>
        </w:rPr>
        <w:t>a renewed use of the nondelegation doctrine</w:t>
      </w:r>
      <w:r w:rsidRPr="00771C1E">
        <w:rPr>
          <w:rStyle w:val="StyleUnderline"/>
        </w:rPr>
        <w:t>, which has been</w:t>
      </w:r>
      <w:r w:rsidRPr="00BD2519">
        <w:rPr>
          <w:sz w:val="16"/>
        </w:rPr>
        <w:t xml:space="preserve"> </w:t>
      </w:r>
      <w:r w:rsidRPr="00771C1E">
        <w:rPr>
          <w:rStyle w:val="Emphasis"/>
        </w:rPr>
        <w:t>virtually abandoned</w:t>
      </w:r>
      <w:r w:rsidRPr="00771C1E">
        <w:rPr>
          <w:rStyle w:val="StyleUnderline"/>
        </w:rPr>
        <w:t xml:space="preserve"> since the New Deal</w:t>
      </w:r>
      <w:r w:rsidRPr="00BD2519">
        <w:rPr>
          <w:sz w:val="16"/>
        </w:rPr>
        <w:t>.</w:t>
      </w:r>
    </w:p>
    <w:p w14:paraId="48FE4E6E" w14:textId="77777777" w:rsidR="00D91D7C" w:rsidRPr="00BD2519" w:rsidRDefault="00D91D7C" w:rsidP="00D91D7C">
      <w:pPr>
        <w:rPr>
          <w:sz w:val="16"/>
        </w:rPr>
      </w:pPr>
      <w:r w:rsidRPr="00BD2519">
        <w:rPr>
          <w:sz w:val="16"/>
        </w:rPr>
        <w:t xml:space="preserve">In the end, </w:t>
      </w:r>
      <w:r w:rsidRPr="00BD2519">
        <w:rPr>
          <w:rStyle w:val="Emphasis"/>
        </w:rPr>
        <w:t>both Chevron and lenity</w:t>
      </w:r>
      <w:r w:rsidRPr="00BD2519">
        <w:rPr>
          <w:rStyle w:val="StyleUnderline"/>
        </w:rPr>
        <w:t xml:space="preserve"> are doctrines of </w:t>
      </w:r>
      <w:r w:rsidRPr="00BD2519">
        <w:rPr>
          <w:rStyle w:val="Emphasis"/>
        </w:rPr>
        <w:t>judicial self-restraint</w:t>
      </w:r>
      <w:r w:rsidRPr="00BD2519">
        <w:rPr>
          <w:sz w:val="16"/>
        </w:rPr>
        <w:t>. Chevron's fundamental premise is that courts have neither the expertise nor the political accountability to resolve policy disputes by purporting to interpret ambiguous regulatory statutes.2a "The responsibilities for assessing the wisdom of such policy choices and resolving the struggle between competing views of the public interest are not judicial ones: 'Our Constitution vests such responsibilities in the political branches.' ,,234</w:t>
      </w:r>
    </w:p>
    <w:p w14:paraId="5F139CF6" w14:textId="77777777" w:rsidR="00D91D7C" w:rsidRPr="00BD2519" w:rsidRDefault="00D91D7C" w:rsidP="00D91D7C">
      <w:pPr>
        <w:rPr>
          <w:sz w:val="16"/>
        </w:rPr>
      </w:pPr>
      <w:r w:rsidRPr="00BD2519">
        <w:rPr>
          <w:sz w:val="16"/>
        </w:rPr>
        <w:t>Lenity initially represented a more activist approach, for it originated in judicial attempts to curb the legislatively created "vast and irrational proliferation of capital offenses" in eighteenth century England. 33 However, by the twentieth century, the doctrine of lenity, along with the related principle of legality, sought to assign to courts a limited interpretative, rather than crime-defining, role, in deference to the "institutional competence" of Congress "to define crimes." 2 6 In his concurring opinion in a 1980 lenity case, Chief Justice Burger made clear that lenity has become a doctrine of judicial self-restraint:</w:t>
      </w:r>
    </w:p>
    <w:p w14:paraId="0E7982C1" w14:textId="77777777" w:rsidR="00D91D7C" w:rsidRPr="00BD2519" w:rsidRDefault="00D91D7C" w:rsidP="00D91D7C">
      <w:pPr>
        <w:ind w:left="720"/>
        <w:rPr>
          <w:sz w:val="16"/>
        </w:rPr>
      </w:pPr>
      <w:r w:rsidRPr="00BD2519">
        <w:rPr>
          <w:sz w:val="16"/>
        </w:rPr>
        <w:t>Our compass is not to read a statute to reach what we perceive-or even what we think a reasonable person should perceive-as a 'sensible result'; Congress must be taken at its word unless we are to assume the role of statute revisers. Particularly in the administration of criminal justice, a badly drawn statute places strains on judges. The temptation to exceed our limited judicial role and do what we regard as the more sensible thing is great, but it takes us on a slippery slope. 237</w:t>
      </w:r>
    </w:p>
    <w:p w14:paraId="6699E37A" w14:textId="77777777" w:rsidR="00D91D7C" w:rsidRPr="00BD2519" w:rsidRDefault="00D91D7C" w:rsidP="00D91D7C">
      <w:pPr>
        <w:rPr>
          <w:sz w:val="16"/>
        </w:rPr>
      </w:pPr>
      <w:r w:rsidRPr="00BD2519">
        <w:rPr>
          <w:sz w:val="16"/>
        </w:rPr>
        <w:t xml:space="preserve">Of course, under Chevron, courts defer to administrative agencies as well as to Congress,238 whereas the doctrine of lenity overtly recognizes only Congress as the legitimate crime-defining institution23 9 But </w:t>
      </w:r>
      <w:r w:rsidRPr="00BD2519">
        <w:rPr>
          <w:rStyle w:val="StyleUnderline"/>
        </w:rPr>
        <w:t xml:space="preserve">that difference is </w:t>
      </w:r>
      <w:r w:rsidRPr="00BD2519">
        <w:rPr>
          <w:rStyle w:val="Emphasis"/>
        </w:rPr>
        <w:t>more apparent than real</w:t>
      </w:r>
      <w:r w:rsidRPr="00BD2519">
        <w:rPr>
          <w:rStyle w:val="StyleUnderline"/>
        </w:rPr>
        <w:t xml:space="preserve">. If the lenity doctrine </w:t>
      </w:r>
      <w:r w:rsidRPr="00BD2519">
        <w:rPr>
          <w:rStyle w:val="Emphasis"/>
        </w:rPr>
        <w:t>literally meant</w:t>
      </w:r>
      <w:r w:rsidRPr="00BD2519">
        <w:rPr>
          <w:sz w:val="16"/>
        </w:rPr>
        <w:t xml:space="preserve"> that </w:t>
      </w:r>
      <w:r w:rsidRPr="00BD2519">
        <w:rPr>
          <w:rStyle w:val="Emphasis"/>
        </w:rPr>
        <w:t>only Congress</w:t>
      </w:r>
      <w:r w:rsidRPr="00BD2519">
        <w:rPr>
          <w:rStyle w:val="StyleUnderline"/>
        </w:rPr>
        <w:t xml:space="preserve"> could define crime, then many administrative crimes would be </w:t>
      </w:r>
      <w:r w:rsidRPr="00BD2519">
        <w:rPr>
          <w:rStyle w:val="Emphasis"/>
        </w:rPr>
        <w:t>impermissible</w:t>
      </w:r>
      <w:r w:rsidRPr="00BD2519">
        <w:rPr>
          <w:sz w:val="16"/>
        </w:rPr>
        <w:t xml:space="preserve">. As noted earlier, however, </w:t>
      </w:r>
      <w:r w:rsidRPr="00BD2519">
        <w:rPr>
          <w:rStyle w:val="StyleUnderline"/>
        </w:rPr>
        <w:t xml:space="preserve">the Court has </w:t>
      </w:r>
      <w:r w:rsidRPr="00BD2519">
        <w:rPr>
          <w:rStyle w:val="Emphasis"/>
        </w:rPr>
        <w:t>long recognized</w:t>
      </w:r>
      <w:r w:rsidRPr="00BD2519">
        <w:rPr>
          <w:sz w:val="16"/>
        </w:rPr>
        <w:t xml:space="preserve"> that Congress and administrative </w:t>
      </w:r>
      <w:r w:rsidRPr="00BD2519">
        <w:rPr>
          <w:rStyle w:val="StyleUnderline"/>
        </w:rPr>
        <w:t>agencies</w:t>
      </w:r>
      <w:r w:rsidRPr="00BD2519">
        <w:rPr>
          <w:sz w:val="16"/>
        </w:rPr>
        <w:t xml:space="preserve"> jointly </w:t>
      </w:r>
      <w:r w:rsidRPr="00BD2519">
        <w:rPr>
          <w:rStyle w:val="StyleUnderline"/>
        </w:rPr>
        <w:t>establish what are</w:t>
      </w:r>
      <w:r w:rsidRPr="00BD2519">
        <w:rPr>
          <w:sz w:val="16"/>
        </w:rPr>
        <w:t xml:space="preserve">, in effect, </w:t>
      </w:r>
      <w:r w:rsidRPr="00BD2519">
        <w:rPr>
          <w:rStyle w:val="StyleUnderline"/>
        </w:rPr>
        <w:t>crime-defining rules</w:t>
      </w:r>
      <w:r w:rsidRPr="00BD2519">
        <w:rPr>
          <w:sz w:val="16"/>
        </w:rPr>
        <w:t>.24 For example, as early as 1897, the Supreme Court rejected a nondelegation challenge to a statute that authorized criminal penalties for failure to comply with administrative regulations regarding the sale of margarine. 24' Similarly, the Court held in United States v. Grimaud242 that Congress could authorize the Secretary of Agriculture to issue rules and regulations concerning public lands where the statute provided criminal penalties for violation of the rules and regulations. 243</w:t>
      </w:r>
    </w:p>
    <w:p w14:paraId="38B8B675" w14:textId="77777777" w:rsidR="00D91D7C" w:rsidRPr="00BD2519" w:rsidRDefault="00D91D7C" w:rsidP="00D91D7C">
      <w:pPr>
        <w:ind w:left="720"/>
        <w:rPr>
          <w:sz w:val="16"/>
        </w:rPr>
      </w:pPr>
      <w:r w:rsidRPr="00BD2519">
        <w:rPr>
          <w:sz w:val="16"/>
        </w:rPr>
        <w:t>[W]hen Congress had legislated and indicated its will, it could give to those who were to act under such general provisions "power to fill up the details" by the establishment of administrative rules and regulations, the violation of which could be punished by fine or imprisonment fixed by Congress, or by penalties fixed by Congress or measured by the injury done.244</w:t>
      </w:r>
    </w:p>
    <w:p w14:paraId="213C7901" w14:textId="77777777" w:rsidR="00D91D7C" w:rsidRPr="00BD2519" w:rsidRDefault="00D91D7C" w:rsidP="00D91D7C">
      <w:pPr>
        <w:rPr>
          <w:sz w:val="16"/>
        </w:rPr>
      </w:pPr>
      <w:r w:rsidRPr="00BD2519">
        <w:rPr>
          <w:sz w:val="16"/>
        </w:rPr>
        <w:t>Most recently, the Sweet Home Court acknowledged that a regulation could provide the notice that an arguably ambiguous statute failed to provide, and the Court thus easily rejected the criminal liability exception even though it recited the legislative supremacy rationale for the rule of lenity in the same footnote.24</w:t>
      </w:r>
    </w:p>
    <w:p w14:paraId="27FACE51" w14:textId="77777777" w:rsidR="00D91D7C" w:rsidRDefault="00D91D7C" w:rsidP="00D91D7C">
      <w:pPr>
        <w:rPr>
          <w:sz w:val="16"/>
        </w:rPr>
      </w:pPr>
      <w:r w:rsidRPr="00BD2519">
        <w:rPr>
          <w:sz w:val="16"/>
        </w:rPr>
        <w:t xml:space="preserve">The anachronistic invocation of </w:t>
      </w:r>
      <w:r w:rsidRPr="00BD2519">
        <w:rPr>
          <w:rStyle w:val="StyleUnderline"/>
        </w:rPr>
        <w:t>this rationale</w:t>
      </w:r>
      <w:r w:rsidRPr="00BD2519">
        <w:rPr>
          <w:sz w:val="16"/>
        </w:rPr>
        <w:t xml:space="preserve"> in an administrative crime context246 </w:t>
      </w:r>
      <w:r w:rsidRPr="00BD2519">
        <w:rPr>
          <w:rStyle w:val="StyleUnderline"/>
        </w:rPr>
        <w:t>suggests</w:t>
      </w:r>
      <w:r w:rsidRPr="00BD2519">
        <w:rPr>
          <w:sz w:val="16"/>
        </w:rPr>
        <w:t xml:space="preserve"> that </w:t>
      </w:r>
      <w:r w:rsidRPr="00BD2519">
        <w:rPr>
          <w:rStyle w:val="StyleUnderline"/>
        </w:rPr>
        <w:t>proponents of the criminal liability exception may seek</w:t>
      </w:r>
      <w:r w:rsidRPr="00BD2519">
        <w:rPr>
          <w:sz w:val="16"/>
        </w:rPr>
        <w:t xml:space="preserve">, in effect, </w:t>
      </w:r>
      <w:r w:rsidRPr="00BD2519">
        <w:rPr>
          <w:rStyle w:val="StyleUnderline"/>
        </w:rPr>
        <w:t xml:space="preserve">to strengthen </w:t>
      </w:r>
      <w:r w:rsidRPr="00BD2519">
        <w:rPr>
          <w:rStyle w:val="Emphasis"/>
        </w:rPr>
        <w:t>the moribund nondelegation doctrine</w:t>
      </w:r>
      <w:r w:rsidRPr="00BD2519">
        <w:rPr>
          <w:sz w:val="16"/>
        </w:rPr>
        <w:t>. Where a statute and regulations combine to define criminal liability, strict construction or due process principles are applied to penal regulations themselves in order to provide fair notice to regulated parties. 247 There consequently is no reason to apply the rule of lenity independently to the statute alone. If the problem with the statutory standard is ambiguity, then the regulation (or other administrative interpretation) either sufficiently overcomes that problem or the criminal conviction must fail. Since notice problems can be resolved without separate application of the doctrine of lenity to the statute, then the real complaint about ambiguous statutes that create administrative crimes is that Congress should not delegate so much discretion to regulators in this context. Indeed, the criminal liability exception thus translates into a claim that "something more than an 'intelligible principle' is required when Congress authorizes another Branch to promulgate regulations that contemplate criminal sanctions. ' '248 However, the Court has declined to decide whether a stricter nondelegation standard should apply in the criminal context.249 Since 1991, when this issue was addressed but not resolved by the Court in Touby v. United States, several circuits have similarly found it unnecessary to resolve this constitutional issue.250</w:t>
      </w:r>
    </w:p>
    <w:p w14:paraId="5BC9C0AE" w14:textId="77777777" w:rsidR="00D91D7C" w:rsidRDefault="00D91D7C" w:rsidP="00D91D7C">
      <w:pPr>
        <w:rPr>
          <w:sz w:val="16"/>
        </w:rPr>
      </w:pPr>
      <w:r>
        <w:rPr>
          <w:sz w:val="16"/>
        </w:rPr>
        <w:t>C. Chevron and Fair Warning</w:t>
      </w:r>
    </w:p>
    <w:p w14:paraId="65F1C972" w14:textId="77777777" w:rsidR="00D91D7C" w:rsidRDefault="00D91D7C" w:rsidP="00D91D7C">
      <w:pPr>
        <w:rPr>
          <w:sz w:val="16"/>
        </w:rPr>
      </w:pPr>
      <w:r>
        <w:rPr>
          <w:sz w:val="16"/>
        </w:rPr>
        <w:t xml:space="preserve">Lenity's </w:t>
      </w:r>
      <w:r w:rsidRPr="00BD2519">
        <w:rPr>
          <w:rStyle w:val="StyleUnderline"/>
        </w:rPr>
        <w:t>fair warning</w:t>
      </w:r>
      <w:r>
        <w:rPr>
          <w:sz w:val="16"/>
        </w:rPr>
        <w:t xml:space="preserve"> rationale also </w:t>
      </w:r>
      <w:r w:rsidRPr="00BD2519">
        <w:rPr>
          <w:rStyle w:val="StyleUnderline"/>
        </w:rPr>
        <w:t xml:space="preserve">provides </w:t>
      </w:r>
      <w:r w:rsidRPr="00BD2519">
        <w:rPr>
          <w:rStyle w:val="Emphasis"/>
        </w:rPr>
        <w:t>an inadequate basis</w:t>
      </w:r>
      <w:r w:rsidRPr="00BD2519">
        <w:rPr>
          <w:rStyle w:val="StyleUnderline"/>
        </w:rPr>
        <w:t xml:space="preserve"> for endorsing the criminal liability exception</w:t>
      </w:r>
      <w:r>
        <w:rPr>
          <w:sz w:val="16"/>
        </w:rPr>
        <w:t xml:space="preserve">. As an empirical matter, </w:t>
      </w:r>
      <w:r w:rsidRPr="00BD2519">
        <w:rPr>
          <w:rStyle w:val="StyleUnderline"/>
        </w:rPr>
        <w:t xml:space="preserve">courts apply the doctrine of lenity </w:t>
      </w:r>
      <w:r w:rsidRPr="00BD2519">
        <w:rPr>
          <w:rStyle w:val="Emphasis"/>
        </w:rPr>
        <w:t>so inconsistently</w:t>
      </w:r>
      <w:r>
        <w:rPr>
          <w:sz w:val="16"/>
        </w:rPr>
        <w:t xml:space="preserve"> that </w:t>
      </w:r>
      <w:r w:rsidRPr="00BD2519">
        <w:rPr>
          <w:rStyle w:val="StyleUnderline"/>
        </w:rPr>
        <w:t xml:space="preserve">one may question </w:t>
      </w:r>
      <w:r w:rsidRPr="00BD2519">
        <w:rPr>
          <w:rStyle w:val="Emphasis"/>
        </w:rPr>
        <w:t>its efficacy</w:t>
      </w:r>
      <w:r w:rsidRPr="00BD2519">
        <w:rPr>
          <w:rStyle w:val="StyleUnderline"/>
        </w:rPr>
        <w:t xml:space="preserve"> in achieving its fair warning purposes</w:t>
      </w:r>
      <w:r>
        <w:rPr>
          <w:sz w:val="16"/>
        </w:rPr>
        <w:t xml:space="preserve">. As a doctrinal matter, </w:t>
      </w:r>
      <w:r w:rsidRPr="00BD2519">
        <w:rPr>
          <w:rStyle w:val="StyleUnderline"/>
        </w:rPr>
        <w:t>lenity and Chevron</w:t>
      </w:r>
      <w:r>
        <w:rPr>
          <w:sz w:val="16"/>
        </w:rPr>
        <w:t xml:space="preserve"> often should </w:t>
      </w:r>
      <w:r w:rsidRPr="00BD2519">
        <w:rPr>
          <w:rStyle w:val="StyleUnderline"/>
        </w:rPr>
        <w:t xml:space="preserve">yield </w:t>
      </w:r>
      <w:r w:rsidRPr="00BD2519">
        <w:rPr>
          <w:rStyle w:val="Emphasis"/>
        </w:rPr>
        <w:t>the same result</w:t>
      </w:r>
      <w:r>
        <w:rPr>
          <w:sz w:val="16"/>
        </w:rPr>
        <w:t>. Courts use similar interpretative tools before deciding that there is sufficient ambiguity either to invoke lenity, and thus to construe a criminal statute strictly, or to defer to an agency's interpretation of an ambiguous provision. And, as a normative matter, one may question whether notice of the details of a law should even be required. For example, Professor Jeffries has argued that individuals who would detrimentally rely "on highly technical legal sources" present a "claim . . .to our moral sympathies [that] is unconvincing and obscure."' The Supreme Court has suggested that regulated parties that "stand[] in responsible relation to a public danger" must bear "the burden of acting at hazard" if they do not know their responsibilities under public welfare statutes.252 However, while notice of the details of prohibitions may not be necessary in the case of conduct that is malum in se, or wrongful in itself, the argument for fair notice is considerably stronger in the case of many of the types of administrative crimes that are at issue in this article and that proscribe behavior that is merely malum prohibitum.253 Therefore, rather than proposing that the doctrine of lenity be jettisoned, I argue in this section that its fair warning values can be served by the application of the Chevron two-step. Even where courts find sufficient statutory ambiguity at step one of Chevron, preexisting agency interpretations should often provide the type of notice that lenity purports to promote.</w:t>
      </w:r>
    </w:p>
    <w:p w14:paraId="07CA0C62" w14:textId="77777777" w:rsidR="00D91D7C" w:rsidRDefault="00D91D7C" w:rsidP="00D91D7C">
      <w:pPr>
        <w:pStyle w:val="Heading4"/>
      </w:pPr>
      <w:r>
        <w:t>Lenity is too inconsistent.</w:t>
      </w:r>
    </w:p>
    <w:p w14:paraId="6D49C9A4" w14:textId="77777777" w:rsidR="00D91D7C" w:rsidRPr="00BD2519" w:rsidRDefault="00D91D7C" w:rsidP="00D91D7C">
      <w:r w:rsidRPr="00242E54">
        <w:rPr>
          <w:rStyle w:val="Style13ptBold"/>
        </w:rPr>
        <w:t>Greenberg 96</w:t>
      </w:r>
      <w:r>
        <w:t xml:space="preserve"> – Sanford N. Greenberg, Law Professor at the Chicago-Kent School of Law. [Who Says It's a Crime? Chevron Deference to Agency Interpretations of Regulatory Statutes That Create Criminal Liability, University of Pittsburg Law Review, 58(1), HeinOnline]//BPS</w:t>
      </w:r>
    </w:p>
    <w:p w14:paraId="42C981B4" w14:textId="77777777" w:rsidR="00D91D7C" w:rsidRPr="005D2A34" w:rsidRDefault="00D91D7C" w:rsidP="00D91D7C">
      <w:pPr>
        <w:rPr>
          <w:sz w:val="16"/>
        </w:rPr>
      </w:pPr>
      <w:r w:rsidRPr="005D2A34">
        <w:rPr>
          <w:sz w:val="16"/>
        </w:rPr>
        <w:t>1. Weakness of the Lenity Doctrine</w:t>
      </w:r>
    </w:p>
    <w:p w14:paraId="4781AA3C" w14:textId="77777777" w:rsidR="00D91D7C" w:rsidRPr="005D2A34" w:rsidRDefault="00D91D7C" w:rsidP="00D91D7C">
      <w:pPr>
        <w:rPr>
          <w:sz w:val="16"/>
        </w:rPr>
      </w:pPr>
      <w:r w:rsidRPr="005D2A34">
        <w:rPr>
          <w:sz w:val="16"/>
        </w:rPr>
        <w:t xml:space="preserve">The doctrine of </w:t>
      </w:r>
      <w:r w:rsidRPr="00BD2519">
        <w:rPr>
          <w:rStyle w:val="StyleUnderline"/>
        </w:rPr>
        <w:t xml:space="preserve">lenity is applied </w:t>
      </w:r>
      <w:r w:rsidRPr="00BD2519">
        <w:rPr>
          <w:rStyle w:val="Emphasis"/>
        </w:rPr>
        <w:t>too inconsistently</w:t>
      </w:r>
      <w:r w:rsidRPr="00BD2519">
        <w:rPr>
          <w:rStyle w:val="StyleUnderline"/>
        </w:rPr>
        <w:t xml:space="preserve"> to form </w:t>
      </w:r>
      <w:r w:rsidRPr="00BD2519">
        <w:rPr>
          <w:rStyle w:val="Emphasis"/>
        </w:rPr>
        <w:t>a stable basis</w:t>
      </w:r>
      <w:r w:rsidRPr="00BD2519">
        <w:rPr>
          <w:rStyle w:val="StyleUnderline"/>
        </w:rPr>
        <w:t xml:space="preserve"> for </w:t>
      </w:r>
      <w:r w:rsidRPr="00BD2519">
        <w:rPr>
          <w:rStyle w:val="Emphasis"/>
        </w:rPr>
        <w:t>a successful assault</w:t>
      </w:r>
      <w:r w:rsidRPr="00BD2519">
        <w:rPr>
          <w:rStyle w:val="StyleUnderline"/>
        </w:rPr>
        <w:t xml:space="preserve"> on </w:t>
      </w:r>
      <w:r w:rsidRPr="00BD2519">
        <w:rPr>
          <w:rStyle w:val="Emphasis"/>
        </w:rPr>
        <w:t>the Chevron edifice</w:t>
      </w:r>
      <w:r w:rsidRPr="005D2A34">
        <w:rPr>
          <w:sz w:val="16"/>
        </w:rPr>
        <w:t xml:space="preserve">. Despite the nineteenth century pedigree of the doctrine of lenity in American federal law, courts in fact have often developed what amounts to a common law of federal crimes. 54 Thus, </w:t>
      </w:r>
      <w:r w:rsidRPr="00BD2519">
        <w:rPr>
          <w:rStyle w:val="StyleUnderline"/>
        </w:rPr>
        <w:t xml:space="preserve">as </w:t>
      </w:r>
      <w:r w:rsidRPr="00BD2519">
        <w:rPr>
          <w:rStyle w:val="Emphasis"/>
        </w:rPr>
        <w:t>an empirical matter</w:t>
      </w:r>
      <w:r w:rsidRPr="00BD2519">
        <w:rPr>
          <w:rStyle w:val="StyleUnderline"/>
        </w:rPr>
        <w:t>, it simply is not true</w:t>
      </w:r>
      <w:r w:rsidRPr="005D2A34">
        <w:rPr>
          <w:sz w:val="16"/>
        </w:rPr>
        <w:t xml:space="preserve"> that </w:t>
      </w:r>
      <w:r w:rsidRPr="00BD2519">
        <w:rPr>
          <w:rStyle w:val="StyleUnderline"/>
        </w:rPr>
        <w:t>only Congress can define federal crimes</w:t>
      </w:r>
      <w:r w:rsidRPr="005D2A34">
        <w:rPr>
          <w:sz w:val="16"/>
        </w:rPr>
        <w:t xml:space="preserve">. Moreover, because this supposedly " 'time honored interpretive guideline' "255 often is honored in purely rhetorical fashion, it also does not consistently promote the "bedrock principle" z 6 of fair notice. According to one observer, </w:t>
      </w:r>
      <w:r w:rsidRPr="005D2A34">
        <w:rPr>
          <w:rStyle w:val="StyleUnderline"/>
        </w:rPr>
        <w:t xml:space="preserve">lenity "survives more as </w:t>
      </w:r>
      <w:r w:rsidRPr="005D2A34">
        <w:rPr>
          <w:rStyle w:val="Emphasis"/>
        </w:rPr>
        <w:t>a makeweight for results</w:t>
      </w:r>
      <w:r w:rsidRPr="005D2A34">
        <w:rPr>
          <w:rStyle w:val="StyleUnderline"/>
        </w:rPr>
        <w:t xml:space="preserve"> that seem right on </w:t>
      </w:r>
      <w:r w:rsidRPr="005D2A34">
        <w:rPr>
          <w:rStyle w:val="Emphasis"/>
        </w:rPr>
        <w:t>other grounds</w:t>
      </w:r>
      <w:r w:rsidRPr="005D2A34">
        <w:rPr>
          <w:rStyle w:val="StyleUnderline"/>
        </w:rPr>
        <w:t xml:space="preserve"> than as </w:t>
      </w:r>
      <w:r w:rsidRPr="005D2A34">
        <w:rPr>
          <w:rStyle w:val="Emphasis"/>
        </w:rPr>
        <w:t>a consistent policy of statutory interpretation</w:t>
      </w:r>
      <w:r w:rsidRPr="005D2A34">
        <w:rPr>
          <w:sz w:val="16"/>
        </w:rPr>
        <w:t xml:space="preserve">. </w:t>
      </w:r>
      <w:r w:rsidRPr="005D2A34">
        <w:rPr>
          <w:rStyle w:val="StyleUnderline"/>
        </w:rPr>
        <w:t xml:space="preserve">Citation to the rule is </w:t>
      </w:r>
      <w:r w:rsidRPr="005D2A34">
        <w:rPr>
          <w:rStyle w:val="Emphasis"/>
        </w:rPr>
        <w:t>usually pro forma</w:t>
      </w:r>
      <w:r w:rsidRPr="005D2A34">
        <w:rPr>
          <w:rStyle w:val="StyleUnderline"/>
        </w:rPr>
        <w:t>.</w:t>
      </w:r>
      <w:r>
        <w:rPr>
          <w:rStyle w:val="StyleUnderline"/>
        </w:rPr>
        <w:t>”</w:t>
      </w:r>
      <w:r w:rsidRPr="005D2A34">
        <w:rPr>
          <w:sz w:val="16"/>
        </w:rPr>
        <w:t xml:space="preserve"> 257 The frequently makeweight nature of the lenity doctrine is reflected in decisions which purport to find the meaning of a criminal statute on the basis of language, structure, purpose, and legislative history, yet proceed to discuss lenity as an additional reason to reject a broad reading of the statute.258</w:t>
      </w:r>
    </w:p>
    <w:p w14:paraId="546CA373" w14:textId="77777777" w:rsidR="00D91D7C" w:rsidRPr="005D2A34" w:rsidRDefault="00D91D7C" w:rsidP="00D91D7C">
      <w:pPr>
        <w:rPr>
          <w:sz w:val="16"/>
        </w:rPr>
      </w:pPr>
      <w:r w:rsidRPr="005D2A34">
        <w:rPr>
          <w:sz w:val="16"/>
        </w:rPr>
        <w:t xml:space="preserve">Furthermore, </w:t>
      </w:r>
      <w:r w:rsidRPr="005D2A34">
        <w:rPr>
          <w:rStyle w:val="StyleUnderline"/>
        </w:rPr>
        <w:t>the</w:t>
      </w:r>
      <w:r w:rsidRPr="005D2A34">
        <w:rPr>
          <w:sz w:val="16"/>
        </w:rPr>
        <w:t xml:space="preserve"> Supreme </w:t>
      </w:r>
      <w:r w:rsidRPr="005D2A34">
        <w:rPr>
          <w:rStyle w:val="StyleUnderline"/>
        </w:rPr>
        <w:t>Court's lenity jurisprudence is "</w:t>
      </w:r>
      <w:r w:rsidRPr="005D2A34">
        <w:rPr>
          <w:rStyle w:val="Emphasis"/>
        </w:rPr>
        <w:t>capricious</w:t>
      </w:r>
      <w:r w:rsidRPr="005D2A34">
        <w:rPr>
          <w:rStyle w:val="StyleUnderline"/>
        </w:rPr>
        <w:t>. The constitutional value</w:t>
      </w:r>
      <w:r w:rsidRPr="005D2A34">
        <w:rPr>
          <w:sz w:val="16"/>
        </w:rPr>
        <w:t xml:space="preserve"> of sufficient notice to the defendant that she </w:t>
      </w:r>
      <w:r w:rsidRPr="005D2A34">
        <w:rPr>
          <w:rStyle w:val="StyleUnderline"/>
        </w:rPr>
        <w:t>is</w:t>
      </w:r>
      <w:r w:rsidRPr="005D2A34">
        <w:rPr>
          <w:sz w:val="16"/>
        </w:rPr>
        <w:t xml:space="preserve"> breaking the law seems </w:t>
      </w:r>
      <w:r w:rsidRPr="005D2A34">
        <w:rPr>
          <w:rStyle w:val="Emphasis"/>
        </w:rPr>
        <w:t>ill-served</w:t>
      </w:r>
      <w:r w:rsidRPr="005D2A34">
        <w:rPr>
          <w:rStyle w:val="StyleUnderline"/>
        </w:rPr>
        <w:t xml:space="preserve"> by the Court's </w:t>
      </w:r>
      <w:r w:rsidRPr="005D2A34">
        <w:rPr>
          <w:rStyle w:val="Emphasis"/>
        </w:rPr>
        <w:t>rather random invocation</w:t>
      </w:r>
      <w:r w:rsidRPr="005D2A34">
        <w:rPr>
          <w:rStyle w:val="StyleUnderline"/>
        </w:rPr>
        <w:t xml:space="preserve"> of the rule."</w:t>
      </w:r>
      <w:r w:rsidRPr="005D2A34">
        <w:rPr>
          <w:sz w:val="16"/>
        </w:rPr>
        <w:t xml:space="preserve"> 59 A meaningful, albeit imprecise, measure of the inconsistent application of the lenity doctrine is the number of cases in which jurists disagree in their interpretations of an arguably ambiguous statute without agreeing that the statute is sufficiently ambiguous to trigger application of the doctrine. 260 In some such cases, justices will expressly disagree on whether it is necessary to invoke the lenity doctrine. 261 In others, both the majority and the dissenters will indicate that it is unnecessary to invoke the doctrine.262 Moreover, even the statement of the rule reflects its excessively flexible character. For example, when the Court was prepared to invoke the doctrine in Crandon v. United States,263 Justice Stevens wrote that "it is appropriate to apply the rule of lenity in resolving any ambiguity in the ambit of the statute's coverage." 254 However, just one year later, the Court implied that "any ambiguity" was not sufficient to trigger application of the doctrine. Declining to apply the rule in Chapman v. United States,265 the Court observed that "[t]he rule of lenity ... is not applicable unless there is a 'grievous ambiguity or uncertainty in the language and structure of the Act,' such that even after a court has 'seize[d] every thing from which aid can be derived' it is still 'left with an ambiguous statute.' "26 Such </w:t>
      </w:r>
      <w:r w:rsidRPr="005D2A34">
        <w:rPr>
          <w:rStyle w:val="Emphasis"/>
        </w:rPr>
        <w:t>rhetorical differences</w:t>
      </w:r>
      <w:r w:rsidRPr="005D2A34">
        <w:rPr>
          <w:rStyle w:val="StyleUnderline"/>
        </w:rPr>
        <w:t xml:space="preserve"> suggest</w:t>
      </w:r>
      <w:r w:rsidRPr="005D2A34">
        <w:rPr>
          <w:sz w:val="16"/>
        </w:rPr>
        <w:t xml:space="preserve"> that </w:t>
      </w:r>
      <w:r w:rsidRPr="005D2A34">
        <w:rPr>
          <w:rStyle w:val="StyleUnderline"/>
        </w:rPr>
        <w:t>lenity is less a reliable barrier against ambiguity in criminal statutes than a hurdle that can</w:t>
      </w:r>
      <w:r>
        <w:rPr>
          <w:rStyle w:val="StyleUnderline"/>
        </w:rPr>
        <w:t xml:space="preserve"> </w:t>
      </w:r>
      <w:r w:rsidRPr="005D2A34">
        <w:rPr>
          <w:rStyle w:val="StyleUnderline"/>
        </w:rPr>
        <w:t xml:space="preserve">be raised and lowered </w:t>
      </w:r>
      <w:r w:rsidRPr="005D2A34">
        <w:rPr>
          <w:rStyle w:val="Emphasis"/>
        </w:rPr>
        <w:t>almost at will</w:t>
      </w:r>
      <w:r w:rsidRPr="005D2A34">
        <w:rPr>
          <w:sz w:val="16"/>
        </w:rPr>
        <w:t>.267</w:t>
      </w:r>
    </w:p>
    <w:p w14:paraId="66C762F1" w14:textId="77777777" w:rsidR="00D91D7C" w:rsidRPr="005D2A34" w:rsidRDefault="00D91D7C" w:rsidP="00D91D7C">
      <w:pPr>
        <w:rPr>
          <w:sz w:val="16"/>
        </w:rPr>
      </w:pPr>
      <w:r w:rsidRPr="005D2A34">
        <w:rPr>
          <w:sz w:val="16"/>
        </w:rPr>
        <w:t xml:space="preserve">The </w:t>
      </w:r>
      <w:r w:rsidRPr="005D2A34">
        <w:rPr>
          <w:rStyle w:val="StyleUnderline"/>
        </w:rPr>
        <w:t>lenity</w:t>
      </w:r>
      <w:r w:rsidRPr="005D2A34">
        <w:rPr>
          <w:sz w:val="16"/>
        </w:rPr>
        <w:t xml:space="preserve"> doctrine also </w:t>
      </w:r>
      <w:r w:rsidRPr="005D2A34">
        <w:rPr>
          <w:rStyle w:val="StyleUnderline"/>
        </w:rPr>
        <w:t xml:space="preserve">provides </w:t>
      </w:r>
      <w:r w:rsidRPr="005D2A34">
        <w:rPr>
          <w:rStyle w:val="Emphasis"/>
        </w:rPr>
        <w:t>questionable support</w:t>
      </w:r>
      <w:r w:rsidRPr="005D2A34">
        <w:rPr>
          <w:rStyle w:val="StyleUnderline"/>
        </w:rPr>
        <w:t xml:space="preserve"> for the criminal liability exception because lenity's fair warning rationale is</w:t>
      </w:r>
      <w:r w:rsidRPr="005D2A34">
        <w:rPr>
          <w:sz w:val="16"/>
        </w:rPr>
        <w:t xml:space="preserve"> often "something of </w:t>
      </w:r>
      <w:r w:rsidRPr="005D2A34">
        <w:rPr>
          <w:rStyle w:val="Emphasis"/>
        </w:rPr>
        <w:t>a fiction</w:t>
      </w:r>
      <w:r w:rsidRPr="005D2A34">
        <w:rPr>
          <w:sz w:val="16"/>
        </w:rPr>
        <w:t>.' 268 When courts invoke the notice rationale, they require only constructive notice. 69 In Justice Holmes' words, courts recognize that "it is not likely that a criminal will carefully consider the text of the law before he murders or steals . ... -270 If a statute is deemed sufficiently clear by the court to provide constructive notice "in language that the common world will understand,"' 271 a conviction cannot be avoided because of lack of actual notice.272 Nor will actual notice suffice to sustain a conviction under an ambiguous statute.273</w:t>
      </w:r>
    </w:p>
    <w:p w14:paraId="0A2BB489" w14:textId="77777777" w:rsidR="00D91D7C" w:rsidRPr="005D2A34" w:rsidRDefault="00D91D7C" w:rsidP="00D91D7C">
      <w:pPr>
        <w:rPr>
          <w:sz w:val="16"/>
        </w:rPr>
      </w:pPr>
      <w:r w:rsidRPr="005D2A34">
        <w:rPr>
          <w:rStyle w:val="StyleUnderline"/>
        </w:rPr>
        <w:t xml:space="preserve">If there is </w:t>
      </w:r>
      <w:r w:rsidRPr="005D2A34">
        <w:rPr>
          <w:rStyle w:val="Emphasis"/>
        </w:rPr>
        <w:t>an imperfect fit</w:t>
      </w:r>
      <w:r w:rsidRPr="005D2A34">
        <w:rPr>
          <w:sz w:val="16"/>
        </w:rPr>
        <w:t xml:space="preserve"> between the rhetoric and reality of notice when courts apply the lenity doctrine to traditional criminal statutes, </w:t>
      </w:r>
      <w:r w:rsidRPr="005D2A34">
        <w:rPr>
          <w:rStyle w:val="StyleUnderline"/>
        </w:rPr>
        <w:t>the problem might seem</w:t>
      </w:r>
      <w:r w:rsidRPr="005D2A34">
        <w:rPr>
          <w:sz w:val="16"/>
        </w:rPr>
        <w:t xml:space="preserve"> to be </w:t>
      </w:r>
      <w:r w:rsidRPr="005D2A34">
        <w:rPr>
          <w:rStyle w:val="Emphasis"/>
        </w:rPr>
        <w:t>exacerbated</w:t>
      </w:r>
      <w:r w:rsidRPr="005D2A34">
        <w:rPr>
          <w:sz w:val="16"/>
        </w:rPr>
        <w:t xml:space="preserve"> in relation to administrative crimes. After all, the average citizen is unlikely ever to read, let alone comprehend, the modem regulatory statute, especially one that has been amended and made even more complex, dense, and filled with cross-references, exceptions, and provisos.2 74 One of </w:t>
      </w:r>
      <w:r w:rsidRPr="005D2A34">
        <w:rPr>
          <w:rStyle w:val="StyleUnderline"/>
        </w:rPr>
        <w:t>the ironies of the regulatory state is</w:t>
      </w:r>
      <w:r w:rsidRPr="005D2A34">
        <w:rPr>
          <w:sz w:val="16"/>
        </w:rPr>
        <w:t xml:space="preserve"> that </w:t>
      </w:r>
      <w:r w:rsidRPr="005D2A34">
        <w:rPr>
          <w:rStyle w:val="StyleUnderline"/>
        </w:rPr>
        <w:t>Congress</w:t>
      </w:r>
      <w:r w:rsidRPr="005D2A34">
        <w:rPr>
          <w:sz w:val="16"/>
        </w:rPr>
        <w:t xml:space="preserve"> often </w:t>
      </w:r>
      <w:r w:rsidRPr="005D2A34">
        <w:rPr>
          <w:rStyle w:val="StyleUnderline"/>
        </w:rPr>
        <w:t xml:space="preserve">creates </w:t>
      </w:r>
      <w:r w:rsidRPr="005D2A34">
        <w:rPr>
          <w:rStyle w:val="Emphasis"/>
        </w:rPr>
        <w:t>ambiguity</w:t>
      </w:r>
      <w:r w:rsidRPr="005D2A34">
        <w:rPr>
          <w:rStyle w:val="StyleUnderline"/>
        </w:rPr>
        <w:t xml:space="preserve"> not only by drafting very </w:t>
      </w:r>
      <w:r w:rsidRPr="005D2A34">
        <w:rPr>
          <w:rStyle w:val="Emphasis"/>
        </w:rPr>
        <w:t>broad statutes</w:t>
      </w:r>
      <w:r w:rsidRPr="005D2A34">
        <w:rPr>
          <w:rStyle w:val="StyleUnderline"/>
        </w:rPr>
        <w:t xml:space="preserve"> but also by drafting </w:t>
      </w:r>
      <w:r w:rsidRPr="005D2A34">
        <w:rPr>
          <w:rStyle w:val="Emphasis"/>
        </w:rPr>
        <w:t>highly detailed ones</w:t>
      </w:r>
      <w:r w:rsidRPr="005D2A34">
        <w:rPr>
          <w:sz w:val="16"/>
        </w:rPr>
        <w:t xml:space="preserve">. 275 However, </w:t>
      </w:r>
      <w:r w:rsidRPr="005D2A34">
        <w:rPr>
          <w:rStyle w:val="StyleUnderline"/>
        </w:rPr>
        <w:t>when an agency interprets an ambiguous regulatory statute</w:t>
      </w:r>
      <w:r w:rsidRPr="005D2A34">
        <w:rPr>
          <w:sz w:val="16"/>
        </w:rPr>
        <w:t xml:space="preserve">, especially through a legislative rule, </w:t>
      </w:r>
      <w:r w:rsidRPr="005D2A34">
        <w:rPr>
          <w:rStyle w:val="StyleUnderline"/>
        </w:rPr>
        <w:t>the agency</w:t>
      </w:r>
      <w:r w:rsidRPr="005D2A34">
        <w:rPr>
          <w:sz w:val="16"/>
        </w:rPr>
        <w:t xml:space="preserve"> often </w:t>
      </w:r>
      <w:r w:rsidRPr="005D2A34">
        <w:rPr>
          <w:rStyle w:val="Emphasis"/>
        </w:rPr>
        <w:t>overcomes</w:t>
      </w:r>
      <w:r w:rsidRPr="005D2A34">
        <w:rPr>
          <w:rStyle w:val="StyleUnderline"/>
        </w:rPr>
        <w:t xml:space="preserve"> the ambiguity and provides formal notice </w:t>
      </w:r>
      <w:r w:rsidRPr="005D2A34">
        <w:rPr>
          <w:rStyle w:val="Emphasis"/>
        </w:rPr>
        <w:t>at least equal</w:t>
      </w:r>
      <w:r w:rsidRPr="005D2A34">
        <w:rPr>
          <w:rStyle w:val="StyleUnderline"/>
        </w:rPr>
        <w:t xml:space="preserve"> to that provided by the statutes</w:t>
      </w:r>
      <w:r w:rsidRPr="005D2A34">
        <w:rPr>
          <w:sz w:val="16"/>
        </w:rPr>
        <w:t xml:space="preserve"> themselves.2 76</w:t>
      </w:r>
    </w:p>
    <w:p w14:paraId="49B99E59" w14:textId="77777777" w:rsidR="00D91D7C" w:rsidRPr="00805A42" w:rsidRDefault="00D91D7C" w:rsidP="00D91D7C">
      <w:pPr>
        <w:pStyle w:val="Heading4"/>
      </w:pPr>
      <w:r>
        <w:t xml:space="preserve">It's </w:t>
      </w:r>
      <w:r>
        <w:rPr>
          <w:u w:val="single"/>
        </w:rPr>
        <w:t>ideological</w:t>
      </w:r>
      <w:r>
        <w:t xml:space="preserve"> – clear bright lines are </w:t>
      </w:r>
      <w:r>
        <w:rPr>
          <w:u w:val="single"/>
        </w:rPr>
        <w:t>impossible</w:t>
      </w:r>
      <w:r>
        <w:t>.</w:t>
      </w:r>
    </w:p>
    <w:p w14:paraId="70FC871C" w14:textId="77777777" w:rsidR="00D91D7C" w:rsidRPr="00B44845" w:rsidRDefault="00D91D7C" w:rsidP="00D91D7C">
      <w:r w:rsidRPr="00B44845">
        <w:rPr>
          <w:b/>
          <w:bCs/>
          <w:sz w:val="26"/>
          <w:szCs w:val="26"/>
        </w:rPr>
        <w:t>Raso and Eskridge 10</w:t>
      </w:r>
      <w:r>
        <w:t xml:space="preserve"> - </w:t>
      </w:r>
      <w:r w:rsidRPr="00B44845">
        <w:t>J.D., Yale Law School; Ph.D., Stanford University Department of Political Science</w:t>
      </w:r>
      <w:r>
        <w:t xml:space="preserve">, </w:t>
      </w:r>
      <w:r w:rsidRPr="00B44845">
        <w:t>John Garver Professor of Jurisprudence, Yale Law School</w:t>
      </w:r>
      <w:r>
        <w:t xml:space="preserve">, (Connor N., William N., “CHEVRON AS A CANON, NOT A PRECEDENT: AN EMPIRICAL STUDY OF WHAT MOTIVATES JUSTICES IN AGENCY DEFERENCE CASES,” </w:t>
      </w:r>
      <w:r>
        <w:rPr>
          <w:i/>
          <w:iCs/>
        </w:rPr>
        <w:t>Yale Law School</w:t>
      </w:r>
      <w:r>
        <w:t xml:space="preserve">, 2010, </w:t>
      </w:r>
      <w:hyperlink r:id="rId226" w:history="1">
        <w:r w:rsidRPr="00F9106D">
          <w:rPr>
            <w:rStyle w:val="Hyperlink"/>
          </w:rPr>
          <w:t>https://digitalcommons.law.yale.edu/cgi/viewcontent.cgi?article=4771&amp;context=fss_papers</w:t>
        </w:r>
      </w:hyperlink>
      <w:r>
        <w:t>, Accessed 6-23-20, LASA-AH)</w:t>
      </w:r>
    </w:p>
    <w:p w14:paraId="22D821A7" w14:textId="77777777" w:rsidR="00D91D7C" w:rsidRDefault="00D91D7C" w:rsidP="00D91D7C">
      <w:r>
        <w:t xml:space="preserve">As the observant reader will have noticed, </w:t>
      </w:r>
      <w:r w:rsidRPr="00B44845">
        <w:rPr>
          <w:u w:val="single"/>
        </w:rPr>
        <w:t xml:space="preserve">our view that norms matter is not grounded in empirical analysis, though </w:t>
      </w:r>
      <w:r w:rsidRPr="00B44845">
        <w:rPr>
          <w:rStyle w:val="Emphasis"/>
        </w:rPr>
        <w:t>it is consistent with that analysis</w:t>
      </w:r>
      <w:r w:rsidRPr="00B44845">
        <w:rPr>
          <w:u w:val="single"/>
        </w:rPr>
        <w:t>.</w:t>
      </w:r>
      <w:r>
        <w:t xml:space="preserve"> For example, we document ideological voting much of the time by all the Justices, but not all of the time. (According to Table 11, Justice Thomas, the most conservative, and Justice Stevens, the most liberal, vote for results contrary to their political views in more than one-third of the cases.) </w:t>
      </w:r>
      <w:r w:rsidRPr="00B44845">
        <w:rPr>
          <w:u w:val="single"/>
        </w:rPr>
        <w:t xml:space="preserve">But at a certain point, the objective data run out and are of limited utility in understanding what choices the Justices are making and why they make them. </w:t>
      </w:r>
      <w:r>
        <w:t xml:space="preserve">We close with this hypothesis: </w:t>
      </w:r>
      <w:r w:rsidRPr="00B44845">
        <w:rPr>
          <w:u w:val="single"/>
        </w:rPr>
        <w:t xml:space="preserve">When deciding whether to go along with an agency interpretation the Justice does not find ideologically congenial, the Justice will consider not only the intensity of her or his personal views, but also the national political landscape </w:t>
      </w:r>
      <w:r>
        <w:t>and the likely public and political response to overriding the agency on this particular issue.</w:t>
      </w:r>
    </w:p>
    <w:p w14:paraId="588FCD79" w14:textId="77777777" w:rsidR="00D91D7C" w:rsidRPr="00805A42" w:rsidRDefault="00D91D7C" w:rsidP="00D91D7C">
      <w:pPr>
        <w:rPr>
          <w:b/>
          <w:iCs/>
          <w:sz w:val="24"/>
          <w:u w:val="single"/>
          <w:bdr w:val="single" w:sz="8" w:space="0" w:color="auto"/>
        </w:rPr>
      </w:pPr>
      <w:r>
        <w:t xml:space="preserve">Academics and practitioners alike frequently assume that </w:t>
      </w:r>
      <w:r w:rsidRPr="00B44845">
        <w:rPr>
          <w:u w:val="single"/>
        </w:rPr>
        <w:t xml:space="preserve">federal judges faithfully defer to agency interpretations of statutes. </w:t>
      </w:r>
      <w:r>
        <w:t xml:space="preserve">This untested assumption has underpinned much of the debate over the scope and extent of deference doctrine. Our analysis finds that </w:t>
      </w:r>
      <w:r w:rsidRPr="00B44845">
        <w:rPr>
          <w:u w:val="single"/>
        </w:rPr>
        <w:t>this assumption is unfounded. Contrary to the prevailing wisdom</w:t>
      </w:r>
      <w:r>
        <w:t xml:space="preserve">, the Justices do not treat deference regime precedents such as Chevron as matters of stare decisis. Instead, </w:t>
      </w:r>
      <w:r w:rsidRPr="00B44845">
        <w:rPr>
          <w:u w:val="single"/>
        </w:rPr>
        <w:t>the Justices apply deference doctrine inconsistently, responding to their ideological preferences, the policies underlying the major deference regimes, and the preferences of Congress and the President</w:t>
      </w:r>
      <w:r>
        <w:t xml:space="preserve">. </w:t>
      </w:r>
      <w:r w:rsidRPr="00B44845">
        <w:rPr>
          <w:u w:val="single"/>
        </w:rPr>
        <w:t>These results support reforms to reduce the number of deference regimes</w:t>
      </w:r>
      <w:r>
        <w:t xml:space="preserve">. The results also bolster characterizing deference doctrines as canons of statutory construction, and not binding precedents. These results also </w:t>
      </w:r>
      <w:r w:rsidRPr="00B44845">
        <w:rPr>
          <w:u w:val="single"/>
        </w:rPr>
        <w:t>raise larger doubts about the ability to grant stare decisis effect to methods of statutory interpretation</w:t>
      </w:r>
      <w:r>
        <w:t xml:space="preserve">. The </w:t>
      </w:r>
      <w:r w:rsidRPr="00B44845">
        <w:rPr>
          <w:u w:val="single"/>
        </w:rPr>
        <w:t xml:space="preserve">application of such methods is </w:t>
      </w:r>
      <w:r w:rsidRPr="00B44845">
        <w:rPr>
          <w:rStyle w:val="Emphasis"/>
        </w:rPr>
        <w:t>inherently subjective</w:t>
      </w:r>
      <w:r>
        <w:t xml:space="preserve">, and may be influenced by ideological preferences and societal norms. </w:t>
      </w:r>
      <w:r w:rsidRPr="00B44845">
        <w:rPr>
          <w:u w:val="single"/>
        </w:rPr>
        <w:t xml:space="preserve">Reforms to establish binding, bright-line interpretive rules are </w:t>
      </w:r>
      <w:r w:rsidRPr="00B44845">
        <w:rPr>
          <w:rStyle w:val="Emphasis"/>
        </w:rPr>
        <w:t>therefore unlikely to succeed.</w:t>
      </w:r>
    </w:p>
    <w:p w14:paraId="1FCA7194" w14:textId="77777777" w:rsidR="00D91D7C" w:rsidRDefault="00D91D7C" w:rsidP="00D91D7C">
      <w:pPr>
        <w:pStyle w:val="Heading4"/>
      </w:pPr>
      <w:r>
        <w:t>Regulations won’t be misapplied.</w:t>
      </w:r>
    </w:p>
    <w:p w14:paraId="3473ED58" w14:textId="77777777" w:rsidR="00D91D7C" w:rsidRPr="001D655B" w:rsidRDefault="00D91D7C" w:rsidP="00D91D7C">
      <w:r w:rsidRPr="00242E54">
        <w:rPr>
          <w:rStyle w:val="Style13ptBold"/>
        </w:rPr>
        <w:t>Greenberg 96</w:t>
      </w:r>
      <w:r>
        <w:t xml:space="preserve"> – Sanford N. Greenberg, Law Professor at the Chicago-Kent School of Law. [Who Says It's a Crime? Chevron Deference to Agency Interpretations of Regulatory Statutes That Create Criminal Liability, University of Pittsburg Law Review, 58(1), HeinOnline]//BPS</w:t>
      </w:r>
    </w:p>
    <w:p w14:paraId="5E6513BF" w14:textId="77777777" w:rsidR="00D91D7C" w:rsidRDefault="00D91D7C" w:rsidP="00D91D7C">
      <w:pPr>
        <w:rPr>
          <w:sz w:val="16"/>
        </w:rPr>
      </w:pPr>
      <w:r w:rsidRPr="001D655B">
        <w:rPr>
          <w:sz w:val="16"/>
        </w:rPr>
        <w:t xml:space="preserve">Of course, </w:t>
      </w:r>
      <w:r w:rsidRPr="001D655B">
        <w:rPr>
          <w:rStyle w:val="Emphasis"/>
        </w:rPr>
        <w:t>an overly mechanistic application</w:t>
      </w:r>
      <w:r w:rsidRPr="001D655B">
        <w:rPr>
          <w:rStyle w:val="StyleUnderline"/>
        </w:rPr>
        <w:t xml:space="preserve"> of Chevron risks </w:t>
      </w:r>
      <w:r w:rsidRPr="001D655B">
        <w:rPr>
          <w:rStyle w:val="Emphasis"/>
        </w:rPr>
        <w:t>unduly exalting</w:t>
      </w:r>
      <w:r w:rsidRPr="001D655B">
        <w:rPr>
          <w:sz w:val="16"/>
        </w:rPr>
        <w:t xml:space="preserve"> administrative interpretations over congressional intent or constitutional demands.278 However, </w:t>
      </w:r>
      <w:r w:rsidRPr="001D655B">
        <w:rPr>
          <w:rStyle w:val="Emphasis"/>
        </w:rPr>
        <w:t>an overly mechanistic application</w:t>
      </w:r>
      <w:r w:rsidRPr="001D655B">
        <w:rPr>
          <w:rStyle w:val="StyleUnderline"/>
        </w:rPr>
        <w:t xml:space="preserve"> of</w:t>
      </w:r>
      <w:r w:rsidRPr="001D655B">
        <w:rPr>
          <w:sz w:val="16"/>
        </w:rPr>
        <w:t xml:space="preserve"> the </w:t>
      </w:r>
      <w:r w:rsidRPr="001D655B">
        <w:rPr>
          <w:rStyle w:val="StyleUnderline"/>
        </w:rPr>
        <w:t>lenity</w:t>
      </w:r>
      <w:r w:rsidRPr="001D655B">
        <w:rPr>
          <w:sz w:val="16"/>
        </w:rPr>
        <w:t xml:space="preserve"> doctrine </w:t>
      </w:r>
      <w:r w:rsidRPr="001D655B">
        <w:rPr>
          <w:rStyle w:val="StyleUnderline"/>
        </w:rPr>
        <w:t xml:space="preserve">would result in punishing crime </w:t>
      </w:r>
      <w:r w:rsidRPr="001D655B">
        <w:rPr>
          <w:rStyle w:val="Emphasis"/>
        </w:rPr>
        <w:t>less often</w:t>
      </w:r>
      <w:r w:rsidRPr="001D655B">
        <w:rPr>
          <w:rStyle w:val="StyleUnderline"/>
        </w:rPr>
        <w:t xml:space="preserve"> than Congress intended</w:t>
      </w:r>
      <w:r w:rsidRPr="001D655B">
        <w:rPr>
          <w:sz w:val="16"/>
        </w:rPr>
        <w:t xml:space="preserve"> and the Constitution permits.27 9 </w:t>
      </w:r>
      <w:r w:rsidRPr="001D655B">
        <w:rPr>
          <w:rStyle w:val="StyleUnderline"/>
        </w:rPr>
        <w:t xml:space="preserve">As </w:t>
      </w:r>
      <w:r w:rsidRPr="001D655B">
        <w:rPr>
          <w:rStyle w:val="Emphasis"/>
        </w:rPr>
        <w:t>Justice Frankfurter</w:t>
      </w:r>
      <w:r w:rsidRPr="001D655B">
        <w:rPr>
          <w:rStyle w:val="StyleUnderline"/>
        </w:rPr>
        <w:t xml:space="preserve"> observed</w:t>
      </w:r>
      <w:r w:rsidRPr="001D655B">
        <w:rPr>
          <w:sz w:val="16"/>
        </w:rPr>
        <w:t xml:space="preserve"> more than a half-century ago, when courts construe regulatory statutes with criminal penalties, </w:t>
      </w:r>
      <w:r w:rsidRPr="001D655B">
        <w:rPr>
          <w:rStyle w:val="StyleUnderline"/>
        </w:rPr>
        <w:t xml:space="preserve">"[I]iteralism and evisceration are </w:t>
      </w:r>
      <w:r w:rsidRPr="001D655B">
        <w:rPr>
          <w:rStyle w:val="Emphasis"/>
        </w:rPr>
        <w:t>equally</w:t>
      </w:r>
      <w:r w:rsidRPr="001D655B">
        <w:rPr>
          <w:rStyle w:val="StyleUnderline"/>
        </w:rPr>
        <w:t xml:space="preserve"> to be avoided."</w:t>
      </w:r>
      <w:r w:rsidRPr="001D655B">
        <w:rPr>
          <w:sz w:val="16"/>
        </w:rPr>
        <w:t xml:space="preserve"> 280 </w:t>
      </w:r>
      <w:r w:rsidRPr="001D655B">
        <w:rPr>
          <w:rStyle w:val="StyleUnderline"/>
        </w:rPr>
        <w:t xml:space="preserve">Courts should not </w:t>
      </w:r>
      <w:r w:rsidRPr="001D655B">
        <w:rPr>
          <w:rStyle w:val="Emphasis"/>
        </w:rPr>
        <w:t>automatically allow</w:t>
      </w:r>
      <w:r w:rsidRPr="001D655B">
        <w:rPr>
          <w:rStyle w:val="StyleUnderline"/>
        </w:rPr>
        <w:t xml:space="preserve"> lenity</w:t>
      </w:r>
      <w:r w:rsidRPr="001D655B">
        <w:rPr>
          <w:sz w:val="16"/>
        </w:rPr>
        <w:t xml:space="preserve"> concerns </w:t>
      </w:r>
      <w:r w:rsidRPr="001D655B">
        <w:rPr>
          <w:rStyle w:val="StyleUnderline"/>
        </w:rPr>
        <w:t>to trump Chevron</w:t>
      </w:r>
      <w:r w:rsidRPr="001D655B">
        <w:rPr>
          <w:sz w:val="16"/>
        </w:rPr>
        <w:t xml:space="preserve"> principles </w:t>
      </w:r>
      <w:r w:rsidRPr="001D655B">
        <w:rPr>
          <w:rStyle w:val="Emphasis"/>
        </w:rPr>
        <w:t>simply because</w:t>
      </w:r>
      <w:r w:rsidRPr="001D655B">
        <w:rPr>
          <w:rStyle w:val="StyleUnderline"/>
        </w:rPr>
        <w:t xml:space="preserve"> such principles may </w:t>
      </w:r>
      <w:r w:rsidRPr="001D655B">
        <w:rPr>
          <w:rStyle w:val="Emphasis"/>
        </w:rPr>
        <w:t>occasionally</w:t>
      </w:r>
      <w:r w:rsidRPr="001D655B">
        <w:rPr>
          <w:rStyle w:val="StyleUnderline"/>
        </w:rPr>
        <w:t xml:space="preserve"> be </w:t>
      </w:r>
      <w:r w:rsidRPr="001D655B">
        <w:rPr>
          <w:rStyle w:val="Emphasis"/>
        </w:rPr>
        <w:t>misapplied</w:t>
      </w:r>
      <w:r w:rsidRPr="001D655B">
        <w:rPr>
          <w:rStyle w:val="StyleUnderline"/>
        </w:rPr>
        <w:t xml:space="preserve"> in </w:t>
      </w:r>
      <w:r w:rsidRPr="001D655B">
        <w:rPr>
          <w:rStyle w:val="Emphasis"/>
        </w:rPr>
        <w:t>the criminal context</w:t>
      </w:r>
      <w:r w:rsidRPr="001D655B">
        <w:rPr>
          <w:sz w:val="16"/>
        </w:rPr>
        <w:t>.</w:t>
      </w:r>
    </w:p>
    <w:p w14:paraId="66B36ADD" w14:textId="77777777" w:rsidR="00D91D7C" w:rsidRDefault="00D91D7C" w:rsidP="00D91D7C">
      <w:pPr>
        <w:pStyle w:val="Heading4"/>
      </w:pPr>
      <w:r>
        <w:t>Notice and comment solves.</w:t>
      </w:r>
    </w:p>
    <w:p w14:paraId="0C179062" w14:textId="77777777" w:rsidR="00D91D7C" w:rsidRPr="001D655B" w:rsidRDefault="00D91D7C" w:rsidP="00D91D7C">
      <w:r w:rsidRPr="00242E54">
        <w:rPr>
          <w:rStyle w:val="Style13ptBold"/>
        </w:rPr>
        <w:t>Greenberg 96</w:t>
      </w:r>
      <w:r>
        <w:t xml:space="preserve"> – Sanford N. Greenberg, Law Professor at the Chicago-Kent School of Law. [Who Says It's a Crime? Chevron Deference to Agency Interpretations of Regulatory Statutes That Create Criminal Liability, University of Pittsburg Law Review, 58(1), HeinOnline]//BPS</w:t>
      </w:r>
    </w:p>
    <w:p w14:paraId="7F0AA8E2" w14:textId="77777777" w:rsidR="00D91D7C" w:rsidRPr="001D655B" w:rsidRDefault="00D91D7C" w:rsidP="00D91D7C">
      <w:pPr>
        <w:rPr>
          <w:sz w:val="16"/>
        </w:rPr>
      </w:pPr>
      <w:r w:rsidRPr="001D655B">
        <w:rPr>
          <w:sz w:val="16"/>
        </w:rPr>
        <w:t xml:space="preserve">In the formal sense in which publication of a suitably clear statute provides notice under the lenity doctrine, </w:t>
      </w:r>
      <w:r w:rsidRPr="001D655B">
        <w:rPr>
          <w:rStyle w:val="StyleUnderline"/>
        </w:rPr>
        <w:t>publication of</w:t>
      </w:r>
      <w:r w:rsidRPr="001D655B">
        <w:rPr>
          <w:sz w:val="16"/>
        </w:rPr>
        <w:t xml:space="preserve"> agency </w:t>
      </w:r>
      <w:r w:rsidRPr="001D655B">
        <w:rPr>
          <w:rStyle w:val="StyleUnderline"/>
        </w:rPr>
        <w:t xml:space="preserve">regulations in </w:t>
      </w:r>
      <w:r w:rsidRPr="001D655B">
        <w:rPr>
          <w:rStyle w:val="Emphasis"/>
        </w:rPr>
        <w:t>the Federal Register</w:t>
      </w:r>
      <w:r w:rsidRPr="001D655B">
        <w:rPr>
          <w:rStyle w:val="StyleUnderline"/>
        </w:rPr>
        <w:t xml:space="preserve"> provides notice</w:t>
      </w:r>
      <w:r w:rsidRPr="001D655B">
        <w:rPr>
          <w:sz w:val="16"/>
        </w:rPr>
        <w:t xml:space="preserve"> to potentially affected parties. 332 As a practical matter, such notice may often be merely constructive. 333 However, </w:t>
      </w:r>
      <w:r w:rsidRPr="001D655B">
        <w:rPr>
          <w:rStyle w:val="StyleUnderline"/>
        </w:rPr>
        <w:t>the notice</w:t>
      </w:r>
      <w:r w:rsidRPr="001D655B">
        <w:rPr>
          <w:sz w:val="16"/>
        </w:rPr>
        <w:t xml:space="preserve"> provided by publication in the Federal Register </w:t>
      </w:r>
      <w:r w:rsidRPr="001D655B">
        <w:rPr>
          <w:rStyle w:val="StyleUnderline"/>
        </w:rPr>
        <w:t xml:space="preserve">is </w:t>
      </w:r>
      <w:r w:rsidRPr="001D655B">
        <w:rPr>
          <w:rStyle w:val="Emphasis"/>
        </w:rPr>
        <w:t>no less public or meaningful</w:t>
      </w:r>
      <w:r w:rsidRPr="001D655B">
        <w:rPr>
          <w:rStyle w:val="StyleUnderline"/>
        </w:rPr>
        <w:t xml:space="preserve"> than</w:t>
      </w:r>
      <w:r w:rsidRPr="001D655B">
        <w:rPr>
          <w:sz w:val="16"/>
        </w:rPr>
        <w:t xml:space="preserve"> publication of a law in the Statutes at Large or the </w:t>
      </w:r>
      <w:r w:rsidRPr="001D655B">
        <w:rPr>
          <w:rStyle w:val="StyleUnderline"/>
        </w:rPr>
        <w:t>U</w:t>
      </w:r>
      <w:r w:rsidRPr="001D655B">
        <w:rPr>
          <w:sz w:val="16"/>
        </w:rPr>
        <w:t xml:space="preserve">nited </w:t>
      </w:r>
      <w:r w:rsidRPr="001D655B">
        <w:rPr>
          <w:rStyle w:val="StyleUnderline"/>
        </w:rPr>
        <w:t>S</w:t>
      </w:r>
      <w:r w:rsidRPr="001D655B">
        <w:rPr>
          <w:sz w:val="16"/>
        </w:rPr>
        <w:t xml:space="preserve">tates </w:t>
      </w:r>
      <w:r w:rsidRPr="001D655B">
        <w:rPr>
          <w:rStyle w:val="StyleUnderline"/>
        </w:rPr>
        <w:t>Code</w:t>
      </w:r>
      <w:r w:rsidRPr="001D655B">
        <w:rPr>
          <w:sz w:val="16"/>
        </w:rPr>
        <w:t xml:space="preserve">. Thus, </w:t>
      </w:r>
      <w:r w:rsidRPr="001D655B">
        <w:rPr>
          <w:rStyle w:val="StyleUnderline"/>
        </w:rPr>
        <w:t xml:space="preserve">if </w:t>
      </w:r>
      <w:r w:rsidRPr="001D655B">
        <w:rPr>
          <w:rStyle w:val="Emphasis"/>
        </w:rPr>
        <w:t>statutory fair notice</w:t>
      </w:r>
      <w:r w:rsidRPr="001D655B">
        <w:rPr>
          <w:rStyle w:val="StyleUnderline"/>
        </w:rPr>
        <w:t xml:space="preserve"> is </w:t>
      </w:r>
      <w:r w:rsidRPr="001D655B">
        <w:rPr>
          <w:rStyle w:val="Emphasis"/>
        </w:rPr>
        <w:t>adequate</w:t>
      </w:r>
      <w:r w:rsidRPr="001D655B">
        <w:rPr>
          <w:rStyle w:val="StyleUnderline"/>
        </w:rPr>
        <w:t xml:space="preserve"> to avoid triggering</w:t>
      </w:r>
      <w:r w:rsidRPr="001D655B">
        <w:rPr>
          <w:sz w:val="16"/>
        </w:rPr>
        <w:t xml:space="preserve"> the doctrine of </w:t>
      </w:r>
      <w:r w:rsidRPr="001D655B">
        <w:rPr>
          <w:rStyle w:val="StyleUnderline"/>
        </w:rPr>
        <w:t xml:space="preserve">lenity, then </w:t>
      </w:r>
      <w:r w:rsidRPr="001D655B">
        <w:rPr>
          <w:rStyle w:val="Emphasis"/>
        </w:rPr>
        <w:t>no greater notice</w:t>
      </w:r>
      <w:r w:rsidRPr="001D655B">
        <w:rPr>
          <w:rStyle w:val="StyleUnderline"/>
        </w:rPr>
        <w:t xml:space="preserve"> should be required when an agency construction resolves statutory ambiguity</w:t>
      </w:r>
      <w:r w:rsidRPr="001D655B">
        <w:rPr>
          <w:sz w:val="16"/>
        </w:rPr>
        <w:t>.334</w:t>
      </w:r>
    </w:p>
    <w:p w14:paraId="56FDE986" w14:textId="77777777" w:rsidR="00D91D7C" w:rsidRPr="001D655B" w:rsidRDefault="00D91D7C" w:rsidP="00D91D7C">
      <w:pPr>
        <w:rPr>
          <w:sz w:val="16"/>
        </w:rPr>
      </w:pPr>
      <w:r w:rsidRPr="001D655B">
        <w:rPr>
          <w:sz w:val="16"/>
        </w:rPr>
        <w:t>b. Other Agency Policymaking Procedures</w:t>
      </w:r>
    </w:p>
    <w:p w14:paraId="65F4AA98" w14:textId="77777777" w:rsidR="00D91D7C" w:rsidRPr="001D655B" w:rsidRDefault="00D91D7C" w:rsidP="00D91D7C">
      <w:pPr>
        <w:rPr>
          <w:sz w:val="16"/>
        </w:rPr>
      </w:pPr>
      <w:r w:rsidRPr="001D655B">
        <w:rPr>
          <w:sz w:val="16"/>
        </w:rPr>
        <w:t xml:space="preserve">Of course, agencies do not always use notice-and-comment proceedings to make policy. Policy is also developed through administrative adjudication, 3 ° informal policy statements, and interpretative rules.341 These alternative policymaking tools raise more-complicated fair warning problems than does the issuance of regulations after notice and comment. 342 Like courts, administrative adjudicators are generally able to apply new policies retroactively to the parties in a given case.343 Even where an issue has been decided in a prior administrative adjudication, the earlier decision frequently will lack precedential value.344 However, </w:t>
      </w:r>
      <w:r w:rsidRPr="001D655B">
        <w:rPr>
          <w:rStyle w:val="Emphasis"/>
        </w:rPr>
        <w:t>due process doctrines</w:t>
      </w:r>
      <w:r w:rsidRPr="001D655B">
        <w:rPr>
          <w:rStyle w:val="StyleUnderline"/>
        </w:rPr>
        <w:t xml:space="preserve"> protect parties from</w:t>
      </w:r>
      <w:r w:rsidRPr="001D655B">
        <w:rPr>
          <w:sz w:val="16"/>
        </w:rPr>
        <w:t xml:space="preserve"> the </w:t>
      </w:r>
      <w:r w:rsidRPr="001D655B">
        <w:rPr>
          <w:rStyle w:val="Emphasis"/>
        </w:rPr>
        <w:t>retroactive application</w:t>
      </w:r>
      <w:r w:rsidRPr="001D655B">
        <w:rPr>
          <w:rStyle w:val="StyleUnderline"/>
        </w:rPr>
        <w:t xml:space="preserve"> of</w:t>
      </w:r>
      <w:r w:rsidRPr="001D655B">
        <w:rPr>
          <w:sz w:val="16"/>
        </w:rPr>
        <w:t xml:space="preserve"> civil or </w:t>
      </w:r>
      <w:r w:rsidRPr="001D655B">
        <w:rPr>
          <w:rStyle w:val="StyleUnderline"/>
        </w:rPr>
        <w:t xml:space="preserve">criminal penalties if the agency has not made its policy </w:t>
      </w:r>
      <w:r w:rsidRPr="001D655B">
        <w:rPr>
          <w:rStyle w:val="Emphasis"/>
        </w:rPr>
        <w:t>sufficiently clear</w:t>
      </w:r>
      <w:r w:rsidRPr="001D655B">
        <w:rPr>
          <w:sz w:val="16"/>
        </w:rPr>
        <w:t xml:space="preserve"> in advance.345 In any event, the Court has extended Chevron from its original context, review of an agency's regulation, to review of an adjudicative decision.346 In the case of agencies that combine rulemaking with enforcement and adjudicative functions, even the latter functions "constitute an exercise of the agency's delegated lawmaking powers" and thus merit deference. 347</w:t>
      </w:r>
    </w:p>
    <w:p w14:paraId="76417F27" w14:textId="77777777" w:rsidR="00D91D7C" w:rsidRPr="001D655B" w:rsidRDefault="00D91D7C" w:rsidP="00D91D7C">
      <w:pPr>
        <w:rPr>
          <w:sz w:val="16"/>
        </w:rPr>
      </w:pPr>
      <w:r w:rsidRPr="001D655B">
        <w:rPr>
          <w:rStyle w:val="StyleUnderline"/>
        </w:rPr>
        <w:t>Interpretative rules</w:t>
      </w:r>
      <w:r w:rsidRPr="001D655B">
        <w:rPr>
          <w:sz w:val="16"/>
        </w:rPr>
        <w:t xml:space="preserve"> also </w:t>
      </w:r>
      <w:r w:rsidRPr="001D655B">
        <w:rPr>
          <w:rStyle w:val="StyleUnderline"/>
        </w:rPr>
        <w:t>are</w:t>
      </w:r>
      <w:r w:rsidRPr="001D655B">
        <w:rPr>
          <w:sz w:val="16"/>
        </w:rPr>
        <w:t xml:space="preserve"> "entitled to some weight on judicial review, ' ' 34 although the degree of deference is </w:t>
      </w:r>
      <w:r w:rsidRPr="001D655B">
        <w:rPr>
          <w:rStyle w:val="Emphasis"/>
        </w:rPr>
        <w:t>unsettled</w:t>
      </w:r>
      <w:r w:rsidRPr="001D655B">
        <w:rPr>
          <w:sz w:val="16"/>
        </w:rPr>
        <w:t>.349 The District of Columbia Circuit, which regularly hears major administrative law cases, treats legislative and interpretative rules similarly under Chevron.30 However, some courts indicate that interpretative rules do not merit full Chevron deference when they are adopted without notice and comment. For example, the Seventh Circuit has refused to apply Chevron principles to an agency position that "was not subject to the sort of process that ensures the legitimacy of the legislative or administrative rule-making process." 351 The Supreme Court recently declined to "give conclusive weight" to an agency's nonbinding interpretative statement, especially because the agency's interpretation appeared unreasonable in light of the statutory language.352 Nonetheless, in another recent case in which proponents of the criminal liability exception might have seen a conflict between Chevron deference and the doctrine of lenity, the Court indicated that an interpretative rule, adopted without notice-and-comment procedures and published only in an internal agency manual, provided "clear notice" to defendants. 353 Although the Court did not explain how this internal policy interpretation provided such notice, the Court likely reasoned that the provision was sufficiently well known because its meaning had been frequently litigated. 54</w:t>
      </w:r>
    </w:p>
    <w:p w14:paraId="49B7F7A0" w14:textId="77777777" w:rsidR="00D91D7C" w:rsidRPr="001D655B" w:rsidRDefault="00D91D7C" w:rsidP="00D91D7C">
      <w:pPr>
        <w:rPr>
          <w:sz w:val="16"/>
        </w:rPr>
      </w:pPr>
      <w:r w:rsidRPr="001D655B">
        <w:rPr>
          <w:sz w:val="16"/>
        </w:rPr>
        <w:t xml:space="preserve">Thus, in the administrative crime arena, </w:t>
      </w:r>
      <w:r w:rsidRPr="001D655B">
        <w:rPr>
          <w:rStyle w:val="StyleUnderline"/>
        </w:rPr>
        <w:t xml:space="preserve">it is </w:t>
      </w:r>
      <w:r w:rsidRPr="001D655B">
        <w:rPr>
          <w:rStyle w:val="Emphasis"/>
        </w:rPr>
        <w:t>not always necessary</w:t>
      </w:r>
      <w:r w:rsidRPr="001D655B">
        <w:rPr>
          <w:rStyle w:val="StyleUnderline"/>
        </w:rPr>
        <w:t xml:space="preserve"> for an agency to</w:t>
      </w:r>
      <w:r w:rsidRPr="001D655B">
        <w:rPr>
          <w:sz w:val="16"/>
        </w:rPr>
        <w:t xml:space="preserve"> have </w:t>
      </w:r>
      <w:r w:rsidRPr="001D655B">
        <w:rPr>
          <w:rStyle w:val="StyleUnderline"/>
        </w:rPr>
        <w:t>adopt</w:t>
      </w:r>
      <w:r w:rsidRPr="001D655B">
        <w:rPr>
          <w:sz w:val="16"/>
        </w:rPr>
        <w:t xml:space="preserve">ed </w:t>
      </w:r>
      <w:r w:rsidRPr="001D655B">
        <w:rPr>
          <w:rStyle w:val="StyleUnderline"/>
        </w:rPr>
        <w:t xml:space="preserve">its position via </w:t>
      </w:r>
      <w:r w:rsidRPr="001D655B">
        <w:rPr>
          <w:rStyle w:val="Emphasis"/>
        </w:rPr>
        <w:t>a legislative rule</w:t>
      </w:r>
      <w:r w:rsidRPr="001D655B">
        <w:rPr>
          <w:sz w:val="16"/>
        </w:rPr>
        <w:t xml:space="preserve"> in order </w:t>
      </w:r>
      <w:r w:rsidRPr="001D655B">
        <w:rPr>
          <w:rStyle w:val="StyleUnderline"/>
        </w:rPr>
        <w:t xml:space="preserve">to serve </w:t>
      </w:r>
      <w:r w:rsidRPr="001D655B">
        <w:rPr>
          <w:rStyle w:val="Emphasis"/>
        </w:rPr>
        <w:t>the fair notice value</w:t>
      </w:r>
      <w:r w:rsidRPr="001D655B">
        <w:rPr>
          <w:rStyle w:val="StyleUnderline"/>
        </w:rPr>
        <w:t xml:space="preserve"> that underlies</w:t>
      </w:r>
      <w:r w:rsidRPr="001D655B">
        <w:rPr>
          <w:sz w:val="16"/>
        </w:rPr>
        <w:t xml:space="preserve"> the </w:t>
      </w:r>
      <w:r w:rsidRPr="001D655B">
        <w:rPr>
          <w:rStyle w:val="StyleUnderline"/>
        </w:rPr>
        <w:t>lenity</w:t>
      </w:r>
      <w:r w:rsidRPr="001D655B">
        <w:rPr>
          <w:sz w:val="16"/>
        </w:rPr>
        <w:t xml:space="preserve"> doctrine. Furthermore</w:t>
      </w:r>
      <w:r w:rsidRPr="001D655B">
        <w:rPr>
          <w:rStyle w:val="StyleUnderline"/>
        </w:rPr>
        <w:t>, fair notice is</w:t>
      </w:r>
      <w:r w:rsidRPr="001D655B">
        <w:rPr>
          <w:sz w:val="16"/>
        </w:rPr>
        <w:t xml:space="preserve"> also generally </w:t>
      </w:r>
      <w:r w:rsidRPr="001D655B">
        <w:rPr>
          <w:rStyle w:val="Emphasis"/>
        </w:rPr>
        <w:t>well served</w:t>
      </w:r>
      <w:r w:rsidRPr="001D655B">
        <w:rPr>
          <w:rStyle w:val="StyleUnderline"/>
        </w:rPr>
        <w:t xml:space="preserve"> in this arena because criminal enforcement is </w:t>
      </w:r>
      <w:r w:rsidRPr="001D655B">
        <w:rPr>
          <w:rStyle w:val="Emphasis"/>
        </w:rPr>
        <w:t>rarely a first step</w:t>
      </w:r>
      <w:r w:rsidRPr="001D655B">
        <w:rPr>
          <w:rStyle w:val="StyleUnderline"/>
        </w:rPr>
        <w:t>. Administrators</w:t>
      </w:r>
      <w:r w:rsidRPr="001D655B">
        <w:rPr>
          <w:sz w:val="16"/>
        </w:rPr>
        <w:t xml:space="preserve"> are more likely to </w:t>
      </w:r>
      <w:r w:rsidRPr="001D655B">
        <w:rPr>
          <w:rStyle w:val="StyleUnderline"/>
        </w:rPr>
        <w:t>test "</w:t>
      </w:r>
      <w:r w:rsidRPr="001D655B">
        <w:rPr>
          <w:rStyle w:val="Emphasis"/>
        </w:rPr>
        <w:t>expansive interpretations</w:t>
      </w:r>
      <w:r w:rsidRPr="001D655B">
        <w:rPr>
          <w:rStyle w:val="StyleUnderline"/>
        </w:rPr>
        <w:t xml:space="preserve"> of regulatory authority in</w:t>
      </w:r>
      <w:r w:rsidRPr="001D655B">
        <w:rPr>
          <w:sz w:val="16"/>
        </w:rPr>
        <w:t xml:space="preserve"> ... civil or administrative </w:t>
      </w:r>
      <w:r w:rsidRPr="001D655B">
        <w:rPr>
          <w:rStyle w:val="StyleUnderline"/>
        </w:rPr>
        <w:t>proceedings" before</w:t>
      </w:r>
      <w:r w:rsidRPr="001D655B">
        <w:rPr>
          <w:sz w:val="16"/>
        </w:rPr>
        <w:t xml:space="preserve"> seeking </w:t>
      </w:r>
      <w:r w:rsidRPr="001D655B">
        <w:rPr>
          <w:rStyle w:val="StyleUnderline"/>
        </w:rPr>
        <w:t>criminal enforcement</w:t>
      </w:r>
      <w:r w:rsidRPr="001D655B">
        <w:rPr>
          <w:sz w:val="16"/>
        </w:rPr>
        <w:t xml:space="preserve">.3 55 </w:t>
      </w:r>
      <w:r w:rsidRPr="001D655B">
        <w:rPr>
          <w:rStyle w:val="StyleUnderline"/>
        </w:rPr>
        <w:t>Such proceedings</w:t>
      </w:r>
      <w:r w:rsidRPr="001D655B">
        <w:rPr>
          <w:sz w:val="16"/>
        </w:rPr>
        <w:t xml:space="preserve"> should </w:t>
      </w:r>
      <w:r w:rsidRPr="001D655B">
        <w:rPr>
          <w:rStyle w:val="StyleUnderline"/>
        </w:rPr>
        <w:t xml:space="preserve">provide </w:t>
      </w:r>
      <w:r w:rsidRPr="001D655B">
        <w:rPr>
          <w:rStyle w:val="Emphasis"/>
        </w:rPr>
        <w:t>adequate notice</w:t>
      </w:r>
      <w:r w:rsidRPr="001D655B">
        <w:rPr>
          <w:rStyle w:val="StyleUnderline"/>
        </w:rPr>
        <w:t xml:space="preserve"> to </w:t>
      </w:r>
      <w:r w:rsidRPr="001D655B">
        <w:rPr>
          <w:rStyle w:val="Emphasis"/>
        </w:rPr>
        <w:t>potential criminal defendants</w:t>
      </w:r>
      <w:r w:rsidRPr="001D655B">
        <w:rPr>
          <w:rStyle w:val="StyleUnderline"/>
        </w:rPr>
        <w:t xml:space="preserve"> because "[o]nly when </w:t>
      </w:r>
      <w:r w:rsidRPr="001D655B">
        <w:rPr>
          <w:rStyle w:val="Emphasis"/>
        </w:rPr>
        <w:t>the newly announced standards</w:t>
      </w:r>
      <w:r w:rsidRPr="001D655B">
        <w:rPr>
          <w:rStyle w:val="StyleUnderline"/>
        </w:rPr>
        <w:t xml:space="preserve"> have been </w:t>
      </w:r>
      <w:r w:rsidRPr="001D655B">
        <w:rPr>
          <w:rStyle w:val="Emphasis"/>
        </w:rPr>
        <w:t>firmly established</w:t>
      </w:r>
      <w:r w:rsidRPr="001D655B">
        <w:rPr>
          <w:rStyle w:val="StyleUnderline"/>
        </w:rPr>
        <w:t xml:space="preserve"> is criminal prosecution likely to occur.</w:t>
      </w:r>
      <w:r>
        <w:rPr>
          <w:rStyle w:val="StyleUnderline"/>
        </w:rPr>
        <w:t>”</w:t>
      </w:r>
      <w:r w:rsidRPr="001D655B">
        <w:rPr>
          <w:sz w:val="16"/>
        </w:rPr>
        <w:t xml:space="preserve"> 356 An agency may delay seeking even civil enforcement until after it has, for example, issued interpretative rules or agency enforcement guidelines,35 7 ordered a particular party to change its conduct,358 or notified a particular party to seek a permit.359 If that party then proceeds without a permit, "the agency's pre-violation contact with the regulated party has provided notice, and [courts] will enforce a finding of liability as long as the agency's interpretation was permissible. ''360</w:t>
      </w:r>
    </w:p>
    <w:p w14:paraId="31A383BA" w14:textId="77777777" w:rsidR="00D91D7C" w:rsidRPr="001D655B" w:rsidRDefault="00D91D7C" w:rsidP="00D91D7C">
      <w:pPr>
        <w:rPr>
          <w:sz w:val="16"/>
        </w:rPr>
      </w:pPr>
      <w:r w:rsidRPr="001D655B">
        <w:rPr>
          <w:sz w:val="16"/>
        </w:rPr>
        <w:t xml:space="preserve">However, </w:t>
      </w:r>
      <w:r w:rsidRPr="001D655B">
        <w:rPr>
          <w:rStyle w:val="StyleUnderline"/>
        </w:rPr>
        <w:t>if no warning other than</w:t>
      </w:r>
      <w:r w:rsidRPr="001D655B">
        <w:rPr>
          <w:sz w:val="16"/>
        </w:rPr>
        <w:t xml:space="preserve"> an </w:t>
      </w:r>
      <w:r w:rsidRPr="001D655B">
        <w:rPr>
          <w:rStyle w:val="Emphasis"/>
        </w:rPr>
        <w:t>ambiguous regulation</w:t>
      </w:r>
      <w:r w:rsidRPr="001D655B">
        <w:rPr>
          <w:rStyle w:val="StyleUnderline"/>
        </w:rPr>
        <w:t xml:space="preserve"> precedes enforcement </w:t>
      </w:r>
      <w:r w:rsidRPr="001D655B">
        <w:rPr>
          <w:sz w:val="16"/>
        </w:rPr>
        <w:t xml:space="preserve">efforts, </w:t>
      </w:r>
      <w:r w:rsidRPr="001D655B">
        <w:rPr>
          <w:rStyle w:val="StyleUnderline"/>
        </w:rPr>
        <w:t>courts will not permit an agency to impose penalties</w:t>
      </w:r>
      <w:r w:rsidRPr="001D655B">
        <w:rPr>
          <w:sz w:val="16"/>
        </w:rPr>
        <w:t xml:space="preserve"> for past conduct.3 61 But prospective enforcement efforts do not raise grave due process concerns if the agency's interpretation of its own regulation is permissible.</w:t>
      </w:r>
    </w:p>
    <w:p w14:paraId="69013ECD" w14:textId="77777777" w:rsidR="00D91D7C" w:rsidRPr="001D655B" w:rsidRDefault="00D91D7C" w:rsidP="00D91D7C">
      <w:pPr>
        <w:ind w:left="720"/>
        <w:rPr>
          <w:sz w:val="16"/>
        </w:rPr>
      </w:pPr>
      <w:r w:rsidRPr="001D655B">
        <w:rPr>
          <w:sz w:val="16"/>
        </w:rPr>
        <w:t>It is axiomatic that defects in the constitutional sufficiency of a regulatory warning may be cured by authoritative judicial or administrative interpretations which clarify obscurities or resolve ambiguities. Once such a construction has been provided, wholly prospective application of the rule thus established does not offend due process since the interpretative decision itself provides the requisite warning.362</w:t>
      </w:r>
    </w:p>
    <w:p w14:paraId="6FD31C35" w14:textId="77777777" w:rsidR="00D91D7C" w:rsidRDefault="00D91D7C" w:rsidP="00D91D7C">
      <w:pPr>
        <w:rPr>
          <w:sz w:val="16"/>
        </w:rPr>
      </w:pPr>
      <w:r w:rsidRPr="001D655B">
        <w:rPr>
          <w:sz w:val="16"/>
        </w:rPr>
        <w:t xml:space="preserve">Moreover, </w:t>
      </w:r>
      <w:r w:rsidRPr="001D655B">
        <w:rPr>
          <w:rStyle w:val="StyleUnderline"/>
        </w:rPr>
        <w:t>those who</w:t>
      </w:r>
      <w:r w:rsidRPr="001D655B">
        <w:rPr>
          <w:sz w:val="16"/>
        </w:rPr>
        <w:t xml:space="preserve"> eventually </w:t>
      </w:r>
      <w:r w:rsidRPr="001D655B">
        <w:rPr>
          <w:rStyle w:val="StyleUnderline"/>
        </w:rPr>
        <w:t xml:space="preserve">face criminal enforcement for administrative crimes are </w:t>
      </w:r>
      <w:r w:rsidRPr="001D655B">
        <w:rPr>
          <w:rStyle w:val="Emphasis"/>
        </w:rPr>
        <w:t>especially likely</w:t>
      </w:r>
      <w:r w:rsidRPr="001D655B">
        <w:rPr>
          <w:rStyle w:val="StyleUnderline"/>
        </w:rPr>
        <w:t xml:space="preserve"> to have notice where such crimes require </w:t>
      </w:r>
      <w:r w:rsidRPr="001D655B">
        <w:rPr>
          <w:rStyle w:val="Emphasis"/>
        </w:rPr>
        <w:t>knowing or willful violations</w:t>
      </w:r>
      <w:r w:rsidRPr="001D655B">
        <w:rPr>
          <w:rStyle w:val="StyleUnderline"/>
        </w:rPr>
        <w:t xml:space="preserve"> of statutory</w:t>
      </w:r>
      <w:r w:rsidRPr="001D655B">
        <w:rPr>
          <w:sz w:val="16"/>
        </w:rPr>
        <w:t xml:space="preserve"> and regulatory </w:t>
      </w:r>
      <w:r w:rsidRPr="001D655B">
        <w:rPr>
          <w:rStyle w:val="StyleUnderline"/>
        </w:rPr>
        <w:t>rules</w:t>
      </w:r>
      <w:r w:rsidRPr="001D655B">
        <w:rPr>
          <w:sz w:val="16"/>
        </w:rPr>
        <w:t>.363</w:t>
      </w:r>
    </w:p>
    <w:p w14:paraId="10EE0003" w14:textId="77777777" w:rsidR="00D91D7C" w:rsidRDefault="00D91D7C" w:rsidP="00D91D7C">
      <w:pPr>
        <w:pStyle w:val="Heading4"/>
      </w:pPr>
      <w:r>
        <w:t>SOP complaints are wrong.</w:t>
      </w:r>
    </w:p>
    <w:p w14:paraId="15833627" w14:textId="77777777" w:rsidR="00D91D7C" w:rsidRPr="001D655B" w:rsidRDefault="00D91D7C" w:rsidP="00D91D7C">
      <w:r w:rsidRPr="00242E54">
        <w:rPr>
          <w:rStyle w:val="Style13ptBold"/>
        </w:rPr>
        <w:t>Greenberg 96</w:t>
      </w:r>
      <w:r>
        <w:t xml:space="preserve"> – Sanford N. Greenberg, Law Professor at the Chicago-Kent School of Law. [Who Says It's a Crime? Chevron Deference to Agency Interpretations of Regulatory Statutes That Create Criminal Liability, University of Pittsburg Law Review, 58(1), HeinOnline]//BPS</w:t>
      </w:r>
    </w:p>
    <w:p w14:paraId="65C13F72" w14:textId="77777777" w:rsidR="00D91D7C" w:rsidRPr="001D655B" w:rsidRDefault="00D91D7C" w:rsidP="00D91D7C">
      <w:pPr>
        <w:rPr>
          <w:sz w:val="16"/>
        </w:rPr>
      </w:pPr>
      <w:r w:rsidRPr="001D655B">
        <w:rPr>
          <w:sz w:val="16"/>
        </w:rPr>
        <w:t xml:space="preserve">Although these evils are not totally absent from administrative agencies, </w:t>
      </w:r>
      <w:r w:rsidRPr="001D655B">
        <w:rPr>
          <w:rStyle w:val="StyleUnderline"/>
        </w:rPr>
        <w:t>the</w:t>
      </w:r>
      <w:r w:rsidRPr="001D655B">
        <w:rPr>
          <w:sz w:val="16"/>
        </w:rPr>
        <w:t xml:space="preserve"> previously described </w:t>
      </w:r>
      <w:r w:rsidRPr="001D655B">
        <w:rPr>
          <w:rStyle w:val="Emphasis"/>
        </w:rPr>
        <w:t>ways</w:t>
      </w:r>
      <w:r w:rsidRPr="001D655B">
        <w:rPr>
          <w:sz w:val="16"/>
        </w:rPr>
        <w:t xml:space="preserve"> in which </w:t>
      </w:r>
      <w:r w:rsidRPr="001D655B">
        <w:rPr>
          <w:rStyle w:val="StyleUnderline"/>
        </w:rPr>
        <w:t xml:space="preserve">administrative crimes are enforced "tends to </w:t>
      </w:r>
      <w:r w:rsidRPr="001D655B">
        <w:rPr>
          <w:rStyle w:val="Emphasis"/>
        </w:rPr>
        <w:t>reduce their impact</w:t>
      </w:r>
      <w:r w:rsidRPr="001D655B">
        <w:rPr>
          <w:rStyle w:val="StyleUnderline"/>
        </w:rPr>
        <w:t>."</w:t>
      </w:r>
      <w:r w:rsidRPr="001D655B">
        <w:rPr>
          <w:sz w:val="16"/>
        </w:rPr>
        <w:t xml:space="preserve">3 67 Administrative </w:t>
      </w:r>
      <w:r w:rsidRPr="001D655B">
        <w:rPr>
          <w:rStyle w:val="StyleUnderline"/>
        </w:rPr>
        <w:t xml:space="preserve">agencies operate in </w:t>
      </w:r>
      <w:r w:rsidRPr="001D655B">
        <w:rPr>
          <w:rStyle w:val="Emphasis"/>
        </w:rPr>
        <w:t>an atmosphere of openness, not secrecy</w:t>
      </w:r>
      <w:r w:rsidRPr="001D655B">
        <w:rPr>
          <w:sz w:val="16"/>
        </w:rPr>
        <w:t xml:space="preserve">.368 Agency </w:t>
      </w:r>
      <w:r w:rsidRPr="001D655B">
        <w:rPr>
          <w:rStyle w:val="StyleUnderline"/>
        </w:rPr>
        <w:t xml:space="preserve">rulemaking often is </w:t>
      </w:r>
      <w:r w:rsidRPr="001D655B">
        <w:rPr>
          <w:rStyle w:val="Emphasis"/>
        </w:rPr>
        <w:t>more formal</w:t>
      </w:r>
      <w:r w:rsidRPr="001D655B">
        <w:rPr>
          <w:rStyle w:val="StyleUnderline"/>
        </w:rPr>
        <w:t xml:space="preserve"> than </w:t>
      </w:r>
      <w:r w:rsidRPr="001D655B">
        <w:rPr>
          <w:rStyle w:val="Emphasis"/>
        </w:rPr>
        <w:t>congressional lawmaking</w:t>
      </w:r>
      <w:r w:rsidRPr="001D655B">
        <w:rPr>
          <w:sz w:val="16"/>
        </w:rPr>
        <w:t xml:space="preserve">. Public hearings may be the norm in Congress, but </w:t>
      </w:r>
      <w:r w:rsidRPr="001D655B">
        <w:rPr>
          <w:rStyle w:val="StyleUnderline"/>
        </w:rPr>
        <w:t xml:space="preserve">there is </w:t>
      </w:r>
      <w:r w:rsidRPr="001D655B">
        <w:rPr>
          <w:rStyle w:val="Emphasis"/>
        </w:rPr>
        <w:t>no statutory requirement</w:t>
      </w:r>
      <w:r w:rsidRPr="001D655B">
        <w:rPr>
          <w:rStyle w:val="StyleUnderline"/>
        </w:rPr>
        <w:t xml:space="preserve"> for legislative hearings before a criminal statute is enacted</w:t>
      </w:r>
      <w:r w:rsidRPr="001D655B">
        <w:rPr>
          <w:sz w:val="16"/>
        </w:rPr>
        <w:t xml:space="preserve">.369 Even when legislative hearings are held, </w:t>
      </w:r>
      <w:r w:rsidRPr="001D655B">
        <w:rPr>
          <w:rStyle w:val="StyleUnderline"/>
        </w:rPr>
        <w:t>witnesses are</w:t>
      </w:r>
      <w:r w:rsidRPr="001D655B">
        <w:rPr>
          <w:sz w:val="16"/>
        </w:rPr>
        <w:t xml:space="preserve"> often </w:t>
      </w:r>
      <w:r w:rsidRPr="001D655B">
        <w:rPr>
          <w:rStyle w:val="Emphasis"/>
        </w:rPr>
        <w:t>hand-picked</w:t>
      </w:r>
      <w:r w:rsidRPr="001D655B">
        <w:rPr>
          <w:rStyle w:val="StyleUnderline"/>
        </w:rPr>
        <w:t xml:space="preserve"> by </w:t>
      </w:r>
      <w:r w:rsidRPr="001D655B">
        <w:rPr>
          <w:rStyle w:val="Emphasis"/>
        </w:rPr>
        <w:t>the committee leadership</w:t>
      </w:r>
      <w:r w:rsidRPr="001D655B">
        <w:rPr>
          <w:rStyle w:val="StyleUnderline"/>
        </w:rPr>
        <w:t xml:space="preserve"> to reflect </w:t>
      </w:r>
      <w:r w:rsidRPr="001D655B">
        <w:rPr>
          <w:rStyle w:val="Emphasis"/>
        </w:rPr>
        <w:t>a particular point of view</w:t>
      </w:r>
      <w:r w:rsidRPr="001D655B">
        <w:rPr>
          <w:sz w:val="16"/>
        </w:rPr>
        <w:t xml:space="preserve">. 370 </w:t>
      </w:r>
      <w:r w:rsidRPr="001D655B">
        <w:rPr>
          <w:rStyle w:val="StyleUnderline"/>
        </w:rPr>
        <w:t xml:space="preserve">Unlike </w:t>
      </w:r>
      <w:r w:rsidRPr="001D655B">
        <w:rPr>
          <w:rStyle w:val="Emphasis"/>
        </w:rPr>
        <w:t>a dissatisfied participant</w:t>
      </w:r>
      <w:r w:rsidRPr="001D655B">
        <w:rPr>
          <w:rStyle w:val="StyleUnderline"/>
        </w:rPr>
        <w:t xml:space="preserve"> in</w:t>
      </w:r>
      <w:r w:rsidRPr="001D655B">
        <w:rPr>
          <w:sz w:val="16"/>
        </w:rPr>
        <w:t xml:space="preserve"> an administrative </w:t>
      </w:r>
      <w:r w:rsidRPr="001D655B">
        <w:rPr>
          <w:rStyle w:val="StyleUnderline"/>
        </w:rPr>
        <w:t xml:space="preserve">rulemaking, </w:t>
      </w:r>
      <w:r w:rsidRPr="001D655B">
        <w:rPr>
          <w:rStyle w:val="Emphasis"/>
        </w:rPr>
        <w:t>a disappointed participant</w:t>
      </w:r>
      <w:r w:rsidRPr="001D655B">
        <w:rPr>
          <w:rStyle w:val="StyleUnderline"/>
        </w:rPr>
        <w:t xml:space="preserve"> in the legislative process cannot have a statute </w:t>
      </w:r>
      <w:r w:rsidRPr="001D655B">
        <w:rPr>
          <w:rStyle w:val="Emphasis"/>
        </w:rPr>
        <w:t>struck down</w:t>
      </w:r>
      <w:r w:rsidRPr="001D655B">
        <w:rPr>
          <w:rStyle w:val="StyleUnderline"/>
        </w:rPr>
        <w:t xml:space="preserve"> for failure to comply with procedural rules</w:t>
      </w:r>
      <w:r w:rsidRPr="001D655B">
        <w:rPr>
          <w:sz w:val="16"/>
        </w:rPr>
        <w:t xml:space="preserve">. 371 Also, while the typical administrative adjudication may be less formal than the proceedings in an Article I court, </w:t>
      </w:r>
      <w:r w:rsidRPr="001D655B">
        <w:rPr>
          <w:rStyle w:val="StyleUnderline"/>
        </w:rPr>
        <w:t>the</w:t>
      </w:r>
      <w:r w:rsidRPr="001D655B">
        <w:rPr>
          <w:sz w:val="16"/>
        </w:rPr>
        <w:t xml:space="preserve"> Administrative Procedure Act (</w:t>
      </w:r>
      <w:r w:rsidRPr="001D655B">
        <w:rPr>
          <w:rStyle w:val="StyleUnderline"/>
        </w:rPr>
        <w:t>APA</w:t>
      </w:r>
      <w:r w:rsidRPr="001D655B">
        <w:rPr>
          <w:sz w:val="16"/>
        </w:rPr>
        <w:t xml:space="preserve">) still </w:t>
      </w:r>
      <w:r w:rsidRPr="001D655B">
        <w:rPr>
          <w:rStyle w:val="StyleUnderline"/>
        </w:rPr>
        <w:t xml:space="preserve">provides </w:t>
      </w:r>
      <w:r w:rsidRPr="001D655B">
        <w:rPr>
          <w:rStyle w:val="Emphasis"/>
        </w:rPr>
        <w:t>numerous procedural protections</w:t>
      </w:r>
      <w:r w:rsidRPr="001D655B">
        <w:rPr>
          <w:rStyle w:val="StyleUnderline"/>
        </w:rPr>
        <w:t xml:space="preserve"> for parties to</w:t>
      </w:r>
      <w:r w:rsidRPr="001D655B">
        <w:rPr>
          <w:sz w:val="16"/>
        </w:rPr>
        <w:t xml:space="preserve"> administrative </w:t>
      </w:r>
      <w:r w:rsidRPr="001D655B">
        <w:rPr>
          <w:rStyle w:val="StyleUnderline"/>
        </w:rPr>
        <w:t>adjudication</w:t>
      </w:r>
      <w:r w:rsidRPr="001D655B">
        <w:rPr>
          <w:sz w:val="16"/>
        </w:rPr>
        <w:t xml:space="preserve">.3 72 </w:t>
      </w:r>
      <w:r w:rsidRPr="001D655B">
        <w:rPr>
          <w:rStyle w:val="StyleUnderline"/>
        </w:rPr>
        <w:t>These</w:t>
      </w:r>
      <w:r w:rsidRPr="001D655B">
        <w:rPr>
          <w:sz w:val="16"/>
        </w:rPr>
        <w:t xml:space="preserve"> protections </w:t>
      </w:r>
      <w:r w:rsidRPr="001D655B">
        <w:rPr>
          <w:rStyle w:val="StyleUnderline"/>
        </w:rPr>
        <w:t>include</w:t>
      </w:r>
      <w:r w:rsidRPr="001D655B">
        <w:rPr>
          <w:sz w:val="16"/>
        </w:rPr>
        <w:t xml:space="preserve"> the </w:t>
      </w:r>
      <w:r w:rsidRPr="001D655B">
        <w:rPr>
          <w:rStyle w:val="Emphasis"/>
        </w:rPr>
        <w:t>assurance</w:t>
      </w:r>
      <w:r w:rsidRPr="001D655B">
        <w:rPr>
          <w:sz w:val="16"/>
        </w:rPr>
        <w:t xml:space="preserve"> that </w:t>
      </w:r>
      <w:r w:rsidRPr="001D655B">
        <w:rPr>
          <w:rStyle w:val="StyleUnderline"/>
        </w:rPr>
        <w:t>those who</w:t>
      </w:r>
      <w:r w:rsidRPr="001D655B">
        <w:rPr>
          <w:sz w:val="16"/>
        </w:rPr>
        <w:t xml:space="preserve"> investigate and administratively </w:t>
      </w:r>
      <w:r w:rsidRPr="001D655B">
        <w:rPr>
          <w:rStyle w:val="StyleUnderline"/>
        </w:rPr>
        <w:t>prosecute</w:t>
      </w:r>
      <w:r w:rsidRPr="001D655B">
        <w:rPr>
          <w:sz w:val="16"/>
        </w:rPr>
        <w:t xml:space="preserve"> a given case </w:t>
      </w:r>
      <w:r w:rsidRPr="001D655B">
        <w:rPr>
          <w:rStyle w:val="StyleUnderline"/>
        </w:rPr>
        <w:t>may not</w:t>
      </w:r>
      <w:r w:rsidRPr="001D655B">
        <w:rPr>
          <w:sz w:val="16"/>
        </w:rPr>
        <w:t xml:space="preserve"> also </w:t>
      </w:r>
      <w:r w:rsidRPr="001D655B">
        <w:rPr>
          <w:rStyle w:val="StyleUnderline"/>
        </w:rPr>
        <w:t>serve as the initial decisionmaker in the adjudication, nor may the decisionmaker be supervised by</w:t>
      </w:r>
      <w:r w:rsidRPr="001D655B">
        <w:rPr>
          <w:sz w:val="16"/>
        </w:rPr>
        <w:t xml:space="preserve"> agency investigators or </w:t>
      </w:r>
      <w:r w:rsidRPr="001D655B">
        <w:rPr>
          <w:rStyle w:val="StyleUnderline"/>
        </w:rPr>
        <w:t>prosecutors</w:t>
      </w:r>
      <w:r w:rsidRPr="001D655B">
        <w:rPr>
          <w:sz w:val="16"/>
        </w:rPr>
        <w:t xml:space="preserve">.373 Thus, even where Congress has not adopted an administrative "split-enforcement" model,374 </w:t>
      </w:r>
      <w:r w:rsidRPr="001D655B">
        <w:rPr>
          <w:rStyle w:val="StyleUnderline"/>
        </w:rPr>
        <w:t xml:space="preserve">the APA helps </w:t>
      </w:r>
      <w:r w:rsidRPr="001D655B">
        <w:rPr>
          <w:rStyle w:val="Emphasis"/>
        </w:rPr>
        <w:t>guard</w:t>
      </w:r>
      <w:r w:rsidRPr="001D655B">
        <w:rPr>
          <w:rStyle w:val="StyleUnderline"/>
        </w:rPr>
        <w:t xml:space="preserve"> against </w:t>
      </w:r>
      <w:r w:rsidRPr="001D655B">
        <w:rPr>
          <w:rStyle w:val="Emphasis"/>
        </w:rPr>
        <w:t>the greatest dangers</w:t>
      </w:r>
      <w:r w:rsidRPr="001D655B">
        <w:rPr>
          <w:sz w:val="16"/>
        </w:rPr>
        <w:t xml:space="preserve"> of combining rulemaking, implementing, and adjudicating functions in one body.</w:t>
      </w:r>
    </w:p>
    <w:p w14:paraId="41ABEAFB" w14:textId="77777777" w:rsidR="00D91D7C" w:rsidRPr="001D655B" w:rsidRDefault="00D91D7C" w:rsidP="00D91D7C">
      <w:pPr>
        <w:rPr>
          <w:sz w:val="16"/>
        </w:rPr>
      </w:pPr>
      <w:r w:rsidRPr="001D655B">
        <w:rPr>
          <w:sz w:val="16"/>
        </w:rPr>
        <w:t xml:space="preserve">Furthermore, </w:t>
      </w:r>
      <w:r w:rsidRPr="001D655B">
        <w:rPr>
          <w:rStyle w:val="StyleUnderline"/>
        </w:rPr>
        <w:t>the</w:t>
      </w:r>
      <w:r w:rsidRPr="001D655B">
        <w:rPr>
          <w:sz w:val="16"/>
        </w:rPr>
        <w:t xml:space="preserve"> types of </w:t>
      </w:r>
      <w:r w:rsidRPr="001D655B">
        <w:rPr>
          <w:rStyle w:val="Emphasis"/>
        </w:rPr>
        <w:t>incentives and political pressures</w:t>
      </w:r>
      <w:r w:rsidRPr="001D655B">
        <w:rPr>
          <w:rStyle w:val="StyleUnderline"/>
        </w:rPr>
        <w:t xml:space="preserve"> that</w:t>
      </w:r>
      <w:r w:rsidRPr="001D655B">
        <w:rPr>
          <w:sz w:val="16"/>
        </w:rPr>
        <w:t xml:space="preserve"> might </w:t>
      </w:r>
      <w:r w:rsidRPr="001D655B">
        <w:rPr>
          <w:rStyle w:val="StyleUnderline"/>
        </w:rPr>
        <w:t xml:space="preserve">lead a prosecutor to seek </w:t>
      </w:r>
      <w:r w:rsidRPr="001D655B">
        <w:rPr>
          <w:rStyle w:val="Emphasis"/>
        </w:rPr>
        <w:t>an expansive interpretation</w:t>
      </w:r>
      <w:r w:rsidRPr="001D655B">
        <w:rPr>
          <w:sz w:val="16"/>
        </w:rPr>
        <w:t xml:space="preserve"> of an antidrug or anti-pornography law </w:t>
      </w:r>
      <w:r w:rsidRPr="001D655B">
        <w:rPr>
          <w:rStyle w:val="StyleUnderline"/>
        </w:rPr>
        <w:t>are</w:t>
      </w:r>
      <w:r w:rsidRPr="001D655B">
        <w:rPr>
          <w:sz w:val="16"/>
        </w:rPr>
        <w:t xml:space="preserve"> somewhat </w:t>
      </w:r>
      <w:r w:rsidRPr="001D655B">
        <w:rPr>
          <w:rStyle w:val="Emphasis"/>
        </w:rPr>
        <w:t>less likely</w:t>
      </w:r>
      <w:r w:rsidRPr="001D655B">
        <w:rPr>
          <w:sz w:val="16"/>
        </w:rPr>
        <w:t xml:space="preserve"> to operate </w:t>
      </w:r>
      <w:r w:rsidRPr="001D655B">
        <w:rPr>
          <w:rStyle w:val="StyleUnderline"/>
        </w:rPr>
        <w:t>in</w:t>
      </w:r>
      <w:r w:rsidRPr="001D655B">
        <w:rPr>
          <w:sz w:val="16"/>
        </w:rPr>
        <w:t xml:space="preserve"> the case of </w:t>
      </w:r>
      <w:r w:rsidRPr="001D655B">
        <w:rPr>
          <w:rStyle w:val="StyleUnderline"/>
        </w:rPr>
        <w:t xml:space="preserve">administrative crimes. Where </w:t>
      </w:r>
      <w:r w:rsidRPr="001D655B">
        <w:rPr>
          <w:rStyle w:val="Emphasis"/>
        </w:rPr>
        <w:t>so-called agency capture</w:t>
      </w:r>
      <w:r w:rsidRPr="001D655B">
        <w:rPr>
          <w:sz w:val="16"/>
        </w:rPr>
        <w:t xml:space="preserve"> has </w:t>
      </w:r>
      <w:r w:rsidRPr="001D655B">
        <w:rPr>
          <w:rStyle w:val="StyleUnderline"/>
        </w:rPr>
        <w:t>occurred</w:t>
      </w:r>
      <w:r w:rsidRPr="001D655B">
        <w:rPr>
          <w:sz w:val="16"/>
        </w:rPr>
        <w:t xml:space="preserve">, 375 </w:t>
      </w:r>
      <w:r w:rsidRPr="001D655B">
        <w:rPr>
          <w:rStyle w:val="StyleUnderline"/>
        </w:rPr>
        <w:t xml:space="preserve">there is </w:t>
      </w:r>
      <w:r w:rsidRPr="001D655B">
        <w:rPr>
          <w:rStyle w:val="Emphasis"/>
        </w:rPr>
        <w:t>little reason</w:t>
      </w:r>
      <w:r w:rsidRPr="001D655B">
        <w:rPr>
          <w:rStyle w:val="StyleUnderline"/>
        </w:rPr>
        <w:t xml:space="preserve"> to fear</w:t>
      </w:r>
      <w:r w:rsidRPr="001D655B">
        <w:rPr>
          <w:sz w:val="16"/>
        </w:rPr>
        <w:t xml:space="preserve"> Justice </w:t>
      </w:r>
      <w:r w:rsidRPr="001D655B">
        <w:rPr>
          <w:rStyle w:val="StyleUnderline"/>
        </w:rPr>
        <w:t>Scalia's "</w:t>
      </w:r>
      <w:r w:rsidRPr="001D655B">
        <w:rPr>
          <w:rStyle w:val="Emphasis"/>
        </w:rPr>
        <w:t>doctrine of severity</w:t>
      </w:r>
      <w:r w:rsidRPr="001D655B">
        <w:rPr>
          <w:rStyle w:val="StyleUnderline"/>
        </w:rPr>
        <w:t>."</w:t>
      </w:r>
      <w:r w:rsidRPr="001D655B">
        <w:rPr>
          <w:sz w:val="16"/>
        </w:rPr>
        <w:t xml:space="preserve"> 1376 That is, to the extent that regulated parties are overly represented in the administrative process, </w:t>
      </w:r>
      <w:r w:rsidRPr="001D655B">
        <w:rPr>
          <w:rStyle w:val="StyleUnderline"/>
        </w:rPr>
        <w:t xml:space="preserve">regulators are </w:t>
      </w:r>
      <w:r w:rsidRPr="001D655B">
        <w:rPr>
          <w:rStyle w:val="Emphasis"/>
        </w:rPr>
        <w:t>unlikely</w:t>
      </w:r>
      <w:r w:rsidRPr="001D655B">
        <w:rPr>
          <w:rStyle w:val="StyleUnderline"/>
        </w:rPr>
        <w:t xml:space="preserve"> to test the limits of their statutory authority.</w:t>
      </w:r>
      <w:r w:rsidRPr="001D655B">
        <w:rPr>
          <w:sz w:val="16"/>
        </w:rPr>
        <w:t xml:space="preserve"> Thus, </w:t>
      </w:r>
      <w:r w:rsidRPr="001D655B">
        <w:rPr>
          <w:rStyle w:val="StyleUnderline"/>
        </w:rPr>
        <w:t>even if "relatively strict judicial supervision" of agency action may</w:t>
      </w:r>
      <w:r w:rsidRPr="001D655B">
        <w:rPr>
          <w:sz w:val="16"/>
        </w:rPr>
        <w:t xml:space="preserve"> at times </w:t>
      </w:r>
      <w:r w:rsidRPr="001D655B">
        <w:rPr>
          <w:rStyle w:val="StyleUnderline"/>
        </w:rPr>
        <w:t>appear necessary</w:t>
      </w:r>
      <w:r w:rsidRPr="001D655B">
        <w:rPr>
          <w:sz w:val="16"/>
        </w:rPr>
        <w:t xml:space="preserve"> to guard against administrative decisions shaped by "pressures imposed by well-organized private interests," 3 </w:t>
      </w:r>
      <w:r w:rsidRPr="001D655B">
        <w:rPr>
          <w:rStyle w:val="StyleUnderline"/>
        </w:rPr>
        <w:t xml:space="preserve">regulated parties can </w:t>
      </w:r>
      <w:r w:rsidRPr="001D655B">
        <w:rPr>
          <w:rStyle w:val="Emphasis"/>
        </w:rPr>
        <w:t>hardly be expected</w:t>
      </w:r>
      <w:r w:rsidRPr="001D655B">
        <w:rPr>
          <w:rStyle w:val="StyleUnderline"/>
        </w:rPr>
        <w:t xml:space="preserve"> to pressure an agency into </w:t>
      </w:r>
      <w:r w:rsidRPr="001D655B">
        <w:rPr>
          <w:rStyle w:val="Emphasis"/>
        </w:rPr>
        <w:t>an aggressive enforcement stance</w:t>
      </w:r>
      <w:r w:rsidRPr="001D655B">
        <w:rPr>
          <w:sz w:val="16"/>
        </w:rPr>
        <w:t>.</w:t>
      </w:r>
    </w:p>
    <w:p w14:paraId="7B626E9B" w14:textId="77777777" w:rsidR="00D91D7C" w:rsidRPr="001D655B" w:rsidRDefault="00D91D7C" w:rsidP="00D91D7C">
      <w:pPr>
        <w:rPr>
          <w:sz w:val="16"/>
        </w:rPr>
      </w:pPr>
      <w:r w:rsidRPr="001D655B">
        <w:rPr>
          <w:rStyle w:val="Emphasis"/>
        </w:rPr>
        <w:t>Even where</w:t>
      </w:r>
      <w:r w:rsidRPr="001D655B">
        <w:rPr>
          <w:rStyle w:val="StyleUnderline"/>
        </w:rPr>
        <w:t xml:space="preserve"> regulators</w:t>
      </w:r>
      <w:r w:rsidRPr="001D655B">
        <w:rPr>
          <w:sz w:val="16"/>
        </w:rPr>
        <w:t xml:space="preserve"> may be seen as </w:t>
      </w:r>
      <w:r w:rsidRPr="001D655B">
        <w:rPr>
          <w:rStyle w:val="StyleUnderline"/>
        </w:rPr>
        <w:t>havi</w:t>
      </w:r>
      <w:r w:rsidRPr="001D655B">
        <w:rPr>
          <w:sz w:val="16"/>
        </w:rPr>
        <w:t xml:space="preserve">ng </w:t>
      </w:r>
      <w:r w:rsidRPr="001D655B">
        <w:rPr>
          <w:rStyle w:val="Emphasis"/>
        </w:rPr>
        <w:t>a pro-enforcement bias</w:t>
      </w:r>
      <w:r w:rsidRPr="001D655B">
        <w:rPr>
          <w:rStyle w:val="StyleUnderline"/>
        </w:rPr>
        <w:t xml:space="preserve">, they are </w:t>
      </w:r>
      <w:r w:rsidRPr="001D655B">
        <w:rPr>
          <w:rStyle w:val="Emphasis"/>
        </w:rPr>
        <w:t>much more likely</w:t>
      </w:r>
      <w:r w:rsidRPr="001D655B">
        <w:rPr>
          <w:rStyle w:val="StyleUnderline"/>
        </w:rPr>
        <w:t xml:space="preserve"> than </w:t>
      </w:r>
      <w:r w:rsidRPr="001D655B">
        <w:rPr>
          <w:rStyle w:val="Emphasis"/>
        </w:rPr>
        <w:t>the typical criminal prosecutor</w:t>
      </w:r>
      <w:r w:rsidRPr="001D655B">
        <w:rPr>
          <w:rStyle w:val="StyleUnderline"/>
        </w:rPr>
        <w:t xml:space="preserve"> to</w:t>
      </w:r>
      <w:r w:rsidRPr="001D655B">
        <w:rPr>
          <w:sz w:val="16"/>
        </w:rPr>
        <w:t xml:space="preserve"> have to </w:t>
      </w:r>
      <w:r w:rsidRPr="001D655B">
        <w:rPr>
          <w:rStyle w:val="StyleUnderline"/>
        </w:rPr>
        <w:t>balance</w:t>
      </w:r>
      <w:r w:rsidRPr="001D655B">
        <w:rPr>
          <w:sz w:val="16"/>
        </w:rPr>
        <w:t xml:space="preserve"> the pressures exerted by </w:t>
      </w:r>
      <w:r w:rsidRPr="001D655B">
        <w:rPr>
          <w:rStyle w:val="Emphasis"/>
        </w:rPr>
        <w:t>pro- and anti-enforcement interests</w:t>
      </w:r>
      <w:r w:rsidRPr="001D655B">
        <w:rPr>
          <w:sz w:val="16"/>
        </w:rPr>
        <w:t xml:space="preserve">. For example, </w:t>
      </w:r>
      <w:r w:rsidRPr="001D655B">
        <w:rPr>
          <w:rStyle w:val="StyleUnderline"/>
        </w:rPr>
        <w:t xml:space="preserve">however strong </w:t>
      </w:r>
      <w:r w:rsidRPr="001D655B">
        <w:rPr>
          <w:rStyle w:val="Emphasis"/>
        </w:rPr>
        <w:t>the environmentalist "bias"</w:t>
      </w:r>
      <w:r w:rsidRPr="001D655B">
        <w:rPr>
          <w:rStyle w:val="StyleUnderline"/>
        </w:rPr>
        <w:t xml:space="preserve"> of the EPA, no EPA administrator can ignore</w:t>
      </w:r>
      <w:r w:rsidRPr="001D655B">
        <w:rPr>
          <w:sz w:val="16"/>
        </w:rPr>
        <w:t xml:space="preserve"> the views of the </w:t>
      </w:r>
      <w:r w:rsidRPr="001D655B">
        <w:rPr>
          <w:rStyle w:val="StyleUnderline"/>
        </w:rPr>
        <w:t>industries that are</w:t>
      </w:r>
      <w:r w:rsidRPr="001D655B">
        <w:rPr>
          <w:sz w:val="16"/>
        </w:rPr>
        <w:t xml:space="preserve"> most likely to be </w:t>
      </w:r>
      <w:r w:rsidRPr="001D655B">
        <w:rPr>
          <w:rStyle w:val="StyleUnderline"/>
        </w:rPr>
        <w:t>the</w:t>
      </w:r>
      <w:r w:rsidRPr="001D655B">
        <w:rPr>
          <w:sz w:val="16"/>
        </w:rPr>
        <w:t xml:space="preserve"> potential </w:t>
      </w:r>
      <w:r w:rsidRPr="001D655B">
        <w:rPr>
          <w:rStyle w:val="StyleUnderline"/>
        </w:rPr>
        <w:t>target</w:t>
      </w:r>
      <w:r w:rsidRPr="001D655B">
        <w:rPr>
          <w:sz w:val="16"/>
        </w:rPr>
        <w:t xml:space="preserve"> of enforcement actions.378 On the contrary, it seems safe to assume that a federal prosecutor is unlikely to worry about the views of potential defendants in drug or similar cases. Also, when agency officials do require the assistance of traditional prosecutors to obtain criminal enforcement in the courts, the outside prosecutors will rarely seek to base the prosecution on a novel theory not previously tested in the administrative arena.379</w:t>
      </w:r>
    </w:p>
    <w:p w14:paraId="0A3A1ED5" w14:textId="77777777" w:rsidR="00D91D7C" w:rsidRDefault="00D91D7C" w:rsidP="00D91D7C">
      <w:pPr>
        <w:rPr>
          <w:sz w:val="16"/>
        </w:rPr>
      </w:pPr>
      <w:r w:rsidRPr="001D655B">
        <w:rPr>
          <w:sz w:val="16"/>
        </w:rPr>
        <w:t xml:space="preserve">Finally, it is important to emphasize that </w:t>
      </w:r>
      <w:r w:rsidRPr="001D655B">
        <w:rPr>
          <w:rStyle w:val="StyleUnderline"/>
        </w:rPr>
        <w:t>this</w:t>
      </w:r>
      <w:r w:rsidRPr="001D655B">
        <w:rPr>
          <w:sz w:val="16"/>
        </w:rPr>
        <w:t xml:space="preserve"> article </w:t>
      </w:r>
      <w:r w:rsidRPr="001D655B">
        <w:rPr>
          <w:rStyle w:val="StyleUnderline"/>
        </w:rPr>
        <w:t>does not</w:t>
      </w:r>
      <w:r w:rsidRPr="001D655B">
        <w:rPr>
          <w:sz w:val="16"/>
        </w:rPr>
        <w:t xml:space="preserve"> propose </w:t>
      </w:r>
      <w:r w:rsidRPr="001D655B">
        <w:rPr>
          <w:rStyle w:val="StyleUnderline"/>
        </w:rPr>
        <w:t>apply</w:t>
      </w:r>
      <w:r w:rsidRPr="001D655B">
        <w:rPr>
          <w:sz w:val="16"/>
        </w:rPr>
        <w:t xml:space="preserve">ing </w:t>
      </w:r>
      <w:r w:rsidRPr="001D655B">
        <w:rPr>
          <w:rStyle w:val="StyleUnderline"/>
        </w:rPr>
        <w:t>Chevron</w:t>
      </w:r>
      <w:r w:rsidRPr="001D655B">
        <w:rPr>
          <w:sz w:val="16"/>
        </w:rPr>
        <w:t xml:space="preserve"> deference </w:t>
      </w:r>
      <w:r w:rsidRPr="001D655B">
        <w:rPr>
          <w:rStyle w:val="StyleUnderline"/>
        </w:rPr>
        <w:t>to the Department of Justice</w:t>
      </w:r>
      <w:r w:rsidRPr="001D655B">
        <w:rPr>
          <w:sz w:val="16"/>
        </w:rPr>
        <w:t xml:space="preserve"> when it prosecutes crimes.380 As the Court unanimously noted in Adams Fruit Co. v. Barrett, 38' "a precondition to deference under Chevron is a congressional delegation of administrative authority. ' 382 Chevron presupposes that agencies have developed the interpretations for which they seek deference via a pre-litigation exercise of their "delegated lawmaking powers."' 383 When the </w:t>
      </w:r>
      <w:r w:rsidRPr="001D655B">
        <w:rPr>
          <w:rStyle w:val="StyleUnderline"/>
        </w:rPr>
        <w:t>Justice</w:t>
      </w:r>
      <w:r w:rsidRPr="001D655B">
        <w:rPr>
          <w:sz w:val="16"/>
        </w:rPr>
        <w:t xml:space="preserve"> Department's only role under a statute is to decide when to seek criminal enforcement, it </w:t>
      </w:r>
      <w:r w:rsidRPr="001D655B">
        <w:rPr>
          <w:rStyle w:val="Emphasis"/>
        </w:rPr>
        <w:t>acts purely</w:t>
      </w:r>
      <w:r w:rsidRPr="001D655B">
        <w:rPr>
          <w:rStyle w:val="StyleUnderline"/>
        </w:rPr>
        <w:t xml:space="preserve"> as an executive agency with </w:t>
      </w:r>
      <w:r w:rsidRPr="001D655B">
        <w:rPr>
          <w:rStyle w:val="Emphasis"/>
        </w:rPr>
        <w:t>no such powers</w:t>
      </w:r>
      <w:r w:rsidRPr="001D655B">
        <w:rPr>
          <w:sz w:val="16"/>
        </w:rPr>
        <w:t>. Risks of prosecutorial discretion and unfair notice are greater in this context than in relation to administrative crimes. However, when Congress does authorize the Justice Department to engage in rulemaking 38 4 or otherwise to exercise "delegated lawmaking powers," rather than simply to act as a law enforcer, then Chevron, not the criminal liability exception, should apply.</w:t>
      </w:r>
    </w:p>
    <w:p w14:paraId="72BD81DB" w14:textId="77777777" w:rsidR="00D91D7C" w:rsidRDefault="00D91D7C" w:rsidP="00D91D7C">
      <w:pPr>
        <w:pStyle w:val="Heading3"/>
      </w:pPr>
      <w:r>
        <w:t>1AC – AT: Spillover</w:t>
      </w:r>
    </w:p>
    <w:p w14:paraId="6B2B9C67" w14:textId="77777777" w:rsidR="00D91D7C" w:rsidRPr="00805A42" w:rsidRDefault="00D91D7C" w:rsidP="00D91D7C">
      <w:pPr>
        <w:pStyle w:val="Heading4"/>
      </w:pPr>
      <w:r>
        <w:t xml:space="preserve">The aff fails to solve </w:t>
      </w:r>
      <w:r>
        <w:rPr>
          <w:u w:val="single"/>
        </w:rPr>
        <w:t>informal deference</w:t>
      </w:r>
      <w:r>
        <w:t>.</w:t>
      </w:r>
    </w:p>
    <w:p w14:paraId="031C005A" w14:textId="77777777" w:rsidR="00D91D7C" w:rsidRPr="00CD65EF" w:rsidRDefault="00D91D7C" w:rsidP="00D91D7C">
      <w:r w:rsidRPr="00CD65EF">
        <w:rPr>
          <w:b/>
          <w:bCs/>
          <w:sz w:val="26"/>
          <w:szCs w:val="26"/>
        </w:rPr>
        <w:t>Roddel 17</w:t>
      </w:r>
      <w:r>
        <w:t xml:space="preserve"> - </w:t>
      </w:r>
      <w:r w:rsidRPr="00CD65EF">
        <w:t>Assistant Director of Media Relations at University of Notre Dame</w:t>
      </w:r>
      <w:r>
        <w:t>, (Shannon, “</w:t>
      </w:r>
      <w:r w:rsidRPr="00CD65EF">
        <w:t>Why the Chevron Deference matters in the Age of Trump</w:t>
      </w:r>
      <w:r>
        <w:t xml:space="preserve">,” </w:t>
      </w:r>
      <w:r>
        <w:rPr>
          <w:i/>
          <w:iCs/>
        </w:rPr>
        <w:t>University of Notre Dame</w:t>
      </w:r>
      <w:r>
        <w:t xml:space="preserve">, 2-6-17, </w:t>
      </w:r>
      <w:hyperlink r:id="rId227" w:history="1">
        <w:r w:rsidRPr="00C4407D">
          <w:rPr>
            <w:rStyle w:val="Hyperlink"/>
          </w:rPr>
          <w:t>https://news.nd.edu/news/why-the-chevron-deference-matters-in-the-age-of-trump/</w:t>
        </w:r>
      </w:hyperlink>
      <w:r>
        <w:t>, Accessed 6-20-20, LASA-AH)</w:t>
      </w:r>
    </w:p>
    <w:p w14:paraId="64462395" w14:textId="77777777" w:rsidR="00D91D7C" w:rsidRPr="00CD65EF" w:rsidRDefault="00D91D7C" w:rsidP="00D91D7C">
      <w:pPr>
        <w:rPr>
          <w:b/>
          <w:iCs/>
          <w:u w:val="single"/>
        </w:rPr>
      </w:pPr>
      <w:r w:rsidRPr="00CD65EF">
        <w:rPr>
          <w:u w:val="single"/>
        </w:rPr>
        <w:t xml:space="preserve">Even if Congress were to repeal Chevron or if the Supreme Court were to abandon it, it may be tricky to </w:t>
      </w:r>
      <w:r w:rsidRPr="009727FB">
        <w:rPr>
          <w:rStyle w:val="Emphasis"/>
        </w:rPr>
        <w:t>get rid of deference entirely.</w:t>
      </w:r>
    </w:p>
    <w:p w14:paraId="71CFEF62" w14:textId="77777777" w:rsidR="00D91D7C" w:rsidRPr="00CD65EF" w:rsidRDefault="00D91D7C" w:rsidP="00D91D7C">
      <w:pPr>
        <w:rPr>
          <w:u w:val="single"/>
        </w:rPr>
      </w:pPr>
      <w:r w:rsidRPr="00CD65EF">
        <w:rPr>
          <w:u w:val="single"/>
        </w:rPr>
        <w:t>“There will still be some cases where the law really doesn’t say much at all,</w:t>
      </w:r>
      <w:r>
        <w:t xml:space="preserve">” Pojanowski says. “For example, </w:t>
      </w:r>
      <w:r w:rsidRPr="00CD65EF">
        <w:rPr>
          <w:u w:val="single"/>
        </w:rPr>
        <w:t>‘adequate margin of safety’</w:t>
      </w:r>
      <w:r>
        <w:t xml:space="preserve"> or ‘just and reasonable rates.’ </w:t>
      </w:r>
      <w:r w:rsidRPr="00CD65EF">
        <w:rPr>
          <w:u w:val="single"/>
        </w:rPr>
        <w:t>There, there is really no law to interpret, it’s just an open-ended instruction</w:t>
      </w:r>
      <w:r>
        <w:t xml:space="preserve">. In those cases, </w:t>
      </w:r>
      <w:r w:rsidRPr="00CD65EF">
        <w:rPr>
          <w:u w:val="single"/>
        </w:rPr>
        <w:t>courts are more likely simply to check if the agency is acting rationally, considering all the arguments, and explaining its decision.”</w:t>
      </w:r>
    </w:p>
    <w:p w14:paraId="511F74CB" w14:textId="77777777" w:rsidR="00D91D7C" w:rsidRDefault="00D91D7C" w:rsidP="00D91D7C">
      <w:pPr>
        <w:rPr>
          <w:u w:val="single"/>
        </w:rPr>
      </w:pPr>
      <w:r>
        <w:t xml:space="preserve">Even where statutes are more precise, </w:t>
      </w:r>
      <w:r w:rsidRPr="00CD65EF">
        <w:rPr>
          <w:u w:val="single"/>
        </w:rPr>
        <w:t xml:space="preserve">there will be complicated cases where judges, simply as a matter of human nature, </w:t>
      </w:r>
      <w:r w:rsidRPr="009727FB">
        <w:rPr>
          <w:rStyle w:val="Emphasis"/>
        </w:rPr>
        <w:t>may give the close call</w:t>
      </w:r>
      <w:r w:rsidRPr="00CD65EF">
        <w:rPr>
          <w:rStyle w:val="Emphasis"/>
        </w:rPr>
        <w:t xml:space="preserve"> </w:t>
      </w:r>
      <w:r w:rsidRPr="00CD65EF">
        <w:rPr>
          <w:u w:val="single"/>
        </w:rPr>
        <w:t>to the agency if they trust its expertise.</w:t>
      </w:r>
    </w:p>
    <w:p w14:paraId="3ED062B1" w14:textId="77777777" w:rsidR="00D91D7C" w:rsidRDefault="00D91D7C" w:rsidP="00D91D7C">
      <w:pPr>
        <w:pStyle w:val="Heading3"/>
      </w:pPr>
      <w:r>
        <w:t>2NC – AT: Spillover</w:t>
      </w:r>
    </w:p>
    <w:p w14:paraId="5B66FD10" w14:textId="77777777" w:rsidR="00D91D7C" w:rsidRPr="007C6F40" w:rsidRDefault="00D91D7C" w:rsidP="00D91D7C">
      <w:pPr>
        <w:pStyle w:val="Heading4"/>
      </w:pPr>
      <w:r>
        <w:t>The aff won’t spill over.</w:t>
      </w:r>
    </w:p>
    <w:p w14:paraId="190723B5" w14:textId="77777777" w:rsidR="00D91D7C" w:rsidRPr="007C6F40" w:rsidRDefault="00D91D7C" w:rsidP="00D91D7C">
      <w:r w:rsidRPr="007C6F40">
        <w:t xml:space="preserve">Bryan B. </w:t>
      </w:r>
      <w:r w:rsidRPr="007C6F40">
        <w:rPr>
          <w:rStyle w:val="Style13ptBold"/>
        </w:rPr>
        <w:t>Becker 16</w:t>
      </w:r>
      <w:r w:rsidRPr="007C6F40">
        <w:t xml:space="preserve"> (J.D. Candidate 2016 at The Ohio State University Moritz College of Law, 05-23-2016 CarbonDated, "Sticker Shock: Driving around Chevron and the Rule of Lenity in Immigration Removal", HeinOnline, https://heinonline.org/HOL/LandingPage?handle=hein.journals/osljsxcr77&amp;div=4&amp;id=&amp;page=, accessed: 6-24-2020)//yeed</w:t>
      </w:r>
    </w:p>
    <w:p w14:paraId="41F1A8E0" w14:textId="77777777" w:rsidR="00D91D7C" w:rsidRPr="001A77F6" w:rsidRDefault="00D91D7C" w:rsidP="00D91D7C">
      <w:pPr>
        <w:rPr>
          <w:u w:val="single"/>
        </w:rPr>
      </w:pPr>
      <w:r w:rsidRPr="007C6F40">
        <w:rPr>
          <w:rStyle w:val="StyleUnderline"/>
        </w:rPr>
        <w:t>No</w:t>
      </w:r>
      <w:r w:rsidRPr="007C6F40">
        <w:t xml:space="preserve"> </w:t>
      </w:r>
      <w:r w:rsidRPr="007C6F40">
        <w:rPr>
          <w:rStyle w:val="StyleUnderline"/>
        </w:rPr>
        <w:t>matter the Supreme Court's stance</w:t>
      </w:r>
      <w:r w:rsidRPr="007C6F40">
        <w:t xml:space="preserve">, </w:t>
      </w:r>
      <w:r w:rsidRPr="007C6F40">
        <w:rPr>
          <w:rStyle w:val="StyleUnderline"/>
        </w:rPr>
        <w:t>the Sixth Circuit has opened a Pandora's Box</w:t>
      </w:r>
      <w:r w:rsidRPr="007C6F40">
        <w:t xml:space="preserve"> </w:t>
      </w:r>
      <w:r w:rsidRPr="007C6F40">
        <w:rPr>
          <w:rStyle w:val="StyleUnderline"/>
        </w:rPr>
        <w:t>about the nature of statutory construction</w:t>
      </w:r>
      <w:r w:rsidRPr="007C6F40">
        <w:t xml:space="preserve"> </w:t>
      </w:r>
      <w:r w:rsidRPr="007C6F40">
        <w:rPr>
          <w:rStyle w:val="StyleUnderline"/>
        </w:rPr>
        <w:t>and</w:t>
      </w:r>
      <w:r w:rsidRPr="007C6F40">
        <w:t xml:space="preserve"> the </w:t>
      </w:r>
      <w:r w:rsidRPr="007C6F40">
        <w:rPr>
          <w:rStyle w:val="StyleUnderline"/>
        </w:rPr>
        <w:t>canons</w:t>
      </w:r>
      <w:r w:rsidRPr="007C6F40">
        <w:t xml:space="preserve"> </w:t>
      </w:r>
      <w:r w:rsidRPr="007C6F40">
        <w:rPr>
          <w:rStyle w:val="StyleUnderline"/>
        </w:rPr>
        <w:t>of interpretation</w:t>
      </w:r>
      <w:r w:rsidRPr="007C6F40">
        <w:t>. While wrestling with mixed messages from the Supreme Court,</w:t>
      </w:r>
      <w:r w:rsidRPr="007C6F40">
        <w:rPr>
          <w:sz w:val="12"/>
        </w:rPr>
        <w:t xml:space="preserve"> </w:t>
      </w:r>
      <w:r w:rsidRPr="007C6F40">
        <w:rPr>
          <w:rStyle w:val="StyleUnderline"/>
        </w:rPr>
        <w:t>the Sixth Circuit ironically felt constrained into making an expansive statement on the powers agencies hold over immigrants</w:t>
      </w:r>
      <w:r w:rsidRPr="007C6F40">
        <w:t xml:space="preserve"> facing deportation.</w:t>
      </w:r>
      <w:r w:rsidRPr="007C6F40">
        <w:rPr>
          <w:sz w:val="12"/>
        </w:rPr>
        <w:t xml:space="preserve"> </w:t>
      </w:r>
      <w:r w:rsidRPr="007C6F40">
        <w:rPr>
          <w:rStyle w:val="StyleUnderline"/>
        </w:rPr>
        <w:t>This</w:t>
      </w:r>
      <w:r w:rsidRPr="007C6F40">
        <w:t xml:space="preserve"> strong statement </w:t>
      </w:r>
      <w:r w:rsidRPr="007C6F40">
        <w:rPr>
          <w:rStyle w:val="StyleUnderline"/>
        </w:rPr>
        <w:t>will likely make it</w:t>
      </w:r>
      <w:r w:rsidRPr="007C6F40">
        <w:t xml:space="preserve"> more </w:t>
      </w:r>
      <w:r w:rsidRPr="007C6F40">
        <w:rPr>
          <w:rStyle w:val="Emphasis"/>
        </w:rPr>
        <w:t>difficult for lenity to overrule</w:t>
      </w:r>
      <w:r w:rsidRPr="007C6F40">
        <w:rPr>
          <w:sz w:val="12"/>
        </w:rPr>
        <w:t xml:space="preserve"> </w:t>
      </w:r>
      <w:r w:rsidRPr="007C6F40">
        <w:t>Chevron in future Sixth Circuit cases involving other agencies-showing that</w:t>
      </w:r>
      <w:r w:rsidRPr="007C6F40">
        <w:rPr>
          <w:sz w:val="12"/>
        </w:rPr>
        <w:t xml:space="preserve"> </w:t>
      </w:r>
      <w:r w:rsidRPr="007C6F40">
        <w:t xml:space="preserve">the </w:t>
      </w:r>
      <w:r w:rsidRPr="007C6F40">
        <w:rPr>
          <w:rStyle w:val="StyleUnderline"/>
        </w:rPr>
        <w:t xml:space="preserve">tools of statutory construction, as forged and shaped by the Supreme Court, are often as </w:t>
      </w:r>
      <w:r w:rsidRPr="007C6F40">
        <w:rPr>
          <w:rStyle w:val="Emphasis"/>
        </w:rPr>
        <w:t>malleable or rigid as the lower courts choose</w:t>
      </w:r>
      <w:r w:rsidRPr="007C6F40">
        <w:rPr>
          <w:rStyle w:val="StyleUnderline"/>
        </w:rPr>
        <w:t xml:space="preserve"> to see them.</w:t>
      </w:r>
    </w:p>
    <w:p w14:paraId="6EE87635" w14:textId="77777777" w:rsidR="00D91D7C" w:rsidRPr="00805A42" w:rsidRDefault="00D91D7C" w:rsidP="00D91D7C">
      <w:pPr>
        <w:pStyle w:val="Heading4"/>
      </w:pPr>
      <w:r>
        <w:t xml:space="preserve">The doctrine is </w:t>
      </w:r>
      <w:r>
        <w:rPr>
          <w:u w:val="single"/>
        </w:rPr>
        <w:t>self-regulating</w:t>
      </w:r>
      <w:r>
        <w:t>.</w:t>
      </w:r>
    </w:p>
    <w:p w14:paraId="670BD17A" w14:textId="77777777" w:rsidR="00D91D7C" w:rsidRPr="00B92D8F" w:rsidRDefault="00D91D7C" w:rsidP="00D91D7C">
      <w:r w:rsidRPr="00B92D8F">
        <w:rPr>
          <w:b/>
          <w:bCs/>
          <w:sz w:val="26"/>
          <w:szCs w:val="26"/>
        </w:rPr>
        <w:t xml:space="preserve">Kaplan </w:t>
      </w:r>
      <w:r>
        <w:rPr>
          <w:b/>
          <w:bCs/>
          <w:sz w:val="26"/>
          <w:szCs w:val="26"/>
        </w:rPr>
        <w:t>15</w:t>
      </w:r>
      <w:r>
        <w:t xml:space="preserve"> - </w:t>
      </w:r>
      <w:r w:rsidRPr="00B92D8F">
        <w:t>Professor of Law, Cardozo School of Law, Yeshiva University</w:t>
      </w:r>
      <w:r>
        <w:t>, (</w:t>
      </w:r>
      <w:r w:rsidRPr="00B92D8F">
        <w:t>Arthur Kaplan</w:t>
      </w:r>
      <w:r>
        <w:t>, “</w:t>
      </w:r>
      <w:r w:rsidRPr="00B92D8F">
        <w:t>CHEVRON IS DEAD; LONG LIVE CHEVRON</w:t>
      </w:r>
      <w:r>
        <w:t xml:space="preserve">,” </w:t>
      </w:r>
      <w:r>
        <w:rPr>
          <w:i/>
          <w:iCs/>
        </w:rPr>
        <w:t>Columbia Law Review</w:t>
      </w:r>
      <w:r>
        <w:t xml:space="preserve">, </w:t>
      </w:r>
      <w:hyperlink r:id="rId228" w:history="1">
        <w:r w:rsidRPr="00C4407D">
          <w:rPr>
            <w:rStyle w:val="Hyperlink"/>
          </w:rPr>
          <w:t>https://columbialawreview.org/content/chevron-is-dead-long-live-chevron-2/</w:t>
        </w:r>
      </w:hyperlink>
      <w:r>
        <w:t>, Accessed 6-20-20, LASA-AH)</w:t>
      </w:r>
    </w:p>
    <w:p w14:paraId="4B7029D5" w14:textId="77777777" w:rsidR="00D91D7C" w:rsidRDefault="00D91D7C" w:rsidP="00D91D7C">
      <w:r>
        <w:t xml:space="preserve">Doctrinally, </w:t>
      </w:r>
      <w:r w:rsidRPr="00CD65EF">
        <w:rPr>
          <w:u w:val="single"/>
        </w:rPr>
        <w:t xml:space="preserve">the impact and meaning of Chevron </w:t>
      </w:r>
      <w:r w:rsidRPr="009727FB">
        <w:rPr>
          <w:rStyle w:val="Emphasis"/>
        </w:rPr>
        <w:t>will depend on (a) in what circumstances</w:t>
      </w:r>
      <w:r w:rsidRPr="00CD65EF">
        <w:rPr>
          <w:b/>
          <w:bCs/>
          <w:u w:val="single"/>
        </w:rPr>
        <w:t xml:space="preserve"> </w:t>
      </w:r>
      <w:r w:rsidRPr="00CD65EF">
        <w:rPr>
          <w:u w:val="single"/>
        </w:rPr>
        <w:t>it is triggered,30</w:t>
      </w:r>
      <w:r>
        <w:t xml:space="preserve"> </w:t>
      </w:r>
    </w:p>
    <w:p w14:paraId="2901BB87" w14:textId="77777777" w:rsidR="00D91D7C" w:rsidRPr="00CD65EF" w:rsidRDefault="00D91D7C" w:rsidP="00D91D7C">
      <w:pPr>
        <w:rPr>
          <w:b/>
          <w:bCs/>
        </w:rPr>
      </w:pPr>
      <w:r>
        <w:rPr>
          <w:b/>
          <w:bCs/>
        </w:rPr>
        <w:t>BEGIN FOOTNOTE 1</w:t>
      </w:r>
    </w:p>
    <w:p w14:paraId="4283FA24" w14:textId="77777777" w:rsidR="00D91D7C" w:rsidRDefault="00D91D7C" w:rsidP="00D91D7C">
      <w:r>
        <w:t xml:space="preserve">30 Here the leading case in a complicated body of decisions is </w:t>
      </w:r>
      <w:r w:rsidRPr="00CD65EF">
        <w:rPr>
          <w:u w:val="single"/>
        </w:rPr>
        <w:t>United States v. Med Corp</w:t>
      </w:r>
      <w:r>
        <w:t xml:space="preserve">., 533 U.S. 218 (2001), which </w:t>
      </w:r>
      <w:r w:rsidRPr="00CD65EF">
        <w:rPr>
          <w:u w:val="single"/>
        </w:rPr>
        <w:t>held that Chevron only applies when Congress has delegated to the agency authority to make rules with the force of law and the agency has acted pursuant to that authority.</w:t>
      </w:r>
      <w:r w:rsidRPr="00CD65EF">
        <w:t xml:space="preserve"> </w:t>
      </w:r>
      <w:r>
        <w:t>See generally Merrill &amp; Hickman, supra note 17 (surveying Chevron’s application). Though it predates Mead and is somewhat out of date, Merrill and Hickman’s article, id., remains the most useful and comprehensive survey of exactly when Chevron applies and when it does not.</w:t>
      </w:r>
    </w:p>
    <w:p w14:paraId="5C201796" w14:textId="77777777" w:rsidR="00D91D7C" w:rsidRPr="00CD65EF" w:rsidRDefault="00D91D7C" w:rsidP="00D91D7C">
      <w:pPr>
        <w:rPr>
          <w:b/>
          <w:bCs/>
        </w:rPr>
      </w:pPr>
      <w:r>
        <w:rPr>
          <w:b/>
          <w:bCs/>
        </w:rPr>
        <w:t>END FOOTNOTE 1</w:t>
      </w:r>
    </w:p>
    <w:p w14:paraId="5635AD88" w14:textId="77777777" w:rsidR="00D91D7C" w:rsidRDefault="00D91D7C" w:rsidP="00D91D7C">
      <w:r>
        <w:t xml:space="preserve">...and (b) how capacious step one is, i.e., how quickly a court throws up its hands and defers in step two.31 </w:t>
      </w:r>
    </w:p>
    <w:p w14:paraId="644F24A7" w14:textId="77777777" w:rsidR="00D91D7C" w:rsidRDefault="00D91D7C" w:rsidP="00D91D7C">
      <w:r>
        <w:t>...</w:t>
      </w:r>
      <w:r w:rsidRPr="00CD65EF">
        <w:rPr>
          <w:u w:val="single"/>
        </w:rPr>
        <w:t>Were Chevron to apply any time an agency had taken a view regarding statutory meaning</w:t>
      </w:r>
      <w:r>
        <w:t xml:space="preserve">, and were the court to yield to that view in the face of any statutory uncertainty, </w:t>
      </w:r>
      <w:r w:rsidRPr="00CD65EF">
        <w:rPr>
          <w:u w:val="single"/>
        </w:rPr>
        <w:t>the decision would be enormously consequential</w:t>
      </w:r>
      <w:r>
        <w:t xml:space="preserve"> (and problematic). As discussed abov</w:t>
      </w:r>
      <w:r w:rsidRPr="00805A42">
        <w:t xml:space="preserve">e, </w:t>
      </w:r>
      <w:r w:rsidRPr="009727FB">
        <w:rPr>
          <w:rStyle w:val="Emphasis"/>
        </w:rPr>
        <w:t>that has not happened</w:t>
      </w:r>
      <w:r>
        <w:t xml:space="preserve">. At least part of the reason is that </w:t>
      </w:r>
      <w:r w:rsidRPr="00CD65EF">
        <w:rPr>
          <w:u w:val="single"/>
        </w:rPr>
        <w:t>Chevron is an example of self-regulation.</w:t>
      </w:r>
    </w:p>
    <w:p w14:paraId="4B3E0A3C" w14:textId="77777777" w:rsidR="00D91D7C" w:rsidRDefault="00D91D7C" w:rsidP="00D91D7C"/>
    <w:p w14:paraId="261B8B65" w14:textId="77777777" w:rsidR="00D91D7C" w:rsidRDefault="00D91D7C" w:rsidP="00D91D7C">
      <w:r w:rsidRPr="00CD65EF">
        <w:rPr>
          <w:u w:val="single"/>
        </w:rPr>
        <w:t>Self-regulatory regimes rely on entities to oversee themselves</w:t>
      </w:r>
      <w:r>
        <w:t xml:space="preserve">. </w:t>
      </w:r>
      <w:r w:rsidRPr="00CD65EF">
        <w:rPr>
          <w:u w:val="single"/>
        </w:rPr>
        <w:t>The Chevron doctrine is essentially an example of self-regulation. It is a judicially imposed limitation on the scope of judicial authority,</w:t>
      </w:r>
      <w:r>
        <w:t xml:space="preserve"> a doctrine through which those in the judging business constrain the activities of the members of their own industry.</w:t>
      </w:r>
    </w:p>
    <w:p w14:paraId="09BF753D" w14:textId="77777777" w:rsidR="00D91D7C" w:rsidRDefault="00D91D7C" w:rsidP="00D91D7C"/>
    <w:p w14:paraId="11016CF2" w14:textId="77777777" w:rsidR="00D91D7C" w:rsidRPr="00CD65EF" w:rsidRDefault="00D91D7C" w:rsidP="00D91D7C">
      <w:pPr>
        <w:rPr>
          <w:u w:val="single"/>
        </w:rPr>
      </w:pPr>
      <w:r>
        <w:t xml:space="preserve">Some </w:t>
      </w:r>
      <w:r w:rsidRPr="00CD65EF">
        <w:rPr>
          <w:u w:val="single"/>
        </w:rPr>
        <w:t xml:space="preserve">doubters object that the “self” in “self-regulation” is like the “constructive” in “constructive consent,” or the “quasi” in “quasi-contract”—that is, a synonym for “not.” If you are doing it yourself, it is not regulation.32 </w:t>
      </w:r>
    </w:p>
    <w:p w14:paraId="7EBD33D6" w14:textId="77777777" w:rsidR="00D91D7C" w:rsidRDefault="00D91D7C" w:rsidP="00D91D7C">
      <w:r>
        <w:t xml:space="preserve">...On this account, </w:t>
      </w:r>
      <w:r w:rsidRPr="009727FB">
        <w:rPr>
          <w:rStyle w:val="Emphasis"/>
        </w:rPr>
        <w:t>self-regulation guarantees under-regulation</w:t>
      </w:r>
      <w:r>
        <w:t xml:space="preserve">. That may be an overstatement, but indisputably, </w:t>
      </w:r>
      <w:r w:rsidRPr="00CD65EF">
        <w:rPr>
          <w:u w:val="single"/>
        </w:rPr>
        <w:t>the essential risk of self-regulation is excessive laxity</w:t>
      </w:r>
      <w:r>
        <w:t>. After all, it is a regime in which the regulator is not merely “captured” by regulated interests; regulator and regulatee are one and the same.33</w:t>
      </w:r>
    </w:p>
    <w:p w14:paraId="3B7A943A" w14:textId="77777777" w:rsidR="00D91D7C" w:rsidRDefault="00D91D7C" w:rsidP="00D91D7C">
      <w:r>
        <w:t>...</w:t>
      </w:r>
    </w:p>
    <w:p w14:paraId="689535BB" w14:textId="77777777" w:rsidR="00D91D7C" w:rsidRDefault="00D91D7C" w:rsidP="00D91D7C">
      <w:r>
        <w:t xml:space="preserve">To some extent, </w:t>
      </w:r>
      <w:r w:rsidRPr="00CD65EF">
        <w:rPr>
          <w:u w:val="single"/>
        </w:rPr>
        <w:t xml:space="preserve">this dubiousness reflects a misunderstanding of the concept; “self-regulation” </w:t>
      </w:r>
      <w:r w:rsidRPr="009727FB">
        <w:rPr>
          <w:rStyle w:val="Emphasis"/>
        </w:rPr>
        <w:t>is not a synonym</w:t>
      </w:r>
      <w:r w:rsidRPr="00CD65EF">
        <w:rPr>
          <w:u w:val="single"/>
        </w:rPr>
        <w:t xml:space="preserve"> for “will power.” </w:t>
      </w:r>
      <w:r>
        <w:t xml:space="preserve">The princi­ple is </w:t>
      </w:r>
      <w:r w:rsidRPr="00CD65EF">
        <w:rPr>
          <w:u w:val="single"/>
        </w:rPr>
        <w:t>not that an individual person or firm will control itself, but rather that an industry will control its members</w:t>
      </w:r>
      <w:r>
        <w:t xml:space="preserve">. That will not necessarily work, but </w:t>
      </w:r>
      <w:r w:rsidRPr="00CD65EF">
        <w:rPr>
          <w:u w:val="single"/>
        </w:rPr>
        <w:t>it can work in a market setting if the individual firms recognize that their long-term prosperity depends on mutual constraint</w:t>
      </w:r>
      <w:r>
        <w:t xml:space="preserve">. </w:t>
      </w:r>
      <w:r w:rsidRPr="00CD65EF">
        <w:rPr>
          <w:u w:val="single"/>
        </w:rPr>
        <w:t>As one scholar concluded from a study of self-regulation in the nuclear power and chemical manufacturing industries: “[T]he key to the rise of self-regulation was the industry’s collective perception of itself as a ‘community of fate</w:t>
      </w:r>
      <w:r>
        <w:t>.’ Each industry’s future prosperity was seen as depending upon its ability to impose collective self-restraint on its members’ profit-seeking activities in the name of public safety.”34</w:t>
      </w:r>
    </w:p>
    <w:p w14:paraId="3F3B3DC5" w14:textId="77777777" w:rsidR="00D91D7C" w:rsidRPr="00805A42" w:rsidRDefault="00D91D7C" w:rsidP="00D91D7C">
      <w:r>
        <w:t xml:space="preserve">If that is the case, </w:t>
      </w:r>
      <w:r w:rsidRPr="00CD65EF">
        <w:rPr>
          <w:u w:val="single"/>
        </w:rPr>
        <w:t xml:space="preserve">then one setting where one would expect self-regulation to fail is where the industry </w:t>
      </w:r>
      <w:r w:rsidRPr="009727FB">
        <w:rPr>
          <w:rStyle w:val="Emphasis"/>
        </w:rPr>
        <w:t>consists of a single monopolist</w:t>
      </w:r>
      <w:r w:rsidRPr="00CD65EF">
        <w:rPr>
          <w:b/>
          <w:bCs/>
          <w:u w:val="single"/>
        </w:rPr>
        <w:t xml:space="preserve"> </w:t>
      </w:r>
      <w:r w:rsidRPr="00CD65EF">
        <w:rPr>
          <w:u w:val="single"/>
        </w:rPr>
        <w:t xml:space="preserve">or, relatedly, </w:t>
      </w:r>
      <w:r>
        <w:t xml:space="preserve">where there are multiple players but </w:t>
      </w:r>
      <w:r w:rsidRPr="00CD65EF">
        <w:rPr>
          <w:u w:val="single"/>
        </w:rPr>
        <w:t>the industry produces a good for which there are no substitutes</w:t>
      </w:r>
      <w:r>
        <w:t xml:space="preserve">. </w:t>
      </w:r>
      <w:r w:rsidRPr="00CD65EF">
        <w:rPr>
          <w:u w:val="single"/>
        </w:rPr>
        <w:t>The federal judiciary is one such setting; it enjoys a constitutionally established monopoly on adjudication</w:t>
      </w:r>
      <w:r>
        <w:t>. Therefore, norms of conduct would have to be overwhelmingly powerful for self-regulation to function effectively.</w:t>
      </w:r>
    </w:p>
    <w:p w14:paraId="5EBD8B8D" w14:textId="77777777" w:rsidR="00D91D7C" w:rsidRDefault="00D91D7C" w:rsidP="00D91D7C">
      <w:pPr>
        <w:pStyle w:val="Heading3"/>
      </w:pPr>
      <w:r>
        <w:t>1NC – AT: Democracy</w:t>
      </w:r>
    </w:p>
    <w:p w14:paraId="289F8A06" w14:textId="77777777" w:rsidR="00D91D7C" w:rsidRPr="00AD718D" w:rsidRDefault="00D91D7C" w:rsidP="00D91D7C">
      <w:pPr>
        <w:pStyle w:val="Heading4"/>
      </w:pPr>
      <w:r>
        <w:t>Democracy doesn’t solve war.</w:t>
      </w:r>
    </w:p>
    <w:p w14:paraId="0B7ECDF1" w14:textId="77777777" w:rsidR="00D91D7C" w:rsidRDefault="00D91D7C" w:rsidP="00D91D7C">
      <w:r>
        <w:rPr>
          <w:rStyle w:val="Style13ptBold"/>
        </w:rPr>
        <w:t>Larison 12</w:t>
      </w:r>
      <w:r>
        <w:t xml:space="preserve"> – Daniel Larison, senior editor at The American Conservative and PhD in history from the University of Chicago, April 17</w:t>
      </w:r>
      <w:r w:rsidRPr="00B859E0">
        <w:rPr>
          <w:vertAlign w:val="superscript"/>
        </w:rPr>
        <w:t>th</w:t>
      </w:r>
      <w:r>
        <w:t xml:space="preserve"> ("Democratic Peace Theory Is False," The American Conservative, available online at https://www.theamericanconservative.com/larison/democratic-peace-theory-is-false/, accessed 7-5-2020) LR</w:t>
      </w:r>
    </w:p>
    <w:p w14:paraId="1AAF4E26" w14:textId="77777777" w:rsidR="00D91D7C" w:rsidRPr="00180D2B" w:rsidRDefault="00D91D7C" w:rsidP="00D91D7C">
      <w:pPr>
        <w:rPr>
          <w:sz w:val="16"/>
        </w:rPr>
      </w:pPr>
      <w:r w:rsidRPr="00180D2B">
        <w:rPr>
          <w:sz w:val="16"/>
        </w:rPr>
        <w:t xml:space="preserve">Rojas’ claim depends entirely on the meaning of “genuine democracy.” Even though </w:t>
      </w:r>
      <w:r w:rsidRPr="00180D2B">
        <w:rPr>
          <w:rStyle w:val="StyleUnderline"/>
        </w:rPr>
        <w:t xml:space="preserve">there are </w:t>
      </w:r>
      <w:r w:rsidRPr="008618FE">
        <w:rPr>
          <w:rStyle w:val="Emphasis"/>
        </w:rPr>
        <w:t>numerous examples</w:t>
      </w:r>
      <w:r w:rsidRPr="00180D2B">
        <w:rPr>
          <w:rStyle w:val="StyleUnderline"/>
        </w:rPr>
        <w:t xml:space="preserve"> of wars between states with universal male suffrage and elected governments</w:t>
      </w:r>
      <w:r w:rsidRPr="00180D2B">
        <w:rPr>
          <w:sz w:val="16"/>
        </w:rPr>
        <w:t xml:space="preserve"> (</w:t>
      </w:r>
      <w:r w:rsidRPr="00180D2B">
        <w:rPr>
          <w:rStyle w:val="StyleUnderline"/>
        </w:rPr>
        <w:t>including</w:t>
      </w:r>
      <w:r w:rsidRPr="00180D2B">
        <w:rPr>
          <w:sz w:val="16"/>
        </w:rPr>
        <w:t xml:space="preserve"> that little dust-up known as </w:t>
      </w:r>
      <w:r w:rsidRPr="00180D2B">
        <w:rPr>
          <w:rStyle w:val="StyleUnderline"/>
        </w:rPr>
        <w:t>WWI</w:t>
      </w:r>
      <w:r w:rsidRPr="00180D2B">
        <w:rPr>
          <w:sz w:val="16"/>
        </w:rPr>
        <w:t xml:space="preserve">), the states in question probably don’t qualify as “genuine” democracies and so can’t be used as counter-examples. Regardless, </w:t>
      </w:r>
      <w:r w:rsidRPr="00180D2B">
        <w:rPr>
          <w:rStyle w:val="StyleUnderline"/>
        </w:rPr>
        <w:t xml:space="preserve">democratic peace theory </w:t>
      </w:r>
      <w:r w:rsidRPr="00DF3B5C">
        <w:rPr>
          <w:rStyle w:val="StyleUnderline"/>
        </w:rPr>
        <w:t xml:space="preserve">draws </w:t>
      </w:r>
      <w:r w:rsidRPr="00DF3B5C">
        <w:rPr>
          <w:rStyle w:val="Emphasis"/>
        </w:rPr>
        <w:t>broad conclusions</w:t>
      </w:r>
      <w:r w:rsidRPr="00DF3B5C">
        <w:rPr>
          <w:rStyle w:val="StyleUnderline"/>
        </w:rPr>
        <w:t xml:space="preserve"> from a</w:t>
      </w:r>
      <w:r w:rsidRPr="00180D2B">
        <w:rPr>
          <w:rStyle w:val="StyleUnderline"/>
        </w:rPr>
        <w:t xml:space="preserve"> short period</w:t>
      </w:r>
      <w:r w:rsidRPr="00180D2B">
        <w:rPr>
          <w:sz w:val="16"/>
        </w:rPr>
        <w:t xml:space="preserve"> in modern history </w:t>
      </w:r>
      <w:r w:rsidRPr="00180D2B">
        <w:rPr>
          <w:rStyle w:val="StyleUnderline"/>
        </w:rPr>
        <w:t xml:space="preserve">with </w:t>
      </w:r>
      <w:r w:rsidRPr="00DF3B5C">
        <w:rPr>
          <w:rStyle w:val="Emphasis"/>
        </w:rPr>
        <w:t>very few cases</w:t>
      </w:r>
      <w:r w:rsidRPr="00180D2B">
        <w:rPr>
          <w:rStyle w:val="StyleUnderline"/>
        </w:rPr>
        <w:t xml:space="preserve"> before the 20th century.</w:t>
      </w:r>
      <w:r w:rsidRPr="00180D2B">
        <w:rPr>
          <w:sz w:val="16"/>
        </w:rPr>
        <w:t xml:space="preserve"> The core of </w:t>
      </w:r>
      <w:r w:rsidRPr="00180D2B">
        <w:rPr>
          <w:rStyle w:val="StyleUnderline"/>
        </w:rPr>
        <w:t>democratic peace theory</w:t>
      </w:r>
      <w:r w:rsidRPr="00180D2B">
        <w:rPr>
          <w:sz w:val="16"/>
        </w:rPr>
        <w:t xml:space="preserve">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w:t>
      </w:r>
      <w:r w:rsidRPr="00180D2B">
        <w:rPr>
          <w:rStyle w:val="StyleUnderline"/>
        </w:rPr>
        <w:t xml:space="preserve">is </w:t>
      </w:r>
      <w:r w:rsidRPr="008618FE">
        <w:rPr>
          <w:rStyle w:val="Emphasis"/>
        </w:rPr>
        <w:t>rubbish</w:t>
      </w:r>
      <w:r w:rsidRPr="00180D2B">
        <w:rPr>
          <w:sz w:val="16"/>
        </w:rPr>
        <w:t>.</w:t>
      </w:r>
    </w:p>
    <w:p w14:paraId="5255D91A" w14:textId="77777777" w:rsidR="00D91D7C" w:rsidRPr="00180D2B" w:rsidRDefault="00D91D7C" w:rsidP="00D91D7C">
      <w:pPr>
        <w:rPr>
          <w:sz w:val="16"/>
        </w:rPr>
      </w:pPr>
      <w:r w:rsidRPr="00180D2B">
        <w:rPr>
          <w:rStyle w:val="StyleUnderline"/>
        </w:rPr>
        <w:t>Democracies in antiquity fought</w:t>
      </w:r>
      <w:r w:rsidRPr="00180D2B">
        <w:rPr>
          <w:sz w:val="16"/>
        </w:rPr>
        <w:t xml:space="preserve"> against </w:t>
      </w:r>
      <w:r w:rsidRPr="00180D2B">
        <w:rPr>
          <w:rStyle w:val="StyleUnderline"/>
        </w:rPr>
        <w:t xml:space="preserve">one another. Political equality and voting do not abolish </w:t>
      </w:r>
      <w:r w:rsidRPr="008618FE">
        <w:rPr>
          <w:rStyle w:val="Emphasis"/>
        </w:rPr>
        <w:t>conflicts of interest</w:t>
      </w:r>
      <w:r w:rsidRPr="00180D2B">
        <w:rPr>
          <w:rStyle w:val="StyleUnderline"/>
        </w:rPr>
        <w:t xml:space="preserve"> between competing states. Democratic peace theory doesn’t account for</w:t>
      </w:r>
      <w:r w:rsidRPr="00180D2B">
        <w:rPr>
          <w:sz w:val="16"/>
        </w:rPr>
        <w:t xml:space="preserve"> the </w:t>
      </w:r>
      <w:r w:rsidRPr="00180D2B">
        <w:rPr>
          <w:rStyle w:val="StyleUnderline"/>
        </w:rPr>
        <w:t xml:space="preserve">effects of </w:t>
      </w:r>
      <w:r w:rsidRPr="008618FE">
        <w:rPr>
          <w:rStyle w:val="Emphasis"/>
        </w:rPr>
        <w:t>nationalist and imperialist ideologies</w:t>
      </w:r>
      <w:r w:rsidRPr="00180D2B">
        <w:rPr>
          <w:rStyle w:val="StyleUnderline"/>
        </w:rPr>
        <w:t xml:space="preserve"> on the way democratic nations think about war. Democratic nations that have </w:t>
      </w:r>
      <w:r w:rsidRPr="00180D2B">
        <w:rPr>
          <w:sz w:val="16"/>
        </w:rPr>
        <w:t xml:space="preserve">professional </w:t>
      </w:r>
      <w:r w:rsidRPr="00180D2B">
        <w:rPr>
          <w:rStyle w:val="StyleUnderline"/>
        </w:rPr>
        <w:t>armies</w:t>
      </w:r>
      <w:r w:rsidRPr="00180D2B">
        <w:rPr>
          <w:sz w:val="16"/>
        </w:rPr>
        <w:t xml:space="preserve"> to do the fighting for them </w:t>
      </w:r>
      <w:r w:rsidRPr="00180D2B">
        <w:rPr>
          <w:rStyle w:val="StyleUnderline"/>
        </w:rPr>
        <w:t>are often enthusiastic about overseas wars.</w:t>
      </w:r>
      <w:r w:rsidRPr="00180D2B">
        <w:rPr>
          <w:sz w:val="16"/>
        </w:rPr>
        <w:t xml:space="preserve"> The Conservative-Unionist government that waged the </w:t>
      </w:r>
      <w:r w:rsidRPr="00180D2B">
        <w:rPr>
          <w:rStyle w:val="StyleUnderline"/>
        </w:rPr>
        <w:t>South African War</w:t>
      </w:r>
      <w:r w:rsidRPr="00180D2B">
        <w:rPr>
          <w:sz w:val="16"/>
        </w:rPr>
        <w:t xml:space="preserve"> (against two states with elected governments, I might add) </w:t>
      </w:r>
      <w:r w:rsidRPr="00180D2B">
        <w:rPr>
          <w:rStyle w:val="StyleUnderline"/>
        </w:rPr>
        <w:t>enjoyed great popular support</w:t>
      </w:r>
      <w:r w:rsidRPr="00180D2B">
        <w:rPr>
          <w:sz w:val="16"/>
        </w:rPr>
        <w:t xml:space="preserve"> and won a huge majority in the “Khaki” election that followed.</w:t>
      </w:r>
    </w:p>
    <w:p w14:paraId="4276975B" w14:textId="77777777" w:rsidR="00D91D7C" w:rsidRPr="008618FE" w:rsidRDefault="00D91D7C" w:rsidP="00D91D7C">
      <w:pPr>
        <w:rPr>
          <w:rStyle w:val="StyleUnderline"/>
        </w:rPr>
      </w:pPr>
      <w:r w:rsidRPr="008618FE">
        <w:rPr>
          <w:sz w:val="16"/>
        </w:rPr>
        <w:t xml:space="preserve">As long as it goes well and doesn’t have too many costs, </w:t>
      </w:r>
      <w:r w:rsidRPr="008618FE">
        <w:rPr>
          <w:rStyle w:val="Emphasis"/>
        </w:rPr>
        <w:t>war can be quite popular</w:t>
      </w:r>
      <w:r w:rsidRPr="008618FE">
        <w:rPr>
          <w:sz w:val="16"/>
        </w:rPr>
        <w:t xml:space="preserve">, and </w:t>
      </w:r>
      <w:r w:rsidRPr="008618FE">
        <w:rPr>
          <w:rStyle w:val="StyleUnderline"/>
        </w:rPr>
        <w:t>even if the war is costly</w:t>
      </w:r>
      <w:r w:rsidRPr="008618FE">
        <w:rPr>
          <w:sz w:val="16"/>
        </w:rPr>
        <w:t xml:space="preserve"> it may still be popular if </w:t>
      </w:r>
      <w:r w:rsidRPr="008618FE">
        <w:rPr>
          <w:rStyle w:val="StyleUnderline"/>
        </w:rPr>
        <w:t>it is fought for nationalist reasons</w:t>
      </w:r>
      <w:r w:rsidRPr="008618FE">
        <w:rPr>
          <w:sz w:val="16"/>
        </w:rPr>
        <w:t xml:space="preserve"> that </w:t>
      </w:r>
      <w:r w:rsidRPr="008618FE">
        <w:rPr>
          <w:rStyle w:val="StyleUnderline"/>
        </w:rPr>
        <w:t>appeal to a majority of the public. If the public is whipped into thinking</w:t>
      </w:r>
      <w:r w:rsidRPr="008618FE">
        <w:rPr>
          <w:sz w:val="16"/>
        </w:rPr>
        <w:t xml:space="preserve"> that </w:t>
      </w:r>
      <w:r w:rsidRPr="008618FE">
        <w:rPr>
          <w:rStyle w:val="StyleUnderline"/>
        </w:rPr>
        <w:t>there is an intolerable foreign threat or</w:t>
      </w:r>
      <w:r w:rsidRPr="008618FE">
        <w:rPr>
          <w:sz w:val="16"/>
        </w:rPr>
        <w:t xml:space="preserve"> if they believe that </w:t>
      </w:r>
      <w:r w:rsidRPr="008618FE">
        <w:rPr>
          <w:rStyle w:val="StyleUnderline"/>
        </w:rPr>
        <w:t>their country can gain something</w:t>
      </w:r>
      <w:r w:rsidRPr="008618FE">
        <w:rPr>
          <w:sz w:val="16"/>
        </w:rPr>
        <w:t xml:space="preserve"> at relatively low cost by going to war, </w:t>
      </w:r>
      <w:r w:rsidRPr="008618FE">
        <w:rPr>
          <w:rStyle w:val="StyleUnderline"/>
        </w:rPr>
        <w:t xml:space="preserve">the </w:t>
      </w:r>
      <w:r w:rsidRPr="008618FE">
        <w:rPr>
          <w:rStyle w:val="Emphasis"/>
        </w:rPr>
        <w:t>type of government</w:t>
      </w:r>
      <w:r w:rsidRPr="008618FE">
        <w:rPr>
          <w:sz w:val="16"/>
        </w:rPr>
        <w:t xml:space="preserve"> they have really </w:t>
      </w:r>
      <w:r w:rsidRPr="008618FE">
        <w:rPr>
          <w:rStyle w:val="Emphasis"/>
        </w:rPr>
        <w:t>is irrelevant</w:t>
      </w:r>
      <w:r w:rsidRPr="008618FE">
        <w:rPr>
          <w:rStyle w:val="StyleUnderline"/>
        </w:rPr>
        <w:t>.</w:t>
      </w:r>
      <w:r w:rsidRPr="008618FE">
        <w:rPr>
          <w:sz w:val="16"/>
        </w:rPr>
        <w:t xml:space="preserve"> Unless a democratic public believes that a military conflict will go badly for their military, they may be ready to welcome the outbreak of a war that they expect to win. Setting aside the flaws and failures of U.S.-led democracy promotion for a moment, </w:t>
      </w:r>
      <w:r w:rsidRPr="008618FE">
        <w:rPr>
          <w:rStyle w:val="StyleUnderline"/>
        </w:rPr>
        <w:t>the idea that reducing</w:t>
      </w:r>
      <w:r w:rsidRPr="008618FE">
        <w:rPr>
          <w:sz w:val="16"/>
        </w:rPr>
        <w:t xml:space="preserve"> the </w:t>
      </w:r>
      <w:r w:rsidRPr="008618FE">
        <w:rPr>
          <w:rStyle w:val="StyleUnderline"/>
        </w:rPr>
        <w:t>number of non-democracies makes war less likely is</w:t>
      </w:r>
      <w:r w:rsidRPr="008618FE">
        <w:rPr>
          <w:sz w:val="16"/>
        </w:rPr>
        <w:t xml:space="preserve"> </w:t>
      </w:r>
      <w:r w:rsidRPr="00DF3B5C">
        <w:rPr>
          <w:rStyle w:val="Emphasis"/>
        </w:rPr>
        <w:t>just fantasy</w:t>
      </w:r>
      <w:r w:rsidRPr="008618FE">
        <w:rPr>
          <w:rStyle w:val="StyleUnderline"/>
        </w:rPr>
        <w:t>. Clashing interests</w:t>
      </w:r>
      <w:r w:rsidRPr="008618FE">
        <w:rPr>
          <w:sz w:val="16"/>
        </w:rPr>
        <w:t xml:space="preserve"> between states </w:t>
      </w:r>
      <w:r w:rsidRPr="008618FE">
        <w:rPr>
          <w:rStyle w:val="StyleUnderline"/>
        </w:rPr>
        <w:t xml:space="preserve">aren’t going away, </w:t>
      </w:r>
      <w:r w:rsidRPr="00DF3B5C">
        <w:rPr>
          <w:rStyle w:val="StyleUnderline"/>
        </w:rPr>
        <w:t>and the more democratic states there</w:t>
      </w:r>
      <w:r w:rsidRPr="008618FE">
        <w:rPr>
          <w:rStyle w:val="StyleUnderline"/>
        </w:rPr>
        <w:t xml:space="preserve"> are</w:t>
      </w:r>
      <w:r w:rsidRPr="008618FE">
        <w:rPr>
          <w:sz w:val="16"/>
        </w:rPr>
        <w:t xml:space="preserve"> in the world </w:t>
      </w:r>
      <w:r w:rsidRPr="00DF3B5C">
        <w:rPr>
          <w:rStyle w:val="StyleUnderline"/>
        </w:rPr>
        <w:t>the more likely it is that two or</w:t>
      </w:r>
      <w:r w:rsidRPr="008618FE">
        <w:rPr>
          <w:rStyle w:val="StyleUnderline"/>
        </w:rPr>
        <w:t xml:space="preserve"> more</w:t>
      </w:r>
      <w:r w:rsidRPr="008618FE">
        <w:rPr>
          <w:sz w:val="16"/>
        </w:rPr>
        <w:t xml:space="preserve"> of them </w:t>
      </w:r>
      <w:r w:rsidRPr="008618FE">
        <w:rPr>
          <w:rStyle w:val="StyleUnderline"/>
        </w:rPr>
        <w:t xml:space="preserve">will </w:t>
      </w:r>
      <w:r w:rsidRPr="008618FE">
        <w:rPr>
          <w:rStyle w:val="Emphasis"/>
        </w:rPr>
        <w:t>eventually fight one another</w:t>
      </w:r>
      <w:r w:rsidRPr="008618FE">
        <w:rPr>
          <w:rStyle w:val="StyleUnderline"/>
        </w:rPr>
        <w:t>.</w:t>
      </w:r>
    </w:p>
    <w:p w14:paraId="5A9960E3" w14:textId="77777777" w:rsidR="00D91D7C" w:rsidRDefault="00D91D7C" w:rsidP="00D91D7C">
      <w:pPr>
        <w:pStyle w:val="Heading3"/>
      </w:pPr>
      <w:r>
        <w:t>2NC – AT: Democracy</w:t>
      </w:r>
    </w:p>
    <w:p w14:paraId="4926D4B5" w14:textId="77777777" w:rsidR="00D91D7C" w:rsidRDefault="00D91D7C" w:rsidP="00D91D7C">
      <w:pPr>
        <w:pStyle w:val="Heading4"/>
      </w:pPr>
      <w:r>
        <w:t xml:space="preserve">Economics, </w:t>
      </w:r>
      <w:r w:rsidRPr="00AB6353">
        <w:rPr>
          <w:u w:val="single"/>
        </w:rPr>
        <w:t>NOT</w:t>
      </w:r>
      <w:r>
        <w:t xml:space="preserve"> democracy, solves war.</w:t>
      </w:r>
    </w:p>
    <w:p w14:paraId="71BB0156" w14:textId="77777777" w:rsidR="00D91D7C" w:rsidRPr="004B0C84" w:rsidRDefault="00D91D7C" w:rsidP="00D91D7C">
      <w:r>
        <w:rPr>
          <w:rStyle w:val="Style13ptBold"/>
        </w:rPr>
        <w:t>Makovi 16</w:t>
      </w:r>
      <w:r>
        <w:t xml:space="preserve"> – Michael Makovi, Bachelor’s in economics at Loyola University in New Orleans, March 25</w:t>
      </w:r>
      <w:r w:rsidRPr="00736A7E">
        <w:rPr>
          <w:vertAlign w:val="superscript"/>
        </w:rPr>
        <w:t>th</w:t>
      </w:r>
      <w:r>
        <w:t xml:space="preserve"> ("The Foreign Policy of a Democratic Socialist Regime: From Intervention to Protection to Warfare," Munich Personal RePEc Archive, available online at https://mpra.ub.uni-muenchen.de/70308/1/MPRA_paper_70308.pdf, accessed 7-5-2020) LR </w:t>
      </w:r>
    </w:p>
    <w:p w14:paraId="2E2F3B6D" w14:textId="77777777" w:rsidR="00D91D7C" w:rsidRPr="00AB6353" w:rsidRDefault="00D91D7C" w:rsidP="00D91D7C">
      <w:pPr>
        <w:rPr>
          <w:u w:val="single"/>
        </w:rPr>
      </w:pPr>
      <w:r w:rsidRPr="00D3317F">
        <w:rPr>
          <w:sz w:val="16"/>
        </w:rPr>
        <w:t xml:space="preserve">The </w:t>
      </w:r>
      <w:r w:rsidRPr="004B0C84">
        <w:rPr>
          <w:rStyle w:val="StyleUnderline"/>
        </w:rPr>
        <w:t>democratic peace theory is</w:t>
      </w:r>
      <w:r w:rsidRPr="00D3317F">
        <w:rPr>
          <w:sz w:val="16"/>
        </w:rPr>
        <w:t xml:space="preserve"> therefore </w:t>
      </w:r>
      <w:r w:rsidRPr="004B3A57">
        <w:rPr>
          <w:rStyle w:val="Emphasis"/>
        </w:rPr>
        <w:t>false</w:t>
      </w:r>
      <w:r w:rsidRPr="00D3317F">
        <w:rPr>
          <w:sz w:val="16"/>
        </w:rPr>
        <w:t xml:space="preserve">, at least in its simplest form: </w:t>
      </w:r>
      <w:r w:rsidRPr="004B0C84">
        <w:rPr>
          <w:rStyle w:val="StyleUnderline"/>
        </w:rPr>
        <w:t>it cannot be true that democracies never go to war against each other simply because they are democracies. If anything</w:t>
      </w:r>
      <w:r w:rsidRPr="00D3317F">
        <w:rPr>
          <w:sz w:val="16"/>
        </w:rPr>
        <w:t xml:space="preserve">, unlimited </w:t>
      </w:r>
      <w:r w:rsidRPr="004B0C84">
        <w:rPr>
          <w:rStyle w:val="StyleUnderline"/>
        </w:rPr>
        <w:t xml:space="preserve">democracies will </w:t>
      </w:r>
      <w:r w:rsidRPr="004B3A57">
        <w:rPr>
          <w:rStyle w:val="Emphasis"/>
        </w:rPr>
        <w:t>go to war more often</w:t>
      </w:r>
      <w:r w:rsidRPr="004B0C84">
        <w:rPr>
          <w:rStyle w:val="StyleUnderline"/>
        </w:rPr>
        <w:t xml:space="preserve"> because they are </w:t>
      </w:r>
      <w:r w:rsidRPr="004B3A57">
        <w:rPr>
          <w:rStyle w:val="Emphasis"/>
        </w:rPr>
        <w:t>nationalistic</w:t>
      </w:r>
      <w:r w:rsidRPr="004B0C84">
        <w:rPr>
          <w:rStyle w:val="StyleUnderline"/>
        </w:rPr>
        <w:t>. If a populist demagogue wins a democratic election</w:t>
      </w:r>
      <w:r w:rsidRPr="00D3317F">
        <w:rPr>
          <w:sz w:val="16"/>
        </w:rPr>
        <w:t xml:space="preserve"> by declaring that Mexico's prosperity comes at the expense of the welfare of the United States, or by preaching the doctrine that Germans cannot be rich unless Frenchmen are poor, </w:t>
      </w:r>
      <w:r w:rsidRPr="004B0C84">
        <w:rPr>
          <w:rStyle w:val="StyleUnderline"/>
        </w:rPr>
        <w:t>it is hard to understand how this will not</w:t>
      </w:r>
      <w:r w:rsidRPr="00D3317F">
        <w:rPr>
          <w:sz w:val="16"/>
        </w:rPr>
        <w:t xml:space="preserve"> tend to </w:t>
      </w:r>
      <w:r w:rsidRPr="004B0C84">
        <w:rPr>
          <w:rStyle w:val="StyleUnderline"/>
        </w:rPr>
        <w:t>magnify international conflict.</w:t>
      </w:r>
      <w:r w:rsidRPr="00D3317F">
        <w:rPr>
          <w:sz w:val="16"/>
        </w:rPr>
        <w:t xml:space="preserve"> The doctrine that foreign commerce is a zero-sum game is incompatible with world peace. </w:t>
      </w:r>
      <w:r w:rsidRPr="00D3317F">
        <w:rPr>
          <w:rStyle w:val="StyleUnderline"/>
        </w:rPr>
        <w:t>If</w:t>
      </w:r>
      <w:r w:rsidRPr="00D3317F">
        <w:rPr>
          <w:sz w:val="16"/>
        </w:rPr>
        <w:t xml:space="preserve"> there is </w:t>
      </w:r>
      <w:r w:rsidRPr="00D3317F">
        <w:rPr>
          <w:rStyle w:val="StyleUnderline"/>
        </w:rPr>
        <w:t>any nation</w:t>
      </w:r>
      <w:r w:rsidRPr="00D3317F">
        <w:rPr>
          <w:sz w:val="16"/>
        </w:rPr>
        <w:t xml:space="preserve"> which is </w:t>
      </w:r>
      <w:r w:rsidRPr="00D3317F">
        <w:rPr>
          <w:rStyle w:val="StyleUnderline"/>
        </w:rPr>
        <w:t>less likely to go to war</w:t>
      </w:r>
      <w:r w:rsidRPr="00D3317F">
        <w:rPr>
          <w:sz w:val="16"/>
        </w:rPr>
        <w:t xml:space="preserve">, it is those </w:t>
      </w:r>
      <w:r w:rsidRPr="00D3317F">
        <w:rPr>
          <w:rStyle w:val="StyleUnderline"/>
        </w:rPr>
        <w:t xml:space="preserve">nations which permit </w:t>
      </w:r>
      <w:r w:rsidRPr="004B3A57">
        <w:rPr>
          <w:rStyle w:val="Emphasis"/>
        </w:rPr>
        <w:t>international free-trade</w:t>
      </w:r>
      <w:r w:rsidRPr="00D3317F">
        <w:rPr>
          <w:rStyle w:val="StyleUnderline"/>
        </w:rPr>
        <w:t xml:space="preserve"> at the </w:t>
      </w:r>
      <w:r w:rsidRPr="004B3A57">
        <w:rPr>
          <w:rStyle w:val="Emphasis"/>
        </w:rPr>
        <w:t>expense of</w:t>
      </w:r>
      <w:r w:rsidRPr="00D3317F">
        <w:rPr>
          <w:sz w:val="16"/>
        </w:rPr>
        <w:t xml:space="preserve"> popular or national </w:t>
      </w:r>
      <w:r w:rsidRPr="004B3A57">
        <w:rPr>
          <w:rStyle w:val="Emphasis"/>
        </w:rPr>
        <w:t>sovereignty</w:t>
      </w:r>
      <w:r w:rsidRPr="00D3317F">
        <w:rPr>
          <w:sz w:val="16"/>
        </w:rPr>
        <w:t xml:space="preserve"> because they understand that trade is a mutually beneficial, positive-sum game. Emphasis should be placed on the third of Woodrow Wilson's “Fourteen Points” (1918), calling for “The removal, so far as possible, of all economic barriers and the establishment of an equality of trade conditions among all the nations consenting to the peace and associating themselves for its maintenance.” “Wilson['s] . . . idea that . . . democracies cannot derive any profit from conquest and therefore cling to peace . . . is valid only within a system of private ownership of the means of production, free enterprise, and unhampered market economy” (Mises 1984 [1944]: 5). The fact that Europe has been </w:t>
      </w:r>
      <w:r w:rsidRPr="00D3317F">
        <w:rPr>
          <w:rStyle w:val="StyleUnderline"/>
        </w:rPr>
        <w:t>peaceful</w:t>
      </w:r>
      <w:r w:rsidRPr="00D3317F">
        <w:rPr>
          <w:sz w:val="16"/>
        </w:rPr>
        <w:t xml:space="preserve"> since World War II </w:t>
      </w:r>
      <w:r w:rsidRPr="00D3317F">
        <w:rPr>
          <w:rStyle w:val="StyleUnderline"/>
        </w:rPr>
        <w:t xml:space="preserve">has </w:t>
      </w:r>
      <w:r w:rsidRPr="004B3A57">
        <w:rPr>
          <w:rStyle w:val="Emphasis"/>
        </w:rPr>
        <w:t>less to do with democracy</w:t>
      </w:r>
      <w:r w:rsidRPr="00D3317F">
        <w:rPr>
          <w:rStyle w:val="StyleUnderline"/>
        </w:rPr>
        <w:t xml:space="preserve"> and more to do with the </w:t>
      </w:r>
      <w:r w:rsidRPr="004B3A57">
        <w:rPr>
          <w:rStyle w:val="Emphasis"/>
        </w:rPr>
        <w:t>common market</w:t>
      </w:r>
      <w:r w:rsidRPr="00D3317F">
        <w:rPr>
          <w:sz w:val="16"/>
        </w:rPr>
        <w:t xml:space="preserve"> which has united Europe economically since 1957.8 </w:t>
      </w:r>
      <w:r w:rsidRPr="00D3317F">
        <w:rPr>
          <w:rStyle w:val="StyleUnderline"/>
        </w:rPr>
        <w:t>This</w:t>
      </w:r>
      <w:r w:rsidRPr="00D3317F">
        <w:rPr>
          <w:sz w:val="16"/>
        </w:rPr>
        <w:t xml:space="preserve"> common </w:t>
      </w:r>
      <w:r w:rsidRPr="00D3317F">
        <w:rPr>
          <w:rStyle w:val="StyleUnderline"/>
        </w:rPr>
        <w:t>market</w:t>
      </w:r>
      <w:r w:rsidRPr="00D3317F">
        <w:rPr>
          <w:sz w:val="16"/>
        </w:rPr>
        <w:t xml:space="preserve"> is certainly liberal but </w:t>
      </w:r>
      <w:r w:rsidRPr="00D3317F">
        <w:rPr>
          <w:rStyle w:val="StyleUnderline"/>
        </w:rPr>
        <w:t xml:space="preserve">it is </w:t>
      </w:r>
      <w:r w:rsidRPr="004B3A57">
        <w:rPr>
          <w:rStyle w:val="Emphasis"/>
        </w:rPr>
        <w:t>undemocratic</w:t>
      </w:r>
      <w:r w:rsidRPr="00D3317F">
        <w:rPr>
          <w:rStyle w:val="StyleUnderline"/>
        </w:rPr>
        <w:t xml:space="preserve"> insofar as it deprives</w:t>
      </w:r>
      <w:r w:rsidRPr="00D3317F">
        <w:rPr>
          <w:sz w:val="16"/>
        </w:rPr>
        <w:t xml:space="preserve"> domestic European </w:t>
      </w:r>
      <w:r w:rsidRPr="00D3317F">
        <w:rPr>
          <w:rStyle w:val="StyleUnderline"/>
        </w:rPr>
        <w:t>states of complete democratic sovereignty.</w:t>
      </w:r>
      <w:r w:rsidRPr="00D3317F">
        <w:rPr>
          <w:sz w:val="16"/>
        </w:rPr>
        <w:t xml:space="preserve"> In other words, </w:t>
      </w:r>
      <w:r w:rsidRPr="00D3317F">
        <w:rPr>
          <w:rStyle w:val="StyleUnderline"/>
        </w:rPr>
        <w:t>if democracies have in fact been</w:t>
      </w:r>
      <w:r w:rsidRPr="00D3317F">
        <w:rPr>
          <w:sz w:val="16"/>
        </w:rPr>
        <w:t xml:space="preserve"> less </w:t>
      </w:r>
      <w:r w:rsidRPr="00D3317F">
        <w:rPr>
          <w:rStyle w:val="StyleUnderline"/>
        </w:rPr>
        <w:t>less likely to go to war, it is because they</w:t>
      </w:r>
      <w:r w:rsidRPr="00D3317F">
        <w:rPr>
          <w:sz w:val="16"/>
        </w:rPr>
        <w:t xml:space="preserve"> have </w:t>
      </w:r>
      <w:r w:rsidRPr="00D3317F">
        <w:rPr>
          <w:rStyle w:val="StyleUnderline"/>
        </w:rPr>
        <w:t xml:space="preserve">tended to be </w:t>
      </w:r>
      <w:r w:rsidRPr="004B3A57">
        <w:rPr>
          <w:rStyle w:val="Emphasis"/>
        </w:rPr>
        <w:t>more liberal than democratic</w:t>
      </w:r>
      <w:r w:rsidRPr="00D3317F">
        <w:rPr>
          <w:rStyle w:val="StyleUnderline"/>
        </w:rPr>
        <w:t>.</w:t>
      </w:r>
    </w:p>
    <w:p w14:paraId="65078FC0" w14:textId="77777777" w:rsidR="00D91D7C" w:rsidRDefault="00D91D7C" w:rsidP="00D91D7C">
      <w:pPr>
        <w:pStyle w:val="Heading4"/>
      </w:pPr>
      <w:r>
        <w:t>Racism is an alt cause.</w:t>
      </w:r>
    </w:p>
    <w:p w14:paraId="6E2299B4" w14:textId="77777777" w:rsidR="00D91D7C" w:rsidRDefault="00D91D7C" w:rsidP="00D91D7C">
      <w:r>
        <w:rPr>
          <w:rStyle w:val="Style13ptBold"/>
        </w:rPr>
        <w:t>Hathaway and Markovits 20</w:t>
      </w:r>
      <w:r>
        <w:t xml:space="preserve"> – Oona Hathaway, the Gerard C. and Bernice Latrobe Smith Professor of International Law at Yale Law School and director of the Center for Global Legal Challenges at Yale Law School, and Daniel Markovits, Guido Calabresi Professor of Law at Yale Law School and Founding Director of the Center for the Study of Private Law, June 16</w:t>
      </w:r>
      <w:r w:rsidRPr="004654CB">
        <w:rPr>
          <w:vertAlign w:val="superscript"/>
        </w:rPr>
        <w:t>th</w:t>
      </w:r>
      <w:r>
        <w:t xml:space="preserve"> ("Black Lives Matter Might Just Rescue American Democracy," Just Security, available online at https://www.justsecurity.org/70805/black-lives-matter-might-just-rescue-american-democracy/, accessed 7-5-2020) LR</w:t>
      </w:r>
    </w:p>
    <w:p w14:paraId="406F903E" w14:textId="77777777" w:rsidR="00D91D7C" w:rsidRPr="00311144" w:rsidRDefault="00D91D7C" w:rsidP="00D91D7C">
      <w:pPr>
        <w:rPr>
          <w:sz w:val="16"/>
        </w:rPr>
      </w:pPr>
      <w:r w:rsidRPr="00311144">
        <w:rPr>
          <w:sz w:val="16"/>
        </w:rPr>
        <w:t xml:space="preserve">The </w:t>
      </w:r>
      <w:r w:rsidRPr="00311144">
        <w:rPr>
          <w:rStyle w:val="StyleUnderline"/>
        </w:rPr>
        <w:t>Intertwined Evils of Racism and Authoritarianism</w:t>
      </w:r>
    </w:p>
    <w:p w14:paraId="12FD6C20" w14:textId="77777777" w:rsidR="00D91D7C" w:rsidRPr="00311144" w:rsidRDefault="00D91D7C" w:rsidP="00D91D7C">
      <w:pPr>
        <w:rPr>
          <w:sz w:val="16"/>
        </w:rPr>
      </w:pPr>
      <w:r w:rsidRPr="00311144">
        <w:rPr>
          <w:sz w:val="16"/>
        </w:rPr>
        <w:t xml:space="preserve">In the current American context, </w:t>
      </w:r>
      <w:r w:rsidRPr="00311144">
        <w:rPr>
          <w:rStyle w:val="Emphasis"/>
        </w:rPr>
        <w:t>racism invites authoritarianism</w:t>
      </w:r>
      <w:r w:rsidRPr="00311144">
        <w:rPr>
          <w:rStyle w:val="StyleUnderline"/>
        </w:rPr>
        <w:t xml:space="preserve"> by</w:t>
      </w:r>
      <w:r w:rsidRPr="00311144">
        <w:rPr>
          <w:sz w:val="16"/>
        </w:rPr>
        <w:t xml:space="preserve"> pervasively </w:t>
      </w:r>
      <w:r w:rsidRPr="00311144">
        <w:rPr>
          <w:rStyle w:val="StyleUnderline"/>
        </w:rPr>
        <w:t>corrupting the way in which the state deploys</w:t>
      </w:r>
      <w:r w:rsidRPr="00311144">
        <w:rPr>
          <w:sz w:val="16"/>
        </w:rPr>
        <w:t xml:space="preserve"> its </w:t>
      </w:r>
      <w:r w:rsidRPr="00311144">
        <w:rPr>
          <w:rStyle w:val="StyleUnderline"/>
        </w:rPr>
        <w:t>power.</w:t>
      </w:r>
      <w:r w:rsidRPr="00311144">
        <w:rPr>
          <w:sz w:val="16"/>
        </w:rPr>
        <w:t xml:space="preserve"> This has </w:t>
      </w:r>
      <w:r w:rsidRPr="00311144">
        <w:rPr>
          <w:rStyle w:val="StyleUnderline"/>
        </w:rPr>
        <w:t>long been clear in communities of color and</w:t>
      </w:r>
      <w:r w:rsidRPr="00311144">
        <w:rPr>
          <w:sz w:val="16"/>
        </w:rPr>
        <w:t xml:space="preserve"> has </w:t>
      </w:r>
      <w:r w:rsidRPr="00311144">
        <w:rPr>
          <w:rStyle w:val="StyleUnderline"/>
        </w:rPr>
        <w:t>now</w:t>
      </w:r>
      <w:r w:rsidRPr="00311144">
        <w:rPr>
          <w:sz w:val="16"/>
        </w:rPr>
        <w:t xml:space="preserve"> simply become </w:t>
      </w:r>
      <w:r w:rsidRPr="00311144">
        <w:rPr>
          <w:rStyle w:val="StyleUnderline"/>
        </w:rPr>
        <w:t>apparent to everyone else.</w:t>
      </w:r>
      <w:r w:rsidRPr="00311144">
        <w:rPr>
          <w:sz w:val="16"/>
        </w:rPr>
        <w:t xml:space="preserve"> State-sanctioned police violence against Black people has encouraged </w:t>
      </w:r>
      <w:r w:rsidRPr="00311144">
        <w:rPr>
          <w:rStyle w:val="StyleUnderline"/>
        </w:rPr>
        <w:t>police forces</w:t>
      </w:r>
      <w:r w:rsidRPr="00311144">
        <w:rPr>
          <w:sz w:val="16"/>
        </w:rPr>
        <w:t xml:space="preserve"> that </w:t>
      </w:r>
      <w:r w:rsidRPr="00311144">
        <w:rPr>
          <w:rStyle w:val="StyleUnderline"/>
        </w:rPr>
        <w:t>have become militarized</w:t>
      </w:r>
      <w:r w:rsidRPr="00311144">
        <w:rPr>
          <w:sz w:val="16"/>
        </w:rPr>
        <w:t>, both through their equipment and their mindset, and that now suppresses protesters generally.</w:t>
      </w:r>
    </w:p>
    <w:p w14:paraId="1F29B3AF" w14:textId="77777777" w:rsidR="00D91D7C" w:rsidRPr="00311144" w:rsidRDefault="00D91D7C" w:rsidP="00D91D7C">
      <w:pPr>
        <w:rPr>
          <w:rStyle w:val="StyleUnderline"/>
        </w:rPr>
      </w:pPr>
      <w:r w:rsidRPr="00311144">
        <w:rPr>
          <w:sz w:val="16"/>
        </w:rPr>
        <w:t xml:space="preserve">In the United States, police too often function domestically as an occupying army does in an empire, and they inevitably learn the authoritarian lessons of the occupier, treating those they are meant to protect not as citizens to be respected but as threats to be controlled. The Pentagon’s </w:t>
      </w:r>
      <w:r w:rsidRPr="00311144">
        <w:rPr>
          <w:rStyle w:val="Emphasis"/>
        </w:rPr>
        <w:t>1033 program</w:t>
      </w:r>
      <w:r w:rsidRPr="00311144">
        <w:rPr>
          <w:sz w:val="16"/>
        </w:rPr>
        <w:t xml:space="preserve">, which </w:t>
      </w:r>
      <w:r w:rsidRPr="00311144">
        <w:rPr>
          <w:rStyle w:val="StyleUnderline"/>
        </w:rPr>
        <w:t>transfers surplus military equipment to civilian police departments</w:t>
      </w:r>
      <w:r w:rsidRPr="00311144">
        <w:rPr>
          <w:sz w:val="16"/>
        </w:rPr>
        <w:t xml:space="preserve">, even </w:t>
      </w:r>
      <w:r w:rsidRPr="00311144">
        <w:rPr>
          <w:rStyle w:val="StyleUnderline"/>
        </w:rPr>
        <w:t>redeploys</w:t>
      </w:r>
      <w:r w:rsidRPr="00311144">
        <w:rPr>
          <w:sz w:val="16"/>
        </w:rPr>
        <w:t xml:space="preserve"> the </w:t>
      </w:r>
      <w:r w:rsidRPr="00311144">
        <w:rPr>
          <w:rStyle w:val="StyleUnderline"/>
        </w:rPr>
        <w:t>weapons of empire on the home front.</w:t>
      </w:r>
    </w:p>
    <w:p w14:paraId="1DDF12EC" w14:textId="77777777" w:rsidR="00D91D7C" w:rsidRPr="00311144" w:rsidRDefault="00D91D7C" w:rsidP="00D91D7C">
      <w:pPr>
        <w:rPr>
          <w:rStyle w:val="StyleUnderline"/>
        </w:rPr>
      </w:pPr>
      <w:r w:rsidRPr="00311144">
        <w:rPr>
          <w:sz w:val="16"/>
        </w:rPr>
        <w:t xml:space="preserve">The </w:t>
      </w:r>
      <w:r w:rsidRPr="00311144">
        <w:rPr>
          <w:rStyle w:val="StyleUnderline"/>
        </w:rPr>
        <w:t>racism paves the way for authoritarianism by another means</w:t>
      </w:r>
      <w:r w:rsidRPr="00311144">
        <w:rPr>
          <w:sz w:val="16"/>
        </w:rPr>
        <w:t xml:space="preserve">, as well: It </w:t>
      </w:r>
      <w:r w:rsidRPr="00311144">
        <w:rPr>
          <w:rStyle w:val="StyleUnderline"/>
        </w:rPr>
        <w:t xml:space="preserve">breeds </w:t>
      </w:r>
      <w:r w:rsidRPr="00311144">
        <w:rPr>
          <w:rStyle w:val="Emphasis"/>
        </w:rPr>
        <w:t>distrust of state institutions</w:t>
      </w:r>
      <w:r w:rsidRPr="00311144">
        <w:rPr>
          <w:rStyle w:val="StyleUnderline"/>
        </w:rPr>
        <w:t xml:space="preserve"> and</w:t>
      </w:r>
      <w:r w:rsidRPr="00311144">
        <w:rPr>
          <w:sz w:val="16"/>
        </w:rPr>
        <w:t xml:space="preserve"> the </w:t>
      </w:r>
      <w:r w:rsidRPr="00311144">
        <w:rPr>
          <w:rStyle w:val="Emphasis"/>
        </w:rPr>
        <w:t>democratic traditions</w:t>
      </w:r>
      <w:r w:rsidRPr="00311144">
        <w:rPr>
          <w:sz w:val="16"/>
        </w:rPr>
        <w:t xml:space="preserve"> that have governed them. </w:t>
      </w:r>
      <w:r w:rsidRPr="00311144">
        <w:rPr>
          <w:rStyle w:val="StyleUnderline"/>
        </w:rPr>
        <w:t>The police</w:t>
      </w:r>
      <w:r w:rsidRPr="00311144">
        <w:rPr>
          <w:sz w:val="16"/>
        </w:rPr>
        <w:t xml:space="preserve">, after all, </w:t>
      </w:r>
      <w:r w:rsidRPr="00311144">
        <w:rPr>
          <w:rStyle w:val="StyleUnderline"/>
        </w:rPr>
        <w:t>operate within a political system</w:t>
      </w:r>
      <w:r w:rsidRPr="00311144">
        <w:rPr>
          <w:sz w:val="16"/>
        </w:rPr>
        <w:t xml:space="preserve"> that has </w:t>
      </w:r>
      <w:r w:rsidRPr="00311144">
        <w:rPr>
          <w:rStyle w:val="StyleUnderline"/>
        </w:rPr>
        <w:t>created and deployed</w:t>
      </w:r>
      <w:r w:rsidRPr="00311144">
        <w:rPr>
          <w:sz w:val="16"/>
        </w:rPr>
        <w:t xml:space="preserve"> them as </w:t>
      </w:r>
      <w:r w:rsidRPr="00311144">
        <w:rPr>
          <w:rStyle w:val="StyleUnderline"/>
        </w:rPr>
        <w:t>among</w:t>
      </w:r>
      <w:r w:rsidRPr="00311144">
        <w:rPr>
          <w:sz w:val="16"/>
        </w:rPr>
        <w:t xml:space="preserve"> the most visible </w:t>
      </w:r>
      <w:r w:rsidRPr="00311144">
        <w:rPr>
          <w:rStyle w:val="StyleUnderline"/>
        </w:rPr>
        <w:t>representatives of governing institutions</w:t>
      </w:r>
      <w:r w:rsidRPr="00311144">
        <w:rPr>
          <w:sz w:val="16"/>
        </w:rPr>
        <w:t xml:space="preserve"> in the state or city where they work. The ways in which they then not only engage in racist violence but literally police racial boundaries — Monica Bell calls it “pro-segregation policing” — necessarily </w:t>
      </w:r>
      <w:r w:rsidRPr="00311144">
        <w:rPr>
          <w:rStyle w:val="Emphasis"/>
        </w:rPr>
        <w:t>alienate citizens</w:t>
      </w:r>
      <w:r w:rsidRPr="00311144">
        <w:rPr>
          <w:rStyle w:val="StyleUnderline"/>
        </w:rPr>
        <w:t xml:space="preserve"> from the institutions that oversee them.</w:t>
      </w:r>
    </w:p>
    <w:p w14:paraId="11E5B31E" w14:textId="77777777" w:rsidR="00D91D7C" w:rsidRPr="00311144" w:rsidRDefault="00D91D7C" w:rsidP="00D91D7C">
      <w:pPr>
        <w:rPr>
          <w:sz w:val="16"/>
        </w:rPr>
      </w:pPr>
      <w:r w:rsidRPr="00311144">
        <w:rPr>
          <w:rStyle w:val="StyleUnderline"/>
        </w:rPr>
        <w:t>How can democracy</w:t>
      </w:r>
      <w:r w:rsidRPr="00311144">
        <w:rPr>
          <w:sz w:val="16"/>
        </w:rPr>
        <w:t xml:space="preserve"> and ordinary politics </w:t>
      </w:r>
      <w:r w:rsidRPr="00311144">
        <w:rPr>
          <w:rStyle w:val="StyleUnderline"/>
        </w:rPr>
        <w:t xml:space="preserve">be defended when it manifests in this way? </w:t>
      </w:r>
      <w:r w:rsidRPr="00311144">
        <w:rPr>
          <w:sz w:val="16"/>
        </w:rPr>
        <w:t xml:space="preserve">This situation gives those sick of the racism they see emanating from the police good reason to conclude that </w:t>
      </w:r>
      <w:r w:rsidRPr="00311144">
        <w:rPr>
          <w:rStyle w:val="StyleUnderline"/>
        </w:rPr>
        <w:t xml:space="preserve">free and fair elections and the </w:t>
      </w:r>
      <w:r w:rsidRPr="00311144">
        <w:rPr>
          <w:rStyle w:val="Emphasis"/>
        </w:rPr>
        <w:t>rule of law cannot be the answer</w:t>
      </w:r>
      <w:r w:rsidRPr="00311144">
        <w:rPr>
          <w:sz w:val="16"/>
        </w:rPr>
        <w:t xml:space="preserve"> — because </w:t>
      </w:r>
      <w:r w:rsidRPr="00311144">
        <w:rPr>
          <w:rStyle w:val="StyleUnderline"/>
        </w:rPr>
        <w:t>elections and law enforcement</w:t>
      </w:r>
      <w:r w:rsidRPr="00311144">
        <w:rPr>
          <w:sz w:val="16"/>
        </w:rPr>
        <w:t xml:space="preserve"> have </w:t>
      </w:r>
      <w:r w:rsidRPr="00311144">
        <w:rPr>
          <w:rStyle w:val="StyleUnderline"/>
        </w:rPr>
        <w:t>produced the system that now enables systematic repression.</w:t>
      </w:r>
      <w:r w:rsidRPr="00311144">
        <w:rPr>
          <w:sz w:val="16"/>
        </w:rPr>
        <w:t xml:space="preserve"> Indeed, when people are being killed, calls for abiding by democratic norms and the rule of law can seem quietist or, worse, as denying the urgency of fighting white supremacy. The “</w:t>
      </w:r>
      <w:r w:rsidRPr="00311144">
        <w:rPr>
          <w:rStyle w:val="StyleUnderline"/>
        </w:rPr>
        <w:t>rule of law</w:t>
      </w:r>
      <w:r w:rsidRPr="00311144">
        <w:rPr>
          <w:sz w:val="16"/>
        </w:rPr>
        <w:t xml:space="preserve">” </w:t>
      </w:r>
      <w:r w:rsidRPr="00311144">
        <w:rPr>
          <w:rStyle w:val="StyleUnderline"/>
        </w:rPr>
        <w:t>becomes tainted by</w:t>
      </w:r>
      <w:r w:rsidRPr="00311144">
        <w:rPr>
          <w:sz w:val="16"/>
        </w:rPr>
        <w:t xml:space="preserve"> the agenda of “</w:t>
      </w:r>
      <w:r w:rsidRPr="00311144">
        <w:rPr>
          <w:rStyle w:val="StyleUnderline"/>
        </w:rPr>
        <w:t>law and order</w:t>
      </w:r>
      <w:r w:rsidRPr="00311144">
        <w:rPr>
          <w:sz w:val="16"/>
        </w:rPr>
        <w:t>.”</w:t>
      </w:r>
    </w:p>
    <w:p w14:paraId="34152F09" w14:textId="77777777" w:rsidR="00D91D7C" w:rsidRPr="00AB6353" w:rsidRDefault="00D91D7C" w:rsidP="00D91D7C">
      <w:pPr>
        <w:rPr>
          <w:sz w:val="16"/>
        </w:rPr>
      </w:pPr>
      <w:r w:rsidRPr="00311144">
        <w:rPr>
          <w:sz w:val="16"/>
        </w:rPr>
        <w:t xml:space="preserve">What we have learned is that the two injustices — </w:t>
      </w:r>
      <w:r w:rsidRPr="00311144">
        <w:rPr>
          <w:rStyle w:val="StyleUnderline"/>
        </w:rPr>
        <w:t>racism and authoritarianism</w:t>
      </w:r>
      <w:r w:rsidRPr="00311144">
        <w:rPr>
          <w:sz w:val="16"/>
        </w:rPr>
        <w:t xml:space="preserve"> — </w:t>
      </w:r>
      <w:r w:rsidRPr="00311144">
        <w:rPr>
          <w:rStyle w:val="StyleUnderline"/>
        </w:rPr>
        <w:t>must</w:t>
      </w:r>
      <w:r w:rsidRPr="00311144">
        <w:rPr>
          <w:sz w:val="16"/>
        </w:rPr>
        <w:t xml:space="preserve"> now </w:t>
      </w:r>
      <w:r w:rsidRPr="00311144">
        <w:rPr>
          <w:rStyle w:val="StyleUnderline"/>
        </w:rPr>
        <w:t>be cured together</w:t>
      </w:r>
      <w:r w:rsidRPr="00311144">
        <w:rPr>
          <w:sz w:val="16"/>
        </w:rPr>
        <w:t>.</w:t>
      </w:r>
    </w:p>
    <w:p w14:paraId="2BBA3B65" w14:textId="77777777" w:rsidR="00D91D7C" w:rsidRDefault="00D91D7C" w:rsidP="00D91D7C">
      <w:pPr>
        <w:pStyle w:val="Heading4"/>
      </w:pPr>
      <w:r>
        <w:t>And so is China.</w:t>
      </w:r>
    </w:p>
    <w:p w14:paraId="22856457" w14:textId="77777777" w:rsidR="00D91D7C" w:rsidRDefault="00D91D7C" w:rsidP="00D91D7C">
      <w:r>
        <w:rPr>
          <w:rStyle w:val="Style13ptBold"/>
        </w:rPr>
        <w:t>Heldt and Schmidtke 19</w:t>
      </w:r>
      <w:r>
        <w:t xml:space="preserve"> – Eugenia C. Heldt, Professor at Technical University of Munich School of Governance and PhD in Political Science from Freie Universität Berlin, and Henning Schmidtke, Research Fellow at the German Institute of Global and Area Studies in Hamburg, June 10</w:t>
      </w:r>
      <w:r w:rsidRPr="002311A4">
        <w:rPr>
          <w:vertAlign w:val="superscript"/>
        </w:rPr>
        <w:t>th</w:t>
      </w:r>
      <w:r>
        <w:t xml:space="preserve">  ("Global Democracy in Decline? How Rising Authoritarianism Limits Democratic Control over International Institutions," Brill, available online at https://brill.com/view/journals/gg/25/2/article-p231_6.xml, accessed 7-5-2020) LR</w:t>
      </w:r>
    </w:p>
    <w:p w14:paraId="72671E7E" w14:textId="77777777" w:rsidR="00D91D7C" w:rsidRPr="00112C5D" w:rsidRDefault="00D91D7C" w:rsidP="00D91D7C">
      <w:pPr>
        <w:rPr>
          <w:sz w:val="16"/>
        </w:rPr>
      </w:pPr>
      <w:r w:rsidRPr="0082263C">
        <w:rPr>
          <w:rStyle w:val="Emphasis"/>
        </w:rPr>
        <w:t>Rising authoritarian powers</w:t>
      </w:r>
      <w:r w:rsidRPr="00112C5D">
        <w:rPr>
          <w:rStyle w:val="StyleUnderline"/>
        </w:rPr>
        <w:t>’ challenge to global economic institutions</w:t>
      </w:r>
      <w:r w:rsidRPr="00112C5D">
        <w:rPr>
          <w:sz w:val="16"/>
        </w:rPr>
        <w:t xml:space="preserve"> has the potential to </w:t>
      </w:r>
      <w:r w:rsidRPr="0082263C">
        <w:rPr>
          <w:rStyle w:val="Emphasis"/>
        </w:rPr>
        <w:t>spur profound changes</w:t>
      </w:r>
      <w:r w:rsidRPr="00112C5D">
        <w:rPr>
          <w:rStyle w:val="StyleUnderline"/>
        </w:rPr>
        <w:t xml:space="preserve"> in global governance.</w:t>
      </w:r>
      <w:r w:rsidRPr="00112C5D">
        <w:rPr>
          <w:sz w:val="16"/>
        </w:rPr>
        <w:t xml:space="preserve"> This article contributes to our understanding of these consequences by mapping the formal democratic control mechanisms at </w:t>
      </w:r>
      <w:r w:rsidRPr="00112C5D">
        <w:rPr>
          <w:rStyle w:val="StyleUnderline"/>
        </w:rPr>
        <w:t>the AIIB and</w:t>
      </w:r>
      <w:r w:rsidRPr="00112C5D">
        <w:rPr>
          <w:sz w:val="16"/>
        </w:rPr>
        <w:t xml:space="preserve"> the </w:t>
      </w:r>
      <w:r w:rsidRPr="00112C5D">
        <w:rPr>
          <w:rStyle w:val="StyleUnderline"/>
        </w:rPr>
        <w:t>NDB</w:t>
      </w:r>
      <w:r w:rsidRPr="00112C5D">
        <w:rPr>
          <w:sz w:val="16"/>
        </w:rPr>
        <w:t xml:space="preserve">. Since </w:t>
      </w:r>
      <w:r w:rsidRPr="00112C5D">
        <w:rPr>
          <w:rStyle w:val="StyleUnderline"/>
        </w:rPr>
        <w:t>both</w:t>
      </w:r>
      <w:r w:rsidRPr="00112C5D">
        <w:rPr>
          <w:sz w:val="16"/>
        </w:rPr>
        <w:t xml:space="preserve"> organizations </w:t>
      </w:r>
      <w:r w:rsidRPr="00112C5D">
        <w:rPr>
          <w:rStyle w:val="StyleUnderline"/>
        </w:rPr>
        <w:t xml:space="preserve">were recently created under </w:t>
      </w:r>
      <w:r w:rsidRPr="0082263C">
        <w:rPr>
          <w:rStyle w:val="Emphasis"/>
        </w:rPr>
        <w:t>Chinese leadership</w:t>
      </w:r>
      <w:r w:rsidRPr="00112C5D">
        <w:rPr>
          <w:rStyle w:val="StyleUnderline"/>
        </w:rPr>
        <w:t>, they have</w:t>
      </w:r>
      <w:r w:rsidRPr="00112C5D">
        <w:rPr>
          <w:sz w:val="16"/>
        </w:rPr>
        <w:t xml:space="preserve"> the potential to </w:t>
      </w:r>
      <w:r w:rsidRPr="00112C5D">
        <w:rPr>
          <w:rStyle w:val="StyleUnderline"/>
        </w:rPr>
        <w:t>become important contenders to the Bretton Woods Institutions and</w:t>
      </w:r>
      <w:r w:rsidRPr="00112C5D">
        <w:rPr>
          <w:sz w:val="16"/>
        </w:rPr>
        <w:t xml:space="preserve">, thus, to </w:t>
      </w:r>
      <w:r w:rsidRPr="0082263C">
        <w:rPr>
          <w:rStyle w:val="Emphasis"/>
        </w:rPr>
        <w:t>undermine</w:t>
      </w:r>
      <w:r w:rsidRPr="00112C5D">
        <w:rPr>
          <w:rStyle w:val="StyleUnderline"/>
        </w:rPr>
        <w:t xml:space="preserve"> the standards of </w:t>
      </w:r>
      <w:r w:rsidRPr="0082263C">
        <w:rPr>
          <w:rStyle w:val="Emphasis"/>
        </w:rPr>
        <w:t>democratic control</w:t>
      </w:r>
      <w:r w:rsidRPr="00112C5D">
        <w:rPr>
          <w:sz w:val="16"/>
        </w:rPr>
        <w:t xml:space="preserve"> developed at the World Bank and other established MDBs. Our conclusion summarizes the findings of the analysis and expands on their implications for democracy in global governance.</w:t>
      </w:r>
    </w:p>
    <w:p w14:paraId="7909AD26" w14:textId="77777777" w:rsidR="00D91D7C" w:rsidRPr="00112C5D" w:rsidRDefault="00D91D7C" w:rsidP="00D91D7C">
      <w:pPr>
        <w:rPr>
          <w:sz w:val="16"/>
        </w:rPr>
      </w:pPr>
      <w:r w:rsidRPr="00112C5D">
        <w:rPr>
          <w:sz w:val="16"/>
        </w:rPr>
        <w:t xml:space="preserve">Our argument can be summarized in two principal conclusions. First, the </w:t>
      </w:r>
      <w:r w:rsidRPr="00112C5D">
        <w:rPr>
          <w:rStyle w:val="StyleUnderline"/>
        </w:rPr>
        <w:t>democratic control mechanisms established at the AIIB and</w:t>
      </w:r>
      <w:r w:rsidRPr="00112C5D">
        <w:rPr>
          <w:sz w:val="16"/>
        </w:rPr>
        <w:t xml:space="preserve"> the </w:t>
      </w:r>
      <w:r w:rsidRPr="00112C5D">
        <w:rPr>
          <w:rStyle w:val="StyleUnderline"/>
        </w:rPr>
        <w:t>NDB differ substantively from the World Bank’s institutional design. Overall</w:t>
      </w:r>
      <w:r w:rsidRPr="00112C5D">
        <w:rPr>
          <w:sz w:val="16"/>
        </w:rPr>
        <w:t xml:space="preserve">, access, transparency, and accountability </w:t>
      </w:r>
      <w:r w:rsidRPr="00112C5D">
        <w:rPr>
          <w:rStyle w:val="StyleUnderline"/>
        </w:rPr>
        <w:t>mechanisms at the World Bank are clearly more developed</w:t>
      </w:r>
      <w:r w:rsidRPr="00112C5D">
        <w:rPr>
          <w:sz w:val="16"/>
        </w:rPr>
        <w:t xml:space="preserve"> than at the AIIB and the NDB. </w:t>
      </w:r>
      <w:r w:rsidRPr="00112C5D">
        <w:rPr>
          <w:rStyle w:val="StyleUnderline"/>
        </w:rPr>
        <w:t>Although both new MDBs highlight</w:t>
      </w:r>
      <w:r w:rsidRPr="00112C5D">
        <w:rPr>
          <w:sz w:val="16"/>
        </w:rPr>
        <w:t xml:space="preserve"> in their formal documents </w:t>
      </w:r>
      <w:r w:rsidRPr="00112C5D">
        <w:rPr>
          <w:rStyle w:val="StyleUnderline"/>
        </w:rPr>
        <w:t>their openness</w:t>
      </w:r>
      <w:r w:rsidRPr="00112C5D">
        <w:rPr>
          <w:sz w:val="16"/>
        </w:rPr>
        <w:t xml:space="preserve"> to CSOs, transparency, and accountability, formal institutional </w:t>
      </w:r>
      <w:r w:rsidRPr="00112C5D">
        <w:rPr>
          <w:rStyle w:val="StyleUnderline"/>
        </w:rPr>
        <w:t>reality reveals a different picture.</w:t>
      </w:r>
      <w:r w:rsidRPr="00112C5D">
        <w:rPr>
          <w:sz w:val="16"/>
        </w:rPr>
        <w:t xml:space="preserve"> CSO access is not formalized and is largely delegated to AIIB and NDB clients, whereas the World Bank has established a set of formal access mechanisms. While these World Bank mechanisms do not allow CSOs to vote and to actively shape the Bank’s decision-making, the </w:t>
      </w:r>
      <w:r w:rsidRPr="00112C5D">
        <w:rPr>
          <w:rStyle w:val="StyleUnderline"/>
        </w:rPr>
        <w:t>AIIB and the NDB do not</w:t>
      </w:r>
      <w:r w:rsidRPr="00112C5D">
        <w:rPr>
          <w:sz w:val="16"/>
        </w:rPr>
        <w:t xml:space="preserve"> even </w:t>
      </w:r>
      <w:r w:rsidRPr="00112C5D">
        <w:rPr>
          <w:rStyle w:val="StyleUnderline"/>
        </w:rPr>
        <w:t>ensure consultation and exchange.</w:t>
      </w:r>
      <w:r w:rsidRPr="00112C5D">
        <w:rPr>
          <w:sz w:val="16"/>
        </w:rPr>
        <w:t xml:space="preserve"> Similarly, their access-to-information policies are less comprehensive than the World Bank’s, as they give member states the final say about which documents will be public and which ones will be classified. Finally, the World Bank and the AIIB have established formal social accountability mechanisms, whereas the NDB does not give individuals or groups affected by its projects the right to file complaints. Overall, democratic control mechanisms at the World Bank are clearly more developed than at the NDB. To a lesser extent, this is also true for the AIIB, where formal rules on CSO access and transparency are weaker than at the World Bank while social accountability mechanisms are similar.</w:t>
      </w:r>
    </w:p>
    <w:p w14:paraId="034481DF" w14:textId="77777777" w:rsidR="00D91D7C" w:rsidRPr="00112C5D" w:rsidRDefault="00D91D7C" w:rsidP="00D91D7C">
      <w:pPr>
        <w:rPr>
          <w:sz w:val="16"/>
        </w:rPr>
      </w:pPr>
      <w:r w:rsidRPr="00112C5D">
        <w:rPr>
          <w:sz w:val="16"/>
        </w:rPr>
        <w:t xml:space="preserve">Second, </w:t>
      </w:r>
      <w:r w:rsidRPr="00112C5D">
        <w:rPr>
          <w:rStyle w:val="StyleUnderline"/>
        </w:rPr>
        <w:t>this variation in the organizations’ institutional design is explained by</w:t>
      </w:r>
      <w:r w:rsidRPr="00112C5D">
        <w:rPr>
          <w:sz w:val="16"/>
        </w:rPr>
        <w:t xml:space="preserve"> a combination of three principal factors. </w:t>
      </w:r>
      <w:r w:rsidRPr="00112C5D">
        <w:rPr>
          <w:rStyle w:val="StyleUnderline"/>
        </w:rPr>
        <w:t>The rise of</w:t>
      </w:r>
      <w:r w:rsidRPr="00112C5D">
        <w:rPr>
          <w:sz w:val="16"/>
        </w:rPr>
        <w:t xml:space="preserve"> the </w:t>
      </w:r>
      <w:r w:rsidRPr="00112C5D">
        <w:rPr>
          <w:rStyle w:val="StyleUnderline"/>
        </w:rPr>
        <w:t>authoritarian countries, most notably China</w:t>
      </w:r>
      <w:r w:rsidRPr="00112C5D">
        <w:rPr>
          <w:sz w:val="16"/>
        </w:rPr>
        <w:t xml:space="preserve">, is </w:t>
      </w:r>
      <w:r w:rsidRPr="00112C5D">
        <w:rPr>
          <w:rStyle w:val="StyleUnderline"/>
        </w:rPr>
        <w:t>clearly a necessary condition for</w:t>
      </w:r>
      <w:r w:rsidRPr="00112C5D">
        <w:rPr>
          <w:sz w:val="16"/>
        </w:rPr>
        <w:t xml:space="preserve"> the</w:t>
      </w:r>
      <w:r w:rsidRPr="00112C5D">
        <w:rPr>
          <w:rStyle w:val="StyleUnderline"/>
        </w:rPr>
        <w:t xml:space="preserve"> creation</w:t>
      </w:r>
      <w:r w:rsidRPr="00112C5D">
        <w:rPr>
          <w:sz w:val="16"/>
        </w:rPr>
        <w:t xml:space="preserve"> of the AIIB and the </w:t>
      </w:r>
      <w:r w:rsidRPr="00112C5D">
        <w:rPr>
          <w:rStyle w:val="StyleUnderline"/>
        </w:rPr>
        <w:t>NDB. As China and its partners in</w:t>
      </w:r>
      <w:r w:rsidRPr="00112C5D">
        <w:rPr>
          <w:sz w:val="16"/>
        </w:rPr>
        <w:t xml:space="preserve"> the </w:t>
      </w:r>
      <w:r w:rsidRPr="00112C5D">
        <w:rPr>
          <w:rStyle w:val="StyleUnderline"/>
        </w:rPr>
        <w:t>BRICS</w:t>
      </w:r>
      <w:r w:rsidRPr="00112C5D">
        <w:rPr>
          <w:sz w:val="16"/>
        </w:rPr>
        <w:t xml:space="preserve"> coalition </w:t>
      </w:r>
      <w:r w:rsidRPr="00112C5D">
        <w:rPr>
          <w:rStyle w:val="StyleUnderline"/>
        </w:rPr>
        <w:t>were discontented with their restricted control</w:t>
      </w:r>
      <w:r w:rsidRPr="00112C5D">
        <w:rPr>
          <w:sz w:val="16"/>
        </w:rPr>
        <w:t xml:space="preserve"> over the World Bank’s decisions and policies, </w:t>
      </w:r>
      <w:r w:rsidRPr="00112C5D">
        <w:rPr>
          <w:rStyle w:val="StyleUnderline"/>
        </w:rPr>
        <w:t>they began to create MDBs</w:t>
      </w:r>
      <w:r w:rsidRPr="00112C5D">
        <w:rPr>
          <w:sz w:val="16"/>
        </w:rPr>
        <w:t xml:space="preserve"> that are </w:t>
      </w:r>
      <w:r w:rsidRPr="00112C5D">
        <w:rPr>
          <w:rStyle w:val="StyleUnderline"/>
        </w:rPr>
        <w:t>similar in terms of purpose</w:t>
      </w:r>
      <w:r w:rsidRPr="00112C5D">
        <w:rPr>
          <w:sz w:val="16"/>
        </w:rPr>
        <w:t xml:space="preserve"> and technical profile </w:t>
      </w:r>
      <w:r w:rsidRPr="00112C5D">
        <w:rPr>
          <w:rStyle w:val="StyleUnderline"/>
        </w:rPr>
        <w:t>but that they can control more directly</w:t>
      </w:r>
      <w:r w:rsidRPr="00112C5D">
        <w:rPr>
          <w:sz w:val="16"/>
        </w:rPr>
        <w:t xml:space="preserve">.84 Finally, </w:t>
      </w:r>
      <w:r w:rsidRPr="00112C5D">
        <w:rPr>
          <w:rStyle w:val="StyleUnderline"/>
        </w:rPr>
        <w:t>the normative demands</w:t>
      </w:r>
      <w:r w:rsidRPr="00112C5D">
        <w:rPr>
          <w:sz w:val="16"/>
        </w:rPr>
        <w:t xml:space="preserve"> of powerful authoritarian states </w:t>
      </w:r>
      <w:r w:rsidRPr="00112C5D">
        <w:rPr>
          <w:rStyle w:val="StyleUnderline"/>
        </w:rPr>
        <w:t>help to explain why democratic control mechanisms</w:t>
      </w:r>
      <w:r w:rsidRPr="00112C5D">
        <w:rPr>
          <w:sz w:val="16"/>
        </w:rPr>
        <w:t xml:space="preserve"> in these new MDBs </w:t>
      </w:r>
      <w:r w:rsidRPr="00112C5D">
        <w:rPr>
          <w:rStyle w:val="StyleUnderline"/>
        </w:rPr>
        <w:t>are comparably weak.</w:t>
      </w:r>
      <w:r w:rsidRPr="00112C5D">
        <w:rPr>
          <w:sz w:val="16"/>
        </w:rPr>
        <w:t xml:space="preserve"> The World Bank was driven to engage in democratic reforms, opening up the Bank to CSOs and making it more transparent and socially accountable by the pressure of powerful democratic member states, especially the United States. Yet </w:t>
      </w:r>
      <w:r w:rsidRPr="00112C5D">
        <w:rPr>
          <w:rStyle w:val="StyleUnderline"/>
        </w:rPr>
        <w:t xml:space="preserve">China and other rising authoritarian powers </w:t>
      </w:r>
      <w:r w:rsidRPr="0082263C">
        <w:rPr>
          <w:rStyle w:val="Emphasis"/>
        </w:rPr>
        <w:t>do not subscribe to</w:t>
      </w:r>
      <w:r w:rsidRPr="00112C5D">
        <w:rPr>
          <w:sz w:val="16"/>
        </w:rPr>
        <w:t xml:space="preserve"> this Western preference for </w:t>
      </w:r>
      <w:r w:rsidRPr="0082263C">
        <w:rPr>
          <w:rStyle w:val="Emphasis"/>
        </w:rPr>
        <w:t>democratic control</w:t>
      </w:r>
      <w:r w:rsidRPr="00112C5D">
        <w:rPr>
          <w:sz w:val="16"/>
        </w:rPr>
        <w:t xml:space="preserve"> over IOs. </w:t>
      </w:r>
      <w:r w:rsidRPr="00112C5D">
        <w:rPr>
          <w:rStyle w:val="StyleUnderline"/>
        </w:rPr>
        <w:t>Their vision of global governance is strongly based on national sovereignty and noninterference</w:t>
      </w:r>
      <w:r w:rsidRPr="00112C5D">
        <w:rPr>
          <w:sz w:val="16"/>
        </w:rPr>
        <w:t xml:space="preserve">, giving states full control over global governance institutions. </w:t>
      </w:r>
      <w:r w:rsidRPr="00112C5D">
        <w:rPr>
          <w:rStyle w:val="StyleUnderline"/>
        </w:rPr>
        <w:t xml:space="preserve">Consequently, the rise of authoritarian powers not only contributes to a </w:t>
      </w:r>
      <w:r w:rsidRPr="0082263C">
        <w:rPr>
          <w:rStyle w:val="Emphasis"/>
        </w:rPr>
        <w:t>decline of democracy</w:t>
      </w:r>
      <w:r w:rsidRPr="00112C5D">
        <w:rPr>
          <w:rStyle w:val="StyleUnderline"/>
        </w:rPr>
        <w:t xml:space="preserve"> on the domestic level, but</w:t>
      </w:r>
      <w:r w:rsidRPr="00112C5D">
        <w:rPr>
          <w:sz w:val="16"/>
        </w:rPr>
        <w:t xml:space="preserve"> it </w:t>
      </w:r>
      <w:r w:rsidRPr="00112C5D">
        <w:rPr>
          <w:rStyle w:val="StyleUnderline"/>
        </w:rPr>
        <w:t>also</w:t>
      </w:r>
      <w:r w:rsidRPr="00112C5D">
        <w:rPr>
          <w:sz w:val="16"/>
        </w:rPr>
        <w:t xml:space="preserve"> seems to </w:t>
      </w:r>
      <w:r w:rsidRPr="00112C5D">
        <w:rPr>
          <w:rStyle w:val="StyleUnderline"/>
        </w:rPr>
        <w:t xml:space="preserve">result in </w:t>
      </w:r>
      <w:r w:rsidRPr="0082263C">
        <w:rPr>
          <w:rStyle w:val="Emphasis"/>
        </w:rPr>
        <w:t>less democratically controlled IOs</w:t>
      </w:r>
      <w:r w:rsidRPr="00112C5D">
        <w:rPr>
          <w:rStyle w:val="StyleUnderline"/>
        </w:rPr>
        <w:t>.</w:t>
      </w:r>
      <w:r w:rsidRPr="00112C5D">
        <w:rPr>
          <w:sz w:val="16"/>
        </w:rPr>
        <w:t xml:space="preserve"> Further research, extending to democratic control mechanisms of IOs in other issue areas will be needed to establish the generalizability of our argument. The nature of the underlying cooperation problems that IOs are designed to address could constitute an important scope condition.85 Tallberg and colleagues have, for instance, shown that IOs are more likely to give access to CSOs when they engage with issue areas that demand local activity or that are characterized by noncompliance incentives.86 </w:t>
      </w:r>
    </w:p>
    <w:p w14:paraId="7636ED40" w14:textId="77777777" w:rsidR="00D91D7C" w:rsidRPr="00AB6353" w:rsidRDefault="00D91D7C" w:rsidP="00D91D7C">
      <w:pPr>
        <w:rPr>
          <w:sz w:val="16"/>
        </w:rPr>
      </w:pPr>
      <w:r w:rsidRPr="00055E90">
        <w:rPr>
          <w:rStyle w:val="StyleUnderline"/>
        </w:rPr>
        <w:t>These results have important implications for</w:t>
      </w:r>
      <w:r w:rsidRPr="00055E90">
        <w:rPr>
          <w:sz w:val="16"/>
        </w:rPr>
        <w:t xml:space="preserve"> the debate on </w:t>
      </w:r>
      <w:r w:rsidRPr="00055E90">
        <w:rPr>
          <w:rStyle w:val="StyleUnderline"/>
        </w:rPr>
        <w:t>democracy in global governance and its potential decline.</w:t>
      </w:r>
      <w:r w:rsidRPr="00055E90">
        <w:rPr>
          <w:sz w:val="16"/>
        </w:rPr>
        <w:t xml:space="preserve">87 Many have argued that the legitimacy of global governance institutions needs to be bolstered by democratic reforms.88 According to this notion, </w:t>
      </w:r>
      <w:r w:rsidRPr="00055E90">
        <w:rPr>
          <w:rStyle w:val="StyleUnderline"/>
        </w:rPr>
        <w:t>opening up IOs to CSOs, making them more transparent and</w:t>
      </w:r>
      <w:r w:rsidRPr="00055E90">
        <w:rPr>
          <w:sz w:val="16"/>
        </w:rPr>
        <w:t xml:space="preserve"> more </w:t>
      </w:r>
      <w:r w:rsidRPr="00055E90">
        <w:rPr>
          <w:rStyle w:val="StyleUnderline"/>
        </w:rPr>
        <w:t>socially accountable, is required to improve global governance’s legitimacy in the era of</w:t>
      </w:r>
      <w:r w:rsidRPr="00055E90">
        <w:rPr>
          <w:sz w:val="16"/>
        </w:rPr>
        <w:t xml:space="preserve"> politicization and </w:t>
      </w:r>
      <w:r w:rsidRPr="00055E90">
        <w:rPr>
          <w:rStyle w:val="StyleUnderline"/>
        </w:rPr>
        <w:t>rising populist nationalism.</w:t>
      </w:r>
      <w:r w:rsidRPr="00055E90">
        <w:rPr>
          <w:sz w:val="16"/>
        </w:rPr>
        <w:t xml:space="preserve"> Our results speak to the empirical viability of this normative vision and yield a pessimistic verdict. Assuming the continued </w:t>
      </w:r>
      <w:r w:rsidRPr="00055E90">
        <w:rPr>
          <w:rStyle w:val="StyleUnderline"/>
        </w:rPr>
        <w:t>rise of authoritarian powers</w:t>
      </w:r>
      <w:r w:rsidRPr="00055E90">
        <w:rPr>
          <w:sz w:val="16"/>
        </w:rPr>
        <w:t xml:space="preserve">, their </w:t>
      </w:r>
      <w:r w:rsidRPr="00055E90">
        <w:rPr>
          <w:rStyle w:val="StyleUnderline"/>
        </w:rPr>
        <w:t>design of less democratically controlled global governance arrangements in competition with existing institutions is likely to continue.</w:t>
      </w:r>
      <w:r w:rsidRPr="00055E90">
        <w:rPr>
          <w:sz w:val="16"/>
        </w:rPr>
        <w:t xml:space="preserve"> Since the democratic legitimacy of these new institutions is lower than in Western dominated IOs, the democratization of global governance as a whole may face a difficult future. Furthermore, our results might signal the emergence of a renewed debate on the status of democracy as an “authoritative principle of international life.”89 If a </w:t>
      </w:r>
      <w:r w:rsidRPr="00055E90">
        <w:rPr>
          <w:rStyle w:val="StyleUnderline"/>
        </w:rPr>
        <w:t xml:space="preserve">coalition of increasingly powerful states </w:t>
      </w:r>
      <w:r w:rsidRPr="0082263C">
        <w:rPr>
          <w:rStyle w:val="Emphasis"/>
        </w:rPr>
        <w:t>refuses to accept democratic principles</w:t>
      </w:r>
      <w:r w:rsidRPr="00055E90">
        <w:rPr>
          <w:rStyle w:val="StyleUnderline"/>
        </w:rPr>
        <w:t xml:space="preserve"> as a normative standard</w:t>
      </w:r>
      <w:r w:rsidRPr="00055E90">
        <w:rPr>
          <w:sz w:val="16"/>
        </w:rPr>
        <w:t xml:space="preserve"> to be respected </w:t>
      </w:r>
      <w:r w:rsidRPr="00055E90">
        <w:rPr>
          <w:rStyle w:val="StyleUnderline"/>
        </w:rPr>
        <w:t>in international institutional design, democracy</w:t>
      </w:r>
      <w:r w:rsidRPr="00055E90">
        <w:rPr>
          <w:sz w:val="16"/>
        </w:rPr>
        <w:t xml:space="preserve"> might be </w:t>
      </w:r>
      <w:r w:rsidRPr="00055E90">
        <w:rPr>
          <w:rStyle w:val="StyleUnderline"/>
        </w:rPr>
        <w:t>relegated to the less important status</w:t>
      </w:r>
      <w:r w:rsidRPr="00055E90">
        <w:rPr>
          <w:sz w:val="16"/>
        </w:rPr>
        <w:t xml:space="preserve"> that </w:t>
      </w:r>
      <w:r w:rsidRPr="00055E90">
        <w:rPr>
          <w:rStyle w:val="StyleUnderline"/>
        </w:rPr>
        <w:t>it had during the Cold War.</w:t>
      </w:r>
    </w:p>
    <w:p w14:paraId="5FB26969" w14:textId="77777777" w:rsidR="00D91D7C" w:rsidRDefault="00D91D7C" w:rsidP="00D91D7C">
      <w:pPr>
        <w:pStyle w:val="Heading2"/>
      </w:pPr>
      <w:r>
        <w:t>Deportations</w:t>
      </w:r>
    </w:p>
    <w:p w14:paraId="5A82D25C" w14:textId="77777777" w:rsidR="00D91D7C" w:rsidRDefault="00D91D7C" w:rsidP="00D91D7C">
      <w:pPr>
        <w:pStyle w:val="Heading3"/>
      </w:pPr>
      <w:r>
        <w:t>1NC – AT: Deportations Now</w:t>
      </w:r>
    </w:p>
    <w:p w14:paraId="67CCFEDE" w14:textId="77777777" w:rsidR="00D91D7C" w:rsidRPr="00681CD0" w:rsidRDefault="00D91D7C" w:rsidP="00D91D7C">
      <w:pPr>
        <w:pStyle w:val="Heading4"/>
      </w:pPr>
      <w:r>
        <w:t xml:space="preserve">Deportations are </w:t>
      </w:r>
      <w:r w:rsidRPr="00AB6353">
        <w:rPr>
          <w:u w:val="single"/>
        </w:rPr>
        <w:t>unlikely</w:t>
      </w:r>
      <w:r>
        <w:t xml:space="preserve"> amid </w:t>
      </w:r>
      <w:r w:rsidRPr="00AB6353">
        <w:t>corona</w:t>
      </w:r>
      <w:r>
        <w:t>.</w:t>
      </w:r>
    </w:p>
    <w:p w14:paraId="3E5A769F" w14:textId="77777777" w:rsidR="00D91D7C" w:rsidRPr="00681CD0" w:rsidRDefault="00D91D7C" w:rsidP="00D91D7C">
      <w:r>
        <w:rPr>
          <w:rStyle w:val="Style13ptBold"/>
        </w:rPr>
        <w:t>Jordan 20</w:t>
      </w:r>
      <w:r>
        <w:t xml:space="preserve"> – Miriam Jordan, national correspondent covering legal and illegal immigration, April 2</w:t>
      </w:r>
      <w:r w:rsidRPr="002B3557">
        <w:rPr>
          <w:vertAlign w:val="superscript"/>
        </w:rPr>
        <w:t>nd</w:t>
      </w:r>
      <w:r>
        <w:t xml:space="preserve"> ("Farmworkers, Mostly Undocumented, Become ‘Essential’ During Pandemic," The New York Times, available online at https://www.nytimes.com/2020/04/02/us/coronavirus-undocumented-immigrant-farmworkers-agriculture.html, accessed 6-30-2020) LR</w:t>
      </w:r>
    </w:p>
    <w:p w14:paraId="2F8581C9" w14:textId="77777777" w:rsidR="00D91D7C" w:rsidRPr="00C04AB5" w:rsidRDefault="00D91D7C" w:rsidP="00D91D7C">
      <w:pPr>
        <w:rPr>
          <w:sz w:val="16"/>
        </w:rPr>
      </w:pPr>
      <w:r w:rsidRPr="00C04AB5">
        <w:rPr>
          <w:sz w:val="16"/>
        </w:rPr>
        <w:t xml:space="preserve">But </w:t>
      </w:r>
      <w:r w:rsidRPr="00C04AB5">
        <w:rPr>
          <w:rStyle w:val="StyleUnderline"/>
        </w:rPr>
        <w:t>local law enforcement authorities said</w:t>
      </w:r>
      <w:r w:rsidRPr="00C04AB5">
        <w:rPr>
          <w:sz w:val="16"/>
        </w:rPr>
        <w:t xml:space="preserve"> the </w:t>
      </w:r>
      <w:r w:rsidRPr="00C04AB5">
        <w:rPr>
          <w:rStyle w:val="StyleUnderline"/>
        </w:rPr>
        <w:t>letters</w:t>
      </w:r>
      <w:r w:rsidRPr="00C04AB5">
        <w:rPr>
          <w:sz w:val="16"/>
        </w:rPr>
        <w:t xml:space="preserve"> might </w:t>
      </w:r>
      <w:r w:rsidRPr="00C04AB5">
        <w:rPr>
          <w:rStyle w:val="StyleUnderline"/>
        </w:rPr>
        <w:t>give</w:t>
      </w:r>
      <w:r w:rsidRPr="00C04AB5">
        <w:rPr>
          <w:sz w:val="16"/>
        </w:rPr>
        <w:t xml:space="preserve"> immigrant </w:t>
      </w:r>
      <w:r w:rsidRPr="00C04AB5">
        <w:rPr>
          <w:rStyle w:val="StyleUnderline"/>
        </w:rPr>
        <w:t xml:space="preserve">workers a </w:t>
      </w:r>
      <w:r w:rsidRPr="006D12CD">
        <w:rPr>
          <w:rStyle w:val="Emphasis"/>
        </w:rPr>
        <w:t>sense of security</w:t>
      </w:r>
      <w:r w:rsidRPr="00C04AB5">
        <w:rPr>
          <w:sz w:val="16"/>
        </w:rPr>
        <w:t xml:space="preserve"> that </w:t>
      </w:r>
      <w:r w:rsidRPr="00C04AB5">
        <w:rPr>
          <w:rStyle w:val="StyleUnderline"/>
        </w:rPr>
        <w:t>they will not be arrested</w:t>
      </w:r>
      <w:r w:rsidRPr="00C04AB5">
        <w:rPr>
          <w:sz w:val="16"/>
        </w:rPr>
        <w:t xml:space="preserve"> for violating stay-at-home orders.</w:t>
      </w:r>
    </w:p>
    <w:p w14:paraId="2FD0D58F" w14:textId="77777777" w:rsidR="00D91D7C" w:rsidRPr="00C04AB5" w:rsidRDefault="00D91D7C" w:rsidP="00D91D7C">
      <w:pPr>
        <w:rPr>
          <w:rStyle w:val="StyleUnderline"/>
        </w:rPr>
      </w:pPr>
      <w:r w:rsidRPr="00C04AB5">
        <w:rPr>
          <w:sz w:val="16"/>
        </w:rPr>
        <w:t xml:space="preserve">“If you have </w:t>
      </w:r>
      <w:r w:rsidRPr="00C04AB5">
        <w:rPr>
          <w:rStyle w:val="StyleUnderline"/>
        </w:rPr>
        <w:t>people</w:t>
      </w:r>
      <w:r w:rsidRPr="00C04AB5">
        <w:rPr>
          <w:sz w:val="16"/>
        </w:rPr>
        <w:t xml:space="preserve"> who </w:t>
      </w:r>
      <w:r w:rsidRPr="00C04AB5">
        <w:rPr>
          <w:rStyle w:val="StyleUnderline"/>
        </w:rPr>
        <w:t>perceive</w:t>
      </w:r>
      <w:r w:rsidRPr="00C04AB5">
        <w:rPr>
          <w:sz w:val="16"/>
        </w:rPr>
        <w:t xml:space="preserve"> that </w:t>
      </w:r>
      <w:r w:rsidRPr="00C04AB5">
        <w:rPr>
          <w:rStyle w:val="StyleUnderline"/>
        </w:rPr>
        <w:t>they may be</w:t>
      </w:r>
      <w:r w:rsidRPr="00C04AB5">
        <w:rPr>
          <w:sz w:val="16"/>
        </w:rPr>
        <w:t xml:space="preserve"> stopped and questioned or </w:t>
      </w:r>
      <w:r w:rsidRPr="00C04AB5">
        <w:rPr>
          <w:rStyle w:val="StyleUnderline"/>
        </w:rPr>
        <w:t>deported because of their status, under these circumstances</w:t>
      </w:r>
      <w:r w:rsidRPr="00C04AB5">
        <w:rPr>
          <w:sz w:val="16"/>
        </w:rPr>
        <w:t xml:space="preserve">, having that </w:t>
      </w:r>
      <w:r w:rsidRPr="00C04AB5">
        <w:rPr>
          <w:rStyle w:val="StyleUnderline"/>
        </w:rPr>
        <w:t xml:space="preserve">letter makes them feel </w:t>
      </w:r>
      <w:r w:rsidRPr="006D12CD">
        <w:rPr>
          <w:rStyle w:val="Emphasis"/>
        </w:rPr>
        <w:t>comfortable</w:t>
      </w:r>
      <w:r w:rsidRPr="00C04AB5">
        <w:rPr>
          <w:sz w:val="16"/>
        </w:rPr>
        <w:t>,” said Eric Buschow, a captain with the sheriff’s office in Ventura County, where thousands of farmworkers labor in strawberry, lemon and avocado operations. “</w:t>
      </w:r>
      <w:r w:rsidRPr="00C04AB5">
        <w:rPr>
          <w:rStyle w:val="StyleUnderline"/>
        </w:rPr>
        <w:t>They can go to work. And their work is essential now.”</w:t>
      </w:r>
    </w:p>
    <w:p w14:paraId="799DAB1C" w14:textId="77777777" w:rsidR="00D91D7C" w:rsidRPr="00C032DD" w:rsidRDefault="00D91D7C" w:rsidP="00D91D7C">
      <w:pPr>
        <w:rPr>
          <w:rStyle w:val="StyleUnderline"/>
        </w:rPr>
      </w:pPr>
      <w:r w:rsidRPr="00C032DD">
        <w:rPr>
          <w:sz w:val="16"/>
        </w:rPr>
        <w:t xml:space="preserve">The </w:t>
      </w:r>
      <w:r w:rsidRPr="001C2E5A">
        <w:rPr>
          <w:rStyle w:val="StyleUnderline"/>
        </w:rPr>
        <w:t>pandemic</w:t>
      </w:r>
      <w:r w:rsidRPr="00C032DD">
        <w:rPr>
          <w:sz w:val="16"/>
        </w:rPr>
        <w:t xml:space="preserve"> has </w:t>
      </w:r>
      <w:r w:rsidRPr="001C2E5A">
        <w:rPr>
          <w:rStyle w:val="StyleUnderline"/>
        </w:rPr>
        <w:t>also put</w:t>
      </w:r>
      <w:r w:rsidRPr="00C032DD">
        <w:rPr>
          <w:sz w:val="16"/>
        </w:rPr>
        <w:t xml:space="preserve"> many of </w:t>
      </w:r>
      <w:r w:rsidRPr="001C2E5A">
        <w:rPr>
          <w:rStyle w:val="StyleUnderline"/>
        </w:rPr>
        <w:t>I</w:t>
      </w:r>
      <w:r w:rsidRPr="00C032DD">
        <w:rPr>
          <w:sz w:val="16"/>
        </w:rPr>
        <w:t xml:space="preserve">mmigration and </w:t>
      </w:r>
      <w:r w:rsidRPr="001C2E5A">
        <w:rPr>
          <w:rStyle w:val="StyleUnderline"/>
        </w:rPr>
        <w:t>C</w:t>
      </w:r>
      <w:r w:rsidRPr="00C032DD">
        <w:rPr>
          <w:sz w:val="16"/>
        </w:rPr>
        <w:t xml:space="preserve">ustoms </w:t>
      </w:r>
      <w:r w:rsidRPr="001C2E5A">
        <w:rPr>
          <w:rStyle w:val="StyleUnderline"/>
        </w:rPr>
        <w:t>E</w:t>
      </w:r>
      <w:r w:rsidRPr="00C032DD">
        <w:rPr>
          <w:sz w:val="16"/>
        </w:rPr>
        <w:t xml:space="preserve">nforcement’s operations </w:t>
      </w:r>
      <w:r w:rsidRPr="006D12CD">
        <w:rPr>
          <w:rStyle w:val="Emphasis"/>
        </w:rPr>
        <w:t>on hold</w:t>
      </w:r>
      <w:r w:rsidRPr="00C032DD">
        <w:rPr>
          <w:rStyle w:val="StyleUnderline"/>
        </w:rPr>
        <w:t>.</w:t>
      </w:r>
      <w:r w:rsidRPr="00C032DD">
        <w:rPr>
          <w:sz w:val="16"/>
        </w:rPr>
        <w:t xml:space="preserve"> On March 18, </w:t>
      </w:r>
      <w:r w:rsidRPr="00C032DD">
        <w:rPr>
          <w:rStyle w:val="StyleUnderline"/>
        </w:rPr>
        <w:t>the agency</w:t>
      </w:r>
      <w:r w:rsidRPr="00C032DD">
        <w:rPr>
          <w:sz w:val="16"/>
        </w:rPr>
        <w:t xml:space="preserve"> said it would “temporarily </w:t>
      </w:r>
      <w:r w:rsidRPr="00C032DD">
        <w:rPr>
          <w:rStyle w:val="StyleUnderline"/>
        </w:rPr>
        <w:t>adjust</w:t>
      </w:r>
      <w:r w:rsidRPr="00C032DD">
        <w:rPr>
          <w:sz w:val="16"/>
        </w:rPr>
        <w:t xml:space="preserve"> its enforcement posture” to </w:t>
      </w:r>
      <w:r w:rsidRPr="00C032DD">
        <w:rPr>
          <w:rStyle w:val="StyleUnderline"/>
        </w:rPr>
        <w:t>focus</w:t>
      </w:r>
      <w:r w:rsidRPr="00C032DD">
        <w:rPr>
          <w:sz w:val="16"/>
        </w:rPr>
        <w:t xml:space="preserve"> not on ordinary undocumented immigrants, but </w:t>
      </w:r>
      <w:r w:rsidRPr="00C032DD">
        <w:rPr>
          <w:rStyle w:val="StyleUnderline"/>
        </w:rPr>
        <w:t>on those who pose</w:t>
      </w:r>
      <w:r w:rsidRPr="00C032DD">
        <w:rPr>
          <w:sz w:val="16"/>
        </w:rPr>
        <w:t xml:space="preserve"> a public safety or </w:t>
      </w:r>
      <w:r w:rsidRPr="00C032DD">
        <w:rPr>
          <w:rStyle w:val="StyleUnderline"/>
        </w:rPr>
        <w:t>criminal threat.</w:t>
      </w:r>
    </w:p>
    <w:p w14:paraId="30BA3B0C" w14:textId="77777777" w:rsidR="00D91D7C" w:rsidRPr="00C032DD" w:rsidRDefault="00D91D7C" w:rsidP="00D91D7C">
      <w:pPr>
        <w:rPr>
          <w:rStyle w:val="StyleUnderline"/>
        </w:rPr>
      </w:pPr>
      <w:r w:rsidRPr="00C032DD">
        <w:rPr>
          <w:sz w:val="16"/>
        </w:rPr>
        <w:t xml:space="preserve">The agency said it </w:t>
      </w:r>
      <w:r w:rsidRPr="00C032DD">
        <w:rPr>
          <w:rStyle w:val="StyleUnderline"/>
        </w:rPr>
        <w:t>would not carry out enforcement</w:t>
      </w:r>
      <w:r w:rsidRPr="00C032DD">
        <w:rPr>
          <w:sz w:val="16"/>
        </w:rPr>
        <w:t xml:space="preserve"> actions </w:t>
      </w:r>
      <w:r w:rsidRPr="00C032DD">
        <w:rPr>
          <w:rStyle w:val="StyleUnderline"/>
        </w:rPr>
        <w:t>near health care facilities</w:t>
      </w:r>
      <w:r w:rsidRPr="00C032DD">
        <w:rPr>
          <w:sz w:val="16"/>
        </w:rPr>
        <w:t xml:space="preserve"> “except in the most extraordinary of circumstances” and would </w:t>
      </w:r>
      <w:r w:rsidRPr="00C032DD">
        <w:rPr>
          <w:rStyle w:val="StyleUnderline"/>
        </w:rPr>
        <w:t>instead focus</w:t>
      </w:r>
      <w:r w:rsidRPr="00C032DD">
        <w:rPr>
          <w:sz w:val="16"/>
        </w:rPr>
        <w:t xml:space="preserve"> its efforts </w:t>
      </w:r>
      <w:r w:rsidRPr="00C032DD">
        <w:rPr>
          <w:rStyle w:val="StyleUnderline"/>
        </w:rPr>
        <w:t>on human trafficking, gangs and drug enforcement.</w:t>
      </w:r>
    </w:p>
    <w:p w14:paraId="73780828" w14:textId="77777777" w:rsidR="00D91D7C" w:rsidRPr="00C032DD" w:rsidRDefault="00D91D7C" w:rsidP="00D91D7C">
      <w:pPr>
        <w:rPr>
          <w:sz w:val="16"/>
        </w:rPr>
      </w:pPr>
      <w:r w:rsidRPr="00C032DD">
        <w:rPr>
          <w:rStyle w:val="StyleUnderline"/>
        </w:rPr>
        <w:t>“Those of us without papers</w:t>
      </w:r>
      <w:r w:rsidRPr="00C032DD">
        <w:rPr>
          <w:sz w:val="16"/>
        </w:rPr>
        <w:t xml:space="preserve"> live in </w:t>
      </w:r>
      <w:r w:rsidRPr="00C032DD">
        <w:rPr>
          <w:rStyle w:val="StyleUnderline"/>
        </w:rPr>
        <w:t>fear</w:t>
      </w:r>
      <w:r w:rsidRPr="00C032DD">
        <w:rPr>
          <w:sz w:val="16"/>
        </w:rPr>
        <w:t xml:space="preserve"> that </w:t>
      </w:r>
      <w:r w:rsidRPr="00C032DD">
        <w:rPr>
          <w:rStyle w:val="StyleUnderline"/>
        </w:rPr>
        <w:t>immigration</w:t>
      </w:r>
      <w:r w:rsidRPr="00C032DD">
        <w:rPr>
          <w:sz w:val="16"/>
        </w:rPr>
        <w:t xml:space="preserve"> will pick us up,” Ms. Silva said. “</w:t>
      </w:r>
      <w:r w:rsidRPr="00C032DD">
        <w:rPr>
          <w:rStyle w:val="StyleUnderline"/>
        </w:rPr>
        <w:t>Now</w:t>
      </w:r>
      <w:r w:rsidRPr="00C032DD">
        <w:rPr>
          <w:sz w:val="16"/>
        </w:rPr>
        <w:t xml:space="preserve"> we are feeling </w:t>
      </w:r>
      <w:r w:rsidRPr="00C032DD">
        <w:rPr>
          <w:rStyle w:val="StyleUnderline"/>
        </w:rPr>
        <w:t>more relaxed</w:t>
      </w:r>
      <w:r w:rsidRPr="00C032DD">
        <w:rPr>
          <w:sz w:val="16"/>
        </w:rPr>
        <w:t>.”</w:t>
      </w:r>
    </w:p>
    <w:p w14:paraId="5EDDEDB3" w14:textId="77777777" w:rsidR="00D91D7C" w:rsidRDefault="00D91D7C" w:rsidP="00D91D7C">
      <w:pPr>
        <w:rPr>
          <w:sz w:val="16"/>
        </w:rPr>
      </w:pPr>
      <w:r w:rsidRPr="00C032DD">
        <w:rPr>
          <w:sz w:val="16"/>
        </w:rPr>
        <w:t xml:space="preserve">Across the country, farmworkers have been struggling to understand what the coronavirus outbreak will mean for their safety and livelihoods. Even if </w:t>
      </w:r>
      <w:r w:rsidRPr="00C032DD">
        <w:rPr>
          <w:rStyle w:val="StyleUnderline"/>
        </w:rPr>
        <w:t xml:space="preserve">they face a </w:t>
      </w:r>
      <w:r w:rsidRPr="006D12CD">
        <w:rPr>
          <w:rStyle w:val="Emphasis"/>
        </w:rPr>
        <w:t>lower risk of deportation</w:t>
      </w:r>
      <w:r w:rsidRPr="00C032DD">
        <w:rPr>
          <w:rStyle w:val="StyleUnderline"/>
        </w:rPr>
        <w:t>, many worry</w:t>
      </w:r>
      <w:r w:rsidRPr="00C032DD">
        <w:rPr>
          <w:sz w:val="16"/>
        </w:rPr>
        <w:t xml:space="preserve"> that the close </w:t>
      </w:r>
      <w:r w:rsidRPr="00C032DD">
        <w:rPr>
          <w:rStyle w:val="StyleUnderline"/>
        </w:rPr>
        <w:t>working</w:t>
      </w:r>
      <w:r w:rsidRPr="00C032DD">
        <w:rPr>
          <w:sz w:val="16"/>
        </w:rPr>
        <w:t xml:space="preserve"> conditions in fields and packing facilities </w:t>
      </w:r>
      <w:r w:rsidRPr="00C032DD">
        <w:rPr>
          <w:rStyle w:val="StyleUnderline"/>
        </w:rPr>
        <w:t>put them at risk for</w:t>
      </w:r>
      <w:r w:rsidRPr="00C032DD">
        <w:rPr>
          <w:sz w:val="16"/>
        </w:rPr>
        <w:t xml:space="preserve"> contracting </w:t>
      </w:r>
      <w:r w:rsidRPr="00C032DD">
        <w:rPr>
          <w:rStyle w:val="StyleUnderline"/>
        </w:rPr>
        <w:t>the virus,</w:t>
      </w:r>
      <w:r w:rsidRPr="00C032DD">
        <w:rPr>
          <w:sz w:val="16"/>
        </w:rPr>
        <w:t xml:space="preserve"> and some warehouse </w:t>
      </w:r>
      <w:r w:rsidRPr="00C032DD">
        <w:rPr>
          <w:rStyle w:val="StyleUnderline"/>
        </w:rPr>
        <w:t>workers</w:t>
      </w:r>
      <w:r w:rsidRPr="00C032DD">
        <w:rPr>
          <w:sz w:val="16"/>
        </w:rPr>
        <w:t xml:space="preserve"> are </w:t>
      </w:r>
      <w:r w:rsidRPr="00C032DD">
        <w:rPr>
          <w:rStyle w:val="StyleUnderline"/>
        </w:rPr>
        <w:t>seeing</w:t>
      </w:r>
      <w:r w:rsidRPr="00C032DD">
        <w:rPr>
          <w:sz w:val="16"/>
        </w:rPr>
        <w:t xml:space="preserve"> their </w:t>
      </w:r>
      <w:r w:rsidRPr="006D12CD">
        <w:rPr>
          <w:rStyle w:val="Emphasis"/>
        </w:rPr>
        <w:t>hours cut</w:t>
      </w:r>
      <w:r w:rsidRPr="00C032DD">
        <w:rPr>
          <w:sz w:val="16"/>
        </w:rPr>
        <w:t xml:space="preserve"> as employers adjust to the shifting market.</w:t>
      </w:r>
    </w:p>
    <w:p w14:paraId="02F4DFF2" w14:textId="77777777" w:rsidR="00D91D7C" w:rsidRDefault="00D91D7C" w:rsidP="00D91D7C">
      <w:pPr>
        <w:pStyle w:val="Heading3"/>
      </w:pPr>
      <w:r>
        <w:t>2NC – AT: Deportations Now</w:t>
      </w:r>
    </w:p>
    <w:p w14:paraId="073FFA52" w14:textId="77777777" w:rsidR="00D91D7C" w:rsidRPr="00352921" w:rsidRDefault="00D91D7C" w:rsidP="00D91D7C">
      <w:pPr>
        <w:pStyle w:val="Heading4"/>
        <w:rPr>
          <w:rFonts w:asciiTheme="minorHAnsi" w:hAnsiTheme="minorHAnsi" w:cstheme="minorHAnsi"/>
        </w:rPr>
      </w:pPr>
      <w:r w:rsidRPr="00352921">
        <w:rPr>
          <w:rFonts w:asciiTheme="minorHAnsi" w:hAnsiTheme="minorHAnsi" w:cstheme="minorHAnsi"/>
        </w:rPr>
        <w:t xml:space="preserve">Deportations are </w:t>
      </w:r>
      <w:r>
        <w:rPr>
          <w:rFonts w:asciiTheme="minorHAnsi" w:hAnsiTheme="minorHAnsi" w:cstheme="minorHAnsi"/>
        </w:rPr>
        <w:t>drawing down.</w:t>
      </w:r>
    </w:p>
    <w:p w14:paraId="3C72C022" w14:textId="77777777" w:rsidR="00D91D7C" w:rsidRPr="00E755A4" w:rsidRDefault="00D91D7C" w:rsidP="00D91D7C">
      <w:pPr>
        <w:rPr>
          <w:rFonts w:asciiTheme="minorHAnsi" w:hAnsiTheme="minorHAnsi" w:cstheme="minorHAnsi"/>
        </w:rPr>
      </w:pPr>
      <w:r w:rsidRPr="00352921">
        <w:rPr>
          <w:rStyle w:val="Style13ptBold"/>
          <w:rFonts w:asciiTheme="minorHAnsi" w:hAnsiTheme="minorHAnsi" w:cstheme="minorHAnsi"/>
        </w:rPr>
        <w:t>Capps et. al 18</w:t>
      </w:r>
      <w:r w:rsidRPr="00352921">
        <w:rPr>
          <w:rFonts w:asciiTheme="minorHAnsi" w:hAnsiTheme="minorHAnsi" w:cstheme="minorHAnsi"/>
        </w:rPr>
        <w:t xml:space="preserve"> – (Randy Capps is Director of Research for U.S. Programs at the Migration Policy Institute; Muzaffar Chishti is a lawyer and Director of MPI’s office at New York University School of Law. Julia Gelatt is a Senior Policy Analyst at MPI, working with the US Immigration Policy Program; Jessica Bolter is a Research Assistant at MPI; Ariel G. Ruiz Soto is an Associate Policy Analyst at the Migration Policy Institute, “Revving Up the Deportation Machinery” Migration Policy Institute, May 2018, https://www.migrationpolicy.org/research/revving-deportation-machinery-under-trump-and-pushback//RP</w:t>
      </w:r>
    </w:p>
    <w:p w14:paraId="1941A67F" w14:textId="77777777" w:rsidR="00D91D7C" w:rsidRPr="003B1F2E" w:rsidRDefault="00D91D7C" w:rsidP="00D91D7C">
      <w:pPr>
        <w:rPr>
          <w:sz w:val="14"/>
        </w:rPr>
      </w:pPr>
      <w:r w:rsidRPr="003B1F2E">
        <w:rPr>
          <w:sz w:val="14"/>
        </w:rPr>
        <w:t xml:space="preserve">The changes in enforcement have resulted in a sudden and substantial increase in arrests and deportations, as compared with the immediately preceding Obama years. Yet </w:t>
      </w:r>
      <w:r w:rsidRPr="00E755A4">
        <w:rPr>
          <w:rStyle w:val="StyleUnderline"/>
        </w:rPr>
        <w:t xml:space="preserve">the numbers arrested and deported to date fall well short of peak </w:t>
      </w:r>
      <w:r w:rsidRPr="003B1F2E">
        <w:rPr>
          <w:rStyle w:val="StyleUnderline"/>
        </w:rPr>
        <w:t>levels set during the Bush and early Obama administrations—largely the result</w:t>
      </w:r>
      <w:r w:rsidRPr="003B1F2E">
        <w:rPr>
          <w:sz w:val="14"/>
        </w:rPr>
        <w:t xml:space="preserve">, as this report demonstrates, </w:t>
      </w:r>
      <w:r w:rsidRPr="003B1F2E">
        <w:rPr>
          <w:rStyle w:val="StyleUnderline"/>
        </w:rPr>
        <w:t>of state and local policies limiting cooperation with ICE</w:t>
      </w:r>
      <w:r w:rsidRPr="003B1F2E">
        <w:rPr>
          <w:sz w:val="14"/>
        </w:rPr>
        <w:t xml:space="preserve">. While the call for aggressive enforcement has been met with favor in some states, such as Texas, Mississippi, and Iowa, it has been opposed in others, most notably California. </w:t>
      </w:r>
    </w:p>
    <w:p w14:paraId="069D0BA4" w14:textId="77777777" w:rsidR="00D91D7C" w:rsidRPr="003B1F2E" w:rsidRDefault="00D91D7C" w:rsidP="00D91D7C">
      <w:pPr>
        <w:rPr>
          <w:sz w:val="14"/>
          <w:szCs w:val="14"/>
        </w:rPr>
      </w:pPr>
      <w:r w:rsidRPr="003B1F2E">
        <w:rPr>
          <w:sz w:val="14"/>
          <w:szCs w:val="14"/>
        </w:rPr>
        <w:t>A. Findings: The First Year of Interior Enforcement under Trump The fieldwork and analysis of ICE data turned up a number of insights. Among the top ones the researchers found were:</w:t>
      </w:r>
    </w:p>
    <w:p w14:paraId="51D43A37" w14:textId="77777777" w:rsidR="00D91D7C" w:rsidRPr="003B1F2E" w:rsidRDefault="00D91D7C" w:rsidP="00D91D7C">
      <w:pPr>
        <w:rPr>
          <w:sz w:val="14"/>
        </w:rPr>
      </w:pPr>
      <w:r w:rsidRPr="003B1F2E">
        <w:rPr>
          <w:rStyle w:val="StyleUnderline"/>
        </w:rPr>
        <w:t>A significant increase in arrests and removals amid expanded enforcement priorities under Trump</w:t>
      </w:r>
      <w:r w:rsidRPr="003B1F2E">
        <w:rPr>
          <w:sz w:val="14"/>
        </w:rPr>
        <w:t xml:space="preserve">—though well short of the peaks. </w:t>
      </w:r>
      <w:r w:rsidRPr="003B1F2E">
        <w:rPr>
          <w:rStyle w:val="StyleUnderline"/>
        </w:rPr>
        <w:t xml:space="preserve">During the eight months between the inauguration and the September 30 end of the fiscal year, ICE made 110,568 arrests, up 42 percent from the same period in </w:t>
      </w:r>
      <w:r w:rsidRPr="003B1F2E">
        <w:rPr>
          <w:sz w:val="14"/>
        </w:rPr>
        <w:t>FY</w:t>
      </w:r>
      <w:r w:rsidRPr="003B1F2E">
        <w:rPr>
          <w:rStyle w:val="StyleUnderline"/>
        </w:rPr>
        <w:t xml:space="preserve"> 2016. The number of removals (i.e., formal deportations) from the U.S. interior rose by 37 percent: to 61,094.</w:t>
      </w:r>
      <w:r w:rsidRPr="003B1F2E">
        <w:rPr>
          <w:sz w:val="14"/>
        </w:rPr>
        <w:t xml:space="preserve"> However, </w:t>
      </w:r>
      <w:r w:rsidRPr="003B1F2E">
        <w:rPr>
          <w:rStyle w:val="StyleUnderline"/>
        </w:rPr>
        <w:t xml:space="preserve">even with the rising arrests and deportations under Trump, the numbers are far from the peak enforcement years. There were more than 300,000 arrests annually in </w:t>
      </w:r>
      <w:r w:rsidRPr="003B1F2E">
        <w:rPr>
          <w:sz w:val="14"/>
        </w:rPr>
        <w:t>FY</w:t>
      </w:r>
      <w:r w:rsidRPr="003B1F2E">
        <w:rPr>
          <w:rStyle w:val="StyleUnderline"/>
        </w:rPr>
        <w:t xml:space="preserve"> 2010 and </w:t>
      </w:r>
      <w:r w:rsidRPr="003B1F2E">
        <w:rPr>
          <w:sz w:val="14"/>
        </w:rPr>
        <w:t>FY</w:t>
      </w:r>
      <w:r w:rsidRPr="003B1F2E">
        <w:rPr>
          <w:rStyle w:val="StyleUnderline"/>
        </w:rPr>
        <w:t xml:space="preserve"> 2011—about twice the 2017 level. </w:t>
      </w:r>
      <w:r w:rsidRPr="003B1F2E">
        <w:rPr>
          <w:sz w:val="14"/>
        </w:rPr>
        <w:t>Interior deportations from FY 2008-11 were also twice the 2017 level: more than 200,000 annually.</w:t>
      </w:r>
    </w:p>
    <w:p w14:paraId="55CA2D31" w14:textId="77777777" w:rsidR="00D91D7C" w:rsidRPr="003B1F2E" w:rsidRDefault="00D91D7C" w:rsidP="00D91D7C">
      <w:pPr>
        <w:rPr>
          <w:sz w:val="14"/>
        </w:rPr>
      </w:pPr>
      <w:r w:rsidRPr="003B1F2E">
        <w:rPr>
          <w:sz w:val="14"/>
        </w:rPr>
        <w:t xml:space="preserve">“Sanctuary” </w:t>
      </w:r>
      <w:r w:rsidRPr="003B1F2E">
        <w:rPr>
          <w:rStyle w:val="StyleUnderline"/>
        </w:rPr>
        <w:t>policies are curbing ICE enforcement</w:t>
      </w:r>
      <w:r w:rsidRPr="003B1F2E">
        <w:rPr>
          <w:sz w:val="14"/>
        </w:rPr>
        <w:t xml:space="preserve">. </w:t>
      </w:r>
      <w:r w:rsidRPr="003B1F2E">
        <w:rPr>
          <w:rStyle w:val="StyleUnderline"/>
        </w:rPr>
        <w:t>ICE relies</w:t>
      </w:r>
      <w:r w:rsidRPr="003B1F2E">
        <w:rPr>
          <w:sz w:val="14"/>
        </w:rPr>
        <w:t xml:space="preserve"> heavily </w:t>
      </w:r>
      <w:r w:rsidRPr="003B1F2E">
        <w:rPr>
          <w:rStyle w:val="StyleUnderline"/>
        </w:rPr>
        <w:t>on state and local law enforcement</w:t>
      </w:r>
      <w:r w:rsidRPr="003B1F2E">
        <w:rPr>
          <w:sz w:val="14"/>
        </w:rPr>
        <w:t xml:space="preserve"> agencies to help identify and arrest noncitizens for removal. </w:t>
      </w:r>
      <w:r w:rsidRPr="003B1F2E">
        <w:rPr>
          <w:rStyle w:val="StyleUnderline"/>
        </w:rPr>
        <w:t>During</w:t>
      </w:r>
      <w:r w:rsidRPr="003B1F2E">
        <w:rPr>
          <w:sz w:val="14"/>
        </w:rPr>
        <w:t xml:space="preserve"> the first 135 days of the </w:t>
      </w:r>
      <w:r w:rsidRPr="003B1F2E">
        <w:rPr>
          <w:rStyle w:val="StyleUnderline"/>
        </w:rPr>
        <w:t>Trump</w:t>
      </w:r>
      <w:r w:rsidRPr="003B1F2E">
        <w:rPr>
          <w:sz w:val="14"/>
        </w:rPr>
        <w:t xml:space="preserve"> administration, according to MPI’s analysis, </w:t>
      </w:r>
      <w:r w:rsidRPr="008C2486">
        <w:rPr>
          <w:rStyle w:val="Emphasis"/>
          <w:sz w:val="22"/>
        </w:rPr>
        <w:t>69</w:t>
      </w:r>
      <w:r w:rsidRPr="00F506BE">
        <w:rPr>
          <w:rStyle w:val="StyleUnderline"/>
        </w:rPr>
        <w:t xml:space="preserve"> </w:t>
      </w:r>
      <w:r w:rsidRPr="003B1F2E">
        <w:rPr>
          <w:rStyle w:val="StyleUnderline"/>
        </w:rPr>
        <w:t>percent of ICE arrests</w:t>
      </w:r>
      <w:r w:rsidRPr="003B1F2E">
        <w:rPr>
          <w:sz w:val="14"/>
        </w:rPr>
        <w:t xml:space="preserve"> nationwide </w:t>
      </w:r>
      <w:r w:rsidRPr="003B1F2E">
        <w:rPr>
          <w:rStyle w:val="StyleUnderline"/>
        </w:rPr>
        <w:t>were based on transfers from the</w:t>
      </w:r>
      <w:r w:rsidRPr="003B1F2E">
        <w:rPr>
          <w:sz w:val="14"/>
        </w:rPr>
        <w:t xml:space="preserve"> criminal </w:t>
      </w:r>
      <w:r w:rsidRPr="003B1F2E">
        <w:rPr>
          <w:rStyle w:val="StyleUnderline"/>
        </w:rPr>
        <w:t>justice system</w:t>
      </w:r>
      <w:r w:rsidRPr="003B1F2E">
        <w:rPr>
          <w:sz w:val="14"/>
        </w:rPr>
        <w:t xml:space="preserve">, mostly state prisons or local jails. </w:t>
      </w:r>
      <w:r w:rsidRPr="003B1F2E">
        <w:rPr>
          <w:rStyle w:val="StyleUnderline"/>
        </w:rPr>
        <w:t>This decline from</w:t>
      </w:r>
      <w:r w:rsidRPr="003B1F2E">
        <w:rPr>
          <w:sz w:val="14"/>
        </w:rPr>
        <w:t xml:space="preserve"> the FY </w:t>
      </w:r>
      <w:r w:rsidRPr="003B1F2E">
        <w:rPr>
          <w:rStyle w:val="StyleUnderline"/>
        </w:rPr>
        <w:t>2008-11 period</w:t>
      </w:r>
      <w:r w:rsidRPr="003B1F2E">
        <w:rPr>
          <w:sz w:val="14"/>
        </w:rPr>
        <w:t xml:space="preserve">, during the peak of ICE activity, </w:t>
      </w:r>
      <w:r w:rsidRPr="003B1F2E">
        <w:rPr>
          <w:rStyle w:val="StyleUnderline"/>
        </w:rPr>
        <w:t>when state and local prisons and jails were the origin for more than 85 percent</w:t>
      </w:r>
      <w:r w:rsidRPr="003B1F2E">
        <w:rPr>
          <w:sz w:val="14"/>
        </w:rPr>
        <w:t xml:space="preserve"> of ICE arrests. </w:t>
      </w:r>
      <w:r w:rsidRPr="003B1F2E">
        <w:rPr>
          <w:rStyle w:val="StyleUnderline"/>
        </w:rPr>
        <w:t>This decline is attributable to reduced cooperation with ICE</w:t>
      </w:r>
      <w:r w:rsidRPr="003B1F2E">
        <w:rPr>
          <w:sz w:val="14"/>
        </w:rPr>
        <w:t>.</w:t>
      </w:r>
    </w:p>
    <w:p w14:paraId="48348924" w14:textId="77777777" w:rsidR="00D91D7C" w:rsidRPr="000B26B7" w:rsidRDefault="00D91D7C" w:rsidP="00D91D7C">
      <w:pPr>
        <w:rPr>
          <w:sz w:val="14"/>
        </w:rPr>
      </w:pPr>
      <w:r w:rsidRPr="003B1F2E">
        <w:rPr>
          <w:sz w:val="14"/>
        </w:rPr>
        <w:t xml:space="preserve">Even as states and localities vary in their cooperation with ICE in prisons and jails under their jurisdiction, as many as </w:t>
      </w:r>
      <w:r w:rsidRPr="003B1F2E">
        <w:rPr>
          <w:rStyle w:val="StyleUnderline"/>
        </w:rPr>
        <w:t>300 have “sanctuary” policies that either limits cooperation with ICE or symbolically oppose cooperation. About 200 of these do not honor detainers</w:t>
      </w:r>
      <w:r w:rsidRPr="003B1F2E">
        <w:rPr>
          <w:sz w:val="14"/>
        </w:rPr>
        <w:t>—ICE requests for federal and state prisons and local jails to hold inmates for up to 48 hours after they have served their sentences or otherwise been released from custody. Other jurisdictions, however, have moved father in the other direction, promoting and formalizing greater cooperation with ICE. Growing variations in levels of cooperation with ICE have given rise to different trends in the national picture of ICE arrests.</w:t>
      </w:r>
    </w:p>
    <w:p w14:paraId="227E09D7" w14:textId="77777777" w:rsidR="00D91D7C" w:rsidRDefault="00D91D7C" w:rsidP="00D91D7C">
      <w:pPr>
        <w:pStyle w:val="Heading3"/>
      </w:pPr>
      <w:r>
        <w:t>1NC – AT: Food Wars</w:t>
      </w:r>
    </w:p>
    <w:p w14:paraId="584C35D3" w14:textId="77777777" w:rsidR="00D91D7C" w:rsidRDefault="00D91D7C" w:rsidP="00D91D7C">
      <w:pPr>
        <w:pStyle w:val="Heading4"/>
      </w:pPr>
      <w:r>
        <w:t>Food insecurity is unlinked from war.</w:t>
      </w:r>
    </w:p>
    <w:p w14:paraId="7EB9CCBF" w14:textId="77777777" w:rsidR="00D91D7C" w:rsidRPr="00D011A7" w:rsidRDefault="00D91D7C" w:rsidP="00D91D7C">
      <w:r w:rsidRPr="00D011A7">
        <w:rPr>
          <w:rStyle w:val="Style13ptBold"/>
        </w:rPr>
        <w:t>Cliffe 16</w:t>
      </w:r>
      <w:r>
        <w:t xml:space="preserve"> – Sarah F. Cliffe, the director of New York University’s Center on International Cooperation, International Relations and International Economic Policy MA at Columbia University. [Food Security, Nutrition, and Peace, 4-3-16, https://cic.nyu.edu/news_commentary/food-security-nutrition-and-peace]//BPS</w:t>
      </w:r>
    </w:p>
    <w:p w14:paraId="38F0A736" w14:textId="77777777" w:rsidR="00D91D7C" w:rsidRPr="00D011A7" w:rsidRDefault="00D91D7C" w:rsidP="00D91D7C">
      <w:pPr>
        <w:rPr>
          <w:sz w:val="16"/>
        </w:rPr>
      </w:pPr>
      <w:r w:rsidRPr="00D011A7">
        <w:rPr>
          <w:sz w:val="16"/>
        </w:rPr>
        <w:t xml:space="preserve">However, </w:t>
      </w:r>
      <w:r w:rsidRPr="00D011A7">
        <w:rPr>
          <w:rStyle w:val="Emphasis"/>
        </w:rPr>
        <w:t xml:space="preserve">current </w:t>
      </w:r>
      <w:r w:rsidRPr="00456038">
        <w:rPr>
          <w:rStyle w:val="Emphasis"/>
          <w:highlight w:val="cyan"/>
        </w:rPr>
        <w:t>research</w:t>
      </w:r>
      <w:r w:rsidRPr="00456038">
        <w:rPr>
          <w:rStyle w:val="StyleUnderline"/>
          <w:highlight w:val="cyan"/>
        </w:rPr>
        <w:t xml:space="preserve"> does not</w:t>
      </w:r>
      <w:r w:rsidRPr="00D011A7">
        <w:rPr>
          <w:rStyle w:val="StyleUnderline"/>
        </w:rPr>
        <w:t xml:space="preserve"> yet indicate </w:t>
      </w:r>
      <w:r w:rsidRPr="00D011A7">
        <w:rPr>
          <w:rStyle w:val="Emphasis"/>
        </w:rPr>
        <w:t xml:space="preserve">a clear </w:t>
      </w:r>
      <w:r w:rsidRPr="00456038">
        <w:rPr>
          <w:rStyle w:val="Emphasis"/>
          <w:highlight w:val="cyan"/>
        </w:rPr>
        <w:t>link</w:t>
      </w:r>
      <w:r w:rsidRPr="00D011A7">
        <w:rPr>
          <w:rStyle w:val="StyleUnderline"/>
        </w:rPr>
        <w:t xml:space="preserve"> between</w:t>
      </w:r>
      <w:r w:rsidRPr="00D011A7">
        <w:rPr>
          <w:sz w:val="16"/>
        </w:rPr>
        <w:t xml:space="preserve"> climate change, </w:t>
      </w:r>
      <w:r w:rsidRPr="00456038">
        <w:rPr>
          <w:rStyle w:val="StyleUnderline"/>
          <w:highlight w:val="cyan"/>
        </w:rPr>
        <w:t>food insecurity and conflict</w:t>
      </w:r>
      <w:r w:rsidRPr="00D011A7">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034B84C8" w14:textId="77777777" w:rsidR="00D91D7C" w:rsidRPr="00D011A7" w:rsidRDefault="00D91D7C" w:rsidP="00D91D7C">
      <w:pPr>
        <w:rPr>
          <w:sz w:val="16"/>
        </w:rPr>
      </w:pPr>
      <w:r w:rsidRPr="00D011A7">
        <w:rPr>
          <w:sz w:val="16"/>
        </w:rPr>
        <w:t xml:space="preserve">Food security – and food prices – are a highly political issue, being a very immediate and visible source of popular welfare or popular uncertainty. But their </w:t>
      </w:r>
      <w:r w:rsidRPr="00456038">
        <w:rPr>
          <w:rStyle w:val="StyleUnderline"/>
          <w:highlight w:val="cyan"/>
        </w:rPr>
        <w:t>link</w:t>
      </w:r>
      <w:r w:rsidRPr="00D011A7">
        <w:rPr>
          <w:rStyle w:val="StyleUnderline"/>
        </w:rPr>
        <w:t xml:space="preserve"> to conflict</w:t>
      </w:r>
      <w:r w:rsidRPr="00D011A7">
        <w:rPr>
          <w:sz w:val="16"/>
        </w:rPr>
        <w:t xml:space="preserve"> (and the wider links between climate change and conflict) </w:t>
      </w:r>
      <w:r w:rsidRPr="00456038">
        <w:rPr>
          <w:rStyle w:val="StyleUnderline"/>
          <w:highlight w:val="cyan"/>
        </w:rPr>
        <w:t xml:space="preserve">is </w:t>
      </w:r>
      <w:r w:rsidRPr="00456038">
        <w:rPr>
          <w:rStyle w:val="Emphasis"/>
          <w:highlight w:val="cyan"/>
        </w:rPr>
        <w:t>indirect</w:t>
      </w:r>
      <w:r w:rsidRPr="00D011A7">
        <w:rPr>
          <w:rStyle w:val="Emphasis"/>
        </w:rPr>
        <w:t xml:space="preserve"> rather than direct</w:t>
      </w:r>
      <w:r w:rsidRPr="00D011A7">
        <w:rPr>
          <w:sz w:val="16"/>
        </w:rPr>
        <w:t>.</w:t>
      </w:r>
    </w:p>
    <w:p w14:paraId="0331AF0C" w14:textId="77777777" w:rsidR="00D91D7C" w:rsidRPr="00D011A7" w:rsidRDefault="00D91D7C" w:rsidP="00D91D7C">
      <w:pPr>
        <w:rPr>
          <w:sz w:val="16"/>
        </w:rPr>
      </w:pPr>
      <w:r w:rsidRPr="00D011A7">
        <w:rPr>
          <w:sz w:val="16"/>
        </w:rPr>
        <w:t>What makes some countries more resilient than others?</w:t>
      </w:r>
    </w:p>
    <w:p w14:paraId="2415104B" w14:textId="77777777" w:rsidR="00D91D7C" w:rsidRPr="00D011A7" w:rsidRDefault="00D91D7C" w:rsidP="00D91D7C">
      <w:pPr>
        <w:rPr>
          <w:u w:val="single"/>
        </w:rPr>
      </w:pPr>
      <w:r w:rsidRPr="00D011A7">
        <w:rPr>
          <w:rStyle w:val="StyleUnderline"/>
        </w:rPr>
        <w:t xml:space="preserve">Many </w:t>
      </w:r>
      <w:r w:rsidRPr="00456038">
        <w:rPr>
          <w:rStyle w:val="StyleUnderline"/>
          <w:highlight w:val="cyan"/>
        </w:rPr>
        <w:t xml:space="preserve">countries face </w:t>
      </w:r>
      <w:r w:rsidRPr="00456038">
        <w:rPr>
          <w:rStyle w:val="Emphasis"/>
          <w:highlight w:val="cyan"/>
        </w:rPr>
        <w:t>food price</w:t>
      </w:r>
      <w:r w:rsidRPr="00D011A7">
        <w:rPr>
          <w:rStyle w:val="StyleUnderline"/>
        </w:rPr>
        <w:t xml:space="preserve"> or </w:t>
      </w:r>
      <w:r w:rsidRPr="00D011A7">
        <w:rPr>
          <w:rStyle w:val="Emphasis"/>
        </w:rPr>
        <w:t xml:space="preserve">natural resource </w:t>
      </w:r>
      <w:r w:rsidRPr="00456038">
        <w:rPr>
          <w:rStyle w:val="Emphasis"/>
          <w:highlight w:val="cyan"/>
        </w:rPr>
        <w:t>shocks</w:t>
      </w:r>
      <w:r w:rsidRPr="00D011A7">
        <w:rPr>
          <w:rStyle w:val="StyleUnderline"/>
        </w:rPr>
        <w:t xml:space="preserve"> without </w:t>
      </w:r>
      <w:r w:rsidRPr="00D011A7">
        <w:rPr>
          <w:rStyle w:val="Emphasis"/>
        </w:rPr>
        <w:t xml:space="preserve">falling into </w:t>
      </w:r>
      <w:r w:rsidRPr="00456038">
        <w:rPr>
          <w:rStyle w:val="Emphasis"/>
          <w:highlight w:val="cyan"/>
        </w:rPr>
        <w:t>conflict</w:t>
      </w:r>
      <w:r w:rsidRPr="00D011A7">
        <w:rPr>
          <w:sz w:val="16"/>
        </w:rPr>
        <w:t xml:space="preserve">. Essentially, the two </w:t>
      </w:r>
      <w:r w:rsidRPr="00D011A7">
        <w:rPr>
          <w:rStyle w:val="StyleUnderline"/>
        </w:rPr>
        <w:t xml:space="preserve">important </w:t>
      </w:r>
      <w:r w:rsidRPr="00456038">
        <w:rPr>
          <w:rStyle w:val="StyleUnderline"/>
          <w:highlight w:val="cyan"/>
        </w:rPr>
        <w:t>factors</w:t>
      </w:r>
      <w:r w:rsidRPr="00D011A7">
        <w:rPr>
          <w:sz w:val="16"/>
        </w:rPr>
        <w:t xml:space="preserve"> in determining their resilience </w:t>
      </w:r>
      <w:r w:rsidRPr="00456038">
        <w:rPr>
          <w:rStyle w:val="StyleUnderline"/>
          <w:highlight w:val="cyan"/>
        </w:rPr>
        <w:t>are:</w:t>
      </w:r>
    </w:p>
    <w:p w14:paraId="571EC8CF" w14:textId="77777777" w:rsidR="00D91D7C" w:rsidRPr="00D011A7" w:rsidRDefault="00D91D7C" w:rsidP="00D91D7C">
      <w:pPr>
        <w:rPr>
          <w:sz w:val="16"/>
        </w:rPr>
      </w:pPr>
      <w:r w:rsidRPr="00D011A7">
        <w:rPr>
          <w:sz w:val="16"/>
        </w:rPr>
        <w:t xml:space="preserve">First, </w:t>
      </w:r>
      <w:r w:rsidRPr="00456038">
        <w:rPr>
          <w:rStyle w:val="StyleUnderline"/>
          <w:highlight w:val="cyan"/>
        </w:rPr>
        <w:t>whether food</w:t>
      </w:r>
      <w:r w:rsidRPr="00D011A7">
        <w:rPr>
          <w:rStyle w:val="StyleUnderline"/>
        </w:rPr>
        <w:t xml:space="preserve"> insecurity </w:t>
      </w:r>
      <w:r w:rsidRPr="00456038">
        <w:rPr>
          <w:rStyle w:val="StyleUnderline"/>
          <w:highlight w:val="cyan"/>
        </w:rPr>
        <w:t xml:space="preserve">is </w:t>
      </w:r>
      <w:r w:rsidRPr="00456038">
        <w:rPr>
          <w:rStyle w:val="Emphasis"/>
          <w:highlight w:val="cyan"/>
        </w:rPr>
        <w:t>combined</w:t>
      </w:r>
      <w:r w:rsidRPr="00456038">
        <w:rPr>
          <w:rStyle w:val="StyleUnderline"/>
          <w:highlight w:val="cyan"/>
        </w:rPr>
        <w:t xml:space="preserve"> with</w:t>
      </w:r>
      <w:r w:rsidRPr="00D011A7">
        <w:rPr>
          <w:rStyle w:val="StyleUnderline"/>
        </w:rPr>
        <w:t xml:space="preserve"> </w:t>
      </w:r>
      <w:r w:rsidRPr="00D011A7">
        <w:rPr>
          <w:rStyle w:val="Emphasis"/>
        </w:rPr>
        <w:t xml:space="preserve">other </w:t>
      </w:r>
      <w:r w:rsidRPr="00456038">
        <w:rPr>
          <w:rStyle w:val="Emphasis"/>
          <w:highlight w:val="cyan"/>
        </w:rPr>
        <w:t>stresses</w:t>
      </w:r>
      <w:r w:rsidRPr="00D011A7">
        <w:rPr>
          <w:sz w:val="16"/>
        </w:rPr>
        <w:t xml:space="preserve">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456038">
        <w:rPr>
          <w:rStyle w:val="StyleUnderline"/>
          <w:highlight w:val="cyan"/>
        </w:rPr>
        <w:t>it would be</w:t>
      </w:r>
      <w:r w:rsidRPr="00D011A7">
        <w:rPr>
          <w:rStyle w:val="StyleUnderline"/>
        </w:rPr>
        <w:t xml:space="preserve"> </w:t>
      </w:r>
      <w:r w:rsidRPr="00D011A7">
        <w:rPr>
          <w:rStyle w:val="Emphasis"/>
        </w:rPr>
        <w:t xml:space="preserve">too </w:t>
      </w:r>
      <w:r w:rsidRPr="00456038">
        <w:rPr>
          <w:rStyle w:val="Emphasis"/>
          <w:highlight w:val="cyan"/>
        </w:rPr>
        <w:t>simplistic</w:t>
      </w:r>
      <w:r w:rsidRPr="00D011A7">
        <w:rPr>
          <w:rStyle w:val="StyleUnderline"/>
        </w:rPr>
        <w:t xml:space="preserve"> to suggest</w:t>
      </w:r>
      <w:r w:rsidRPr="00D011A7">
        <w:rPr>
          <w:sz w:val="16"/>
        </w:rPr>
        <w:t xml:space="preserve"> that </w:t>
      </w:r>
      <w:r w:rsidRPr="00456038">
        <w:rPr>
          <w:rStyle w:val="StyleUnderline"/>
          <w:highlight w:val="cyan"/>
        </w:rPr>
        <w:t xml:space="preserve">it was </w:t>
      </w:r>
      <w:r w:rsidRPr="00456038">
        <w:rPr>
          <w:rStyle w:val="Emphasis"/>
          <w:highlight w:val="cyan"/>
        </w:rPr>
        <w:t>the</w:t>
      </w:r>
      <w:r w:rsidRPr="00D011A7">
        <w:rPr>
          <w:rStyle w:val="Emphasis"/>
        </w:rPr>
        <w:t xml:space="preserve"> primary </w:t>
      </w:r>
      <w:r w:rsidRPr="00456038">
        <w:rPr>
          <w:rStyle w:val="Emphasis"/>
          <w:highlight w:val="cyan"/>
        </w:rPr>
        <w:t>driver</w:t>
      </w:r>
      <w:r w:rsidRPr="00456038">
        <w:rPr>
          <w:rStyle w:val="StyleUnderline"/>
          <w:highlight w:val="cyan"/>
        </w:rPr>
        <w:t xml:space="preserve"> of</w:t>
      </w:r>
      <w:r w:rsidRPr="00D011A7">
        <w:rPr>
          <w:sz w:val="16"/>
        </w:rPr>
        <w:t xml:space="preserve"> the Syrian </w:t>
      </w:r>
      <w:r w:rsidRPr="00456038">
        <w:rPr>
          <w:rStyle w:val="StyleUnderline"/>
          <w:highlight w:val="cyan"/>
        </w:rPr>
        <w:t>conflict</w:t>
      </w:r>
      <w:r w:rsidRPr="00D011A7">
        <w:rPr>
          <w:sz w:val="16"/>
        </w:rPr>
        <w:t>.</w:t>
      </w:r>
    </w:p>
    <w:p w14:paraId="530A8EE8" w14:textId="77777777" w:rsidR="00D91D7C" w:rsidRPr="00D011A7" w:rsidRDefault="00D91D7C" w:rsidP="00D91D7C">
      <w:pPr>
        <w:rPr>
          <w:sz w:val="16"/>
        </w:rPr>
      </w:pPr>
      <w:r w:rsidRPr="00D011A7">
        <w:rPr>
          <w:sz w:val="16"/>
        </w:rPr>
        <w:t xml:space="preserve">Second, </w:t>
      </w:r>
      <w:r w:rsidRPr="00456038">
        <w:rPr>
          <w:rStyle w:val="StyleUnderline"/>
          <w:highlight w:val="cyan"/>
        </w:rPr>
        <w:t>whether countries have</w:t>
      </w:r>
      <w:r w:rsidRPr="00D011A7">
        <w:rPr>
          <w:rStyle w:val="StyleUnderline"/>
        </w:rPr>
        <w:t xml:space="preserve"> </w:t>
      </w:r>
      <w:r w:rsidRPr="00D011A7">
        <w:rPr>
          <w:rStyle w:val="Emphasis"/>
        </w:rPr>
        <w:t xml:space="preserve">strong enough </w:t>
      </w:r>
      <w:r w:rsidRPr="00456038">
        <w:rPr>
          <w:rStyle w:val="Emphasis"/>
          <w:highlight w:val="cyan"/>
        </w:rPr>
        <w:t>institutions</w:t>
      </w:r>
      <w:r w:rsidRPr="00D011A7">
        <w:rPr>
          <w:sz w:val="16"/>
        </w:rPr>
        <w:t xml:space="preserve"> to fulfill a social compact with their citizens, </w:t>
      </w:r>
      <w:r w:rsidRPr="00456038">
        <w:rPr>
          <w:rStyle w:val="StyleUnderline"/>
          <w:highlight w:val="cyan"/>
        </w:rPr>
        <w:t>providing help</w:t>
      </w:r>
      <w:r w:rsidRPr="00D011A7">
        <w:rPr>
          <w:rStyle w:val="StyleUnderline"/>
        </w:rPr>
        <w:t xml:space="preserve"> quickly</w:t>
      </w:r>
      <w:r w:rsidRPr="00D011A7">
        <w:rPr>
          <w:sz w:val="16"/>
        </w:rPr>
        <w:t xml:space="preserve"> to citizens affected by food insecurity, </w:t>
      </w:r>
      <w:r w:rsidRPr="00456038">
        <w:rPr>
          <w:rStyle w:val="Emphasis"/>
          <w:highlight w:val="cyan"/>
        </w:rPr>
        <w:t>with</w:t>
      </w:r>
      <w:r w:rsidRPr="00D011A7">
        <w:rPr>
          <w:rStyle w:val="Emphasis"/>
        </w:rPr>
        <w:t xml:space="preserve"> or without international </w:t>
      </w:r>
      <w:r w:rsidRPr="00456038">
        <w:rPr>
          <w:rStyle w:val="Emphasis"/>
          <w:highlight w:val="cyan"/>
        </w:rPr>
        <w:t>assistance</w:t>
      </w:r>
      <w:r w:rsidRPr="00D011A7">
        <w:rPr>
          <w:sz w:val="16"/>
        </w:rPr>
        <w:t>.   During the 2007-2008 food crisis, developing countries with low institutional strength experienced more food price protests than those with higher institutional strengths, and more than half these protests turned violent.  This for example, is the difference in the events in Haiti versus those in Mexico or the Philippines where far greater institutional strength existed to deal with the food price shocks and protests did not spur deteriorating national security or widespread violence.</w:t>
      </w:r>
    </w:p>
    <w:p w14:paraId="57192EB9" w14:textId="77777777" w:rsidR="00D91D7C" w:rsidRDefault="00D91D7C" w:rsidP="00D91D7C">
      <w:pPr>
        <w:pStyle w:val="Heading3"/>
      </w:pPr>
      <w:r>
        <w:t>2NC – AT: Food Wars</w:t>
      </w:r>
    </w:p>
    <w:p w14:paraId="7C22643E" w14:textId="77777777" w:rsidR="00D91D7C" w:rsidRDefault="00D91D7C" w:rsidP="00D91D7C">
      <w:pPr>
        <w:pStyle w:val="Heading4"/>
      </w:pPr>
      <w:r>
        <w:t xml:space="preserve">Use a </w:t>
      </w:r>
      <w:r>
        <w:rPr>
          <w:u w:val="single"/>
        </w:rPr>
        <w:t>better</w:t>
      </w:r>
      <w:r>
        <w:t xml:space="preserve"> research method.</w:t>
      </w:r>
    </w:p>
    <w:p w14:paraId="4E6C9416" w14:textId="77777777" w:rsidR="00D91D7C" w:rsidRPr="00B838AB" w:rsidRDefault="00D91D7C" w:rsidP="00D91D7C">
      <w:r w:rsidRPr="00A818FE">
        <w:rPr>
          <w:rStyle w:val="Style13ptBold"/>
        </w:rPr>
        <w:t>Post et al. 15</w:t>
      </w:r>
      <w:r>
        <w:t xml:space="preserve"> – Riley Post, major in the US Army Special Forces, US Special Operations Command. Darren Hudson, a professor, Combest Endowed Chair, and the Director of the International Center for Agricultural Competitiveness at Texas Tech University. Patrick Bell, Economics Professor at the United States Military Academy. Arie Perliger, Security Studies Professor at the University of Massachusetts-Lowell. Ryan Williams, Agricultural and Applied Economics Professor at Texas Tech University. [Rethinking the Water-Food-Climate Nexus and Conflict: An Opportunity Cost Approach, Applied Economic Perspectives and Policy, 38(4), https://academic.oup.com/aepp/article/38/4/563/2528241#47363706]//BPS</w:t>
      </w:r>
    </w:p>
    <w:p w14:paraId="3679E9AF" w14:textId="77777777" w:rsidR="00D91D7C" w:rsidRPr="00B838AB" w:rsidRDefault="00D91D7C" w:rsidP="00D91D7C">
      <w:pPr>
        <w:rPr>
          <w:sz w:val="16"/>
        </w:rPr>
      </w:pPr>
      <w:r w:rsidRPr="00B838AB">
        <w:rPr>
          <w:sz w:val="16"/>
        </w:rPr>
        <w:t>Complex Adaptive Systems and Institutions</w:t>
      </w:r>
    </w:p>
    <w:p w14:paraId="7E06A24E" w14:textId="77777777" w:rsidR="00D91D7C" w:rsidRPr="00B838AB" w:rsidRDefault="00D91D7C" w:rsidP="00D91D7C">
      <w:pPr>
        <w:rPr>
          <w:sz w:val="16"/>
        </w:rPr>
      </w:pPr>
      <w:r w:rsidRPr="00B838AB">
        <w:rPr>
          <w:sz w:val="16"/>
        </w:rPr>
        <w:t xml:space="preserve">Because </w:t>
      </w:r>
      <w:r w:rsidRPr="00456038">
        <w:rPr>
          <w:rStyle w:val="Emphasis"/>
          <w:highlight w:val="cyan"/>
        </w:rPr>
        <w:t>context matters</w:t>
      </w:r>
      <w:r w:rsidRPr="00B838AB">
        <w:rPr>
          <w:sz w:val="16"/>
        </w:rPr>
        <w:t xml:space="preserve">, a discussion of opportunity costs in conflict indirectly brings us back to the broader question of the causal link between hunger and conflict. </w:t>
      </w:r>
      <w:r w:rsidRPr="00B838AB">
        <w:rPr>
          <w:rStyle w:val="StyleUnderline"/>
        </w:rPr>
        <w:t>Hunger</w:t>
      </w:r>
      <w:r w:rsidRPr="00C25F29">
        <w:rPr>
          <w:rStyle w:val="StyleUnderline"/>
        </w:rPr>
        <w:t xml:space="preserve"> and conflict do not happen in </w:t>
      </w:r>
      <w:r w:rsidRPr="00C25F29">
        <w:rPr>
          <w:rStyle w:val="Emphasis"/>
        </w:rPr>
        <w:t>a vacuum</w:t>
      </w:r>
      <w:r w:rsidRPr="00C25F29">
        <w:rPr>
          <w:rStyle w:val="StyleUnderline"/>
        </w:rPr>
        <w:t xml:space="preserve">—they are </w:t>
      </w:r>
      <w:r w:rsidRPr="00C25F29">
        <w:rPr>
          <w:rStyle w:val="Emphasis"/>
        </w:rPr>
        <w:t>societal outcomes</w:t>
      </w:r>
      <w:r w:rsidRPr="00C25F29">
        <w:rPr>
          <w:rStyle w:val="StyleUnderline"/>
        </w:rPr>
        <w:t xml:space="preserve"> that must be understood in </w:t>
      </w:r>
      <w:r w:rsidRPr="00C25F29">
        <w:rPr>
          <w:rStyle w:val="Emphasis"/>
        </w:rPr>
        <w:t>their broader political, economic, and social contexts</w:t>
      </w:r>
      <w:r w:rsidRPr="00B838AB">
        <w:rPr>
          <w:sz w:val="16"/>
        </w:rPr>
        <w:t xml:space="preserve"> (Tilly 1978). For the past twenty or more years, the majority of the conflicts around the world have taken place in poor countries—countries that are also chronically food insecure.</w:t>
      </w:r>
    </w:p>
    <w:p w14:paraId="5F8D9254" w14:textId="77777777" w:rsidR="00D91D7C" w:rsidRPr="00B838AB" w:rsidRDefault="00D91D7C" w:rsidP="00D91D7C">
      <w:pPr>
        <w:rPr>
          <w:sz w:val="16"/>
        </w:rPr>
      </w:pPr>
      <w:r w:rsidRPr="00456038">
        <w:rPr>
          <w:rStyle w:val="StyleUnderline"/>
          <w:highlight w:val="cyan"/>
        </w:rPr>
        <w:t>Hunger and conflict appear to be</w:t>
      </w:r>
      <w:r w:rsidRPr="00C25F29">
        <w:rPr>
          <w:rStyle w:val="StyleUnderline"/>
        </w:rPr>
        <w:t xml:space="preserve"> </w:t>
      </w:r>
      <w:r w:rsidRPr="00C25F29">
        <w:rPr>
          <w:rStyle w:val="Emphasis"/>
        </w:rPr>
        <w:t xml:space="preserve">symptoms of </w:t>
      </w:r>
      <w:r w:rsidRPr="00456038">
        <w:rPr>
          <w:rStyle w:val="Emphasis"/>
          <w:highlight w:val="cyan"/>
        </w:rPr>
        <w:t>deeper problems</w:t>
      </w:r>
      <w:r w:rsidRPr="00C25F29">
        <w:rPr>
          <w:rStyle w:val="StyleUnderline"/>
        </w:rPr>
        <w:t xml:space="preserve"> associated </w:t>
      </w:r>
      <w:r w:rsidRPr="00456038">
        <w:rPr>
          <w:rStyle w:val="StyleUnderline"/>
          <w:highlight w:val="cyan"/>
        </w:rPr>
        <w:t xml:space="preserve">with </w:t>
      </w:r>
      <w:r w:rsidRPr="00456038">
        <w:rPr>
          <w:rStyle w:val="Emphasis"/>
          <w:highlight w:val="cyan"/>
        </w:rPr>
        <w:t>broken</w:t>
      </w:r>
      <w:r w:rsidRPr="00C25F29">
        <w:rPr>
          <w:rStyle w:val="Emphasis"/>
        </w:rPr>
        <w:t xml:space="preserve"> institutions</w:t>
      </w:r>
      <w:r w:rsidRPr="00C25F29">
        <w:rPr>
          <w:rStyle w:val="StyleUnderline"/>
        </w:rPr>
        <w:t xml:space="preserve"> and </w:t>
      </w:r>
      <w:r w:rsidRPr="00C25F29">
        <w:rPr>
          <w:rStyle w:val="Emphasis"/>
        </w:rPr>
        <w:t xml:space="preserve">a dysfunctional political </w:t>
      </w:r>
      <w:r w:rsidRPr="00456038">
        <w:rPr>
          <w:rStyle w:val="Emphasis"/>
          <w:highlight w:val="cyan"/>
        </w:rPr>
        <w:t>system</w:t>
      </w:r>
      <w:r w:rsidRPr="00B838AB">
        <w:rPr>
          <w:sz w:val="16"/>
        </w:rPr>
        <w:t xml:space="preserve"> (Collier et al. 2003; Blattman and Miguel 2010). Does the relationship between food and human insecurity reflect a condition of amplifying existing failure? For example, the drought in the Tuareg region of Mali created significant hardship, but it was the government's reported theft of donated food aid that drove many to take up arms (Benjaminsen 2008). The more fragile the society, the more likely food insecurity is to lead to violence (Bora et al. 2010) because food insecurity and fragile societies ultimately decrease the opportunity cost of conflict. Strong grievances and few alternatives potentially drove hundreds of thousands of people to the streets in the MENA region in 2011and eventually to take up arms against their governments.</w:t>
      </w:r>
    </w:p>
    <w:p w14:paraId="5533946E" w14:textId="77777777" w:rsidR="00D91D7C" w:rsidRPr="00B838AB" w:rsidRDefault="00D91D7C" w:rsidP="00D91D7C">
      <w:pPr>
        <w:rPr>
          <w:sz w:val="16"/>
        </w:rPr>
      </w:pPr>
      <w:r w:rsidRPr="00B838AB">
        <w:rPr>
          <w:sz w:val="16"/>
        </w:rPr>
        <w:t xml:space="preserve">Our figure 2 depicts a complex system of multiple sources of changing conditions, feedback, and compound/countervailing factors. People adapt and evolve as conditions change. But, while systems are complex, they need not be complicated (Holland 1992). That is, complex systems have a nearly unlimited supply of stimuli, but follow fairly simple decision rules. In our case, people face an almost infinite set of conditions but condense decisions down into a simple opportunity cost calculation. It is the almost infinite set of conditions that make the effective prediction of conflict difficult at best, and most likely fruitless. Further, focusing on </w:t>
      </w:r>
      <w:r w:rsidRPr="00B838AB">
        <w:rPr>
          <w:rStyle w:val="Emphasis"/>
        </w:rPr>
        <w:t xml:space="preserve">simple linear </w:t>
      </w:r>
      <w:r w:rsidRPr="00456038">
        <w:rPr>
          <w:rStyle w:val="Emphasis"/>
          <w:highlight w:val="cyan"/>
        </w:rPr>
        <w:t>causality</w:t>
      </w:r>
      <w:r w:rsidRPr="00B838AB">
        <w:rPr>
          <w:sz w:val="16"/>
        </w:rPr>
        <w:t xml:space="preserve"> and prediction can often </w:t>
      </w:r>
      <w:r w:rsidRPr="00456038">
        <w:rPr>
          <w:rStyle w:val="StyleUnderline"/>
          <w:highlight w:val="cyan"/>
        </w:rPr>
        <w:t xml:space="preserve">lead to </w:t>
      </w:r>
      <w:r w:rsidRPr="00456038">
        <w:rPr>
          <w:rStyle w:val="Emphasis"/>
          <w:highlight w:val="cyan"/>
        </w:rPr>
        <w:t>erroneous</w:t>
      </w:r>
      <w:r w:rsidRPr="00B838AB">
        <w:rPr>
          <w:rStyle w:val="Emphasis"/>
        </w:rPr>
        <w:t xml:space="preserve"> policy </w:t>
      </w:r>
      <w:r w:rsidRPr="00456038">
        <w:rPr>
          <w:rStyle w:val="Emphasis"/>
          <w:highlight w:val="cyan"/>
        </w:rPr>
        <w:t>prescriptions</w:t>
      </w:r>
      <w:r w:rsidRPr="00B838AB">
        <w:rPr>
          <w:rStyle w:val="StyleUnderline"/>
        </w:rPr>
        <w:t xml:space="preserve"> because </w:t>
      </w:r>
      <w:r w:rsidRPr="00456038">
        <w:rPr>
          <w:rStyle w:val="StyleUnderline"/>
          <w:highlight w:val="cyan"/>
        </w:rPr>
        <w:t>they fail to recognize</w:t>
      </w:r>
      <w:r w:rsidRPr="00B838AB">
        <w:rPr>
          <w:rStyle w:val="StyleUnderline"/>
        </w:rPr>
        <w:t xml:space="preserve"> </w:t>
      </w:r>
      <w:r w:rsidRPr="00B838AB">
        <w:rPr>
          <w:rStyle w:val="Emphasis"/>
        </w:rPr>
        <w:t xml:space="preserve">the interconnectedness of </w:t>
      </w:r>
      <w:r w:rsidRPr="00456038">
        <w:rPr>
          <w:rStyle w:val="Emphasis"/>
          <w:highlight w:val="cyan"/>
        </w:rPr>
        <w:t>causal factors</w:t>
      </w:r>
      <w:r w:rsidRPr="00B838AB">
        <w:rPr>
          <w:sz w:val="16"/>
        </w:rPr>
        <w:t>. Rather, focusing on research that creates adaptive systems is likely more productive.</w:t>
      </w:r>
    </w:p>
    <w:p w14:paraId="36D219BA" w14:textId="77777777" w:rsidR="00D91D7C" w:rsidRPr="00B838AB" w:rsidRDefault="00D91D7C" w:rsidP="00D91D7C">
      <w:pPr>
        <w:rPr>
          <w:sz w:val="16"/>
        </w:rPr>
      </w:pPr>
      <w:r w:rsidRPr="00B838AB">
        <w:rPr>
          <w:sz w:val="16"/>
        </w:rPr>
        <w:t>Borrowing Taleb’s terminology, the outcome of this opportunity cost calculation reflects fragile, robust, or anti-fragile states. In an anti-fragile world, the stressors created by actions inside the three pathways lead to new opportunities where individuals can thrive, thereby leading to a choice of some other, more positive alternative action. But, more likely, the state is either robust or fragile. In a robust (or resilient) state, for example, government security or social services are just enough to offset the costs imposed by a reduction in economic well-being or migration resulting in a status quo choice by individuals. But in a fragile state, the opportunity cost of conflict is less than the perceived marginal benefits because the system cannot adapt and absorb shocks, and conflict ensues (Taleb 2014).</w:t>
      </w:r>
    </w:p>
    <w:p w14:paraId="3531BF46" w14:textId="77777777" w:rsidR="00D91D7C" w:rsidRPr="00B838AB" w:rsidRDefault="00D91D7C" w:rsidP="00D91D7C">
      <w:pPr>
        <w:rPr>
          <w:sz w:val="16"/>
        </w:rPr>
      </w:pPr>
      <w:r w:rsidRPr="00B838AB">
        <w:rPr>
          <w:sz w:val="16"/>
        </w:rPr>
        <w:t xml:space="preserve">While the existing </w:t>
      </w:r>
      <w:r w:rsidRPr="00456038">
        <w:rPr>
          <w:rStyle w:val="StyleUnderline"/>
          <w:highlight w:val="cyan"/>
        </w:rPr>
        <w:t>literature that</w:t>
      </w:r>
      <w:r w:rsidRPr="00B838AB">
        <w:rPr>
          <w:sz w:val="16"/>
        </w:rPr>
        <w:t xml:space="preserve"> directly </w:t>
      </w:r>
      <w:r w:rsidRPr="00456038">
        <w:rPr>
          <w:rStyle w:val="Emphasis"/>
          <w:highlight w:val="cyan"/>
        </w:rPr>
        <w:t>links</w:t>
      </w:r>
      <w:r w:rsidRPr="00456038">
        <w:rPr>
          <w:rStyle w:val="StyleUnderline"/>
          <w:highlight w:val="cyan"/>
        </w:rPr>
        <w:t xml:space="preserve"> food</w:t>
      </w:r>
      <w:r w:rsidRPr="00B838AB">
        <w:rPr>
          <w:rStyle w:val="StyleUnderline"/>
        </w:rPr>
        <w:t xml:space="preserve"> prices </w:t>
      </w:r>
      <w:r w:rsidRPr="00456038">
        <w:rPr>
          <w:rStyle w:val="StyleUnderline"/>
          <w:highlight w:val="cyan"/>
        </w:rPr>
        <w:t>to conflict</w:t>
      </w:r>
      <w:r w:rsidRPr="00B838AB">
        <w:rPr>
          <w:sz w:val="16"/>
        </w:rPr>
        <w:t xml:space="preserve">, or poverty to conflict, provides insights on the statistical association, </w:t>
      </w:r>
      <w:r w:rsidRPr="00B838AB">
        <w:rPr>
          <w:rStyle w:val="StyleUnderline"/>
        </w:rPr>
        <w:t xml:space="preserve">they </w:t>
      </w:r>
      <w:r w:rsidRPr="00456038">
        <w:rPr>
          <w:rStyle w:val="StyleUnderline"/>
          <w:highlight w:val="cyan"/>
        </w:rPr>
        <w:t xml:space="preserve">are </w:t>
      </w:r>
      <w:r w:rsidRPr="00456038">
        <w:rPr>
          <w:rStyle w:val="Emphasis"/>
          <w:highlight w:val="cyan"/>
        </w:rPr>
        <w:t>less informative</w:t>
      </w:r>
      <w:r w:rsidRPr="00456038">
        <w:rPr>
          <w:rStyle w:val="StyleUnderline"/>
          <w:highlight w:val="cyan"/>
        </w:rPr>
        <w:t xml:space="preserve"> about how to alter</w:t>
      </w:r>
      <w:r w:rsidRPr="00B838AB">
        <w:rPr>
          <w:rStyle w:val="StyleUnderline"/>
        </w:rPr>
        <w:t xml:space="preserve"> the potential risk of </w:t>
      </w:r>
      <w:r w:rsidRPr="00456038">
        <w:rPr>
          <w:rStyle w:val="StyleUnderline"/>
          <w:highlight w:val="cyan"/>
        </w:rPr>
        <w:t>conflict</w:t>
      </w:r>
      <w:r w:rsidRPr="00B838AB">
        <w:rPr>
          <w:sz w:val="16"/>
        </w:rPr>
        <w:t>. For example, knowledge of the impact of government social services on relative depravation would help inform policy-makers of the cost/benefit ratio of government services versus the probability of conflict. Thus, understanding the relationships between the nodes, as opposed to between food security and conflict directly, should be our focus of research.</w:t>
      </w:r>
    </w:p>
    <w:p w14:paraId="5083BDF1" w14:textId="77777777" w:rsidR="00D91D7C" w:rsidRPr="00B838AB" w:rsidRDefault="00D91D7C" w:rsidP="00D91D7C">
      <w:pPr>
        <w:rPr>
          <w:sz w:val="16"/>
        </w:rPr>
      </w:pPr>
      <w:r w:rsidRPr="00B838AB">
        <w:rPr>
          <w:sz w:val="16"/>
        </w:rPr>
        <w:t>This opportunity cost focus opens up obvious avenues for research in behavior and/or game theoretic fields. A few obvious examples: Do information cascades (especially through social media) change the opportunity cost calculations, and, therefore, increase the probability of migration and/or conflict? How do people perceive the relative risk of conflict versus the outcome of stasis? What is their level of risk/loss aversion in this context? How do risk preferences or calculations change when under the stress of food shortages, migration, or economic hardship? What are the roles/impacts of information asymmetries in their opportunity cost calculations? What are their perceptions of the relative power/commitment of the potential combatants (or more simply, how do they “pick sides” in a potential conflict)? The existing research base can be useful in placing values on choices in a game theoretic explanation or providing parameters and hypotheses for behavioral research, but clearly many of the questions require a new empirical vein of research for effective answers.</w:t>
      </w:r>
    </w:p>
    <w:p w14:paraId="691A9466" w14:textId="77777777" w:rsidR="00D91D7C" w:rsidRPr="00B838AB" w:rsidRDefault="00D91D7C" w:rsidP="00D91D7C">
      <w:pPr>
        <w:rPr>
          <w:sz w:val="16"/>
        </w:rPr>
      </w:pPr>
      <w:r w:rsidRPr="00B838AB">
        <w:rPr>
          <w:sz w:val="16"/>
        </w:rPr>
        <w:t>Food Security and Conflict in Practice</w:t>
      </w:r>
    </w:p>
    <w:p w14:paraId="3BBC02B1" w14:textId="77777777" w:rsidR="00D91D7C" w:rsidRPr="00FC2648" w:rsidRDefault="00D91D7C" w:rsidP="00D91D7C">
      <w:pPr>
        <w:rPr>
          <w:sz w:val="16"/>
        </w:rPr>
      </w:pPr>
      <w:r w:rsidRPr="00B838AB">
        <w:rPr>
          <w:sz w:val="16"/>
        </w:rPr>
        <w:t xml:space="preserve">Turning our attention to the needs of practitioners and policy-makers, </w:t>
      </w:r>
      <w:r w:rsidRPr="00B838AB">
        <w:rPr>
          <w:rStyle w:val="Emphasis"/>
        </w:rPr>
        <w:t>the original question</w:t>
      </w:r>
      <w:r w:rsidRPr="00B838AB">
        <w:rPr>
          <w:rStyle w:val="StyleUnderline"/>
        </w:rPr>
        <w:t xml:space="preserve"> is whether </w:t>
      </w:r>
      <w:r w:rsidRPr="00456038">
        <w:rPr>
          <w:rStyle w:val="StyleUnderline"/>
          <w:highlight w:val="cyan"/>
        </w:rPr>
        <w:t>shocks</w:t>
      </w:r>
      <w:r w:rsidRPr="00B838AB">
        <w:rPr>
          <w:rStyle w:val="StyleUnderline"/>
        </w:rPr>
        <w:t xml:space="preserve"> in the WCF nexus </w:t>
      </w:r>
      <w:r w:rsidRPr="00456038">
        <w:rPr>
          <w:rStyle w:val="StyleUnderline"/>
          <w:highlight w:val="cyan"/>
        </w:rPr>
        <w:t>lead to conflict?</w:t>
      </w:r>
      <w:r w:rsidRPr="00B838AB">
        <w:rPr>
          <w:rStyle w:val="StyleUnderline"/>
        </w:rPr>
        <w:t xml:space="preserve"> The answer is </w:t>
      </w:r>
      <w:r w:rsidRPr="00456038">
        <w:rPr>
          <w:rStyle w:val="Emphasis"/>
          <w:highlight w:val="cyan"/>
        </w:rPr>
        <w:t>no</w:t>
      </w:r>
      <w:r w:rsidRPr="00B838AB">
        <w:rPr>
          <w:rStyle w:val="Emphasis"/>
        </w:rPr>
        <w:t>, per se</w:t>
      </w:r>
      <w:r w:rsidRPr="00B838AB">
        <w:rPr>
          <w:rStyle w:val="StyleUnderline"/>
        </w:rPr>
        <w:t xml:space="preserve">. </w:t>
      </w:r>
      <w:r w:rsidRPr="00456038">
        <w:rPr>
          <w:rStyle w:val="StyleUnderline"/>
          <w:highlight w:val="cyan"/>
        </w:rPr>
        <w:t>That is</w:t>
      </w:r>
      <w:r w:rsidRPr="00B838AB">
        <w:rPr>
          <w:sz w:val="16"/>
        </w:rPr>
        <w:t xml:space="preserve">, climate change, for example, </w:t>
      </w:r>
      <w:r w:rsidRPr="00B838AB">
        <w:rPr>
          <w:rStyle w:val="StyleUnderline"/>
        </w:rPr>
        <w:t xml:space="preserve">is </w:t>
      </w:r>
      <w:r w:rsidRPr="00B838AB">
        <w:rPr>
          <w:rStyle w:val="Emphasis"/>
        </w:rPr>
        <w:t xml:space="preserve">just </w:t>
      </w:r>
      <w:r w:rsidRPr="00456038">
        <w:rPr>
          <w:rStyle w:val="Emphasis"/>
          <w:highlight w:val="cyan"/>
        </w:rPr>
        <w:t>one</w:t>
      </w:r>
      <w:r w:rsidRPr="00B838AB">
        <w:rPr>
          <w:rStyle w:val="Emphasis"/>
        </w:rPr>
        <w:t xml:space="preserve"> of many potential beginning </w:t>
      </w:r>
      <w:r w:rsidRPr="00456038">
        <w:rPr>
          <w:rStyle w:val="Emphasis"/>
          <w:highlight w:val="cyan"/>
        </w:rPr>
        <w:t>point</w:t>
      </w:r>
      <w:r w:rsidRPr="00B838AB">
        <w:rPr>
          <w:rStyle w:val="Emphasis"/>
        </w:rPr>
        <w:t>s</w:t>
      </w:r>
      <w:r w:rsidRPr="00B838AB">
        <w:rPr>
          <w:rStyle w:val="StyleUnderline"/>
        </w:rPr>
        <w:t xml:space="preserve"> </w:t>
      </w:r>
      <w:r w:rsidRPr="00456038">
        <w:rPr>
          <w:rStyle w:val="StyleUnderline"/>
          <w:highlight w:val="cyan"/>
        </w:rPr>
        <w:t>in</w:t>
      </w:r>
      <w:r w:rsidRPr="00B838AB">
        <w:rPr>
          <w:rStyle w:val="StyleUnderline"/>
        </w:rPr>
        <w:t xml:space="preserve"> </w:t>
      </w:r>
      <w:r w:rsidRPr="00B838AB">
        <w:rPr>
          <w:rStyle w:val="Emphasis"/>
        </w:rPr>
        <w:t xml:space="preserve">causal </w:t>
      </w:r>
      <w:r w:rsidRPr="00456038">
        <w:rPr>
          <w:rStyle w:val="Emphasis"/>
          <w:highlight w:val="cyan"/>
        </w:rPr>
        <w:t>chains</w:t>
      </w:r>
      <w:r w:rsidRPr="00B838AB">
        <w:rPr>
          <w:sz w:val="16"/>
        </w:rPr>
        <w:t xml:space="preserve"> that can lead to breakdowns in fragile systems and result in conflict. Climate change is </w:t>
      </w:r>
      <w:r w:rsidRPr="00456038">
        <w:rPr>
          <w:rStyle w:val="StyleUnderline"/>
          <w:highlight w:val="cyan"/>
        </w:rPr>
        <w:t>neither necessary nor sufficient</w:t>
      </w:r>
      <w:r w:rsidRPr="00B838AB">
        <w:rPr>
          <w:sz w:val="16"/>
        </w:rPr>
        <w:t>. But is climate change as postulated by the Inter-governmental Panel on Climate Change (2007) an impact multiplier? That is, climate change may exacerbate the existing biological uncertainty of food production and may amplify the effects of failed/fragile governmental institutions in handling natural disasters and population migration. As such, consideration of climate change (and the WCF nexus, in general) as a stressor or precursor is relevant. But practitioners and policy-makers would be better served by focusing on the opportunity cost of individuals as the best course of addressing system fragility and devising policies to avoid conflict.</w:t>
      </w:r>
    </w:p>
    <w:p w14:paraId="36C020E2" w14:textId="77777777" w:rsidR="00D91D7C" w:rsidRDefault="00D91D7C" w:rsidP="00D91D7C">
      <w:pPr>
        <w:pStyle w:val="Heading3"/>
      </w:pPr>
      <w:r>
        <w:t>1NC – AT: Key to Ag</w:t>
      </w:r>
    </w:p>
    <w:p w14:paraId="03BA5D1D" w14:textId="77777777" w:rsidR="00D91D7C" w:rsidRDefault="00D91D7C" w:rsidP="00D91D7C">
      <w:pPr>
        <w:pStyle w:val="Heading4"/>
      </w:pPr>
      <w:r>
        <w:t xml:space="preserve">Deportations benefit </w:t>
      </w:r>
      <w:r w:rsidRPr="00AB6353">
        <w:rPr>
          <w:u w:val="single"/>
        </w:rPr>
        <w:t>surrounding</w:t>
      </w:r>
      <w:r>
        <w:t xml:space="preserve"> counties.</w:t>
      </w:r>
    </w:p>
    <w:p w14:paraId="1F92E14D" w14:textId="77777777" w:rsidR="00D91D7C" w:rsidRDefault="00D91D7C" w:rsidP="00D91D7C">
      <w:r>
        <w:rPr>
          <w:rStyle w:val="Style13ptBold"/>
        </w:rPr>
        <w:t>Ifft and Jodlowski 16</w:t>
      </w:r>
      <w:r>
        <w:t xml:space="preserve"> – Jennifer Ifft, Assistant Professor in the Charles H. Dyson School of Applied Economics and Management at Cornell University, and Margaret Jodlowski, PhD Candidate in the the Charles H. Dyson School of Applied Economics and Management at Cornell University ("Is ICE Freezing US Agriculture? The Impact of Local Immigration Enforcement on Farm Profitability and Structure," AgEcon Search, available online at https://ageconsearch.umn.edu/record/235950/, accessed 7-3-2020) LR</w:t>
      </w:r>
    </w:p>
    <w:p w14:paraId="60DA108D" w14:textId="77777777" w:rsidR="00D91D7C" w:rsidRDefault="00D91D7C" w:rsidP="00D91D7C">
      <w:pPr>
        <w:rPr>
          <w:sz w:val="16"/>
        </w:rPr>
      </w:pPr>
      <w:r w:rsidRPr="00A876C5">
        <w:rPr>
          <w:sz w:val="16"/>
        </w:rPr>
        <w:t xml:space="preserve">County participation in 287(g) leads to local farms experiencing increased labor and fuel expenses and lower vegetable production, with some results suggestive of a decline in short and long-term profitability. At the county level, we observe a decline in the number of farm workers and the total area of land in farms. These results are consistent with a permanent labor supply shock, and are likely driven by impacts on larger farms more likely to use hired labor. Likewise, </w:t>
      </w:r>
      <w:r w:rsidRPr="00A876C5">
        <w:rPr>
          <w:rStyle w:val="StyleUnderline"/>
        </w:rPr>
        <w:t xml:space="preserve">farms in counties </w:t>
      </w:r>
      <w:r w:rsidRPr="00A876C5">
        <w:rPr>
          <w:rStyle w:val="Emphasis"/>
        </w:rPr>
        <w:t>adjacent</w:t>
      </w:r>
      <w:r w:rsidRPr="00A876C5">
        <w:rPr>
          <w:sz w:val="16"/>
        </w:rPr>
        <w:t xml:space="preserve"> to those participating in 287(g) appear to </w:t>
      </w:r>
      <w:r w:rsidRPr="00A876C5">
        <w:rPr>
          <w:rStyle w:val="StyleUnderline"/>
        </w:rPr>
        <w:t xml:space="preserve">have benefited from a </w:t>
      </w:r>
      <w:r w:rsidRPr="00A876C5">
        <w:rPr>
          <w:rStyle w:val="Emphasis"/>
        </w:rPr>
        <w:t>positive labor supply shock</w:t>
      </w:r>
      <w:r w:rsidRPr="00A876C5">
        <w:rPr>
          <w:rStyle w:val="StyleUnderline"/>
        </w:rPr>
        <w:t xml:space="preserve">, with a large impact in the </w:t>
      </w:r>
      <w:r w:rsidRPr="00A876C5">
        <w:rPr>
          <w:rStyle w:val="Emphasis"/>
        </w:rPr>
        <w:t>opposite direction</w:t>
      </w:r>
      <w:r w:rsidRPr="00A876C5">
        <w:rPr>
          <w:rStyle w:val="StyleUnderline"/>
        </w:rPr>
        <w:t xml:space="preserve"> for several measures. The impacts are</w:t>
      </w:r>
      <w:r w:rsidRPr="00A876C5">
        <w:rPr>
          <w:sz w:val="16"/>
        </w:rPr>
        <w:t xml:space="preserve"> generally </w:t>
      </w:r>
      <w:r w:rsidRPr="00A876C5">
        <w:rPr>
          <w:rStyle w:val="StyleUnderline"/>
        </w:rPr>
        <w:t>consistent using</w:t>
      </w:r>
      <w:r w:rsidRPr="00A876C5">
        <w:rPr>
          <w:sz w:val="16"/>
        </w:rPr>
        <w:t xml:space="preserve"> either </w:t>
      </w:r>
      <w:r w:rsidRPr="00A876C5">
        <w:rPr>
          <w:rStyle w:val="StyleUnderline"/>
        </w:rPr>
        <w:t>farm-level or county-level data</w:t>
      </w:r>
      <w:r w:rsidRPr="00A876C5">
        <w:rPr>
          <w:sz w:val="16"/>
        </w:rPr>
        <w:t>, although in some cases do reflect the different populations and survey methodologies.</w:t>
      </w:r>
    </w:p>
    <w:p w14:paraId="28B9D94D" w14:textId="77777777" w:rsidR="00D91D7C" w:rsidRDefault="00D91D7C" w:rsidP="00D91D7C">
      <w:pPr>
        <w:pStyle w:val="Heading3"/>
      </w:pPr>
      <w:r>
        <w:t>1NC – AT: Key to Ag</w:t>
      </w:r>
    </w:p>
    <w:p w14:paraId="7CD21DE9" w14:textId="77777777" w:rsidR="00D91D7C" w:rsidRDefault="00D91D7C" w:rsidP="00D91D7C">
      <w:pPr>
        <w:pStyle w:val="Heading4"/>
      </w:pPr>
      <w:r>
        <w:t>High industrial agriculture solves for any loss of labor farming — if not alt causes</w:t>
      </w:r>
    </w:p>
    <w:p w14:paraId="23D263AA" w14:textId="77777777" w:rsidR="00D91D7C" w:rsidRPr="00BD69B1" w:rsidRDefault="00D91D7C" w:rsidP="00D91D7C">
      <w:r w:rsidRPr="00BD69B1">
        <w:rPr>
          <w:rStyle w:val="Style13ptBold"/>
        </w:rPr>
        <w:t>Lusk 1</w:t>
      </w:r>
      <w:r>
        <w:rPr>
          <w:rStyle w:val="Style13ptBold"/>
        </w:rPr>
        <w:t xml:space="preserve">6 — </w:t>
      </w:r>
      <w:r>
        <w:t xml:space="preserve">is </w:t>
      </w:r>
      <w:r w:rsidRPr="00346EBC">
        <w:t>Jayson Lusk, a professor of agricultural economics at Oklahoma State University, is the author of “Unnaturally Delicious: How Science and Technology are Serving Up Superfoods to Save the World.”</w:t>
      </w:r>
      <w:r>
        <w:t xml:space="preserve"> (“Why Industrial Farms Are Good for the Environment” The New York Times, September 23, 2016. https://www.nytimes.com/2016/09/25/opinion/sunday/why-industrial-farms-are-good-for-the-environment.html)//JLPark</w:t>
      </w:r>
    </w:p>
    <w:p w14:paraId="59463983" w14:textId="77777777" w:rsidR="00D91D7C" w:rsidRPr="00F43662" w:rsidRDefault="00D91D7C" w:rsidP="00D91D7C">
      <w:pPr>
        <w:rPr>
          <w:sz w:val="14"/>
        </w:rPr>
      </w:pPr>
      <w:r w:rsidRPr="00F43662">
        <w:rPr>
          <w:sz w:val="14"/>
        </w:rPr>
        <w:t xml:space="preserve">Stillwater, Okla. — There is much to like about small, local farms and their influence on what we eat. But </w:t>
      </w:r>
      <w:r w:rsidRPr="00F43662">
        <w:rPr>
          <w:rStyle w:val="StyleUnderline"/>
        </w:rPr>
        <w:t>if we are to sustainably deal with problems</w:t>
      </w:r>
      <w:r w:rsidRPr="00F43662">
        <w:rPr>
          <w:sz w:val="14"/>
        </w:rPr>
        <w:t xml:space="preserve"> presented by population growth and climate change, </w:t>
      </w:r>
      <w:r w:rsidRPr="00F43662">
        <w:rPr>
          <w:rStyle w:val="StyleUnderline"/>
        </w:rPr>
        <w:t>we need to look to the farmers who grow a majority of the country’s food</w:t>
      </w:r>
      <w:r w:rsidRPr="00F43662">
        <w:rPr>
          <w:sz w:val="14"/>
        </w:rPr>
        <w:t xml:space="preserve"> and fiber.</w:t>
      </w:r>
    </w:p>
    <w:p w14:paraId="76193EBD" w14:textId="77777777" w:rsidR="00D91D7C" w:rsidRPr="00F43662" w:rsidRDefault="00D91D7C" w:rsidP="00D91D7C">
      <w:pPr>
        <w:rPr>
          <w:sz w:val="14"/>
        </w:rPr>
      </w:pPr>
      <w:r w:rsidRPr="00F43662">
        <w:rPr>
          <w:rStyle w:val="StyleUnderline"/>
        </w:rPr>
        <w:t>Large farmers</w:t>
      </w:r>
      <w:r w:rsidRPr="00F43662">
        <w:rPr>
          <w:sz w:val="14"/>
        </w:rPr>
        <w:t xml:space="preserve"> — </w:t>
      </w:r>
      <w:r w:rsidRPr="00F43662">
        <w:rPr>
          <w:rStyle w:val="StyleUnderline"/>
        </w:rPr>
        <w:t>who are responsible for 80 percent of</w:t>
      </w:r>
      <w:r w:rsidRPr="00F43662">
        <w:rPr>
          <w:sz w:val="14"/>
        </w:rPr>
        <w:t xml:space="preserve"> the food sales </w:t>
      </w:r>
      <w:r w:rsidRPr="00F43662">
        <w:rPr>
          <w:rStyle w:val="StyleUnderline"/>
        </w:rPr>
        <w:t>in the U</w:t>
      </w:r>
      <w:r w:rsidRPr="00F43662">
        <w:rPr>
          <w:sz w:val="14"/>
        </w:rPr>
        <w:t xml:space="preserve">nited </w:t>
      </w:r>
      <w:r w:rsidRPr="00F43662">
        <w:rPr>
          <w:rStyle w:val="StyleUnderline"/>
        </w:rPr>
        <w:t>S</w:t>
      </w:r>
      <w:r w:rsidRPr="00F43662">
        <w:rPr>
          <w:sz w:val="14"/>
        </w:rPr>
        <w:t xml:space="preserve">tates, </w:t>
      </w:r>
      <w:r w:rsidRPr="00F43662">
        <w:rPr>
          <w:rStyle w:val="StyleUnderline"/>
        </w:rPr>
        <w:t>though they make up fewer than 8 percent of all farms</w:t>
      </w:r>
      <w:r w:rsidRPr="00F43662">
        <w:rPr>
          <w:sz w:val="14"/>
        </w:rPr>
        <w:t xml:space="preserve">, according to 2012 data from the Department of Agriculture — </w:t>
      </w:r>
      <w:r w:rsidRPr="00F43662">
        <w:rPr>
          <w:rStyle w:val="StyleUnderline"/>
        </w:rPr>
        <w:t xml:space="preserve">are among the most progressive, technologically savvy growers on the planet. Their technology has helped make them far gentler on the environment than at any time in history. </w:t>
      </w:r>
      <w:r w:rsidRPr="003B69EA">
        <w:rPr>
          <w:rStyle w:val="Emphasis"/>
        </w:rPr>
        <w:t xml:space="preserve">And a new wave of innovation </w:t>
      </w:r>
      <w:r w:rsidRPr="003B69EA">
        <w:rPr>
          <w:rStyle w:val="StyleUnderline"/>
        </w:rPr>
        <w:t>makes</w:t>
      </w:r>
      <w:r w:rsidRPr="00F43662">
        <w:rPr>
          <w:rStyle w:val="StyleUnderline"/>
        </w:rPr>
        <w:t xml:space="preserve"> them more sustainable still</w:t>
      </w:r>
      <w:r w:rsidRPr="00F43662">
        <w:rPr>
          <w:sz w:val="14"/>
        </w:rPr>
        <w:t>.</w:t>
      </w:r>
    </w:p>
    <w:p w14:paraId="4188C4EF" w14:textId="77777777" w:rsidR="00D91D7C" w:rsidRPr="00F43662" w:rsidRDefault="00D91D7C" w:rsidP="00D91D7C">
      <w:pPr>
        <w:rPr>
          <w:sz w:val="14"/>
          <w:szCs w:val="14"/>
        </w:rPr>
      </w:pPr>
      <w:r w:rsidRPr="00F43662">
        <w:rPr>
          <w:sz w:val="14"/>
          <w:szCs w:val="14"/>
        </w:rPr>
        <w:t>A vast majority of the farms are family-owned. Very few, about 3 percent, are run by nonfamily corporations. Large farm owners (</w:t>
      </w:r>
      <w:hyperlink r:id="rId229" w:tgtFrame="_blank" w:history="1">
        <w:r w:rsidRPr="00F43662">
          <w:rPr>
            <w:rStyle w:val="Hyperlink"/>
            <w:sz w:val="14"/>
            <w:szCs w:val="14"/>
          </w:rPr>
          <w:t>about 159,000</w:t>
        </w:r>
      </w:hyperlink>
      <w:r w:rsidRPr="00F43662">
        <w:rPr>
          <w:sz w:val="14"/>
          <w:szCs w:val="14"/>
        </w:rPr>
        <w:t>) number fewer than the residents of a medium-size city like Springfield, Mo. Their wares, from milk, lettuce and beef to soy, are unlikely to be highlighted on the menus of farm-to-table restaurants, but they fill the shelves at your local grocery store.</w:t>
      </w:r>
    </w:p>
    <w:p w14:paraId="36F7CA6F" w14:textId="77777777" w:rsidR="00D91D7C" w:rsidRPr="00F43662" w:rsidRDefault="00D91D7C" w:rsidP="00D91D7C">
      <w:pPr>
        <w:rPr>
          <w:sz w:val="14"/>
          <w:szCs w:val="14"/>
        </w:rPr>
      </w:pPr>
      <w:r w:rsidRPr="00F43662">
        <w:rPr>
          <w:sz w:val="14"/>
          <w:szCs w:val="14"/>
        </w:rPr>
        <w:t xml:space="preserve">There are legitimate fears about soil erosion, manure lagoons, animal welfare and nitrogen runoff at large farms — but it’s not just environmental groups that worry. Farmers are also concerned about fertilizer use and soil runoff. </w:t>
      </w:r>
    </w:p>
    <w:p w14:paraId="5B1DD459" w14:textId="77777777" w:rsidR="00D91D7C" w:rsidRPr="00F43662" w:rsidRDefault="00D91D7C" w:rsidP="00D91D7C">
      <w:pPr>
        <w:rPr>
          <w:sz w:val="14"/>
        </w:rPr>
      </w:pPr>
      <w:r w:rsidRPr="00F43662">
        <w:rPr>
          <w:sz w:val="14"/>
        </w:rPr>
        <w:t xml:space="preserve">That’s one reason </w:t>
      </w:r>
      <w:r w:rsidRPr="003B69EA">
        <w:rPr>
          <w:rStyle w:val="Emphasis"/>
        </w:rPr>
        <w:t>they’re turning to high-tech solutions</w:t>
      </w:r>
      <w:r w:rsidRPr="00F43662">
        <w:rPr>
          <w:rStyle w:val="StyleUnderline"/>
        </w:rPr>
        <w:t xml:space="preserve"> like precision agriculture</w:t>
      </w:r>
      <w:r w:rsidRPr="00F43662">
        <w:rPr>
          <w:sz w:val="14"/>
        </w:rPr>
        <w:t>. Using location-specific information about soil nutrients, moisture and productivity of the previous year, new tools, known as “variable rate applicators,” can put fertilizer only on those areas of the field that need it (which may reduce nitrogen runoff into waterways).</w:t>
      </w:r>
    </w:p>
    <w:p w14:paraId="226833E0" w14:textId="77777777" w:rsidR="00D91D7C" w:rsidRPr="003B69EA" w:rsidRDefault="00D91D7C" w:rsidP="00D91D7C">
      <w:pPr>
        <w:rPr>
          <w:sz w:val="14"/>
          <w:szCs w:val="14"/>
        </w:rPr>
      </w:pPr>
      <w:r w:rsidRPr="003B69EA">
        <w:rPr>
          <w:sz w:val="14"/>
          <w:szCs w:val="14"/>
        </w:rPr>
        <w:t>GPS signals drive many of today’s tractors, and new planters are allowing farmers to distribute seed varieties to diverse spots of a field to produce more food from each unit of land. They also modulate the amount and type of seed on each part of a field — in some places, leaving none at all.</w:t>
      </w:r>
    </w:p>
    <w:p w14:paraId="129ACE2D" w14:textId="77777777" w:rsidR="00D91D7C" w:rsidRPr="003B69EA" w:rsidRDefault="00D91D7C" w:rsidP="00D91D7C">
      <w:pPr>
        <w:rPr>
          <w:sz w:val="14"/>
          <w:szCs w:val="14"/>
        </w:rPr>
      </w:pPr>
      <w:r w:rsidRPr="003B69EA">
        <w:rPr>
          <w:sz w:val="14"/>
          <w:szCs w:val="14"/>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57E457DB" w14:textId="77777777" w:rsidR="00D91D7C" w:rsidRPr="003B69EA" w:rsidRDefault="00D91D7C" w:rsidP="00D91D7C">
      <w:pPr>
        <w:rPr>
          <w:sz w:val="14"/>
          <w:szCs w:val="14"/>
        </w:rPr>
      </w:pPr>
      <w:r w:rsidRPr="003B69EA">
        <w:rPr>
          <w:sz w:val="14"/>
          <w:szCs w:val="14"/>
        </w:rPr>
        <w:t>For tomatoes, the figure is 620 football fields; for wheat, 688 football fields; for corn, 453 football fields.</w:t>
      </w:r>
    </w:p>
    <w:p w14:paraId="6E0B5FA5" w14:textId="77777777" w:rsidR="00D91D7C" w:rsidRPr="00F43662" w:rsidRDefault="00D91D7C" w:rsidP="00D91D7C">
      <w:pPr>
        <w:rPr>
          <w:rStyle w:val="StyleUnderline"/>
        </w:rPr>
      </w:pPr>
      <w:r w:rsidRPr="00F43662">
        <w:rPr>
          <w:rStyle w:val="StyleUnderline"/>
        </w:rPr>
        <w:t>How are farmers able to manage growing crops on this daunting scale</w:t>
      </w:r>
      <w:r w:rsidRPr="00F43662">
        <w:rPr>
          <w:sz w:val="14"/>
        </w:rPr>
        <w:t xml:space="preserve">? </w:t>
      </w:r>
      <w:r w:rsidRPr="00F43662">
        <w:rPr>
          <w:rStyle w:val="StyleUnderline"/>
        </w:rPr>
        <w:t>Decades ago, they dreamed about tools to make their jobs easier, more efficient and better for the land: soil sensors to measure water content, drones, satellite images, alternative management techniques like low- and no-till farming, efficient irrigation and mechanical harvesters.</w:t>
      </w:r>
    </w:p>
    <w:p w14:paraId="45613D25" w14:textId="77777777" w:rsidR="00D91D7C" w:rsidRPr="003B69EA" w:rsidRDefault="00D91D7C" w:rsidP="00D91D7C">
      <w:pPr>
        <w:rPr>
          <w:sz w:val="14"/>
        </w:rPr>
      </w:pPr>
      <w:r w:rsidRPr="003B69EA">
        <w:rPr>
          <w:sz w:val="14"/>
        </w:rPr>
        <w:t xml:space="preserve">Today, that </w:t>
      </w:r>
      <w:r w:rsidRPr="003B69EA">
        <w:rPr>
          <w:rStyle w:val="Emphasis"/>
        </w:rPr>
        <w:t>technology is a regular part of operations</w:t>
      </w:r>
      <w:r w:rsidRPr="003B69EA">
        <w:rPr>
          <w:sz w:val="14"/>
        </w:rPr>
        <w:t xml:space="preserve"> at large farms.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14:paraId="3E738630" w14:textId="77777777" w:rsidR="00D91D7C" w:rsidRPr="00F43662" w:rsidRDefault="00D91D7C" w:rsidP="00D91D7C">
      <w:pPr>
        <w:rPr>
          <w:sz w:val="14"/>
        </w:rPr>
      </w:pPr>
      <w:r w:rsidRPr="00F43662">
        <w:rPr>
          <w:rStyle w:val="StyleUnderline"/>
        </w:rPr>
        <w:t>Before “factory farming” became a pejorative, agricultural scholars</w:t>
      </w:r>
      <w:r w:rsidRPr="00F43662">
        <w:rPr>
          <w:sz w:val="14"/>
        </w:rPr>
        <w:t xml:space="preserve"> of the mid-20th century </w:t>
      </w:r>
      <w:r w:rsidRPr="00F43662">
        <w:rPr>
          <w:rStyle w:val="StyleUnderline"/>
        </w:rPr>
        <w:t>were calling for farmers to do just that</w:t>
      </w:r>
      <w:r w:rsidRPr="00F43662">
        <w:rPr>
          <w:sz w:val="14"/>
        </w:rPr>
        <w:t xml:space="preserve"> — </w:t>
      </w:r>
      <w:r w:rsidRPr="00F43662">
        <w:rPr>
          <w:rStyle w:val="StyleUnderline"/>
        </w:rPr>
        <w:t>become more factorylike and businesslike</w:t>
      </w:r>
      <w:r w:rsidRPr="00F43662">
        <w:rPr>
          <w:sz w:val="14"/>
        </w:rPr>
        <w:t xml:space="preserve">. From that time, farm sizes have risen significantly. It is precisely this large size that is often criticized today in the belief that </w:t>
      </w:r>
      <w:r w:rsidRPr="00F43662">
        <w:rPr>
          <w:rStyle w:val="StyleUnderline"/>
        </w:rPr>
        <w:t>large farms put profit ahead of soil and animal health.</w:t>
      </w:r>
    </w:p>
    <w:p w14:paraId="70EFBFCB" w14:textId="77777777" w:rsidR="00D91D7C" w:rsidRPr="00F43662" w:rsidRDefault="00D91D7C" w:rsidP="00D91D7C">
      <w:pPr>
        <w:rPr>
          <w:sz w:val="14"/>
        </w:rPr>
      </w:pPr>
      <w:r w:rsidRPr="00F43662">
        <w:rPr>
          <w:sz w:val="14"/>
        </w:rPr>
        <w:t xml:space="preserve">But </w:t>
      </w:r>
      <w:r w:rsidRPr="00F43662">
        <w:rPr>
          <w:rStyle w:val="StyleUnderline"/>
        </w:rPr>
        <w:t>increased size</w:t>
      </w:r>
      <w:r w:rsidRPr="00F43662">
        <w:rPr>
          <w:sz w:val="14"/>
        </w:rPr>
        <w:t xml:space="preserve"> has advantages, especially </w:t>
      </w:r>
      <w:r w:rsidRPr="00F43662">
        <w:rPr>
          <w:rStyle w:val="StyleUnderline"/>
        </w:rPr>
        <w:t>better opportunities to invest in new technologies and to benefit from economies of scale</w:t>
      </w:r>
      <w:r w:rsidRPr="00F43662">
        <w:rPr>
          <w:sz w:val="14"/>
        </w:rPr>
        <w:t>. Buying a $400,000 combine that gives farmers detailed information on the variations in crop yield in different parts of the field would never pay on just five acres of land; at 5,000 acres, it is a different story.</w:t>
      </w:r>
    </w:p>
    <w:p w14:paraId="389DBF37" w14:textId="77777777" w:rsidR="00D91D7C" w:rsidRPr="00F43662" w:rsidRDefault="00D91D7C" w:rsidP="00D91D7C">
      <w:pPr>
        <w:rPr>
          <w:rStyle w:val="StyleUnderline"/>
        </w:rPr>
      </w:pPr>
      <w:r w:rsidRPr="00F43662">
        <w:rPr>
          <w:rStyle w:val="StyleUnderline"/>
        </w:rPr>
        <w:t>These technologies reduce the use of water and fertilizer and harm to the environment. Modern seed varieties</w:t>
      </w:r>
      <w:r w:rsidRPr="00F43662">
        <w:rPr>
          <w:sz w:val="14"/>
        </w:rPr>
        <w:t xml:space="preserve">, some of which were </w:t>
      </w:r>
      <w:r w:rsidRPr="00F43662">
        <w:rPr>
          <w:rStyle w:val="StyleUnderline"/>
        </w:rPr>
        <w:t>brought</w:t>
      </w:r>
      <w:r w:rsidRPr="00F43662">
        <w:rPr>
          <w:sz w:val="14"/>
        </w:rPr>
        <w:t xml:space="preserve"> about by </w:t>
      </w:r>
      <w:r w:rsidRPr="00F43662">
        <w:rPr>
          <w:rStyle w:val="StyleUnderline"/>
        </w:rPr>
        <w:t>biotechnology, have allowed farmers to convert to low- and no-till cropping systems, and can encourage the adoption of nitrogen-fixing cover crops such as clover or alfalfa to promote soil health.</w:t>
      </w:r>
    </w:p>
    <w:p w14:paraId="16BD6D2F" w14:textId="77777777" w:rsidR="00D91D7C" w:rsidRPr="00F43662" w:rsidRDefault="00D91D7C" w:rsidP="00D91D7C">
      <w:pPr>
        <w:rPr>
          <w:sz w:val="14"/>
        </w:rPr>
      </w:pPr>
      <w:r w:rsidRPr="00F43662">
        <w:rPr>
          <w:rStyle w:val="StyleUnderline"/>
        </w:rPr>
        <w:t>Herbicide-resistant crops let farmers control weeds without plowing</w:t>
      </w:r>
      <w:r w:rsidRPr="00F43662">
        <w:rPr>
          <w:sz w:val="14"/>
        </w:rPr>
        <w:t xml:space="preserve">, </w:t>
      </w:r>
      <w:r w:rsidRPr="00F43662">
        <w:rPr>
          <w:rStyle w:val="StyleUnderline"/>
        </w:rPr>
        <w:t>and</w:t>
      </w:r>
      <w:r w:rsidRPr="00F43662">
        <w:rPr>
          <w:sz w:val="14"/>
        </w:rPr>
        <w:t xml:space="preserve"> the same </w:t>
      </w:r>
      <w:r w:rsidRPr="00F43662">
        <w:rPr>
          <w:rStyle w:val="StyleUnderline"/>
        </w:rPr>
        <w:t>technology allows growers to kill off cover crops if they interfere with the planting of cash crops</w:t>
      </w:r>
      <w:r w:rsidRPr="00F43662">
        <w:rPr>
          <w:sz w:val="14"/>
        </w:rPr>
        <w:t>. The herbicide-resistant crops have some downsides: They can lead to farmers’ using more herbicide (though the type of herbicide is important, and the new crops have often led to the use of safer, less toxic ones).</w:t>
      </w:r>
    </w:p>
    <w:p w14:paraId="7C12737F" w14:textId="77777777" w:rsidR="00D91D7C" w:rsidRPr="00F43662" w:rsidRDefault="00D91D7C" w:rsidP="00D91D7C">
      <w:pPr>
        <w:rPr>
          <w:sz w:val="14"/>
        </w:rPr>
      </w:pPr>
      <w:r w:rsidRPr="00F43662">
        <w:rPr>
          <w:sz w:val="14"/>
        </w:rPr>
        <w:t xml:space="preserve">But in most cases, it’s a trade-off worth making, because </w:t>
      </w:r>
      <w:r w:rsidRPr="003B69EA">
        <w:rPr>
          <w:rStyle w:val="Emphasis"/>
        </w:rPr>
        <w:t>they enable no-till farming methods</w:t>
      </w:r>
      <w:r w:rsidRPr="003B69EA">
        <w:rPr>
          <w:rStyle w:val="StyleUnderline"/>
        </w:rPr>
        <w:t>,</w:t>
      </w:r>
      <w:r w:rsidRPr="00F43662">
        <w:rPr>
          <w:rStyle w:val="StyleUnderline"/>
        </w:rPr>
        <w:t xml:space="preserve"> which help prevent soil erosion</w:t>
      </w:r>
      <w:r w:rsidRPr="00F43662">
        <w:rPr>
          <w:sz w:val="14"/>
        </w:rPr>
        <w:t>.</w:t>
      </w:r>
    </w:p>
    <w:p w14:paraId="6AE5BDA7" w14:textId="77777777" w:rsidR="00D91D7C" w:rsidRPr="00F43662" w:rsidRDefault="00D91D7C" w:rsidP="00D91D7C">
      <w:pPr>
        <w:rPr>
          <w:sz w:val="14"/>
        </w:rPr>
      </w:pPr>
      <w:r w:rsidRPr="00F43662">
        <w:rPr>
          <w:sz w:val="14"/>
        </w:rPr>
        <w:t>These practices are one reason </w:t>
      </w:r>
      <w:hyperlink r:id="rId230" w:tgtFrame="_blank" w:history="1">
        <w:r w:rsidRPr="00F43662">
          <w:rPr>
            <w:rStyle w:val="StyleUnderline"/>
          </w:rPr>
          <w:t>soil erosion has declined</w:t>
        </w:r>
      </w:hyperlink>
      <w:r w:rsidRPr="00F43662">
        <w:rPr>
          <w:sz w:val="14"/>
        </w:rPr>
        <w:t xml:space="preserve"> more than </w:t>
      </w:r>
      <w:r w:rsidRPr="00F43662">
        <w:rPr>
          <w:rStyle w:val="StyleUnderline"/>
        </w:rPr>
        <w:t>40 percent since the 1980s</w:t>
      </w:r>
      <w:r w:rsidRPr="00F43662">
        <w:rPr>
          <w:sz w:val="14"/>
        </w:rPr>
        <w:t>.</w:t>
      </w:r>
    </w:p>
    <w:p w14:paraId="0AA9ACE0" w14:textId="77777777" w:rsidR="00D91D7C" w:rsidRPr="00F43662" w:rsidRDefault="00D91D7C" w:rsidP="00D91D7C">
      <w:pPr>
        <w:rPr>
          <w:sz w:val="14"/>
        </w:rPr>
      </w:pPr>
      <w:r w:rsidRPr="00F43662">
        <w:rPr>
          <w:rStyle w:val="StyleUnderline"/>
        </w:rPr>
        <w:t>Improvements in agricultural technologies and production practices have significantly lowered the use of energy and water, and greenhouse-gas emissions of food production</w:t>
      </w:r>
      <w:r w:rsidRPr="00F43662">
        <w:rPr>
          <w:sz w:val="14"/>
        </w:rPr>
        <w:t xml:space="preserve"> per unit of output over time. United States crop production now is twice what it was in 1970.</w:t>
      </w:r>
    </w:p>
    <w:p w14:paraId="2A59D4EF" w14:textId="77777777" w:rsidR="00D91D7C" w:rsidRPr="00F43662" w:rsidRDefault="00D91D7C" w:rsidP="00D91D7C">
      <w:pPr>
        <w:rPr>
          <w:sz w:val="14"/>
        </w:rPr>
      </w:pPr>
      <w:r w:rsidRPr="00F43662">
        <w:rPr>
          <w:sz w:val="14"/>
        </w:rPr>
        <w:t xml:space="preserve">That would not be a good change if more land, water, pesticides and labor were being used. But that is not what happened: </w:t>
      </w:r>
      <w:r w:rsidRPr="003B69EA">
        <w:rPr>
          <w:rStyle w:val="Emphasis"/>
        </w:rPr>
        <w:t>Agriculture is using nearly half the labor</w:t>
      </w:r>
      <w:r w:rsidRPr="00F43662">
        <w:rPr>
          <w:sz w:val="14"/>
        </w:rPr>
        <w:t xml:space="preserve"> and 16 percent less land than it did in 1970.</w:t>
      </w:r>
    </w:p>
    <w:p w14:paraId="534A9A35" w14:textId="77777777" w:rsidR="00D91D7C" w:rsidRPr="00F43662" w:rsidRDefault="00D91D7C" w:rsidP="00D91D7C">
      <w:pPr>
        <w:rPr>
          <w:sz w:val="14"/>
        </w:rPr>
      </w:pPr>
      <w:r w:rsidRPr="00F43662">
        <w:rPr>
          <w:sz w:val="14"/>
        </w:rPr>
        <w:t xml:space="preserve">Instead, </w:t>
      </w:r>
      <w:r w:rsidRPr="00F43662">
        <w:rPr>
          <w:rStyle w:val="StyleUnderline"/>
        </w:rPr>
        <w:t>farmers increased production through innovation</w:t>
      </w:r>
      <w:r w:rsidRPr="00F43662">
        <w:rPr>
          <w:sz w:val="14"/>
        </w:rPr>
        <w:t>. Wheat breeders, for example, using traditional techniques assisted by the latest genetic tools and information, have created varieties that resist disease without numerous applications of insecticides and fungicides. Nearly all corn and soybean farmers practice crop rotation, giving soil a chance to recover. Research is moving beyond simple measures of nitrogen and phosphorus content to look at the microbes in the soil.</w:t>
      </w:r>
    </w:p>
    <w:p w14:paraId="700AC4BC" w14:textId="77777777" w:rsidR="00D91D7C" w:rsidRPr="00F43662" w:rsidRDefault="00D91D7C" w:rsidP="00D91D7C">
      <w:pPr>
        <w:rPr>
          <w:sz w:val="14"/>
          <w:szCs w:val="14"/>
        </w:rPr>
      </w:pPr>
      <w:r w:rsidRPr="00F43662">
        <w:rPr>
          <w:sz w:val="14"/>
          <w:szCs w:val="14"/>
        </w:rPr>
        <w:t>New industrywide initiatives are focused on quantifying and measuring soil health. The goal is to provide measurements of factors affecting the long-term value of the soil and to identify which practices — organic, conventional or otherwise — will ensure that farmers can responsibly produce plenty of food for our grandchildren.</w:t>
      </w:r>
    </w:p>
    <w:p w14:paraId="682A4632" w14:textId="77777777" w:rsidR="00D91D7C" w:rsidRPr="00F43662" w:rsidRDefault="00D91D7C" w:rsidP="00D91D7C">
      <w:pPr>
        <w:rPr>
          <w:sz w:val="14"/>
        </w:rPr>
      </w:pPr>
      <w:r w:rsidRPr="00F43662">
        <w:rPr>
          <w:sz w:val="14"/>
        </w:rPr>
        <w:t xml:space="preserve">Over the past century, there has been a notable shift in Americans’ connection with food production. </w:t>
      </w:r>
      <w:r w:rsidRPr="00F43662">
        <w:rPr>
          <w:rStyle w:val="StyleUnderline"/>
        </w:rPr>
        <w:t>In 1900, about 40 percent of the United States population was on the farm, and 60 percent lived in rural areas</w:t>
      </w:r>
      <w:r w:rsidRPr="00F43662">
        <w:rPr>
          <w:sz w:val="14"/>
        </w:rPr>
        <w:t xml:space="preserve">. </w:t>
      </w:r>
      <w:r w:rsidRPr="00F43662">
        <w:rPr>
          <w:rStyle w:val="StyleUnderline"/>
        </w:rPr>
        <w:t>Today</w:t>
      </w:r>
      <w:r w:rsidRPr="00F43662">
        <w:rPr>
          <w:sz w:val="14"/>
        </w:rPr>
        <w:t xml:space="preserve"> the respective </w:t>
      </w:r>
      <w:r w:rsidRPr="00F43662">
        <w:rPr>
          <w:rStyle w:val="StyleUnderline"/>
        </w:rPr>
        <w:t>figures are only about 1 percent and 20 percent</w:t>
      </w:r>
      <w:r w:rsidRPr="00F43662">
        <w:rPr>
          <w:sz w:val="14"/>
        </w:rPr>
        <w:t xml:space="preserve">. From the 1940s to the 1980s, </w:t>
      </w:r>
      <w:r w:rsidRPr="00F43662">
        <w:rPr>
          <w:rStyle w:val="StyleUnderline"/>
        </w:rPr>
        <w:t>the number of farms fell by more than half, and average farm size tripled</w:t>
      </w:r>
      <w:r w:rsidRPr="00F43662">
        <w:rPr>
          <w:sz w:val="14"/>
        </w:rPr>
        <w:t>. A result is that romantic, pastoral images of farming from yesteryear are far from representing reality.</w:t>
      </w:r>
    </w:p>
    <w:p w14:paraId="38D3ED91" w14:textId="77777777" w:rsidR="00D91D7C" w:rsidRPr="00C3543B" w:rsidRDefault="00D91D7C" w:rsidP="00D91D7C">
      <w:pPr>
        <w:rPr>
          <w:sz w:val="14"/>
        </w:rPr>
      </w:pPr>
      <w:r w:rsidRPr="003B69EA">
        <w:rPr>
          <w:rStyle w:val="Emphasis"/>
        </w:rPr>
        <w:t>Big problems face farmers</w:t>
      </w:r>
      <w:r w:rsidRPr="00F43662">
        <w:rPr>
          <w:sz w:val="14"/>
        </w:rPr>
        <w:t xml:space="preserve"> and consumers. </w:t>
      </w:r>
      <w:r w:rsidRPr="00F43662">
        <w:rPr>
          <w:rStyle w:val="StyleUnderline"/>
        </w:rPr>
        <w:t>Climate change, food waste, growing world population, drought and water quality</w:t>
      </w:r>
      <w:r w:rsidRPr="00F43662">
        <w:rPr>
          <w:sz w:val="14"/>
        </w:rPr>
        <w:t xml:space="preserve"> are just a few.</w:t>
      </w:r>
    </w:p>
    <w:p w14:paraId="354DA1C1" w14:textId="77777777" w:rsidR="00D91D7C" w:rsidRDefault="00D91D7C" w:rsidP="00D91D7C">
      <w:pPr>
        <w:pStyle w:val="Heading4"/>
      </w:pPr>
      <w:r>
        <w:t>Automation solves.</w:t>
      </w:r>
    </w:p>
    <w:p w14:paraId="7E4326ED" w14:textId="77777777" w:rsidR="00D91D7C" w:rsidRDefault="00D91D7C" w:rsidP="00D91D7C">
      <w:r>
        <w:rPr>
          <w:rStyle w:val="Style13ptBold"/>
        </w:rPr>
        <w:t>Tarantola 18</w:t>
      </w:r>
      <w:r>
        <w:t xml:space="preserve"> – Andrew Tarantola, Senior Editor at Engadget, May 31</w:t>
      </w:r>
      <w:r w:rsidRPr="000876E2">
        <w:rPr>
          <w:vertAlign w:val="superscript"/>
        </w:rPr>
        <w:t>st</w:t>
      </w:r>
      <w:r>
        <w:t xml:space="preserve"> ("America can't solve its migrant labor crisis with automation," Engadget, available online at https://www.engadget.com/2018-05-31-america-migrant-labor-automation.html, accessed 7-5-2020) LR</w:t>
      </w:r>
    </w:p>
    <w:p w14:paraId="71394CAD" w14:textId="77777777" w:rsidR="00D91D7C" w:rsidRPr="00CE05F2" w:rsidRDefault="00D91D7C" w:rsidP="00D91D7C">
      <w:pPr>
        <w:rPr>
          <w:sz w:val="16"/>
        </w:rPr>
      </w:pPr>
      <w:r w:rsidRPr="00CE05F2">
        <w:rPr>
          <w:sz w:val="16"/>
        </w:rPr>
        <w:t xml:space="preserve">And that's where </w:t>
      </w:r>
      <w:r w:rsidRPr="00A10106">
        <w:rPr>
          <w:rStyle w:val="StyleUnderline"/>
        </w:rPr>
        <w:t>automation will come</w:t>
      </w:r>
      <w:r w:rsidRPr="00CE05F2">
        <w:rPr>
          <w:sz w:val="16"/>
        </w:rPr>
        <w:t xml:space="preserve"> in, eventually. "</w:t>
      </w:r>
      <w:r w:rsidRPr="008238D2">
        <w:rPr>
          <w:rStyle w:val="Emphasis"/>
        </w:rPr>
        <w:t>Automation is the priority</w:t>
      </w:r>
      <w:r w:rsidRPr="00A10106">
        <w:rPr>
          <w:rStyle w:val="StyleUnderline"/>
        </w:rPr>
        <w:t xml:space="preserve"> for the industry</w:t>
      </w:r>
      <w:r w:rsidRPr="00CE05F2">
        <w:rPr>
          <w:sz w:val="16"/>
        </w:rPr>
        <w:t>, understanding that in the future, labor is going to be limited," Sankaran said. "</w:t>
      </w:r>
      <w:r w:rsidRPr="00A10106">
        <w:rPr>
          <w:rStyle w:val="StyleUnderline"/>
        </w:rPr>
        <w:t>There's a lot of emphasis on machine learning</w:t>
      </w:r>
      <w:r w:rsidRPr="00CE05F2">
        <w:rPr>
          <w:sz w:val="16"/>
        </w:rPr>
        <w:t xml:space="preserve"> approaches on how to automate it."</w:t>
      </w:r>
    </w:p>
    <w:p w14:paraId="3E3F8F58" w14:textId="77777777" w:rsidR="00D91D7C" w:rsidRPr="00A10106" w:rsidRDefault="00D91D7C" w:rsidP="00D91D7C">
      <w:pPr>
        <w:rPr>
          <w:sz w:val="16"/>
          <w:szCs w:val="16"/>
        </w:rPr>
      </w:pPr>
      <w:r w:rsidRPr="00A10106">
        <w:rPr>
          <w:sz w:val="16"/>
          <w:szCs w:val="16"/>
        </w:rPr>
        <w:t>Farmers have relied on increasingly complex farming implements since the advent of the ox-drawn plow. But even today's industrial-scale planters, weeders and harvesters require human oversight to properly function. "The farmer really has to be there because only the farmer knows how to farm -- the computer doesn't," Kraig Schulz, the co-founder and CEO of Autonomous Tractor, told NBC News.</w:t>
      </w:r>
    </w:p>
    <w:p w14:paraId="276AFE9C" w14:textId="77777777" w:rsidR="00D91D7C" w:rsidRPr="00434F54" w:rsidRDefault="00D91D7C" w:rsidP="00D91D7C">
      <w:pPr>
        <w:rPr>
          <w:rStyle w:val="StyleUnderline"/>
        </w:rPr>
      </w:pPr>
      <w:r w:rsidRPr="00434F54">
        <w:rPr>
          <w:rStyle w:val="StyleUnderline"/>
        </w:rPr>
        <w:t>Automation</w:t>
      </w:r>
      <w:r w:rsidRPr="00434F54">
        <w:rPr>
          <w:sz w:val="16"/>
        </w:rPr>
        <w:t xml:space="preserve"> holds the promise of </w:t>
      </w:r>
      <w:r w:rsidRPr="008238D2">
        <w:rPr>
          <w:rStyle w:val="Emphasis"/>
        </w:rPr>
        <w:t>eliminating the need for</w:t>
      </w:r>
      <w:r w:rsidRPr="00434F54">
        <w:rPr>
          <w:sz w:val="16"/>
        </w:rPr>
        <w:t xml:space="preserve"> such </w:t>
      </w:r>
      <w:r w:rsidRPr="008238D2">
        <w:rPr>
          <w:rStyle w:val="Emphasis"/>
        </w:rPr>
        <w:t>operators</w:t>
      </w:r>
      <w:r w:rsidRPr="00434F54">
        <w:rPr>
          <w:rStyle w:val="StyleUnderline"/>
        </w:rPr>
        <w:t>, reducing expenses</w:t>
      </w:r>
      <w:r w:rsidRPr="00434F54">
        <w:rPr>
          <w:sz w:val="16"/>
        </w:rPr>
        <w:t xml:space="preserve"> for the farm, </w:t>
      </w:r>
      <w:r w:rsidRPr="008238D2">
        <w:rPr>
          <w:rStyle w:val="Emphasis"/>
        </w:rPr>
        <w:t>insulating it from</w:t>
      </w:r>
      <w:r w:rsidRPr="00434F54">
        <w:rPr>
          <w:sz w:val="16"/>
        </w:rPr>
        <w:t xml:space="preserve"> the </w:t>
      </w:r>
      <w:r w:rsidRPr="00434F54">
        <w:rPr>
          <w:rStyle w:val="StyleUnderline"/>
        </w:rPr>
        <w:t xml:space="preserve">effects of </w:t>
      </w:r>
      <w:r w:rsidRPr="008238D2">
        <w:rPr>
          <w:rStyle w:val="Emphasis"/>
        </w:rPr>
        <w:t>labor shortages</w:t>
      </w:r>
      <w:r w:rsidRPr="00434F54">
        <w:rPr>
          <w:rStyle w:val="StyleUnderline"/>
        </w:rPr>
        <w:t xml:space="preserve"> and </w:t>
      </w:r>
      <w:r w:rsidRPr="008238D2">
        <w:rPr>
          <w:rStyle w:val="Emphasis"/>
        </w:rPr>
        <w:t>increasing efficiency</w:t>
      </w:r>
      <w:r w:rsidRPr="00434F54">
        <w:rPr>
          <w:rStyle w:val="StyleUnderline"/>
        </w:rPr>
        <w:t>.</w:t>
      </w:r>
    </w:p>
    <w:p w14:paraId="4EB65FC4" w14:textId="77777777" w:rsidR="00D91D7C" w:rsidRPr="00434F54" w:rsidRDefault="00D91D7C" w:rsidP="00D91D7C">
      <w:pPr>
        <w:rPr>
          <w:sz w:val="16"/>
          <w:szCs w:val="16"/>
        </w:rPr>
      </w:pPr>
      <w:r w:rsidRPr="00434F54">
        <w:rPr>
          <w:sz w:val="16"/>
          <w:szCs w:val="16"/>
        </w:rPr>
        <w:t>"In tens of millions of acres in the US, there's not really people who want to go out and pull weeds in the 100-degree heat," Ben Chostner, a Blue River Technology executive, told NBC News in 2017.</w:t>
      </w:r>
    </w:p>
    <w:p w14:paraId="4584CBC7" w14:textId="77777777" w:rsidR="00D91D7C" w:rsidRPr="00434F54" w:rsidRDefault="00D91D7C" w:rsidP="00D91D7C">
      <w:pPr>
        <w:rPr>
          <w:sz w:val="16"/>
        </w:rPr>
      </w:pPr>
      <w:r w:rsidRPr="00434F54">
        <w:rPr>
          <w:sz w:val="16"/>
        </w:rPr>
        <w:t xml:space="preserve">In fact, </w:t>
      </w:r>
      <w:r w:rsidRPr="00434F54">
        <w:rPr>
          <w:rStyle w:val="StyleUnderline"/>
        </w:rPr>
        <w:t>John Deere acquired Blue River Te</w:t>
      </w:r>
      <w:r w:rsidRPr="008238D2">
        <w:rPr>
          <w:rStyle w:val="StyleUnderline"/>
        </w:rPr>
        <w:t>chnology</w:t>
      </w:r>
      <w:r w:rsidRPr="00434F54">
        <w:rPr>
          <w:sz w:val="16"/>
        </w:rPr>
        <w:t xml:space="preserve"> in 2017 for $305 million </w:t>
      </w:r>
      <w:r w:rsidRPr="00434F54">
        <w:rPr>
          <w:rStyle w:val="StyleUnderline"/>
        </w:rPr>
        <w:t>to help augment its</w:t>
      </w:r>
      <w:r w:rsidRPr="00434F54">
        <w:rPr>
          <w:sz w:val="16"/>
        </w:rPr>
        <w:t xml:space="preserve"> two-decade </w:t>
      </w:r>
      <w:r w:rsidRPr="00434F54">
        <w:rPr>
          <w:rStyle w:val="StyleUnderline"/>
        </w:rPr>
        <w:t xml:space="preserve">efforts to develop a </w:t>
      </w:r>
      <w:r w:rsidRPr="008238D2">
        <w:rPr>
          <w:rStyle w:val="Emphasis"/>
        </w:rPr>
        <w:t>fully autonomous tractor</w:t>
      </w:r>
      <w:r w:rsidRPr="00434F54">
        <w:rPr>
          <w:rStyle w:val="StyleUnderline"/>
        </w:rPr>
        <w:t>. John Deere's precision-agriculture products already utilize a degree of autonomous function</w:t>
      </w:r>
      <w:r w:rsidRPr="00434F54">
        <w:rPr>
          <w:sz w:val="16"/>
        </w:rPr>
        <w:t xml:space="preserve"> in their operations, </w:t>
      </w:r>
      <w:r w:rsidRPr="00434F54">
        <w:rPr>
          <w:rStyle w:val="StyleUnderline"/>
        </w:rPr>
        <w:t>using GPS to remotely guide harvesters and optical sensors to evaluate the quality of grains as they're being harvested.</w:t>
      </w:r>
    </w:p>
    <w:p w14:paraId="128A6883" w14:textId="77777777" w:rsidR="00D91D7C" w:rsidRPr="00434F54" w:rsidRDefault="00D91D7C" w:rsidP="00D91D7C">
      <w:pPr>
        <w:rPr>
          <w:sz w:val="16"/>
        </w:rPr>
      </w:pPr>
      <w:r w:rsidRPr="00434F54">
        <w:rPr>
          <w:sz w:val="16"/>
        </w:rPr>
        <w:t xml:space="preserve">However, </w:t>
      </w:r>
      <w:r w:rsidRPr="008238D2">
        <w:rPr>
          <w:rStyle w:val="Emphasis"/>
        </w:rPr>
        <w:t>automated weed killers</w:t>
      </w:r>
      <w:r w:rsidRPr="00434F54">
        <w:rPr>
          <w:rStyle w:val="StyleUnderline"/>
        </w:rPr>
        <w:t xml:space="preserve"> like</w:t>
      </w:r>
      <w:r w:rsidRPr="00434F54">
        <w:rPr>
          <w:sz w:val="16"/>
        </w:rPr>
        <w:t xml:space="preserve"> the one </w:t>
      </w:r>
      <w:r w:rsidRPr="00434F54">
        <w:rPr>
          <w:rStyle w:val="StyleUnderline"/>
        </w:rPr>
        <w:t xml:space="preserve">from ecoRobotix could </w:t>
      </w:r>
      <w:r w:rsidRPr="00434F54">
        <w:rPr>
          <w:sz w:val="16"/>
        </w:rPr>
        <w:t xml:space="preserve">someday </w:t>
      </w:r>
      <w:r w:rsidRPr="00434F54">
        <w:rPr>
          <w:rStyle w:val="StyleUnderline"/>
        </w:rPr>
        <w:t>be tasked with</w:t>
      </w:r>
      <w:r w:rsidRPr="00434F54">
        <w:rPr>
          <w:sz w:val="16"/>
        </w:rPr>
        <w:t xml:space="preserve"> the monotonous </w:t>
      </w:r>
      <w:r w:rsidRPr="00434F54">
        <w:rPr>
          <w:rStyle w:val="StyleUnderline"/>
        </w:rPr>
        <w:t>job of spritzing interloping plants in field after field of row crops.</w:t>
      </w:r>
      <w:r w:rsidRPr="00434F54">
        <w:rPr>
          <w:sz w:val="16"/>
        </w:rPr>
        <w:t xml:space="preserve"> The company claims that its machines can reduce the amount of herbicide needed by a factor of 20.</w:t>
      </w:r>
    </w:p>
    <w:p w14:paraId="62D82D8C" w14:textId="77777777" w:rsidR="00D91D7C" w:rsidRDefault="00D91D7C" w:rsidP="00D91D7C">
      <w:r w:rsidRPr="00434F54">
        <w:rPr>
          <w:sz w:val="16"/>
        </w:rPr>
        <w:t xml:space="preserve">At the Sixth Asian Conference on Precision Agriculture in 2016, Professor Simon Blackmore of Harper Adams University explained to the assembled crowd that </w:t>
      </w:r>
      <w:r w:rsidRPr="00434F54">
        <w:rPr>
          <w:rStyle w:val="StyleUnderline"/>
        </w:rPr>
        <w:t xml:space="preserve">the precision-agriculture industry is getting </w:t>
      </w:r>
      <w:r w:rsidRPr="008238D2">
        <w:rPr>
          <w:rStyle w:val="Emphasis"/>
        </w:rPr>
        <w:t>tantalizingly close</w:t>
      </w:r>
      <w:r w:rsidRPr="00434F54">
        <w:rPr>
          <w:rStyle w:val="StyleUnderline"/>
        </w:rPr>
        <w:t xml:space="preserve"> to fully autonomous operation, which should significantly increase efficiency</w:t>
      </w:r>
      <w:r w:rsidRPr="00434F54">
        <w:rPr>
          <w:sz w:val="16"/>
        </w:rPr>
        <w:t>. "</w:t>
      </w:r>
      <w:r w:rsidRPr="00434F54">
        <w:rPr>
          <w:rStyle w:val="StyleUnderline"/>
        </w:rPr>
        <w:t>Precision agriculture is becoming robotic</w:t>
      </w:r>
      <w:r w:rsidRPr="00434F54">
        <w:rPr>
          <w:sz w:val="16"/>
        </w:rPr>
        <w:t xml:space="preserve"> agriculture," he said.</w:t>
      </w:r>
      <w:r>
        <w:t xml:space="preserve"> </w:t>
      </w:r>
    </w:p>
    <w:p w14:paraId="1A584A66" w14:textId="77777777" w:rsidR="00D91D7C" w:rsidRDefault="00D91D7C" w:rsidP="00D91D7C">
      <w:pPr>
        <w:pStyle w:val="Heading4"/>
      </w:pPr>
      <w:r>
        <w:t>Climate thumps anyway.</w:t>
      </w:r>
    </w:p>
    <w:p w14:paraId="482AEC2B" w14:textId="77777777" w:rsidR="00D91D7C" w:rsidRPr="002B77F9" w:rsidRDefault="00D91D7C" w:rsidP="00D91D7C">
      <w:r>
        <w:rPr>
          <w:rStyle w:val="Style13ptBold"/>
        </w:rPr>
        <w:t xml:space="preserve">Sova et al 19 — </w:t>
      </w:r>
      <w:r w:rsidRPr="002B77F9">
        <w:t>Chase Sova is enior director of Public Policy and Research at World Food Program USA (WFP USA). Previously, Chase worked with the United Nations Food and Agriculture Organization (FAO), International Center for Tropical Agriculture (CIAT) and the CGIAR Research Program on Climate Change, Agriculture and Food Security (CCAFS).</w:t>
      </w:r>
      <w:r>
        <w:t xml:space="preserve"> Chase earned his Ph.D. from Oxford University. Kimberly Flowers is a senior associate with the Humanitarian Agenda and the Global Food Security Program at CSIS. In this role, she analyzes the effectiveness of U.S. foreign assistance programs and policies that impact global hunger, poverty, and malnutrition. She is magna cum laude graduate of William Jewell College, studied at Oxford University, and is an alumna of the Pryor Center for Leadership Development. Christian Man is the deputy coordinator of the Just Rural Transition’s Policy Action Coalition and an adjunct professor at the Elliott School of International Affairs at George Washington University. He received a Ph.D. in rural sociology and international agricultural development from Penn State. (“Climate Change and Food Security: A Test of U.S. Leadership in a Fragile World” Center for Strategic International Studies, October 15, 2019. https://www.csis.org/analysis/climate-change-and-food-security-test-us-leadership-fragile-world)//JLPark</w:t>
      </w:r>
    </w:p>
    <w:p w14:paraId="31B3018B" w14:textId="77777777" w:rsidR="00D91D7C" w:rsidRPr="00632C03" w:rsidRDefault="00D91D7C" w:rsidP="00D91D7C">
      <w:pPr>
        <w:rPr>
          <w:sz w:val="12"/>
        </w:rPr>
      </w:pPr>
      <w:r w:rsidRPr="002B77F9">
        <w:rPr>
          <w:rStyle w:val="StyleUnderline"/>
        </w:rPr>
        <w:t>Climate change poses a</w:t>
      </w:r>
      <w:r w:rsidRPr="00632C03">
        <w:rPr>
          <w:sz w:val="12"/>
        </w:rPr>
        <w:t xml:space="preserve"> considerable </w:t>
      </w:r>
      <w:r w:rsidRPr="002B77F9">
        <w:rPr>
          <w:rStyle w:val="StyleUnderline"/>
        </w:rPr>
        <w:t>threat to global food security</w:t>
      </w:r>
      <w:r w:rsidRPr="00632C03">
        <w:rPr>
          <w:sz w:val="12"/>
        </w:rPr>
        <w:t xml:space="preserve">, </w:t>
      </w:r>
      <w:r w:rsidRPr="002B77F9">
        <w:rPr>
          <w:rStyle w:val="StyleUnderline"/>
        </w:rPr>
        <w:t>with potentially existential economic, political, and social outcomes for humanity</w:t>
      </w:r>
      <w:r w:rsidRPr="00632C03">
        <w:rPr>
          <w:sz w:val="12"/>
        </w:rPr>
        <w:t>. As</w:t>
      </w:r>
      <w:r w:rsidRPr="002B77F9">
        <w:rPr>
          <w:rStyle w:val="StyleUnderline"/>
        </w:rPr>
        <w:t xml:space="preserve"> climate impacts worsen and </w:t>
      </w:r>
      <w:r w:rsidRPr="00632C03">
        <w:rPr>
          <w:sz w:val="12"/>
        </w:rPr>
        <w:t xml:space="preserve">further stress an already hungry world, the United States should claim the mantle of global leadership in responding to the impacts of climate change, double down on domestic efforts to promote climate-smart agriculture, </w:t>
      </w:r>
      <w:r w:rsidRPr="002003FF">
        <w:rPr>
          <w:rStyle w:val="StyleUnderline"/>
        </w:rPr>
        <w:t xml:space="preserve">elevate the </w:t>
      </w:r>
      <w:r w:rsidRPr="00632C03">
        <w:rPr>
          <w:sz w:val="12"/>
        </w:rPr>
        <w:t>issue of climate change and</w:t>
      </w:r>
      <w:r w:rsidRPr="002003FF">
        <w:rPr>
          <w:rStyle w:val="StyleUnderline"/>
        </w:rPr>
        <w:t xml:space="preserve"> food insecurity in national security</w:t>
      </w:r>
      <w:r w:rsidRPr="00632C03">
        <w:rPr>
          <w:sz w:val="12"/>
        </w:rPr>
        <w:t xml:space="preserve"> circles, and leverage the reorganization of the U.S. Agency for International Development (USAID) to further mainstream climate resilience into U.S. global food security programs.</w:t>
      </w:r>
    </w:p>
    <w:p w14:paraId="3B4EF5C2" w14:textId="77777777" w:rsidR="00D91D7C" w:rsidRPr="00632C03" w:rsidRDefault="00D91D7C" w:rsidP="00D91D7C">
      <w:pPr>
        <w:rPr>
          <w:sz w:val="12"/>
        </w:rPr>
      </w:pPr>
      <w:r w:rsidRPr="00632C03">
        <w:rPr>
          <w:sz w:val="12"/>
        </w:rPr>
        <w:t xml:space="preserve">As people around the world increasingly feel the impacts of climate change, the collective call for action grows louder and louder. </w:t>
      </w:r>
      <w:r w:rsidRPr="002003FF">
        <w:rPr>
          <w:rStyle w:val="StyleUnderline"/>
        </w:rPr>
        <w:t>The effects of climate change on food production</w:t>
      </w:r>
      <w:r w:rsidRPr="00632C03">
        <w:rPr>
          <w:sz w:val="12"/>
        </w:rPr>
        <w:t>—</w:t>
      </w:r>
      <w:r w:rsidRPr="002003FF">
        <w:rPr>
          <w:rStyle w:val="StyleUnderline"/>
        </w:rPr>
        <w:t>often neglected in favor of stories</w:t>
      </w:r>
      <w:r w:rsidRPr="00632C03">
        <w:rPr>
          <w:sz w:val="12"/>
        </w:rPr>
        <w:t xml:space="preserve"> on melting glaciers, tropical storms, and sea level rise—are receiving more and more mainstream attention. This brief seeks to summarize the relationship between climate change and food insecurity, highlight salient trends and controversies, and comment on U.S. government global policies and programs that tackle this important issue.</w:t>
      </w:r>
    </w:p>
    <w:p w14:paraId="5F36D929" w14:textId="77777777" w:rsidR="00D91D7C" w:rsidRPr="002003FF" w:rsidRDefault="00D91D7C" w:rsidP="00D91D7C">
      <w:pPr>
        <w:rPr>
          <w:sz w:val="16"/>
          <w:szCs w:val="16"/>
        </w:rPr>
      </w:pPr>
      <w:r w:rsidRPr="002003FF">
        <w:rPr>
          <w:sz w:val="16"/>
          <w:szCs w:val="16"/>
        </w:rPr>
        <w:t>THE STATE OF GLOBAL FOOD SECURITY</w:t>
      </w:r>
    </w:p>
    <w:p w14:paraId="5635D0E3" w14:textId="77777777" w:rsidR="00D91D7C" w:rsidRPr="00632C03" w:rsidRDefault="00D91D7C" w:rsidP="00D91D7C">
      <w:pPr>
        <w:rPr>
          <w:sz w:val="12"/>
        </w:rPr>
      </w:pPr>
      <w:r w:rsidRPr="002003FF">
        <w:rPr>
          <w:rStyle w:val="StyleUnderline"/>
        </w:rPr>
        <w:t xml:space="preserve">The impacts of climate change </w:t>
      </w:r>
      <w:r w:rsidRPr="00632C03">
        <w:rPr>
          <w:rStyle w:val="Emphasis"/>
        </w:rPr>
        <w:t>threaten a complex global food system</w:t>
      </w:r>
      <w:r w:rsidRPr="002003FF">
        <w:rPr>
          <w:rStyle w:val="StyleUnderline"/>
        </w:rPr>
        <w:t xml:space="preserve"> that is already struggling to meet the needs of a growing and changing population</w:t>
      </w:r>
      <w:r w:rsidRPr="00632C03">
        <w:rPr>
          <w:sz w:val="12"/>
        </w:rPr>
        <w:t>. After great progress over the last decade, the number of chronically hungry people around the world has grown in each of the last three years. Today, 821 million people—one in nine—are undernourished. These people experience a shortage of food each day, while over twice that number face moderate food insecurity and frequently compromise on the quality or quantity of food they consume. At the same time, over 2 billion people around the world are overweight or obese, and over 1 billion suffer from micronutrient deficiency, sometimes referred to as “hidden hunger.” To amend a famous line from author Raj Patel, the world today is “stuff, starved, and hollowed out.”1</w:t>
      </w:r>
    </w:p>
    <w:p w14:paraId="699B69E2" w14:textId="77777777" w:rsidR="00D91D7C" w:rsidRPr="00632C03" w:rsidRDefault="00D91D7C" w:rsidP="00D91D7C">
      <w:pPr>
        <w:rPr>
          <w:sz w:val="12"/>
          <w:szCs w:val="12"/>
        </w:rPr>
      </w:pPr>
      <w:r w:rsidRPr="00632C03">
        <w:rPr>
          <w:sz w:val="12"/>
        </w:rPr>
        <w:t xml:space="preserve">The number of hungry and malnourished people worldwide has grown in tandem with a rise in human conflict and forced displacement.2 </w:t>
      </w:r>
      <w:r w:rsidRPr="002003FF">
        <w:rPr>
          <w:rStyle w:val="StyleUnderline"/>
        </w:rPr>
        <w:t>Slow economic recovery from the 2008 global financial crisis</w:t>
      </w:r>
      <w:r w:rsidRPr="00632C03">
        <w:rPr>
          <w:sz w:val="12"/>
        </w:rPr>
        <w:t xml:space="preserve"> (and </w:t>
      </w:r>
      <w:r w:rsidRPr="002003FF">
        <w:rPr>
          <w:rStyle w:val="StyleUnderline"/>
        </w:rPr>
        <w:t>food price spikes</w:t>
      </w:r>
      <w:r w:rsidRPr="00632C03">
        <w:rPr>
          <w:sz w:val="12"/>
        </w:rPr>
        <w:t xml:space="preserve">) </w:t>
      </w:r>
      <w:r w:rsidRPr="002003FF">
        <w:rPr>
          <w:rStyle w:val="StyleUnderline"/>
        </w:rPr>
        <w:t>and the increasing frequency and magnitude of climate-related extreme events have</w:t>
      </w:r>
      <w:r w:rsidRPr="00632C03">
        <w:rPr>
          <w:sz w:val="12"/>
        </w:rPr>
        <w:t xml:space="preserve"> helped </w:t>
      </w:r>
      <w:r w:rsidRPr="002003FF">
        <w:rPr>
          <w:rStyle w:val="StyleUnderline"/>
        </w:rPr>
        <w:t>reverse years of progress fighting</w:t>
      </w:r>
      <w:r w:rsidRPr="00632C03">
        <w:rPr>
          <w:sz w:val="12"/>
        </w:rPr>
        <w:t xml:space="preserve"> global </w:t>
      </w:r>
      <w:r w:rsidRPr="002003FF">
        <w:rPr>
          <w:rStyle w:val="StyleUnderline"/>
        </w:rPr>
        <w:t>hunger</w:t>
      </w:r>
      <w:r w:rsidRPr="00632C03">
        <w:rPr>
          <w:sz w:val="12"/>
        </w:rPr>
        <w:t xml:space="preserve">.3,4 These combined, interrelated factors have placed unprecedented stress on </w:t>
      </w:r>
      <w:r w:rsidRPr="00632C03">
        <w:rPr>
          <w:sz w:val="12"/>
          <w:szCs w:val="12"/>
        </w:rPr>
        <w:t>humanitarian organizations: humanitarian appeals have ballooned to record levels.5 Unsurprisingly, the places most impacted by food insecurity—especially Africa and South Asia—are also those suffering from the most pervasive forms of poverty and environmental vulnerability.</w:t>
      </w:r>
    </w:p>
    <w:p w14:paraId="0A39DFA4" w14:textId="77777777" w:rsidR="00D91D7C" w:rsidRPr="00632C03" w:rsidRDefault="00D91D7C" w:rsidP="00D91D7C">
      <w:pPr>
        <w:rPr>
          <w:sz w:val="12"/>
          <w:szCs w:val="12"/>
        </w:rPr>
      </w:pPr>
      <w:r w:rsidRPr="00632C03">
        <w:rPr>
          <w:sz w:val="12"/>
          <w:szCs w:val="12"/>
        </w:rPr>
        <w:t>CLIMATE CHANGE AND AGRICULTURE</w:t>
      </w:r>
    </w:p>
    <w:p w14:paraId="69455691" w14:textId="77777777" w:rsidR="00D91D7C" w:rsidRPr="00632C03" w:rsidRDefault="00D91D7C" w:rsidP="00D91D7C">
      <w:pPr>
        <w:rPr>
          <w:sz w:val="12"/>
        </w:rPr>
      </w:pPr>
      <w:r w:rsidRPr="002003FF">
        <w:rPr>
          <w:rStyle w:val="StyleUnderline"/>
        </w:rPr>
        <w:t>Despite the millions of acres of industrial cropland, satellite-guided tractors, and shining supermarkets in</w:t>
      </w:r>
      <w:r w:rsidRPr="00632C03">
        <w:rPr>
          <w:sz w:val="12"/>
        </w:rPr>
        <w:t xml:space="preserve"> places like </w:t>
      </w:r>
      <w:r w:rsidRPr="002003FF">
        <w:rPr>
          <w:rStyle w:val="StyleUnderline"/>
        </w:rPr>
        <w:t>the U</w:t>
      </w:r>
      <w:r w:rsidRPr="00632C03">
        <w:rPr>
          <w:sz w:val="12"/>
        </w:rPr>
        <w:t xml:space="preserve">nited </w:t>
      </w:r>
      <w:r w:rsidRPr="002003FF">
        <w:rPr>
          <w:rStyle w:val="StyleUnderline"/>
        </w:rPr>
        <w:t>S</w:t>
      </w:r>
      <w:r w:rsidRPr="00632C03">
        <w:rPr>
          <w:sz w:val="12"/>
        </w:rPr>
        <w:t>tates</w:t>
      </w:r>
      <w:r w:rsidRPr="002003FF">
        <w:rPr>
          <w:rStyle w:val="StyleUnderline"/>
        </w:rPr>
        <w:t>, a large percentage of food worldwide is still produced on relatively small parcels of land by smallholder, subsistence farmers who rely solely on rainfall to water their crops and animals</w:t>
      </w:r>
      <w:r w:rsidRPr="00632C03">
        <w:rPr>
          <w:sz w:val="12"/>
        </w:rPr>
        <w:t xml:space="preserve">. These practices mean that </w:t>
      </w:r>
      <w:r w:rsidRPr="002003FF">
        <w:rPr>
          <w:rStyle w:val="StyleUnderline"/>
        </w:rPr>
        <w:t>long-term changes in climate intimately impact food production</w:t>
      </w:r>
      <w:r w:rsidRPr="00632C03">
        <w:rPr>
          <w:sz w:val="12"/>
        </w:rPr>
        <w:t>—perhaps more than any other sector of the global economy. Since the mid-1800s and the Industrial Revolution, surface air temperatures over Earth’s land area have warmed by an average of 1.5°C.6 Much of that warming has occurred since 1975 as concentrations of carbon dioxide and other greenhouse gases (GHG) in the atmosphere steadily accumulate.7</w:t>
      </w:r>
    </w:p>
    <w:p w14:paraId="2416D72A" w14:textId="77777777" w:rsidR="00D91D7C" w:rsidRPr="002003FF" w:rsidRDefault="00D91D7C" w:rsidP="00D91D7C">
      <w:pPr>
        <w:rPr>
          <w:sz w:val="12"/>
          <w:szCs w:val="12"/>
        </w:rPr>
      </w:pPr>
      <w:r w:rsidRPr="002003FF">
        <w:rPr>
          <w:sz w:val="12"/>
          <w:szCs w:val="12"/>
        </w:rPr>
        <w:t>In places like sub-Saharan Africa, unlike highly industrialized economies, agriculture represents a disproportionately large percentage of countries’ gross domestic product (GDP) and employs up to 80 percent of the rural population. Farming in such places often occurs on heavily degraded lands and lacks high-quality inputs like seed and fertilizer and access to agricultural markets. It is no surprise, then, that subsistence farmers represent over half of the world’s hungry people (of whom half, in turn, are women).8 According to the United Nation’s World Food Programme (WFP), at least 80 percent of the world’s hungry people live in places prone to natural disasters and environmental degradation, including many of the world’s poorest places.9</w:t>
      </w:r>
    </w:p>
    <w:p w14:paraId="1B491B9C" w14:textId="77777777" w:rsidR="00D91D7C" w:rsidRPr="00632C03" w:rsidRDefault="00D91D7C" w:rsidP="00D91D7C">
      <w:pPr>
        <w:rPr>
          <w:sz w:val="12"/>
        </w:rPr>
      </w:pPr>
      <w:r w:rsidRPr="00632C03">
        <w:rPr>
          <w:sz w:val="12"/>
        </w:rPr>
        <w:t xml:space="preserve">Climate change impacts on agriculture vary considerably by geography. </w:t>
      </w:r>
      <w:r w:rsidRPr="002003FF">
        <w:rPr>
          <w:rStyle w:val="StyleUnderline"/>
        </w:rPr>
        <w:t>Climate change has already been linked</w:t>
      </w:r>
      <w:r w:rsidRPr="00632C03">
        <w:rPr>
          <w:sz w:val="12"/>
        </w:rPr>
        <w:t xml:space="preserve">, for example, </w:t>
      </w:r>
      <w:r w:rsidRPr="002003FF">
        <w:rPr>
          <w:rStyle w:val="StyleUnderline"/>
        </w:rPr>
        <w:t>to changing patterns of agricultural pests and diseases, saltwater intrusion from sea level rise, and even the decline of nutritional quality in plants</w:t>
      </w:r>
      <w:r w:rsidRPr="00632C03">
        <w:rPr>
          <w:sz w:val="12"/>
        </w:rPr>
        <w:t>. In fact, recent research has shown that with highly elevated concentrations of atmospheric carbon dioxide (CO2), iron and zinc content in plants could fall by as much as 17 percent, accompanied by an increase in starches and sugar production in plants. This shift in nutritional quality could cause an additional 175 million people to experience zinc deficiency and 122 million to experience protein deficiency, according to researchers.10 Undernutrition already costs the global economy $3.5 trillion in lost opportunity and human capital.11</w:t>
      </w:r>
    </w:p>
    <w:p w14:paraId="5EB4EFBC" w14:textId="77777777" w:rsidR="00D91D7C" w:rsidRPr="00632C03" w:rsidRDefault="00D91D7C" w:rsidP="00D91D7C">
      <w:pPr>
        <w:rPr>
          <w:sz w:val="12"/>
        </w:rPr>
      </w:pPr>
      <w:r w:rsidRPr="00632C03">
        <w:rPr>
          <w:rStyle w:val="StyleUnderline"/>
        </w:rPr>
        <w:t xml:space="preserve">Climate change most directly impacts food production through </w:t>
      </w:r>
      <w:r w:rsidRPr="00632C03">
        <w:rPr>
          <w:rStyle w:val="Emphasis"/>
        </w:rPr>
        <w:t>crop yield changes, typically from temperature increases and rainfall variability</w:t>
      </w:r>
      <w:r w:rsidRPr="00632C03">
        <w:rPr>
          <w:sz w:val="12"/>
        </w:rPr>
        <w:t>. A general rule of thumb in the equatorial tropics is that every 1°C rise in mean temperature is associated with a 10 percent drop in crop yields. Temperature spikes during critical phases of a plant’s growth can lead to outright crop failure. Although impacts will vary considerably by crop and production system, some countries in sub-Saharan Africa and other low-latitude places will likely see yields from rain-fed maize, wheat, and rice fall considerably in the coming decades.12 While reports often reference a 1.5°C to 2°C “safe” level of warming that would avoid the most devastating impacts from climate change, agricultural systems—especially where crops are already grown dangerously close to their biophysical limits— are immediately vulnerable to any additional warming.</w:t>
      </w:r>
    </w:p>
    <w:p w14:paraId="5E5DE4C0" w14:textId="77777777" w:rsidR="00D91D7C" w:rsidRPr="00632C03" w:rsidRDefault="00D91D7C" w:rsidP="00D91D7C">
      <w:pPr>
        <w:rPr>
          <w:sz w:val="12"/>
        </w:rPr>
      </w:pPr>
      <w:r w:rsidRPr="00632C03">
        <w:rPr>
          <w:sz w:val="12"/>
        </w:rPr>
        <w:t xml:space="preserve">By some estimates, </w:t>
      </w:r>
      <w:r w:rsidRPr="00632C03">
        <w:rPr>
          <w:rStyle w:val="StyleUnderline"/>
        </w:rPr>
        <w:t>between 12 and 39 percent of the world’s land surface will develop novel climates</w:t>
      </w:r>
      <w:r w:rsidRPr="00632C03">
        <w:rPr>
          <w:sz w:val="12"/>
        </w:rPr>
        <w:t xml:space="preserve"> by 2100 as a result of climate change.13 Today’s agriculture remains land and resource intensive. </w:t>
      </w:r>
      <w:r w:rsidRPr="00632C03">
        <w:rPr>
          <w:rStyle w:val="StyleUnderline"/>
        </w:rPr>
        <w:t>Agricultural production—both crop and pasture—occupies more than 40 percent of total land area and accounts for at least 70 percent of all freshwater withdrawals globally</w:t>
      </w:r>
      <w:r w:rsidRPr="00632C03">
        <w:rPr>
          <w:sz w:val="12"/>
        </w:rPr>
        <w:t xml:space="preserve">.14 </w:t>
      </w:r>
      <w:r w:rsidRPr="00632C03">
        <w:rPr>
          <w:rStyle w:val="StyleUnderline"/>
        </w:rPr>
        <w:t xml:space="preserve">Climate change, land degradation, and biodiversity are linked in </w:t>
      </w:r>
      <w:r w:rsidRPr="00632C03">
        <w:rPr>
          <w:rStyle w:val="Emphasis"/>
        </w:rPr>
        <w:t>a complex feedback loop—a vicious cycle</w:t>
      </w:r>
      <w:r w:rsidRPr="00632C03">
        <w:rPr>
          <w:sz w:val="12"/>
        </w:rPr>
        <w:t>.15 These impacts are already being felt and chronicled today. A recent report by the Intergovernmental Panel for Climate Control (</w:t>
      </w:r>
      <w:r w:rsidRPr="00632C03">
        <w:rPr>
          <w:rStyle w:val="StyleUnderline"/>
        </w:rPr>
        <w:t>IPCC</w:t>
      </w:r>
      <w:r w:rsidRPr="00632C03">
        <w:rPr>
          <w:sz w:val="12"/>
        </w:rPr>
        <w:t xml:space="preserve">) </w:t>
      </w:r>
      <w:r w:rsidRPr="00632C03">
        <w:rPr>
          <w:rStyle w:val="StyleUnderline"/>
        </w:rPr>
        <w:t xml:space="preserve">suggests that soil is eroding </w:t>
      </w:r>
      <w:r w:rsidRPr="00632C03">
        <w:rPr>
          <w:rStyle w:val="Emphasis"/>
        </w:rPr>
        <w:t>10 to 100 times faster</w:t>
      </w:r>
      <w:r w:rsidRPr="00632C03">
        <w:rPr>
          <w:rStyle w:val="StyleUnderline"/>
        </w:rPr>
        <w:t xml:space="preserve"> than it is being formed, a process accelerated by climate change impacts like drought and high-intensity rainfall</w:t>
      </w:r>
      <w:r w:rsidRPr="00632C03">
        <w:rPr>
          <w:sz w:val="12"/>
        </w:rPr>
        <w:t xml:space="preserve">.16 Meanwhile, </w:t>
      </w:r>
      <w:r w:rsidRPr="00632C03">
        <w:rPr>
          <w:rStyle w:val="StyleUnderline"/>
        </w:rPr>
        <w:t>unprecedented biodiversity loss— especially among pollinators, bacteria, and fungi in soils, and natural predators that control pests—is being fueled in part by climate impacts</w:t>
      </w:r>
      <w:r w:rsidRPr="00632C03">
        <w:rPr>
          <w:sz w:val="12"/>
        </w:rPr>
        <w:t>, according to the Food and Agriculture Organization (FAO) of the United Nations.17</w:t>
      </w:r>
    </w:p>
    <w:p w14:paraId="531D7157" w14:textId="77777777" w:rsidR="00D91D7C" w:rsidRPr="00632C03" w:rsidRDefault="00D91D7C" w:rsidP="00D91D7C">
      <w:pPr>
        <w:rPr>
          <w:sz w:val="12"/>
        </w:rPr>
      </w:pPr>
      <w:r w:rsidRPr="00632C03">
        <w:rPr>
          <w:sz w:val="12"/>
        </w:rPr>
        <w:t xml:space="preserve">Ultimately, climate change will most severely impact those places least able to cope. </w:t>
      </w:r>
      <w:r w:rsidRPr="00632C03">
        <w:rPr>
          <w:rStyle w:val="StyleUnderline"/>
        </w:rPr>
        <w:t>Climate change will threaten years of development progress</w:t>
      </w:r>
      <w:r w:rsidRPr="00632C03">
        <w:rPr>
          <w:sz w:val="12"/>
        </w:rPr>
        <w:t xml:space="preserve"> and thrust many vulnerable populations into poverty—adding as many as 122 million more people by 2030.18 Increasing evidence shows that climate change may also slow the decrease in inequality between countries, reducing GDP among the world’s poorest populations by up to 30 percent.19 As a consequence, climate change is fraught with questions of global justice and inequality, especially as industrialized countries generated an overwhelming majority of historical CO2 emissions.</w:t>
      </w:r>
    </w:p>
    <w:p w14:paraId="2B91FD69" w14:textId="77777777" w:rsidR="00D91D7C" w:rsidRPr="00632C03" w:rsidRDefault="00D91D7C" w:rsidP="00D91D7C">
      <w:pPr>
        <w:rPr>
          <w:sz w:val="16"/>
          <w:szCs w:val="16"/>
        </w:rPr>
      </w:pPr>
      <w:r w:rsidRPr="00632C03">
        <w:rPr>
          <w:sz w:val="16"/>
          <w:szCs w:val="16"/>
        </w:rPr>
        <w:t>THE THREAT FROM DROUGHT</w:t>
      </w:r>
    </w:p>
    <w:p w14:paraId="1AB360B7" w14:textId="77777777" w:rsidR="00D91D7C" w:rsidRPr="00632C03" w:rsidRDefault="00D91D7C" w:rsidP="00D91D7C">
      <w:pPr>
        <w:rPr>
          <w:sz w:val="12"/>
        </w:rPr>
      </w:pPr>
      <w:r w:rsidRPr="00632C03">
        <w:rPr>
          <w:sz w:val="12"/>
        </w:rPr>
        <w:t xml:space="preserve">Of all the impacts from climate change on agriculture and food security, </w:t>
      </w:r>
      <w:r w:rsidRPr="00632C03">
        <w:rPr>
          <w:rStyle w:val="StyleUnderline"/>
        </w:rPr>
        <w:t>drought may be the most harmful for smallholder farmers and other vulnerable populations</w:t>
      </w:r>
      <w:r w:rsidRPr="00632C03">
        <w:rPr>
          <w:sz w:val="12"/>
        </w:rPr>
        <w:t>. Given improved early warning and humanitarian responses, large-scale deaths from famine are increasingly a thing of the past, but drought in the Horn of Africa, Southern Africa, and Central America has been long associated with famine. In these places where rain-fed agriculture is prevalent, over 80 percent of a drought’s economic impact is felt in the agricultural sector.20,21</w:t>
      </w:r>
    </w:p>
    <w:p w14:paraId="6E920F77" w14:textId="77777777" w:rsidR="00D91D7C" w:rsidRPr="00632C03" w:rsidRDefault="00D91D7C" w:rsidP="00D91D7C">
      <w:pPr>
        <w:rPr>
          <w:sz w:val="12"/>
        </w:rPr>
      </w:pPr>
      <w:r w:rsidRPr="00632C03">
        <w:rPr>
          <w:rStyle w:val="StyleUnderline"/>
        </w:rPr>
        <w:t>Multi-year drought is especially devastating for subsistence farming families. Each year without a good harvest pushes the hunger season further ahead and diminishes seed stock for next year’s planting</w:t>
      </w:r>
      <w:r w:rsidRPr="00632C03">
        <w:rPr>
          <w:sz w:val="12"/>
        </w:rPr>
        <w:t>.22 Long-term drought also destroys precious topsoil, allowing it to blow away in high winds or wash away during heavy rains. From a food security perspective, drought in some parts of the world is increasingly synonymous with El Niño. A climate phenomenon resulting from irregular Pacific Ocean temperatures near the equator off the coast of South America, El Niño is triggered by a change in trade winds that would typically push colder waters westward. Research indicates that a general warming trend on the earth could increase the frequency of so-called “Super El Niño” events.23 Consistent with this trend, the 2015/16 El Niño event was among the strongest on record, bringing record drought to Central America’s Dry Corridor.</w:t>
      </w:r>
    </w:p>
    <w:p w14:paraId="746830E7" w14:textId="77777777" w:rsidR="00D91D7C" w:rsidRPr="00632C03" w:rsidRDefault="00D91D7C" w:rsidP="00D91D7C">
      <w:pPr>
        <w:rPr>
          <w:sz w:val="12"/>
        </w:rPr>
      </w:pPr>
      <w:r w:rsidRPr="00632C03">
        <w:rPr>
          <w:rStyle w:val="StyleUnderline"/>
        </w:rPr>
        <w:t>Droughts and other climate-related extreme events are becoming more frequent because of the impacts of climate change</w:t>
      </w:r>
      <w:r w:rsidRPr="00632C03">
        <w:rPr>
          <w:sz w:val="12"/>
        </w:rPr>
        <w:t xml:space="preserve">, some evidence shows. In fact, </w:t>
      </w:r>
      <w:r w:rsidRPr="00632C03">
        <w:rPr>
          <w:rStyle w:val="StyleUnderline"/>
        </w:rPr>
        <w:t>they have more than doubled in frequency</w:t>
      </w:r>
      <w:r w:rsidRPr="00632C03">
        <w:rPr>
          <w:sz w:val="12"/>
        </w:rPr>
        <w:t xml:space="preserve"> over the last 25 years, as researchers noted in the 2018 edition of The State of Food Security and Nutrition in the World. In the early 1990s, approximately 100 of these events were recorded each year; today, that number is 213.24 Moreover, in a relatively new area of investigation, researchers have linked the impacts of climate change to so-called “multiple breadbasket failure,” or the potential for widespread weather-related losses to major food-producing regions simultaneously.</w:t>
      </w:r>
    </w:p>
    <w:p w14:paraId="5C2904AE" w14:textId="77777777" w:rsidR="00D91D7C" w:rsidRPr="00632C03" w:rsidRDefault="00D91D7C" w:rsidP="00D91D7C">
      <w:pPr>
        <w:rPr>
          <w:sz w:val="12"/>
          <w:szCs w:val="12"/>
        </w:rPr>
      </w:pPr>
      <w:r w:rsidRPr="00632C03">
        <w:rPr>
          <w:sz w:val="12"/>
          <w:szCs w:val="12"/>
        </w:rPr>
        <w:t>Addressing food system impacts from climate change is not merely an environmental challenge, it is a human development imperative.</w:t>
      </w:r>
    </w:p>
    <w:p w14:paraId="2CA55D4E" w14:textId="77777777" w:rsidR="00D91D7C" w:rsidRPr="00632C03" w:rsidRDefault="00D91D7C" w:rsidP="00D91D7C">
      <w:pPr>
        <w:rPr>
          <w:sz w:val="12"/>
          <w:szCs w:val="12"/>
        </w:rPr>
      </w:pPr>
      <w:r w:rsidRPr="00632C03">
        <w:rPr>
          <w:sz w:val="12"/>
          <w:szCs w:val="12"/>
        </w:rPr>
        <w:t>In summary, addressing food system impacts from climate change is not merely an environmental challenge, it is a human development imperative. By some estimates, global food production must increase by as much as 70 percent by 2050 to meet the needs of a growing population.25 This is both a challenge and an opportunity: in developing countries, GDP growth in the agricultural sector is more than twice as effective at reducing poverty than growth in competing sectors, but climate change will make it more difficult to meet production needs and to secure poverty reduction targets through agriculture.26</w:t>
      </w:r>
    </w:p>
    <w:p w14:paraId="5EF947DC" w14:textId="77777777" w:rsidR="00D91D7C" w:rsidRPr="00632C03" w:rsidRDefault="00D91D7C" w:rsidP="00D91D7C">
      <w:pPr>
        <w:rPr>
          <w:sz w:val="12"/>
          <w:szCs w:val="12"/>
        </w:rPr>
      </w:pPr>
      <w:r w:rsidRPr="00632C03">
        <w:rPr>
          <w:sz w:val="12"/>
          <w:szCs w:val="12"/>
        </w:rPr>
        <w:t>AGRICULTURAL GREENHOUSE GAS EMISSIONS</w:t>
      </w:r>
    </w:p>
    <w:p w14:paraId="1C46AA8D" w14:textId="77777777" w:rsidR="00D91D7C" w:rsidRPr="00632C03" w:rsidRDefault="00D91D7C" w:rsidP="00D91D7C">
      <w:pPr>
        <w:rPr>
          <w:sz w:val="12"/>
        </w:rPr>
      </w:pPr>
      <w:r w:rsidRPr="00632C03">
        <w:rPr>
          <w:sz w:val="12"/>
        </w:rPr>
        <w:t>Although the agricultural sector will suffer from the impacts of climate change—especially in developing countries and for subsistence farmers—</w:t>
      </w:r>
      <w:r w:rsidRPr="00632C03">
        <w:rPr>
          <w:rStyle w:val="StyleUnderline"/>
        </w:rPr>
        <w:t>agriculture is also increasingly being recognized for its underlying contributions to GHG emissions</w:t>
      </w:r>
      <w:r w:rsidRPr="00632C03">
        <w:rPr>
          <w:sz w:val="12"/>
        </w:rPr>
        <w:t xml:space="preserve">. In fact, by some estimates, </w:t>
      </w:r>
      <w:r w:rsidRPr="00632C03">
        <w:rPr>
          <w:rStyle w:val="Emphasis"/>
        </w:rPr>
        <w:t>agriculture and food systems account for one-quarter of global GHG</w:t>
      </w:r>
      <w:r w:rsidRPr="00632C03">
        <w:rPr>
          <w:rStyle w:val="StyleUnderline"/>
        </w:rPr>
        <w:t xml:space="preserve"> emissions</w:t>
      </w:r>
      <w:r w:rsidRPr="00632C03">
        <w:rPr>
          <w:sz w:val="12"/>
        </w:rPr>
        <w:t>. Not all greenhouse gases are created equal. Some, like methane (CH4), remain in the atmosphere for a shorter period but have a much stronger greenhouse gas effect: CH4 has almost 30 times the effect of CO2. Agriculture is the single largest contributor to non-CO2 GHGs and accounts for half of all such global emissions.</w:t>
      </w:r>
    </w:p>
    <w:p w14:paraId="5E099EB7" w14:textId="77777777" w:rsidR="00D91D7C" w:rsidRPr="00632C03" w:rsidRDefault="00D91D7C" w:rsidP="00D91D7C">
      <w:pPr>
        <w:rPr>
          <w:sz w:val="12"/>
        </w:rPr>
      </w:pPr>
      <w:r w:rsidRPr="00632C03">
        <w:rPr>
          <w:rStyle w:val="StyleUnderline"/>
        </w:rPr>
        <w:t>Livestock production alone is estimated to emit almost 15 percent of all global GHGs</w:t>
      </w:r>
      <w:r w:rsidRPr="00632C03">
        <w:rPr>
          <w:sz w:val="12"/>
        </w:rPr>
        <w:t>, mainly in methane from livestock’s digestive systems, but also from production of animal feed and forage, transportation, and processing.27 Livestock belong to a unique class of mammals called ruminants that, unlike ourselves, can acquire nutrients from grasses by fermenting them in a specialized stomach before digestion. A by-product of ruminant digestion is methane. With 3 to 4 billion head of ruminant livestock in the world, this enteric fermentation contributes greatly to agriculture’s GHG footprint, one that is likely to increase given meat consumption trends across emerging economies.</w:t>
      </w:r>
    </w:p>
    <w:p w14:paraId="321AB4DD" w14:textId="77777777" w:rsidR="00D91D7C" w:rsidRPr="00632C03" w:rsidRDefault="00D91D7C" w:rsidP="00D91D7C">
      <w:pPr>
        <w:rPr>
          <w:sz w:val="12"/>
        </w:rPr>
      </w:pPr>
      <w:r w:rsidRPr="00632C03">
        <w:rPr>
          <w:rStyle w:val="StyleUnderline"/>
        </w:rPr>
        <w:t>The second largest category of agricultural GHG emissions come from our soils. Soil represents a significant stockpile of carbon (and non-CO2 GHGs), holding more than three times the amount currently in the atmosphere</w:t>
      </w:r>
      <w:r w:rsidRPr="00632C03">
        <w:rPr>
          <w:sz w:val="12"/>
        </w:rPr>
        <w:t>.28 Complex interactions of microorganisms, constantly at work in agricultural soils, are disturbed by tillage, deep ploughing, and the overuse of synthetic fertilizers. A by-product of such disruptions is GHG emissions. It is estimated that 75 billion tons of topsoil on arable lands are lost each year, at a cost of $400 billion to the global economy.29 Not only does soil organic matter help to improve moisture retention, reduce fertilizer runoff, and limit erosion, it may also be agriculture’s greatest opportunity for carbon capture.</w:t>
      </w:r>
    </w:p>
    <w:p w14:paraId="459948B8" w14:textId="77777777" w:rsidR="00D91D7C" w:rsidRDefault="00D91D7C" w:rsidP="00D91D7C">
      <w:pPr>
        <w:rPr>
          <w:rStyle w:val="StyleUnderline"/>
        </w:rPr>
      </w:pPr>
      <w:r w:rsidRPr="00632C03">
        <w:rPr>
          <w:sz w:val="12"/>
        </w:rPr>
        <w:t xml:space="preserve">Not all of the food system’s contribution to climate change comes from on-farm production. Increasingly, GHG emissions from food loss and waste are capturing headlines. Globally, $1 trillion in food is lost or wasted each year. In industrialized nations like the United States, this often occurs on the demand side: unpurchased or uneaten food ends up in landfills and produces methane as it degrades.30 In developing countries, up to 40 percent of harvests are lost before making it to market because of inadequate storage or transport infrastructure.31 All told, if it were a country, food loss and waste would be the third largest emitter in the world behind China and the United States. </w:t>
      </w:r>
      <w:r w:rsidRPr="00632C03">
        <w:rPr>
          <w:rStyle w:val="StyleUnderline"/>
        </w:rPr>
        <w:t>The agricultural sector—which combines deforestation from agricultural expansion (agriculture is the leading global driver of deforestation) with emissions from the processing, transportation, and marketing of food products—contributes in multiple ways to the underlying problem of climate change.</w:t>
      </w:r>
    </w:p>
    <w:p w14:paraId="24878ACB" w14:textId="77777777" w:rsidR="00D91D7C" w:rsidRDefault="00D91D7C" w:rsidP="00D91D7C">
      <w:pPr>
        <w:pStyle w:val="Heading3"/>
      </w:pPr>
      <w:r>
        <w:t>1NC – AT: Deportations Destabilizing</w:t>
      </w:r>
    </w:p>
    <w:p w14:paraId="7EE46050" w14:textId="77777777" w:rsidR="00D91D7C" w:rsidRDefault="00D91D7C" w:rsidP="00D91D7C">
      <w:pPr>
        <w:pStyle w:val="Heading4"/>
      </w:pPr>
      <w:r>
        <w:t>Remittances are high – assumes COVID and makes billions for economies.</w:t>
      </w:r>
    </w:p>
    <w:p w14:paraId="1A4FE3B6" w14:textId="77777777" w:rsidR="00D91D7C" w:rsidRPr="00613B8C" w:rsidRDefault="00D91D7C" w:rsidP="00D91D7C">
      <w:pPr>
        <w:rPr>
          <w:rStyle w:val="Style13ptBold"/>
        </w:rPr>
      </w:pPr>
      <w:r>
        <w:rPr>
          <w:rStyle w:val="Style13ptBold"/>
        </w:rPr>
        <w:t xml:space="preserve">Esposito 7/1 </w:t>
      </w:r>
      <w:r w:rsidRPr="000B26B7">
        <w:t>—</w:t>
      </w:r>
      <w:r>
        <w:rPr>
          <w:rStyle w:val="Style13ptBold"/>
        </w:rPr>
        <w:t xml:space="preserve"> </w:t>
      </w:r>
      <w:r w:rsidRPr="00613B8C">
        <w:t>Anthony</w:t>
      </w:r>
      <w:r>
        <w:t xml:space="preserve"> Esposito reports for Reuters. (“Remittances to Mexico jump in May to second highest level on record” Reuters, July 1, 2020. https://www.reuters.com/article/mexico-remittances/remittances-to-mexico-jump-in-may-to-second-highest-level-on-record-idUSL1N2E81EP)//JLPark</w:t>
      </w:r>
    </w:p>
    <w:p w14:paraId="05DF8055" w14:textId="77777777" w:rsidR="00D91D7C" w:rsidRPr="00613B8C" w:rsidRDefault="00D91D7C" w:rsidP="00D91D7C">
      <w:pPr>
        <w:rPr>
          <w:sz w:val="16"/>
        </w:rPr>
      </w:pPr>
      <w:r w:rsidRPr="00613B8C">
        <w:rPr>
          <w:sz w:val="16"/>
        </w:rPr>
        <w:t xml:space="preserve">MEXICO CITY, July 1 (Reuters) - </w:t>
      </w:r>
      <w:r w:rsidRPr="00613B8C">
        <w:rPr>
          <w:rStyle w:val="StyleUnderline"/>
        </w:rPr>
        <w:t>Mexico saw remittances</w:t>
      </w:r>
      <w:r w:rsidRPr="00613B8C">
        <w:rPr>
          <w:sz w:val="16"/>
        </w:rPr>
        <w:t xml:space="preserve">, </w:t>
      </w:r>
      <w:r w:rsidRPr="00613B8C">
        <w:rPr>
          <w:rStyle w:val="StyleUnderline"/>
        </w:rPr>
        <w:t>one of its main sources of foreign exchange</w:t>
      </w:r>
      <w:r w:rsidRPr="00613B8C">
        <w:rPr>
          <w:sz w:val="16"/>
        </w:rPr>
        <w:t xml:space="preserve">, </w:t>
      </w:r>
      <w:r w:rsidRPr="00613B8C">
        <w:rPr>
          <w:rStyle w:val="StyleUnderline"/>
        </w:rPr>
        <w:t>jump</w:t>
      </w:r>
      <w:r w:rsidRPr="00613B8C">
        <w:rPr>
          <w:sz w:val="16"/>
        </w:rPr>
        <w:t xml:space="preserve"> in May </w:t>
      </w:r>
      <w:r w:rsidRPr="00613B8C">
        <w:rPr>
          <w:rStyle w:val="StyleUnderline"/>
        </w:rPr>
        <w:t>to its second highest level</w:t>
      </w:r>
      <w:r w:rsidRPr="00613B8C">
        <w:rPr>
          <w:sz w:val="16"/>
        </w:rPr>
        <w:t xml:space="preserve"> since records began in 1995, central bank data showed on Wednesday.</w:t>
      </w:r>
    </w:p>
    <w:p w14:paraId="6A4AEDBB" w14:textId="77777777" w:rsidR="00D91D7C" w:rsidRPr="00613B8C" w:rsidRDefault="00D91D7C" w:rsidP="00D91D7C">
      <w:pPr>
        <w:rPr>
          <w:sz w:val="16"/>
        </w:rPr>
      </w:pPr>
      <w:r w:rsidRPr="00613B8C">
        <w:rPr>
          <w:rStyle w:val="StyleUnderline"/>
        </w:rPr>
        <w:t>Mexico received $3.38 billion in remittances</w:t>
      </w:r>
      <w:r w:rsidRPr="00613B8C">
        <w:rPr>
          <w:sz w:val="16"/>
        </w:rPr>
        <w:t xml:space="preserve"> in May, </w:t>
      </w:r>
      <w:r w:rsidRPr="00613B8C">
        <w:rPr>
          <w:rStyle w:val="StyleUnderline"/>
        </w:rPr>
        <w:t>versus $2.86 billion the prior month and $3.28 billion in May 2019</w:t>
      </w:r>
      <w:r w:rsidRPr="00613B8C">
        <w:rPr>
          <w:sz w:val="16"/>
        </w:rPr>
        <w:t>, the data showed.</w:t>
      </w:r>
    </w:p>
    <w:p w14:paraId="578F0941" w14:textId="77777777" w:rsidR="00D91D7C" w:rsidRPr="00613B8C" w:rsidRDefault="00D91D7C" w:rsidP="00D91D7C">
      <w:pPr>
        <w:rPr>
          <w:sz w:val="16"/>
          <w:szCs w:val="16"/>
        </w:rPr>
      </w:pPr>
      <w:r w:rsidRPr="00613B8C">
        <w:rPr>
          <w:sz w:val="16"/>
          <w:szCs w:val="16"/>
        </w:rPr>
        <w:t>Most of the money sent to Mexico comes from the United States, which is home to millions of people of Mexican origin.</w:t>
      </w:r>
    </w:p>
    <w:p w14:paraId="2562F927" w14:textId="77777777" w:rsidR="00D91D7C" w:rsidRPr="00613B8C" w:rsidRDefault="00D91D7C" w:rsidP="00D91D7C">
      <w:pPr>
        <w:rPr>
          <w:sz w:val="16"/>
        </w:rPr>
      </w:pPr>
      <w:r w:rsidRPr="00613B8C">
        <w:rPr>
          <w:sz w:val="16"/>
        </w:rPr>
        <w:t xml:space="preserve">“Great </w:t>
      </w:r>
      <w:r w:rsidRPr="00613B8C">
        <w:rPr>
          <w:rStyle w:val="StyleUnderline"/>
        </w:rPr>
        <w:t>sacrifice by</w:t>
      </w:r>
      <w:r w:rsidRPr="00613B8C">
        <w:rPr>
          <w:sz w:val="16"/>
        </w:rPr>
        <w:t xml:space="preserve"> our </w:t>
      </w:r>
      <w:r w:rsidRPr="00613B8C">
        <w:rPr>
          <w:rStyle w:val="StyleUnderline"/>
        </w:rPr>
        <w:t>countrymen working in the U</w:t>
      </w:r>
      <w:r w:rsidRPr="00613B8C">
        <w:rPr>
          <w:sz w:val="16"/>
        </w:rPr>
        <w:t xml:space="preserve">nited </w:t>
      </w:r>
      <w:r w:rsidRPr="00613B8C">
        <w:rPr>
          <w:rStyle w:val="StyleUnderline"/>
        </w:rPr>
        <w:t>S</w:t>
      </w:r>
      <w:r w:rsidRPr="00613B8C">
        <w:rPr>
          <w:sz w:val="16"/>
        </w:rPr>
        <w:t xml:space="preserve">tates, who faced with a historical unemployment rate, still made sure to </w:t>
      </w:r>
      <w:r w:rsidRPr="00613B8C">
        <w:rPr>
          <w:rStyle w:val="StyleUnderline"/>
        </w:rPr>
        <w:t xml:space="preserve">send their monthly remittance to their relatives </w:t>
      </w:r>
      <w:r w:rsidRPr="00613B8C">
        <w:rPr>
          <w:sz w:val="16"/>
        </w:rPr>
        <w:t>in</w:t>
      </w:r>
      <w:r w:rsidRPr="00613B8C">
        <w:rPr>
          <w:rStyle w:val="StyleUnderline"/>
        </w:rPr>
        <w:t xml:space="preserve"> </w:t>
      </w:r>
      <w:r w:rsidRPr="00613B8C">
        <w:rPr>
          <w:sz w:val="16"/>
        </w:rPr>
        <w:t>this country. My respects,” Jonathan Heath, board member of the central bank, wrote on Twitter.</w:t>
      </w:r>
    </w:p>
    <w:p w14:paraId="60FD0E47" w14:textId="77777777" w:rsidR="00D91D7C" w:rsidRPr="00613B8C" w:rsidRDefault="00D91D7C" w:rsidP="00D91D7C">
      <w:pPr>
        <w:rPr>
          <w:rStyle w:val="StyleUnderline"/>
        </w:rPr>
      </w:pPr>
      <w:r w:rsidRPr="00613B8C">
        <w:rPr>
          <w:rStyle w:val="StyleUnderline"/>
        </w:rPr>
        <w:t>Workers abroad ar</w:t>
      </w:r>
      <w:r w:rsidRPr="00613B8C">
        <w:rPr>
          <w:sz w:val="16"/>
        </w:rPr>
        <w:t xml:space="preserve">e likely </w:t>
      </w:r>
      <w:r w:rsidRPr="00613B8C">
        <w:rPr>
          <w:rStyle w:val="StyleUnderline"/>
        </w:rPr>
        <w:t>taking advantage of a favorable exchange rate</w:t>
      </w:r>
      <w:r w:rsidRPr="00613B8C">
        <w:rPr>
          <w:sz w:val="16"/>
        </w:rPr>
        <w:t xml:space="preserve"> after the peso weakened versus the dollar as emerging market currencies took a battering </w:t>
      </w:r>
      <w:r w:rsidRPr="00613B8C">
        <w:rPr>
          <w:rStyle w:val="StyleUnderline"/>
        </w:rPr>
        <w:t>amid the economic fallout of the coronavirus pandemic.</w:t>
      </w:r>
    </w:p>
    <w:p w14:paraId="6719B413" w14:textId="77777777" w:rsidR="00D91D7C" w:rsidRPr="00613B8C" w:rsidRDefault="00D91D7C" w:rsidP="00D91D7C">
      <w:pPr>
        <w:rPr>
          <w:rStyle w:val="StyleUnderline"/>
        </w:rPr>
      </w:pPr>
      <w:r w:rsidRPr="00613B8C">
        <w:rPr>
          <w:rStyle w:val="StyleUnderline"/>
        </w:rPr>
        <w:t>The sharp increase in remittances is a boon for low-income families who have been hit particularly hard by job losses because of the coronavirus pandemic.</w:t>
      </w:r>
    </w:p>
    <w:p w14:paraId="601E2786" w14:textId="77777777" w:rsidR="00D91D7C" w:rsidRPr="00DD75E0" w:rsidRDefault="00D91D7C" w:rsidP="00D91D7C">
      <w:pPr>
        <w:rPr>
          <w:sz w:val="16"/>
        </w:rPr>
      </w:pPr>
      <w:r w:rsidRPr="00DD75E0">
        <w:rPr>
          <w:sz w:val="16"/>
        </w:rPr>
        <w:t xml:space="preserve">“Solid workers’ </w:t>
      </w:r>
      <w:r w:rsidRPr="00613B8C">
        <w:rPr>
          <w:rStyle w:val="StyleUnderline"/>
        </w:rPr>
        <w:t xml:space="preserve">remittances flows have been adding </w:t>
      </w:r>
      <w:r w:rsidRPr="00DD75E0">
        <w:rPr>
          <w:rStyle w:val="StyleUnderline"/>
        </w:rPr>
        <w:t>support to the current account and to private consumption</w:t>
      </w:r>
      <w:r w:rsidRPr="00DD75E0">
        <w:rPr>
          <w:sz w:val="16"/>
        </w:rPr>
        <w:t>, particularly for low-income families, who have a high propensity to consume and are the overwhelming recipients of such transfers,” Alberto Ramos, economist at Goldman Sachs, wrote in a note.</w:t>
      </w:r>
    </w:p>
    <w:p w14:paraId="7FDF2BB9" w14:textId="77777777" w:rsidR="00D91D7C" w:rsidRPr="00613B8C" w:rsidRDefault="00D91D7C" w:rsidP="00D91D7C">
      <w:pPr>
        <w:rPr>
          <w:sz w:val="16"/>
        </w:rPr>
      </w:pPr>
      <w:r w:rsidRPr="00613B8C">
        <w:rPr>
          <w:rStyle w:val="StyleUnderline"/>
        </w:rPr>
        <w:t>The sharp contraction of activity and employment in the U</w:t>
      </w:r>
      <w:r w:rsidRPr="00613B8C">
        <w:rPr>
          <w:sz w:val="16"/>
        </w:rPr>
        <w:t xml:space="preserve">nited </w:t>
      </w:r>
      <w:r w:rsidRPr="00613B8C">
        <w:rPr>
          <w:rStyle w:val="StyleUnderline"/>
        </w:rPr>
        <w:t>S</w:t>
      </w:r>
      <w:r w:rsidRPr="00613B8C">
        <w:rPr>
          <w:sz w:val="16"/>
        </w:rPr>
        <w:t xml:space="preserve">tates </w:t>
      </w:r>
      <w:r w:rsidRPr="00613B8C">
        <w:rPr>
          <w:rStyle w:val="StyleUnderline"/>
        </w:rPr>
        <w:t>do not</w:t>
      </w:r>
      <w:r w:rsidRPr="00613B8C">
        <w:rPr>
          <w:sz w:val="16"/>
        </w:rPr>
        <w:t xml:space="preserve"> appear to b</w:t>
      </w:r>
      <w:r w:rsidRPr="00613B8C">
        <w:rPr>
          <w:rStyle w:val="StyleUnderline"/>
        </w:rPr>
        <w:t>e hurting the flow of remittances to Mexico</w:t>
      </w:r>
      <w:r w:rsidRPr="00613B8C">
        <w:rPr>
          <w:sz w:val="16"/>
        </w:rPr>
        <w:t>, Ramos said. (Reporting by Anthony Esposito; additional reporting by Stefanie Eschenbacher; Editing by David Gregorio)</w:t>
      </w:r>
    </w:p>
    <w:p w14:paraId="2F9D5590" w14:textId="77777777" w:rsidR="00D91D7C" w:rsidRDefault="00D91D7C" w:rsidP="00D91D7C"/>
    <w:p w14:paraId="41E84ACE" w14:textId="77777777" w:rsidR="00D91D7C" w:rsidRDefault="00D91D7C" w:rsidP="00D91D7C">
      <w:pPr>
        <w:pStyle w:val="Heading4"/>
      </w:pPr>
      <w:r>
        <w:t>Fear of deportations level fuels remittances</w:t>
      </w:r>
    </w:p>
    <w:p w14:paraId="078AA458" w14:textId="77777777" w:rsidR="00D91D7C" w:rsidRPr="00286E15" w:rsidRDefault="00D91D7C" w:rsidP="00D91D7C">
      <w:pPr>
        <w:rPr>
          <w:rStyle w:val="Style13ptBold"/>
          <w:b w:val="0"/>
          <w:bCs w:val="0"/>
        </w:rPr>
      </w:pPr>
      <w:r>
        <w:rPr>
          <w:rStyle w:val="Style13ptBold"/>
        </w:rPr>
        <w:t>MND 18</w:t>
      </w:r>
      <w:r>
        <w:rPr>
          <w:rStyle w:val="Style13ptBold"/>
          <w:b w:val="0"/>
          <w:bCs w:val="0"/>
        </w:rPr>
        <w:t xml:space="preserve"> </w:t>
      </w:r>
      <w:r w:rsidRPr="00286E15">
        <w:rPr>
          <w:rStyle w:val="Style13ptBold"/>
        </w:rPr>
        <w:t>—</w:t>
      </w:r>
      <w:r>
        <w:rPr>
          <w:rStyle w:val="Style13ptBold"/>
          <w:b w:val="0"/>
          <w:bCs w:val="0"/>
        </w:rPr>
        <w:t xml:space="preserve"> </w:t>
      </w:r>
      <w:r w:rsidRPr="00286E15">
        <w:t>Mexico News Daily citing an El Universal study. (“</w:t>
      </w:r>
      <w:r>
        <w:t>Record remittances of $28.7 billion in 2017</w:t>
      </w:r>
      <w:r w:rsidRPr="00286E15">
        <w:t>”</w:t>
      </w:r>
      <w:r>
        <w:t xml:space="preserve"> Mexico New Daily, February 3, 2018. https://mexiconewsdaily.com/news/record-remittances-of-us-28-7-billion-in-2017/</w:t>
      </w:r>
      <w:r w:rsidRPr="00286E15">
        <w:t>)</w:t>
      </w:r>
      <w:r>
        <w:t>//JLPark</w:t>
      </w:r>
    </w:p>
    <w:p w14:paraId="6CCF7FD6" w14:textId="77777777" w:rsidR="00D91D7C" w:rsidRPr="00286E15" w:rsidRDefault="00D91D7C" w:rsidP="00D91D7C">
      <w:pPr>
        <w:rPr>
          <w:sz w:val="14"/>
          <w:szCs w:val="14"/>
        </w:rPr>
      </w:pPr>
      <w:r w:rsidRPr="00286E15">
        <w:rPr>
          <w:sz w:val="14"/>
          <w:szCs w:val="14"/>
        </w:rPr>
        <w:t>The total was up 6.6% due to fears over immigration and other issues</w:t>
      </w:r>
    </w:p>
    <w:p w14:paraId="6F681399" w14:textId="77777777" w:rsidR="00D91D7C" w:rsidRPr="00286E15" w:rsidRDefault="00D91D7C" w:rsidP="00D91D7C">
      <w:pPr>
        <w:rPr>
          <w:sz w:val="14"/>
        </w:rPr>
      </w:pPr>
      <w:r w:rsidRPr="00286E15">
        <w:rPr>
          <w:rStyle w:val="StyleUnderline"/>
        </w:rPr>
        <w:t>Fears over</w:t>
      </w:r>
      <w:r w:rsidRPr="00286E15">
        <w:rPr>
          <w:sz w:val="14"/>
        </w:rPr>
        <w:t xml:space="preserve"> United States President Donald </w:t>
      </w:r>
      <w:r w:rsidRPr="00286E15">
        <w:rPr>
          <w:rStyle w:val="StyleUnderline"/>
        </w:rPr>
        <w:t>Trump</w:t>
      </w:r>
      <w:r w:rsidRPr="00286E15">
        <w:rPr>
          <w:sz w:val="14"/>
        </w:rPr>
        <w:t xml:space="preserve">’s </w:t>
      </w:r>
      <w:r w:rsidRPr="00286E15">
        <w:rPr>
          <w:rStyle w:val="StyleUnderline"/>
        </w:rPr>
        <w:t>policies on immigration</w:t>
      </w:r>
      <w:r w:rsidRPr="00286E15">
        <w:rPr>
          <w:sz w:val="14"/>
        </w:rPr>
        <w:t xml:space="preserve"> and other themes </w:t>
      </w:r>
      <w:r w:rsidRPr="00286E15">
        <w:rPr>
          <w:rStyle w:val="StyleUnderline"/>
        </w:rPr>
        <w:t>drove remittances</w:t>
      </w:r>
      <w:r w:rsidRPr="00286E15">
        <w:rPr>
          <w:sz w:val="14"/>
        </w:rPr>
        <w:t xml:space="preserve"> to an all-time high in 2017.</w:t>
      </w:r>
    </w:p>
    <w:p w14:paraId="06C4D34A" w14:textId="77777777" w:rsidR="00D91D7C" w:rsidRPr="00286E15" w:rsidRDefault="00D91D7C" w:rsidP="00D91D7C">
      <w:pPr>
        <w:rPr>
          <w:sz w:val="14"/>
        </w:rPr>
      </w:pPr>
      <w:r w:rsidRPr="00286E15">
        <w:rPr>
          <w:rStyle w:val="StyleUnderline"/>
        </w:rPr>
        <w:t>Mexicans working abroad</w:t>
      </w:r>
      <w:r w:rsidRPr="00286E15">
        <w:rPr>
          <w:sz w:val="14"/>
        </w:rPr>
        <w:t xml:space="preserve">, principally in the United States, </w:t>
      </w:r>
      <w:r w:rsidRPr="00286E15">
        <w:rPr>
          <w:rStyle w:val="StyleUnderline"/>
        </w:rPr>
        <w:t>sent US $28.771 billion to Mexico</w:t>
      </w:r>
      <w:r w:rsidRPr="00286E15">
        <w:rPr>
          <w:sz w:val="14"/>
        </w:rPr>
        <w:t>, an increase of 6.6% over the 2016 figure of $26.993 billion, according to the Bank of México.</w:t>
      </w:r>
    </w:p>
    <w:p w14:paraId="47EA775A" w14:textId="77777777" w:rsidR="00D91D7C" w:rsidRPr="00286E15" w:rsidRDefault="00D91D7C" w:rsidP="00D91D7C">
      <w:pPr>
        <w:rPr>
          <w:sz w:val="14"/>
          <w:szCs w:val="14"/>
        </w:rPr>
      </w:pPr>
      <w:r w:rsidRPr="00286E15">
        <w:rPr>
          <w:sz w:val="14"/>
          <w:szCs w:val="14"/>
        </w:rPr>
        <w:t>In December alone, remittances totaled $2.604 billion, up 11% over December 2016.</w:t>
      </w:r>
    </w:p>
    <w:p w14:paraId="08F19DC0" w14:textId="77777777" w:rsidR="00D91D7C" w:rsidRPr="00286E15" w:rsidRDefault="00D91D7C" w:rsidP="00D91D7C">
      <w:pPr>
        <w:rPr>
          <w:sz w:val="14"/>
          <w:szCs w:val="14"/>
        </w:rPr>
      </w:pPr>
      <w:r w:rsidRPr="00286E15">
        <w:rPr>
          <w:sz w:val="14"/>
          <w:szCs w:val="14"/>
        </w:rPr>
        <w:t>The majority of the remittances were made via electronic transfer, of which there were 93.42 million, an increase of 2% over the year before.</w:t>
      </w:r>
    </w:p>
    <w:p w14:paraId="383D915D" w14:textId="77777777" w:rsidR="00D91D7C" w:rsidRPr="00286E15" w:rsidRDefault="00D91D7C" w:rsidP="00D91D7C">
      <w:pPr>
        <w:rPr>
          <w:sz w:val="14"/>
          <w:szCs w:val="14"/>
        </w:rPr>
      </w:pPr>
      <w:r w:rsidRPr="00286E15">
        <w:rPr>
          <w:sz w:val="14"/>
          <w:szCs w:val="14"/>
        </w:rPr>
        <w:t>The average remittance amount was $308.</w:t>
      </w:r>
    </w:p>
    <w:p w14:paraId="2CFE629F" w14:textId="77777777" w:rsidR="00D91D7C" w:rsidRPr="00286E15" w:rsidRDefault="00D91D7C" w:rsidP="00D91D7C">
      <w:pPr>
        <w:rPr>
          <w:sz w:val="14"/>
        </w:rPr>
      </w:pPr>
      <w:r w:rsidRPr="00286E15">
        <w:rPr>
          <w:sz w:val="14"/>
        </w:rPr>
        <w:t xml:space="preserve">Economist Alejandro Cervantes of the financial services company Banorte said several </w:t>
      </w:r>
      <w:r w:rsidRPr="00286E15">
        <w:rPr>
          <w:rStyle w:val="StyleUnderline"/>
        </w:rPr>
        <w:t>factors influenced the increase in remittances</w:t>
      </w:r>
      <w:r w:rsidRPr="00286E15">
        <w:rPr>
          <w:sz w:val="14"/>
        </w:rPr>
        <w:t xml:space="preserve">, including </w:t>
      </w:r>
      <w:r w:rsidRPr="00286E15">
        <w:rPr>
          <w:rStyle w:val="StyleUnderline"/>
        </w:rPr>
        <w:t>Trump’s immigration rhetoric</w:t>
      </w:r>
      <w:r w:rsidRPr="00286E15">
        <w:rPr>
          <w:sz w:val="14"/>
        </w:rPr>
        <w:t>, the peso’s decline in value and high employment in the United States.</w:t>
      </w:r>
    </w:p>
    <w:p w14:paraId="361A2C54" w14:textId="77777777" w:rsidR="00D91D7C" w:rsidRPr="00286E15" w:rsidRDefault="00D91D7C" w:rsidP="00D91D7C">
      <w:pPr>
        <w:rPr>
          <w:sz w:val="14"/>
        </w:rPr>
      </w:pPr>
      <w:r w:rsidRPr="00286E15">
        <w:rPr>
          <w:rStyle w:val="StyleUnderline"/>
        </w:rPr>
        <w:t>Cervantes explained that</w:t>
      </w:r>
      <w:r w:rsidRPr="00286E15">
        <w:rPr>
          <w:sz w:val="14"/>
        </w:rPr>
        <w:t xml:space="preserve"> many consider the </w:t>
      </w:r>
      <w:r w:rsidRPr="00286E15">
        <w:rPr>
          <w:rStyle w:val="StyleUnderline"/>
        </w:rPr>
        <w:t>transfers</w:t>
      </w:r>
      <w:r w:rsidRPr="00286E15">
        <w:rPr>
          <w:sz w:val="14"/>
        </w:rPr>
        <w:t xml:space="preserve"> as a form of savings, and </w:t>
      </w:r>
      <w:r w:rsidRPr="00286E15">
        <w:rPr>
          <w:rStyle w:val="StyleUnderline"/>
        </w:rPr>
        <w:t>sent more money home fearing deportation</w:t>
      </w:r>
      <w:r w:rsidRPr="00286E15">
        <w:rPr>
          <w:sz w:val="14"/>
        </w:rPr>
        <w:t>.</w:t>
      </w:r>
    </w:p>
    <w:p w14:paraId="25235FB2" w14:textId="77777777" w:rsidR="00D91D7C" w:rsidRDefault="00D91D7C" w:rsidP="00D91D7C">
      <w:r w:rsidRPr="00286E15">
        <w:rPr>
          <w:sz w:val="14"/>
          <w:szCs w:val="14"/>
        </w:rPr>
        <w:t>The state of Michoacán led in terms of remittance amounts at $2.915 billion. Jalisco was second with $2.797 billion, followed by Guanajuato with $2.559 billion</w:t>
      </w:r>
      <w:r>
        <w:t>.</w:t>
      </w:r>
    </w:p>
    <w:p w14:paraId="591AE696" w14:textId="77777777" w:rsidR="00D91D7C" w:rsidRPr="00490DDE" w:rsidRDefault="00D91D7C" w:rsidP="00D91D7C">
      <w:pPr>
        <w:pStyle w:val="Heading4"/>
        <w:rPr>
          <w:u w:val="single"/>
        </w:rPr>
      </w:pPr>
      <w:r>
        <w:t>Stopping the flow of r</w:t>
      </w:r>
      <w:r w:rsidRPr="00490DDE">
        <w:t xml:space="preserve">emittances would </w:t>
      </w:r>
      <w:r>
        <w:t>wreck recovery in Mexico and Latin America.</w:t>
      </w:r>
    </w:p>
    <w:p w14:paraId="780CE7CC" w14:textId="77777777" w:rsidR="00D91D7C" w:rsidRDefault="00D91D7C" w:rsidP="00D91D7C">
      <w:r w:rsidRPr="00490DDE">
        <w:rPr>
          <w:rStyle w:val="Style13ptBold"/>
        </w:rPr>
        <w:t>Villasenor et al 16</w:t>
      </w:r>
      <w:r w:rsidRPr="00490DDE">
        <w:t xml:space="preserve"> — John Villasenor</w:t>
      </w:r>
      <w:r>
        <w:t xml:space="preserve"> is a nonresident senior fellow in Governance Studies and the Center for Technology Innovation at Brookings. He is also a professor of electrical engineering, law, public policy, and management at UCLA, as well as co-director of the UCLA Institute for Technology, Law, and Policy. He holds a B.S. from the University of Virginia and an M.S. and Ph.D. from Stanford University, and is a member of the Council on Foreign Relations. Robin J. Lewis is a senior research associate and associate fellow in the Governance Studies program at the Brookings Institution. She is the deputy director of the Leveraging Transparency to Reduce Corruption project (LTRC) and holds an MSc in comparative politics (with a specialization in conflict studies) from the London School of Economics and Political Science and earned her B.A. in political science from Furman University. Darrell M. West is vice president and director of Governance Studies and holds the Douglas Dillon Chair. He is Co-Editor-in-Chief of TechTank. He was the John Hazen White Professor of Political Science and Public Policy and Director of the Taubman Center for Public Policy at Brown University. (“Blocking remittances harms financial inclusion” Brookings, April 11, 2016. https://www.brookings.edu/blog/fixgov/2016/04/11/blocking-remittances-harms-financial-inclusion/)//JLPark</w:t>
      </w:r>
    </w:p>
    <w:p w14:paraId="22257F1D" w14:textId="77777777" w:rsidR="00D91D7C" w:rsidRPr="00BE66C0" w:rsidRDefault="00D91D7C" w:rsidP="00D91D7C">
      <w:pPr>
        <w:rPr>
          <w:sz w:val="14"/>
        </w:rPr>
      </w:pPr>
      <w:r w:rsidRPr="00BE66C0">
        <w:rPr>
          <w:sz w:val="14"/>
        </w:rPr>
        <w:t xml:space="preserve">A recent development in the American political sphere demonstrates yet another way in which </w:t>
      </w:r>
      <w:r w:rsidRPr="00BE66C0">
        <w:rPr>
          <w:rStyle w:val="StyleUnderline"/>
        </w:rPr>
        <w:t>remittance</w:t>
      </w:r>
      <w:r w:rsidRPr="00BE66C0">
        <w:rPr>
          <w:sz w:val="14"/>
        </w:rPr>
        <w:t xml:space="preserve"> services—and the people who depend on them—</w:t>
      </w:r>
      <w:r w:rsidRPr="00BE66C0">
        <w:rPr>
          <w:rStyle w:val="StyleUnderline"/>
        </w:rPr>
        <w:t>risk being collateral damage for forces well beyond their control</w:t>
      </w:r>
      <w:r w:rsidRPr="00BE66C0">
        <w:rPr>
          <w:sz w:val="14"/>
        </w:rPr>
        <w:t>. In an effort to compel the Mexican government to finance the wall he wants to build along the U.S. border with Mexico, Donald Trump is threatening that, if elected president, he would cut off remittances that many Mexicans in the United States send to family members in their home country.</w:t>
      </w:r>
    </w:p>
    <w:p w14:paraId="138A34B5" w14:textId="77777777" w:rsidR="00D91D7C" w:rsidRPr="00BE66C0" w:rsidRDefault="00D91D7C" w:rsidP="00D91D7C">
      <w:pPr>
        <w:rPr>
          <w:sz w:val="14"/>
          <w:szCs w:val="14"/>
        </w:rPr>
      </w:pPr>
      <w:r w:rsidRPr="00BE66C0">
        <w:rPr>
          <w:sz w:val="14"/>
          <w:szCs w:val="14"/>
        </w:rPr>
        <w:t>According to a memo Trump sent to the Washington Post, Trump wants to propose changing the federal regulation governing how banks address customer identification to require that “no alien may wire money outside of the United States unless the alien first provides a document establishing his lawful presence in the United States.” Trump’s aim is to threaten to significantly impede the flow of remittances via money transfer companies or wire transfer firms unless Mexico agrees to pay for the wall.</w:t>
      </w:r>
    </w:p>
    <w:p w14:paraId="3814CDEF" w14:textId="77777777" w:rsidR="00D91D7C" w:rsidRPr="00BE66C0" w:rsidRDefault="00D91D7C" w:rsidP="00D91D7C">
      <w:pPr>
        <w:rPr>
          <w:sz w:val="12"/>
        </w:rPr>
      </w:pPr>
      <w:r w:rsidRPr="00BE66C0">
        <w:rPr>
          <w:sz w:val="12"/>
        </w:rPr>
        <w:t xml:space="preserve">Given that </w:t>
      </w:r>
      <w:r w:rsidRPr="00BE66C0">
        <w:rPr>
          <w:rStyle w:val="StyleUnderline"/>
        </w:rPr>
        <w:t>more than 95 percent of the reported $24.8 billion sent by Mexicans living abroad back to individuals in Mexico</w:t>
      </w:r>
      <w:r w:rsidRPr="00BE66C0">
        <w:rPr>
          <w:sz w:val="12"/>
        </w:rPr>
        <w:t xml:space="preserve"> in 2015 came from Mexicans living in the United States, </w:t>
      </w:r>
      <w:r w:rsidRPr="00BE66C0">
        <w:rPr>
          <w:rStyle w:val="StyleUnderline"/>
        </w:rPr>
        <w:t>the negative economic and social consequences of curtailing remittances would be enormous</w:t>
      </w:r>
      <w:r w:rsidRPr="00BE66C0">
        <w:rPr>
          <w:sz w:val="12"/>
        </w:rPr>
        <w:t>—</w:t>
      </w:r>
      <w:r w:rsidRPr="00BE66C0">
        <w:rPr>
          <w:rStyle w:val="StyleUnderline"/>
        </w:rPr>
        <w:t>even if “only” those remittances sent by undocumented workers would be disrupted</w:t>
      </w:r>
      <w:r w:rsidRPr="00BE66C0">
        <w:rPr>
          <w:sz w:val="12"/>
        </w:rPr>
        <w:t xml:space="preserve">. And, </w:t>
      </w:r>
      <w:r w:rsidRPr="00BE66C0">
        <w:rPr>
          <w:rStyle w:val="StyleUnderline"/>
        </w:rPr>
        <w:t>Mexico wouldn’t be the only country impacted. Blocking remittances also would undermine economic development across much of Latin America and in many other places around the world that receive money sent by immigrants in the U</w:t>
      </w:r>
      <w:r w:rsidRPr="00BE66C0">
        <w:rPr>
          <w:sz w:val="12"/>
        </w:rPr>
        <w:t xml:space="preserve">nited </w:t>
      </w:r>
      <w:r w:rsidRPr="00BE66C0">
        <w:rPr>
          <w:rStyle w:val="StyleUnderline"/>
        </w:rPr>
        <w:t>S</w:t>
      </w:r>
      <w:r w:rsidRPr="00BE66C0">
        <w:rPr>
          <w:sz w:val="12"/>
        </w:rPr>
        <w:t>tates.</w:t>
      </w:r>
    </w:p>
    <w:p w14:paraId="112D1CEC" w14:textId="77777777" w:rsidR="00D91D7C" w:rsidRPr="000B26B7" w:rsidRDefault="00D91D7C" w:rsidP="00D91D7C">
      <w:pPr>
        <w:pStyle w:val="Heading3"/>
      </w:pPr>
      <w:r>
        <w:t>2NC – AT: Deportations Destabilizing</w:t>
      </w:r>
    </w:p>
    <w:p w14:paraId="0ABB4E13" w14:textId="77777777" w:rsidR="00D91D7C" w:rsidRDefault="00D91D7C" w:rsidP="00D91D7C">
      <w:pPr>
        <w:pStyle w:val="Heading4"/>
      </w:pPr>
      <w:r>
        <w:t>Migration and stopping deportations wrecks remittances.</w:t>
      </w:r>
    </w:p>
    <w:p w14:paraId="4EAED531" w14:textId="77777777" w:rsidR="00D91D7C" w:rsidRDefault="00D91D7C" w:rsidP="00D91D7C">
      <w:r w:rsidRPr="00A95D45">
        <w:rPr>
          <w:rStyle w:val="Style13ptBold"/>
        </w:rPr>
        <w:t xml:space="preserve">Cortina and Ochoa </w:t>
      </w:r>
      <w:r>
        <w:rPr>
          <w:rStyle w:val="Style13ptBold"/>
        </w:rPr>
        <w:t xml:space="preserve">8 — </w:t>
      </w:r>
      <w:r>
        <w:t>Je</w:t>
      </w:r>
      <w:r w:rsidRPr="002953D0">
        <w:t>ronimo Cortina is an award-winning Associate Professor in the Department of Political Science and the Associate Director at the Center for Mexican American Studies at the University of Houston.  He earned a Ph.D. in Political Science from Columbia University where he previously earned a Master's degree in public Administration and Public Policy from the School of International and Public Affairs. Dr. Cortina specializes in survey research, immigration, development, and quantitative methods.</w:t>
      </w:r>
      <w:r>
        <w:t xml:space="preserve"> Enrique C. Ochoa is Professor of History and Latin American Studies at California State University, Los Angeles. He received his B.A., M.A., and Ph.D. degrees in History from UCLA. (“More Migration and Less Remittances? An analysis of Turkish, Polish and Mexican Migration as they evolve from Remitters to Savers” Policy Dialogue, April 7, 2008. http://policydialogue.org/files/events/Cortina_Ochoa-Reza_More_Migration_Less_Remittances.pdf)//JLPark</w:t>
      </w:r>
    </w:p>
    <w:p w14:paraId="24358BAC" w14:textId="77777777" w:rsidR="00D91D7C" w:rsidRDefault="00D91D7C" w:rsidP="00D91D7C">
      <w:pPr>
        <w:rPr>
          <w:sz w:val="14"/>
        </w:rPr>
      </w:pPr>
      <w:r w:rsidRPr="002953D0">
        <w:rPr>
          <w:sz w:val="14"/>
        </w:rPr>
        <w:t xml:space="preserve">Conventional </w:t>
      </w:r>
      <w:r w:rsidRPr="002953D0">
        <w:rPr>
          <w:rStyle w:val="StyleUnderline"/>
        </w:rPr>
        <w:t>wisdom argues that the relationship between migration and remittances is positive and reinforcing</w:t>
      </w:r>
      <w:r w:rsidRPr="002953D0">
        <w:rPr>
          <w:sz w:val="14"/>
        </w:rPr>
        <w:t xml:space="preserve">. The basic idea is that as the number of migrants in a host country in period one grows, the level of remittances sent to the home country will increase in period two, ceteris paribus. Likewise, as the level of remittances received in the home country increases in period two, the level of migration to the host country will increase in period three. These phenomena could be summarized in a nutshell as "more migration, more remittances". Although there is substantial evidence to prove that this dynamic is true, we will argue in this paper that </w:t>
      </w:r>
      <w:r w:rsidRPr="002953D0">
        <w:rPr>
          <w:rStyle w:val="StyleUnderline"/>
        </w:rPr>
        <w:t xml:space="preserve">the relationship between migration and remittances is not always positive </w:t>
      </w:r>
      <w:r w:rsidRPr="002953D0">
        <w:rPr>
          <w:sz w:val="14"/>
        </w:rPr>
        <w:t xml:space="preserve">and could be negative depending on demographic, banking and immigration policies that are seldom analyzed comprehensively by scholars or policy makers. In this paper we will present evidence to show that an obvious factor molding </w:t>
      </w:r>
      <w:r w:rsidRPr="002953D0">
        <w:rPr>
          <w:rStyle w:val="StyleUnderline"/>
        </w:rPr>
        <w:t>the relationship between migration and remittances is the demographic composition of the migratory flow</w:t>
      </w:r>
      <w:r w:rsidRPr="002953D0">
        <w:rPr>
          <w:sz w:val="14"/>
        </w:rPr>
        <w:t xml:space="preserve">, which could be an unintended byproduct of immigration policies in host countries. </w:t>
      </w:r>
      <w:r w:rsidRPr="002953D0">
        <w:rPr>
          <w:rStyle w:val="StyleUnderline"/>
        </w:rPr>
        <w:t>A migration flow</w:t>
      </w:r>
      <w:r w:rsidRPr="002953D0">
        <w:rPr>
          <w:sz w:val="14"/>
        </w:rPr>
        <w:t xml:space="preserve"> of children and women, following family reunification policies, </w:t>
      </w:r>
      <w:r w:rsidRPr="002953D0">
        <w:rPr>
          <w:rStyle w:val="StyleUnderline"/>
        </w:rPr>
        <w:t>will potentially lead to a significant reduction of both the supply and demand of remittances. As the money will now stay in the host country</w:t>
      </w:r>
      <w:r w:rsidRPr="002953D0">
        <w:rPr>
          <w:sz w:val="14"/>
        </w:rPr>
        <w:t xml:space="preserve">, </w:t>
      </w:r>
      <w:r w:rsidRPr="002953D0">
        <w:rPr>
          <w:rStyle w:val="StyleUnderline"/>
        </w:rPr>
        <w:t>this will result in a counterintuitive dynamic: more migration, but fewer remittances</w:t>
      </w:r>
      <w:r w:rsidRPr="002953D0">
        <w:rPr>
          <w:sz w:val="14"/>
        </w:rPr>
        <w:t>. In short, remitters will become savers. In order to show how this dynamic operates we will analyze the case of Turkish and Polish migration to Germany and of Mexican migration to the United States.</w:t>
      </w:r>
    </w:p>
    <w:p w14:paraId="353C1B47" w14:textId="77777777" w:rsidR="00D91D7C" w:rsidRDefault="00D91D7C" w:rsidP="00D91D7C">
      <w:pPr>
        <w:pStyle w:val="Heading4"/>
      </w:pPr>
      <w:r>
        <w:t>Canada solves.</w:t>
      </w:r>
    </w:p>
    <w:p w14:paraId="5DEF4BCE" w14:textId="77777777" w:rsidR="00D91D7C" w:rsidRPr="00446A6D" w:rsidRDefault="00D91D7C" w:rsidP="00D91D7C">
      <w:pPr>
        <w:rPr>
          <w:rStyle w:val="Style13ptBold"/>
          <w:b w:val="0"/>
          <w:bCs w:val="0"/>
        </w:rPr>
      </w:pPr>
      <w:r>
        <w:rPr>
          <w:rStyle w:val="Style13ptBold"/>
        </w:rPr>
        <w:t>Newman 19</w:t>
      </w:r>
      <w:r>
        <w:rPr>
          <w:rStyle w:val="Style13ptBold"/>
          <w:b w:val="0"/>
          <w:bCs w:val="0"/>
        </w:rPr>
        <w:t xml:space="preserve"> — </w:t>
      </w:r>
      <w:r w:rsidRPr="00446A6D">
        <w:t>Katelyn Newman is a staff writer for Healthiest Communities at U.S. News &amp; World Report, covering addiction, the opioid crisis and social determinants of health. She came to U.S. News in 2017 from CNN, where she was a news associate; she has also worked as an intern at CNN Investigations, The Daily Record and The Gazette in Gaithersburg, Maryland. She is a graduate of the University of Maryland</w:t>
      </w:r>
      <w:r>
        <w:t>. (“Canada Wants 1M More Immigrants by 2021” U.S. News, January 11, 2019. https://www.usnews.com/news/best-countries/articles/2019-01-11/canada-wants-to-welcome-more-than-1-million-immigrants-by-2021)//JLPark</w:t>
      </w:r>
    </w:p>
    <w:p w14:paraId="403C15F2" w14:textId="77777777" w:rsidR="00D91D7C" w:rsidRPr="00446A6D" w:rsidRDefault="004E564C" w:rsidP="00D91D7C">
      <w:pPr>
        <w:rPr>
          <w:sz w:val="16"/>
        </w:rPr>
      </w:pPr>
      <w:hyperlink r:id="rId231" w:history="1">
        <w:r w:rsidR="00D91D7C" w:rsidRPr="00446A6D">
          <w:rPr>
            <w:rStyle w:val="StyleUnderline"/>
          </w:rPr>
          <w:t>Canada</w:t>
        </w:r>
      </w:hyperlink>
      <w:r w:rsidR="00D91D7C" w:rsidRPr="00446A6D">
        <w:rPr>
          <w:rStyle w:val="StyleUnderline"/>
        </w:rPr>
        <w:t> gained more than 286,000 permanent residents</w:t>
      </w:r>
      <w:r w:rsidR="00D91D7C" w:rsidRPr="00446A6D">
        <w:rPr>
          <w:sz w:val="16"/>
        </w:rPr>
        <w:t xml:space="preserve"> in 2017, according to an</w:t>
      </w:r>
      <w:hyperlink r:id="rId232" w:tgtFrame="_blank" w:history="1">
        <w:r w:rsidR="00D91D7C" w:rsidRPr="00446A6D">
          <w:rPr>
            <w:rStyle w:val="Hyperlink"/>
            <w:sz w:val="16"/>
          </w:rPr>
          <w:t> annual report to Parliament</w:t>
        </w:r>
      </w:hyperlink>
      <w:r w:rsidR="00D91D7C" w:rsidRPr="00446A6D">
        <w:rPr>
          <w:sz w:val="16"/>
        </w:rPr>
        <w:t xml:space="preserve">, </w:t>
      </w:r>
      <w:r w:rsidR="00D91D7C" w:rsidRPr="00446A6D">
        <w:rPr>
          <w:rStyle w:val="StyleUnderline"/>
        </w:rPr>
        <w:t>and it wants to welcome more than 1 million as permanent</w:t>
      </w:r>
      <w:r w:rsidR="00D91D7C" w:rsidRPr="00446A6D">
        <w:rPr>
          <w:sz w:val="16"/>
        </w:rPr>
        <w:t xml:space="preserve"> residents by 2021.</w:t>
      </w:r>
    </w:p>
    <w:p w14:paraId="5C22C545" w14:textId="77777777" w:rsidR="00D91D7C" w:rsidRPr="00446A6D" w:rsidRDefault="00D91D7C" w:rsidP="00D91D7C">
      <w:pPr>
        <w:rPr>
          <w:sz w:val="16"/>
          <w:szCs w:val="16"/>
        </w:rPr>
      </w:pPr>
      <w:r w:rsidRPr="00446A6D">
        <w:rPr>
          <w:sz w:val="16"/>
          <w:szCs w:val="16"/>
        </w:rPr>
        <w:t>"Immigrants and their descendants have made immeasurable contributions to Canada, and our future success depends on continuing to ensure they are welcomed and well-integrated," said Ahmed Hussen, minister of immigration, refugees and citizenship, wrote in a message within the report.</w:t>
      </w:r>
    </w:p>
    <w:p w14:paraId="3CF6D889" w14:textId="77777777" w:rsidR="00D91D7C" w:rsidRPr="00446A6D" w:rsidRDefault="00D91D7C" w:rsidP="00D91D7C">
      <w:pPr>
        <w:rPr>
          <w:sz w:val="16"/>
        </w:rPr>
      </w:pPr>
      <w:r w:rsidRPr="00446A6D">
        <w:rPr>
          <w:rStyle w:val="StyleUnderline"/>
        </w:rPr>
        <w:t xml:space="preserve">The report includes an immigration plan for 2019 to 2021, which targets to admit about </w:t>
      </w:r>
      <w:r w:rsidRPr="00446A6D">
        <w:rPr>
          <w:sz w:val="16"/>
        </w:rPr>
        <w:t xml:space="preserve">330,800 immigrants in 2019; 341,000 in 2020; and </w:t>
      </w:r>
      <w:r w:rsidRPr="00446A6D">
        <w:rPr>
          <w:rStyle w:val="StyleUnderline"/>
        </w:rPr>
        <w:t>350,000</w:t>
      </w:r>
      <w:r w:rsidRPr="00446A6D">
        <w:rPr>
          <w:sz w:val="16"/>
        </w:rPr>
        <w:t xml:space="preserve"> in 2021.</w:t>
      </w:r>
    </w:p>
    <w:p w14:paraId="64DDCBE5" w14:textId="77777777" w:rsidR="00D91D7C" w:rsidRPr="00446A6D" w:rsidRDefault="00D91D7C" w:rsidP="00D91D7C">
      <w:pPr>
        <w:rPr>
          <w:sz w:val="16"/>
        </w:rPr>
      </w:pPr>
      <w:r w:rsidRPr="00446A6D">
        <w:rPr>
          <w:sz w:val="16"/>
        </w:rPr>
        <w:t xml:space="preserve">"Under this plan, </w:t>
      </w:r>
      <w:r w:rsidRPr="00446A6D">
        <w:rPr>
          <w:rStyle w:val="StyleUnderline"/>
        </w:rPr>
        <w:t>Canada will welcome</w:t>
      </w:r>
      <w:r w:rsidRPr="00446A6D">
        <w:rPr>
          <w:sz w:val="16"/>
        </w:rPr>
        <w:t xml:space="preserve"> more talented workers with the skills and </w:t>
      </w:r>
      <w:r w:rsidRPr="00446A6D">
        <w:rPr>
          <w:rStyle w:val="StyleUnderline"/>
        </w:rPr>
        <w:t>expertise</w:t>
      </w:r>
      <w:r w:rsidRPr="00446A6D">
        <w:rPr>
          <w:sz w:val="16"/>
        </w:rPr>
        <w:t xml:space="preserve"> our economy needs, reunite more </w:t>
      </w:r>
      <w:r w:rsidRPr="00446A6D">
        <w:rPr>
          <w:rStyle w:val="StyleUnderline"/>
        </w:rPr>
        <w:t>family members and</w:t>
      </w:r>
      <w:r w:rsidRPr="00446A6D">
        <w:rPr>
          <w:sz w:val="16"/>
        </w:rPr>
        <w:t xml:space="preserve"> accommodate more </w:t>
      </w:r>
      <w:r w:rsidRPr="00446A6D">
        <w:rPr>
          <w:rStyle w:val="StyleUnderline"/>
        </w:rPr>
        <w:t>refugees</w:t>
      </w:r>
      <w:r w:rsidRPr="00446A6D">
        <w:rPr>
          <w:sz w:val="16"/>
        </w:rPr>
        <w:t xml:space="preserve"> looking to start new lives," the report says.</w:t>
      </w:r>
    </w:p>
    <w:p w14:paraId="2BE3FF03" w14:textId="77777777" w:rsidR="00D91D7C" w:rsidRPr="00446A6D" w:rsidRDefault="00D91D7C" w:rsidP="00D91D7C">
      <w:pPr>
        <w:rPr>
          <w:sz w:val="16"/>
        </w:rPr>
      </w:pPr>
      <w:r w:rsidRPr="00446A6D">
        <w:rPr>
          <w:rStyle w:val="StyleUnderline"/>
        </w:rPr>
        <w:t>Immigration accounted for 80 percent of Canadian population growth</w:t>
      </w:r>
      <w:r w:rsidRPr="00446A6D">
        <w:rPr>
          <w:sz w:val="16"/>
        </w:rPr>
        <w:t xml:space="preserve"> between 2017 and 2018, according to the report, and about one in five Canadians are immigrants.</w:t>
      </w:r>
    </w:p>
    <w:p w14:paraId="64BAE25D" w14:textId="77777777" w:rsidR="00D91D7C" w:rsidRPr="00446A6D" w:rsidRDefault="00D91D7C" w:rsidP="00D91D7C">
      <w:pPr>
        <w:rPr>
          <w:sz w:val="16"/>
          <w:szCs w:val="16"/>
        </w:rPr>
      </w:pPr>
      <w:r w:rsidRPr="00446A6D">
        <w:rPr>
          <w:sz w:val="16"/>
          <w:szCs w:val="16"/>
        </w:rPr>
        <w:t>Hussen, who immigrated to Canada from Somalia in the 1990s, noted in his message that immigrants entering Canada's labor force will help offset the country's new challenges of "an aging population and declining birth rate."</w:t>
      </w:r>
    </w:p>
    <w:p w14:paraId="708B068A" w14:textId="77777777" w:rsidR="00D91D7C" w:rsidRDefault="00D91D7C" w:rsidP="00D91D7C">
      <w:pPr>
        <w:rPr>
          <w:sz w:val="16"/>
        </w:rPr>
      </w:pPr>
      <w:r w:rsidRPr="00446A6D">
        <w:rPr>
          <w:rStyle w:val="StyleUnderline"/>
        </w:rPr>
        <w:t>The number of forcibly displaced people reached 68.5 million</w:t>
      </w:r>
      <w:r w:rsidRPr="00446A6D">
        <w:rPr>
          <w:sz w:val="16"/>
        </w:rPr>
        <w:t xml:space="preserve"> as of 2017, according to the </w:t>
      </w:r>
      <w:hyperlink r:id="rId233" w:tgtFrame="_blank" w:history="1">
        <w:r w:rsidRPr="00446A6D">
          <w:rPr>
            <w:rStyle w:val="Hyperlink"/>
            <w:sz w:val="16"/>
          </w:rPr>
          <w:t>United Nations Refugee Agency</w:t>
        </w:r>
      </w:hyperlink>
      <w:r w:rsidRPr="00446A6D">
        <w:rPr>
          <w:sz w:val="16"/>
        </w:rPr>
        <w:t xml:space="preserve">. </w:t>
      </w:r>
      <w:r w:rsidRPr="00446A6D">
        <w:rPr>
          <w:rStyle w:val="StyleUnderline"/>
        </w:rPr>
        <w:t>Canada's welcoming attitude toward immigrants, especially </w:t>
      </w:r>
      <w:hyperlink r:id="rId234" w:tgtFrame="_blank" w:history="1">
        <w:r w:rsidRPr="00446A6D">
          <w:rPr>
            <w:rStyle w:val="StyleUnderline"/>
          </w:rPr>
          <w:t>refugees</w:t>
        </w:r>
      </w:hyperlink>
      <w:r w:rsidRPr="00446A6D">
        <w:rPr>
          <w:rStyle w:val="StyleUnderline"/>
        </w:rPr>
        <w:t> in need of resettlement, comes as other countries – including the </w:t>
      </w:r>
      <w:hyperlink r:id="rId235" w:history="1">
        <w:r w:rsidRPr="00446A6D">
          <w:rPr>
            <w:rStyle w:val="StyleUnderline"/>
          </w:rPr>
          <w:t>United States</w:t>
        </w:r>
      </w:hyperlink>
      <w:r w:rsidRPr="00446A6D">
        <w:rPr>
          <w:rStyle w:val="StyleUnderline"/>
        </w:rPr>
        <w:t> – are enforcing a </w:t>
      </w:r>
      <w:hyperlink r:id="rId236" w:history="1">
        <w:r w:rsidRPr="00446A6D">
          <w:rPr>
            <w:rStyle w:val="StyleUnderline"/>
          </w:rPr>
          <w:t>tougher stance</w:t>
        </w:r>
      </w:hyperlink>
      <w:r w:rsidRPr="00446A6D">
        <w:rPr>
          <w:sz w:val="16"/>
        </w:rPr>
        <w:t>.</w:t>
      </w:r>
    </w:p>
    <w:p w14:paraId="2086C689" w14:textId="77777777" w:rsidR="00D91D7C" w:rsidRPr="000B26B7" w:rsidRDefault="00D91D7C" w:rsidP="00D91D7C">
      <w:pPr>
        <w:pStyle w:val="Heading4"/>
      </w:pPr>
      <w:r>
        <w:t xml:space="preserve">Turkey is a </w:t>
      </w:r>
      <w:r>
        <w:rPr>
          <w:u w:val="single"/>
        </w:rPr>
        <w:t>major</w:t>
      </w:r>
      <w:r>
        <w:t xml:space="preserve"> alt cause.</w:t>
      </w:r>
    </w:p>
    <w:p w14:paraId="6D7B268C" w14:textId="77777777" w:rsidR="00D91D7C" w:rsidRPr="00C01E9F" w:rsidRDefault="00D91D7C" w:rsidP="00D91D7C">
      <w:r>
        <w:rPr>
          <w:rStyle w:val="Style13ptBold"/>
        </w:rPr>
        <w:t>McDonnell</w:t>
      </w:r>
      <w:r>
        <w:rPr>
          <w:rStyle w:val="Style13ptBold"/>
          <w:b w:val="0"/>
          <w:bCs w:val="0"/>
        </w:rPr>
        <w:t xml:space="preserve"> </w:t>
      </w:r>
      <w:r>
        <w:rPr>
          <w:rStyle w:val="Style13ptBold"/>
        </w:rPr>
        <w:t xml:space="preserve">19 </w:t>
      </w:r>
      <w:r>
        <w:rPr>
          <w:rStyle w:val="Style13ptBold"/>
          <w:b w:val="0"/>
          <w:bCs w:val="0"/>
        </w:rPr>
        <w:t xml:space="preserve">— </w:t>
      </w:r>
      <w:r w:rsidRPr="00C01E9F">
        <w:t xml:space="preserve">Tim </w:t>
      </w:r>
      <w:r>
        <w:t>McDonnell is a reporter for Quartz, 2017 Fellow of the International Reporting Project in Nigeria, 2016-17 Fulbright-National Geographic Storytelling Fellow, and formerly staff on NPR, NYT, The Economist, WP, and more. (“Turkey's Invasion Of Syria Worsens A Humanitarian Crisis” NPR, October 11, 2019. https://www.npr.org/sections/goatsandsoda/2019/10/11/769445696/turkeys-invasion-of-syria-worsens-a-humanitarian-crisis)//JLPark</w:t>
      </w:r>
    </w:p>
    <w:p w14:paraId="2882AC37" w14:textId="77777777" w:rsidR="00D91D7C" w:rsidRPr="000B26B7" w:rsidRDefault="00D91D7C" w:rsidP="00D91D7C">
      <w:pPr>
        <w:rPr>
          <w:sz w:val="12"/>
        </w:rPr>
      </w:pPr>
      <w:r w:rsidRPr="00C01E9F">
        <w:rPr>
          <w:sz w:val="12"/>
        </w:rPr>
        <w:t xml:space="preserve">Until this week, northeastern </w:t>
      </w:r>
      <w:r w:rsidRPr="00446A6D">
        <w:rPr>
          <w:sz w:val="12"/>
        </w:rPr>
        <w:t xml:space="preserve">Syria near the border with Turkey had been a refuge of relative safety for people fleeing violence in other parts of the war-torn country. Humanitarian relief agencies have been providing food, water, medicine and other lifesaving aid to more than 90,000 internally displaced people there as well as more than 1 million other residents who had lost access to social services because of the conflict. Now, </w:t>
      </w:r>
      <w:r w:rsidRPr="00446A6D">
        <w:rPr>
          <w:rStyle w:val="StyleUnderline"/>
        </w:rPr>
        <w:t>the towns and camps where those people are living are</w:t>
      </w:r>
      <w:r w:rsidRPr="00446A6D">
        <w:rPr>
          <w:sz w:val="12"/>
        </w:rPr>
        <w:t xml:space="preserve"> suddenly on </w:t>
      </w:r>
      <w:r w:rsidRPr="00446A6D">
        <w:rPr>
          <w:rStyle w:val="StyleUnderline"/>
        </w:rPr>
        <w:t>the front lines of a new</w:t>
      </w:r>
      <w:r w:rsidRPr="00446A6D">
        <w:rPr>
          <w:sz w:val="12"/>
        </w:rPr>
        <w:t xml:space="preserve">, unpredictable </w:t>
      </w:r>
      <w:r w:rsidRPr="00446A6D">
        <w:rPr>
          <w:rStyle w:val="StyleUnderline"/>
        </w:rPr>
        <w:t>combat operation</w:t>
      </w:r>
      <w:r w:rsidRPr="00446A6D">
        <w:rPr>
          <w:sz w:val="12"/>
        </w:rPr>
        <w:t xml:space="preserve">. On Friday, </w:t>
      </w:r>
      <w:r w:rsidRPr="00446A6D">
        <w:rPr>
          <w:rStyle w:val="StyleUnderline"/>
        </w:rPr>
        <w:t xml:space="preserve">local Kurdish government officials </w:t>
      </w:r>
      <w:hyperlink r:id="rId237" w:history="1">
        <w:r w:rsidRPr="00446A6D">
          <w:rPr>
            <w:rStyle w:val="StyleUnderline"/>
          </w:rPr>
          <w:t>announced plans</w:t>
        </w:r>
      </w:hyperlink>
      <w:r w:rsidRPr="00446A6D">
        <w:rPr>
          <w:rStyle w:val="StyleUnderline"/>
        </w:rPr>
        <w:t xml:space="preserve"> to</w:t>
      </w:r>
      <w:r w:rsidRPr="00446A6D">
        <w:rPr>
          <w:sz w:val="12"/>
        </w:rPr>
        <w:t xml:space="preserve"> immediately </w:t>
      </w:r>
      <w:r w:rsidRPr="00446A6D">
        <w:rPr>
          <w:rStyle w:val="StyleUnderline"/>
        </w:rPr>
        <w:t>evacuate 7,000 internally-displaced persons from one camp</w:t>
      </w:r>
      <w:r w:rsidRPr="00446A6D">
        <w:rPr>
          <w:sz w:val="12"/>
        </w:rPr>
        <w:t xml:space="preserve">, al-Mabrouka, </w:t>
      </w:r>
      <w:r w:rsidRPr="00446A6D">
        <w:rPr>
          <w:rStyle w:val="StyleUnderline"/>
        </w:rPr>
        <w:t>that they said had been hit with artillery shells. In the border town</w:t>
      </w:r>
      <w:r w:rsidRPr="00446A6D">
        <w:rPr>
          <w:sz w:val="12"/>
        </w:rPr>
        <w:t xml:space="preserve"> of Tal Abyad, </w:t>
      </w:r>
      <w:r w:rsidRPr="00446A6D">
        <w:rPr>
          <w:rStyle w:val="StyleUnderline"/>
        </w:rPr>
        <w:t>hospital workers were forced to abandon at least one hospital because of shelling</w:t>
      </w:r>
      <w:r w:rsidRPr="00446A6D">
        <w:rPr>
          <w:sz w:val="12"/>
        </w:rPr>
        <w:t xml:space="preserve">, </w:t>
      </w:r>
      <w:hyperlink r:id="rId238" w:anchor="p1" w:history="1">
        <w:r w:rsidRPr="00446A6D">
          <w:rPr>
            <w:rStyle w:val="Hyperlink"/>
            <w:sz w:val="12"/>
          </w:rPr>
          <w:t>according to Médecins Sans Frontières</w:t>
        </w:r>
      </w:hyperlink>
      <w:r w:rsidRPr="00446A6D">
        <w:rPr>
          <w:sz w:val="12"/>
        </w:rPr>
        <w:t xml:space="preserve">. And </w:t>
      </w:r>
      <w:r w:rsidRPr="00446A6D">
        <w:rPr>
          <w:rStyle w:val="StyleUnderline"/>
        </w:rPr>
        <w:t>according to UNICEF, a water pumping station that serves 400,000 people was attacked</w:t>
      </w:r>
      <w:r w:rsidRPr="00446A6D">
        <w:rPr>
          <w:sz w:val="12"/>
        </w:rPr>
        <w:t xml:space="preserve"> late Thursday and taken out of service. "</w:t>
      </w:r>
      <w:r w:rsidRPr="00446A6D">
        <w:rPr>
          <w:rStyle w:val="StyleUnderline"/>
        </w:rPr>
        <w:t>The situation on the ground is becoming increasingly dire, and once again, civilians are paying the highest price</w:t>
      </w:r>
      <w:r w:rsidRPr="00446A6D">
        <w:rPr>
          <w:sz w:val="12"/>
        </w:rPr>
        <w:t>," Misty Buswell, Middle East policy director at the International Rescue Committee, said in a statement Friday afternoon. "</w:t>
      </w:r>
      <w:r w:rsidRPr="00446A6D">
        <w:rPr>
          <w:rStyle w:val="StyleUnderline"/>
        </w:rPr>
        <w:t>There are already reports of [water] shortages in some rural areas, with possibly much worse to be seen in a few days if services are not able to get back up and running soon</w:t>
      </w:r>
      <w:r w:rsidRPr="00446A6D">
        <w:rPr>
          <w:sz w:val="12"/>
        </w:rPr>
        <w:t xml:space="preserve">." </w:t>
      </w:r>
      <w:r w:rsidRPr="00446A6D">
        <w:rPr>
          <w:rStyle w:val="StyleUnderline"/>
        </w:rPr>
        <w:t xml:space="preserve">UNICEF, IRC, CARE International and some other groups have </w:t>
      </w:r>
      <w:r w:rsidRPr="00446A6D">
        <w:rPr>
          <w:sz w:val="12"/>
        </w:rPr>
        <w:t xml:space="preserve">temporarily </w:t>
      </w:r>
      <w:r w:rsidRPr="00446A6D">
        <w:rPr>
          <w:rStyle w:val="StyleUnderline"/>
        </w:rPr>
        <w:t>suspended services in the border area, evacuated foreign staff and asked local staff to remain home</w:t>
      </w:r>
      <w:r w:rsidRPr="00446A6D">
        <w:rPr>
          <w:sz w:val="12"/>
        </w:rPr>
        <w:t>. If humanitarian services continue to be cut off, the situation could quickly worsen, Karl Schembri, a spokesperson for the Norwegian Refugee Council, told NPR. "These people are already under extreme duress," he says. "</w:t>
      </w:r>
      <w:r w:rsidRPr="00446A6D">
        <w:rPr>
          <w:rStyle w:val="StyleUnderline"/>
        </w:rPr>
        <w:t>There are a lot of displaced-persons camps there that are completely dependent on aid services, and if they are cut off, that would put lives at immediate risk</w:t>
      </w:r>
      <w:r w:rsidRPr="00446A6D">
        <w:rPr>
          <w:sz w:val="12"/>
        </w:rPr>
        <w:t xml:space="preserve">." By Friday, </w:t>
      </w:r>
      <w:r w:rsidRPr="00446A6D">
        <w:rPr>
          <w:rStyle w:val="StyleUnderline"/>
        </w:rPr>
        <w:t>Turkish troops had captured several Kurdish villages and blocked roads between</w:t>
      </w:r>
      <w:r w:rsidRPr="00446A6D">
        <w:rPr>
          <w:sz w:val="12"/>
        </w:rPr>
        <w:t xml:space="preserve"> others, The Associated Press </w:t>
      </w:r>
      <w:hyperlink r:id="rId239" w:history="1">
        <w:r w:rsidRPr="00446A6D">
          <w:rPr>
            <w:rStyle w:val="Hyperlink"/>
            <w:sz w:val="12"/>
          </w:rPr>
          <w:t>reported</w:t>
        </w:r>
      </w:hyperlink>
      <w:r w:rsidRPr="00446A6D">
        <w:rPr>
          <w:sz w:val="12"/>
        </w:rPr>
        <w:t xml:space="preserve">. Riots </w:t>
      </w:r>
      <w:hyperlink r:id="rId240" w:history="1">
        <w:r w:rsidRPr="00446A6D">
          <w:rPr>
            <w:rStyle w:val="Hyperlink"/>
            <w:sz w:val="12"/>
          </w:rPr>
          <w:t>broke out at Al-Hol</w:t>
        </w:r>
      </w:hyperlink>
      <w:r w:rsidRPr="00446A6D">
        <w:rPr>
          <w:sz w:val="12"/>
        </w:rPr>
        <w:t>, a camp near the border that was used to detain the wives and children of suspected Islamic State fighters. Many of the displaced people are fleeing south, deeper into Syria, says Aleksandar Milutinovic, Syria country director for CARE. As the situation unfolds, it may become difficult to keep them from unintentionally winding up back in harm's way, squeezed between the Turkish offensive and the civil war. "We're trying to understand where they can find safety," he says. Meanwhile, Milutinovic says, humanitarian groups fear that the offensive could disrupt aid supply lines, which have been coming into Syria from Iraq. "</w:t>
      </w:r>
      <w:r w:rsidRPr="00446A6D">
        <w:rPr>
          <w:rStyle w:val="StyleUnderline"/>
        </w:rPr>
        <w:t>We really want to keep those lines open, so we don't face a shortage of food and other supplies</w:t>
      </w:r>
      <w:r w:rsidRPr="00446A6D">
        <w:rPr>
          <w:sz w:val="12"/>
        </w:rPr>
        <w:t>," he says. "</w:t>
      </w:r>
      <w:r w:rsidRPr="00446A6D">
        <w:rPr>
          <w:rStyle w:val="StyleUnderline"/>
        </w:rPr>
        <w:t>If the conflict continues, we expect those things will be depleted very fast. And we are very concerned about medical facilities. Unfortunately in any conflict zone, some doctors and medical employees have to leave, leaving very few resources to care for those people</w:t>
      </w:r>
      <w:r w:rsidRPr="00446A6D">
        <w:rPr>
          <w:sz w:val="12"/>
        </w:rPr>
        <w:t xml:space="preserve">." If and when the military campaign settles, there may be further humanitarian challenges ahead. Last month, Turkish President Recep Tayyip </w:t>
      </w:r>
      <w:r w:rsidRPr="00446A6D">
        <w:rPr>
          <w:rStyle w:val="StyleUnderline"/>
        </w:rPr>
        <w:t xml:space="preserve">Erdoğan announced </w:t>
      </w:r>
      <w:hyperlink r:id="rId241" w:history="1">
        <w:r w:rsidRPr="00446A6D">
          <w:rPr>
            <w:rStyle w:val="StyleUnderline"/>
          </w:rPr>
          <w:t>plans</w:t>
        </w:r>
      </w:hyperlink>
      <w:r w:rsidRPr="00446A6D">
        <w:rPr>
          <w:rStyle w:val="StyleUnderline"/>
        </w:rPr>
        <w:t xml:space="preserve"> to return up to 2 million Syrian refugees</w:t>
      </w:r>
      <w:r w:rsidRPr="00446A6D">
        <w:rPr>
          <w:sz w:val="12"/>
        </w:rPr>
        <w:t xml:space="preserve"> currently living in Turkey to so-called "safe zones" in conquered territory in Syria. </w:t>
      </w:r>
      <w:r w:rsidRPr="00446A6D">
        <w:rPr>
          <w:rStyle w:val="StyleUnderline"/>
        </w:rPr>
        <w:t>That plan was met with outcry from human rights advocates, who fear</w:t>
      </w:r>
      <w:r w:rsidRPr="00446A6D">
        <w:rPr>
          <w:sz w:val="12"/>
        </w:rPr>
        <w:t xml:space="preserve"> that </w:t>
      </w:r>
      <w:r w:rsidRPr="00446A6D">
        <w:rPr>
          <w:rStyle w:val="StyleUnderline"/>
        </w:rPr>
        <w:t>such zones would be inaccessible to humanitarian workers and could become a backdrop for human rights violations</w:t>
      </w:r>
      <w:r w:rsidRPr="00446A6D">
        <w:rPr>
          <w:sz w:val="12"/>
        </w:rPr>
        <w:t xml:space="preserve"> by Turkish armed forces. The plan "defies all norms of international law and humanitarian law, and it's outrageous," Stephen Morrison, director of the Global Health Policy Center at the Center for Strategic and International Studies, a Washington think tank. "And </w:t>
      </w:r>
      <w:r w:rsidRPr="00446A6D">
        <w:rPr>
          <w:rStyle w:val="StyleUnderline"/>
        </w:rPr>
        <w:t>it's going to be a complete debacle for public health</w:t>
      </w:r>
      <w:r w:rsidRPr="00C01E9F">
        <w:rPr>
          <w:sz w:val="12"/>
        </w:rPr>
        <w:t>."</w:t>
      </w:r>
    </w:p>
    <w:p w14:paraId="38158E6D" w14:textId="77777777" w:rsidR="00D91D7C" w:rsidRDefault="00D91D7C" w:rsidP="00D91D7C">
      <w:pPr>
        <w:pStyle w:val="Heading3"/>
      </w:pPr>
      <w:r>
        <w:t>1NC – AT: Latin America Instability</w:t>
      </w:r>
    </w:p>
    <w:p w14:paraId="2E05BA46" w14:textId="77777777" w:rsidR="00D91D7C" w:rsidRPr="0037431B" w:rsidRDefault="00D91D7C" w:rsidP="00D91D7C">
      <w:pPr>
        <w:pStyle w:val="Heading4"/>
        <w:rPr>
          <w:b w:val="0"/>
          <w:bCs/>
        </w:rPr>
      </w:pPr>
      <w:r>
        <w:t>Instability is inevitable.</w:t>
      </w:r>
    </w:p>
    <w:p w14:paraId="2CC7DEA1" w14:textId="77777777" w:rsidR="00D91D7C" w:rsidRDefault="00D91D7C" w:rsidP="00D91D7C">
      <w:r>
        <w:rPr>
          <w:rStyle w:val="Style13ptBold"/>
        </w:rPr>
        <w:t>Stuenkel 4/22</w:t>
      </w:r>
      <w:r>
        <w:rPr>
          <w:rStyle w:val="Style13ptBold"/>
          <w:b w:val="0"/>
          <w:bCs w:val="0"/>
        </w:rPr>
        <w:t xml:space="preserve"> </w:t>
      </w:r>
      <w:r>
        <w:rPr>
          <w:rStyle w:val="Style13ptBold"/>
        </w:rPr>
        <w:t xml:space="preserve">— </w:t>
      </w:r>
      <w:r w:rsidRPr="0037431B">
        <w:t>Oliver Stuenkel is a contributing columnist for Americas Quarterly and teaches International Relations at the Getulio Vargas Foundation in São Paulo. He is the author of The BRICS and the Future of Global Order and Post-Western World: How Emerging Powers Are Remaking Global Order.</w:t>
      </w:r>
      <w:r>
        <w:t xml:space="preserve"> (“Latin America Must Act – Or Brace for Political Instability”Americas Quarterly, April 22, 2020. https://www.americasquarterly.org/article/latin-america-must-act-or-brace-for-political-instability/)//JLPark</w:t>
      </w:r>
    </w:p>
    <w:p w14:paraId="0AB4A01B" w14:textId="77777777" w:rsidR="00D91D7C" w:rsidRPr="0037431B" w:rsidRDefault="00D91D7C" w:rsidP="00D91D7C">
      <w:r w:rsidRPr="0037431B">
        <w:rPr>
          <w:rStyle w:val="StyleUnderline"/>
        </w:rPr>
        <w:t>Lackluster growth, mass protests and weak institutions before the coronavirus suggest the region is headed for even deeper trouble</w:t>
      </w:r>
      <w:r w:rsidRPr="0037431B">
        <w:t xml:space="preserve"> after it.</w:t>
      </w:r>
    </w:p>
    <w:p w14:paraId="4E6EE893" w14:textId="77777777" w:rsidR="00D91D7C" w:rsidRPr="0037431B" w:rsidRDefault="00D91D7C" w:rsidP="00D91D7C">
      <w:pPr>
        <w:rPr>
          <w:sz w:val="14"/>
        </w:rPr>
      </w:pPr>
      <w:r w:rsidRPr="0037431B">
        <w:rPr>
          <w:sz w:val="14"/>
        </w:rPr>
        <w:t xml:space="preserve">While it is impossible to predict how the coronavirus will spread in Latin America, one thing is certain: </w:t>
      </w:r>
      <w:r w:rsidRPr="0037431B">
        <w:rPr>
          <w:rStyle w:val="Emphasis"/>
        </w:rPr>
        <w:t>Recession will hit the region hard</w:t>
      </w:r>
      <w:r w:rsidRPr="0037431B">
        <w:rPr>
          <w:sz w:val="14"/>
        </w:rPr>
        <w:t xml:space="preserve">. According to the World Bank’s most recent estimate, made while the effects of the pandemic in the region were just starting to spread, </w:t>
      </w:r>
      <w:r w:rsidRPr="0037431B">
        <w:rPr>
          <w:rStyle w:val="StyleUnderline"/>
        </w:rPr>
        <w:t>Latin American economies are expected to contract by 5%</w:t>
      </w:r>
      <w:r w:rsidRPr="0037431B">
        <w:rPr>
          <w:sz w:val="14"/>
        </w:rPr>
        <w:t xml:space="preserve"> in 2020. A recent study by Oxfam, meanwhile, estimates that </w:t>
      </w:r>
      <w:r w:rsidRPr="0037431B">
        <w:rPr>
          <w:rStyle w:val="StyleUnderline"/>
        </w:rPr>
        <w:t>the crisis will push half a billion people into poverty</w:t>
      </w:r>
      <w:r w:rsidRPr="0037431B">
        <w:rPr>
          <w:sz w:val="14"/>
        </w:rPr>
        <w:t xml:space="preserve"> — </w:t>
      </w:r>
      <w:r w:rsidRPr="0037431B">
        <w:rPr>
          <w:rStyle w:val="StyleUnderline"/>
        </w:rPr>
        <w:t xml:space="preserve">some 10% of them in Latin America. This is a recipe for </w:t>
      </w:r>
      <w:r w:rsidRPr="0037431B">
        <w:rPr>
          <w:sz w:val="14"/>
        </w:rPr>
        <w:t>political</w:t>
      </w:r>
      <w:r w:rsidRPr="0037431B">
        <w:rPr>
          <w:rStyle w:val="StyleUnderline"/>
        </w:rPr>
        <w:t xml:space="preserve"> instability</w:t>
      </w:r>
      <w:r w:rsidRPr="0037431B">
        <w:rPr>
          <w:sz w:val="14"/>
        </w:rPr>
        <w:t>.</w:t>
      </w:r>
    </w:p>
    <w:p w14:paraId="0FDD3529" w14:textId="77777777" w:rsidR="00D91D7C" w:rsidRPr="0037431B" w:rsidRDefault="00D91D7C" w:rsidP="00D91D7C">
      <w:pPr>
        <w:rPr>
          <w:sz w:val="14"/>
        </w:rPr>
      </w:pPr>
      <w:r w:rsidRPr="0037431B">
        <w:rPr>
          <w:sz w:val="14"/>
        </w:rPr>
        <w:t xml:space="preserve">Political analysts debating the medium- and long-term consequences for the region are sounding the alarm: </w:t>
      </w:r>
      <w:r w:rsidRPr="0037431B">
        <w:rPr>
          <w:rStyle w:val="StyleUnderline"/>
        </w:rPr>
        <w:t>Permanent change is inevitable and promises that things will soon be back to normal are counterproductive</w:t>
      </w:r>
      <w:r w:rsidRPr="0037431B">
        <w:rPr>
          <w:sz w:val="14"/>
        </w:rPr>
        <w:t xml:space="preserve">. To address the situation, Latin America’s leaders need to adopt a unifying message and reach across ideological divides. They should also prepare the public to accept the need for radical solutions that could go against their voters’ core beliefs. </w:t>
      </w:r>
    </w:p>
    <w:p w14:paraId="344D0CA2" w14:textId="77777777" w:rsidR="00D91D7C" w:rsidRPr="0037431B" w:rsidRDefault="00D91D7C" w:rsidP="00D91D7C">
      <w:pPr>
        <w:rPr>
          <w:sz w:val="14"/>
          <w:szCs w:val="14"/>
        </w:rPr>
      </w:pPr>
      <w:r w:rsidRPr="0037431B">
        <w:rPr>
          <w:sz w:val="14"/>
          <w:szCs w:val="14"/>
        </w:rPr>
        <w:t>In that sense, the coronavirus crisis presents some opportunities. Extreme circumstances tend to erode long-held convictions and can help overcome inertia and entrenched privileges. That could help Latin American governments implement sensible but elusive reforms to ease the region’s staggering inequality, which the pandemic could worsen considerably if left unaddressed.</w:t>
      </w:r>
    </w:p>
    <w:p w14:paraId="0AEA792C" w14:textId="77777777" w:rsidR="00D91D7C" w:rsidRPr="0037431B" w:rsidRDefault="00D91D7C" w:rsidP="00D91D7C">
      <w:pPr>
        <w:rPr>
          <w:sz w:val="14"/>
          <w:szCs w:val="14"/>
        </w:rPr>
      </w:pPr>
      <w:r w:rsidRPr="0037431B">
        <w:rPr>
          <w:sz w:val="14"/>
          <w:szCs w:val="14"/>
        </w:rPr>
        <w:t>Open-minded debates about policies like universal basic income (UBI), once confined to policy wonks with little access to mainstream politicians, are now being discussed across the ideological spectrum. Pandemic-induced economic collapse may provide policymakers a chance to invest in government capacity and redesign the many taxes and transfers offered by Latin American governments that have so far failed to reduce inequality, often benefiting those higher up the income pyramid instead.</w:t>
      </w:r>
    </w:p>
    <w:p w14:paraId="60374A0D" w14:textId="77777777" w:rsidR="00D91D7C" w:rsidRPr="0037431B" w:rsidRDefault="00D91D7C" w:rsidP="00D91D7C">
      <w:pPr>
        <w:rPr>
          <w:sz w:val="14"/>
          <w:szCs w:val="14"/>
        </w:rPr>
      </w:pPr>
      <w:r w:rsidRPr="0037431B">
        <w:rPr>
          <w:sz w:val="14"/>
          <w:szCs w:val="14"/>
        </w:rPr>
        <w:t xml:space="preserve">Erecting barriers and limiting regional trade would unnecessarily prolong the economic crisis. </w:t>
      </w:r>
    </w:p>
    <w:p w14:paraId="4420AFFC" w14:textId="77777777" w:rsidR="00D91D7C" w:rsidRPr="0037431B" w:rsidRDefault="00D91D7C" w:rsidP="00D91D7C">
      <w:pPr>
        <w:rPr>
          <w:sz w:val="14"/>
          <w:szCs w:val="14"/>
        </w:rPr>
      </w:pPr>
      <w:r w:rsidRPr="0037431B">
        <w:rPr>
          <w:sz w:val="14"/>
          <w:szCs w:val="14"/>
        </w:rPr>
        <w:t xml:space="preserve">There is also an opportunity for better regional coordination, which will be essential to mitigating the risks of political instability and could come in handy during the next pandemic. That includes issues like the purchase of medical equipment or information sharing. In the same sense, with the definition of what counts as a strategic sector expanding by the moment, governments in the region should discuss ways to resist pressure to embrace economic nationalism. Erecting barriers and limiting regional trade would unnecessarily prolong the economic crisis. </w:t>
      </w:r>
    </w:p>
    <w:p w14:paraId="350C3987" w14:textId="77777777" w:rsidR="00D91D7C" w:rsidRPr="0037431B" w:rsidRDefault="00D91D7C" w:rsidP="00D91D7C">
      <w:pPr>
        <w:rPr>
          <w:sz w:val="14"/>
          <w:szCs w:val="14"/>
        </w:rPr>
      </w:pPr>
      <w:r w:rsidRPr="0037431B">
        <w:rPr>
          <w:sz w:val="14"/>
          <w:szCs w:val="14"/>
        </w:rPr>
        <w:t xml:space="preserve">Regional cooperation on technical issues could even pave a way for broader collaboration within Latin America, a region riven by ideological differences and a lack of communication between heads of state. (Despite the crisis, the presidents of Brazil and Argentina have yet to speak on the phone, let alone meet in person.) </w:t>
      </w:r>
    </w:p>
    <w:p w14:paraId="3107C7DC" w14:textId="77777777" w:rsidR="00D91D7C" w:rsidRPr="0037431B" w:rsidRDefault="00D91D7C" w:rsidP="00D91D7C">
      <w:pPr>
        <w:rPr>
          <w:sz w:val="14"/>
          <w:szCs w:val="14"/>
        </w:rPr>
      </w:pPr>
      <w:r w:rsidRPr="0037431B">
        <w:rPr>
          <w:sz w:val="14"/>
          <w:szCs w:val="14"/>
        </w:rPr>
        <w:t xml:space="preserve">A key element will be for governments to prepare citizens for what is to come. Colombia’s economic minister was right not to mince words when he recently predicted that 2020 could be “the worst year in the country’s economic history.” During the pandemic — with a few exceptions, most notably Mexico and Brazil — leaders are likely to increase or maintain high approval ratings, especially where social distancing measures have been adopted and policymakers have been frank about the expected economic consequences, such as in Peru, Panama and Argentina. Peru’s President Martín Vizcarra’s swift response helped his approval ratings soar to 87%. In Argentina, Alberto Fernández now enjoys an approval rating of 80%. </w:t>
      </w:r>
    </w:p>
    <w:p w14:paraId="128B1845" w14:textId="77777777" w:rsidR="00D91D7C" w:rsidRPr="0037431B" w:rsidRDefault="00D91D7C" w:rsidP="00D91D7C">
      <w:pPr>
        <w:rPr>
          <w:sz w:val="14"/>
        </w:rPr>
      </w:pPr>
      <w:r w:rsidRPr="0037431B">
        <w:rPr>
          <w:sz w:val="14"/>
        </w:rPr>
        <w:t xml:space="preserve">In times of deep crisis, it is natural for people to search for a sense of protection and order. Political </w:t>
      </w:r>
      <w:r w:rsidRPr="0037431B">
        <w:rPr>
          <w:rStyle w:val="Emphasis"/>
        </w:rPr>
        <w:t>stability is therefore likely to be the norm</w:t>
      </w:r>
      <w:r w:rsidRPr="0037431B">
        <w:rPr>
          <w:sz w:val="14"/>
        </w:rPr>
        <w:t xml:space="preserve"> in the short term. But once the pandemic subsides, the economic crisis is likely to make governing more difficult and, if history is any guide, lead to falling approval ratings, renewed mass protests, and leaders struggling to finish their terms. </w:t>
      </w:r>
    </w:p>
    <w:p w14:paraId="7D2EBE45" w14:textId="77777777" w:rsidR="00D91D7C" w:rsidRPr="0037431B" w:rsidRDefault="00D91D7C" w:rsidP="00D91D7C">
      <w:pPr>
        <w:rPr>
          <w:sz w:val="14"/>
        </w:rPr>
      </w:pPr>
      <w:r w:rsidRPr="0037431B">
        <w:rPr>
          <w:sz w:val="14"/>
        </w:rPr>
        <w:t xml:space="preserve">People who joined Latin America’s new middle class during the 2000s’ commodity boom, and slid back into poverty during the 2010s, now realize that both they and their children are unlikely to escape poverty for years to come. </w:t>
      </w:r>
      <w:r w:rsidRPr="0037431B">
        <w:rPr>
          <w:rStyle w:val="StyleUnderline"/>
        </w:rPr>
        <w:t xml:space="preserve">A global recession, a wave of unemployment and limited government capacity to mitigate the crisis could thus lead to increased </w:t>
      </w:r>
      <w:r w:rsidRPr="0037431B">
        <w:rPr>
          <w:sz w:val="14"/>
        </w:rPr>
        <w:t>political</w:t>
      </w:r>
      <w:r w:rsidRPr="0037431B">
        <w:rPr>
          <w:rStyle w:val="StyleUnderline"/>
        </w:rPr>
        <w:t xml:space="preserve"> instability</w:t>
      </w:r>
      <w:r w:rsidRPr="0037431B">
        <w:rPr>
          <w:sz w:val="14"/>
        </w:rPr>
        <w:t xml:space="preserve"> — </w:t>
      </w:r>
      <w:r w:rsidRPr="0037431B">
        <w:rPr>
          <w:rStyle w:val="StyleUnderline"/>
        </w:rPr>
        <w:t xml:space="preserve">which would in turn make economic recovery far more difficult. </w:t>
      </w:r>
    </w:p>
    <w:p w14:paraId="0546478B" w14:textId="77777777" w:rsidR="00D91D7C" w:rsidRPr="0037431B" w:rsidRDefault="00D91D7C" w:rsidP="00D91D7C">
      <w:pPr>
        <w:rPr>
          <w:sz w:val="14"/>
        </w:rPr>
      </w:pPr>
      <w:r w:rsidRPr="0037431B">
        <w:rPr>
          <w:rStyle w:val="StyleUnderline"/>
        </w:rPr>
        <w:t>To make matters worse, many Latin American economies were already in intensive care before the pandemic, and few of the concerns that led to large-scale protests</w:t>
      </w:r>
      <w:r w:rsidRPr="0037431B">
        <w:rPr>
          <w:sz w:val="14"/>
        </w:rPr>
        <w:t xml:space="preserve"> of 2019 have been adequately addressed. At the same time, </w:t>
      </w:r>
      <w:r w:rsidRPr="0037431B">
        <w:rPr>
          <w:rStyle w:val="StyleUnderline"/>
        </w:rPr>
        <w:t>the humanitarian catastrophe in Venezuela, which caused more than 5 million to flee</w:t>
      </w:r>
      <w:r w:rsidRPr="0037431B">
        <w:rPr>
          <w:sz w:val="14"/>
        </w:rPr>
        <w:t xml:space="preserve"> even before the outbreak, </w:t>
      </w:r>
      <w:r w:rsidRPr="0037431B">
        <w:rPr>
          <w:rStyle w:val="StyleUnderline"/>
        </w:rPr>
        <w:t>is set to worsen and increase the number of refugees spread throughout the region — with the potential to further stoke nationalism and xenophobia</w:t>
      </w:r>
      <w:r w:rsidRPr="0037431B">
        <w:rPr>
          <w:sz w:val="14"/>
        </w:rPr>
        <w:t>.</w:t>
      </w:r>
    </w:p>
    <w:p w14:paraId="74335751" w14:textId="77777777" w:rsidR="00D91D7C" w:rsidRPr="0037431B" w:rsidRDefault="00D91D7C" w:rsidP="00D91D7C">
      <w:pPr>
        <w:rPr>
          <w:sz w:val="14"/>
        </w:rPr>
      </w:pPr>
      <w:r w:rsidRPr="0037431B">
        <w:rPr>
          <w:sz w:val="14"/>
        </w:rPr>
        <w:t xml:space="preserve">With many presidents in the region still in the first half of their mandates — including Brazil’s Jair Bolsonaro, Mexico’s Andrés Manuel López Obrador, Fernández in Argentina, Colombia’s Iván Duque and Luis Lacalle Pou in Uruguay — most </w:t>
      </w:r>
      <w:r w:rsidRPr="0037431B">
        <w:rPr>
          <w:rStyle w:val="StyleUnderline"/>
        </w:rPr>
        <w:t>Latin Americans won’t have the chance to use elections as an escape valve to kick out unpopular leaders or search for more decisive ones</w:t>
      </w:r>
      <w:r w:rsidRPr="0037431B">
        <w:rPr>
          <w:sz w:val="14"/>
        </w:rPr>
        <w:t xml:space="preserve"> at the ballot box. Ideological leaders like López Obrador and Bolsonaro, in command of Latin America’s two largest economies, may struggle to embrace the technocratic crisis management needed. Yet they may have no other choice: One of the positive aspects of the pandemic is that it will likely remind voters that expertise, experience and policymaking based on evidence and science matter a great deal, and can make a big difference in times of crisis.</w:t>
      </w:r>
    </w:p>
    <w:p w14:paraId="70A9A4A0" w14:textId="77777777" w:rsidR="00D91D7C" w:rsidRDefault="00D91D7C" w:rsidP="00D91D7C">
      <w:pPr>
        <w:pStyle w:val="Heading3"/>
      </w:pPr>
      <w:r>
        <w:t>2NC – AT: Latin America Instability</w:t>
      </w:r>
    </w:p>
    <w:p w14:paraId="371D8509" w14:textId="77777777" w:rsidR="00D91D7C" w:rsidRDefault="00D91D7C" w:rsidP="00D91D7C">
      <w:pPr>
        <w:pStyle w:val="Heading4"/>
      </w:pPr>
      <w:r>
        <w:t>Latin America has been spiraling down.</w:t>
      </w:r>
    </w:p>
    <w:p w14:paraId="02858E4E" w14:textId="77777777" w:rsidR="00D91D7C" w:rsidRDefault="00D91D7C" w:rsidP="00D91D7C">
      <w:r>
        <w:rPr>
          <w:rStyle w:val="Style13ptBold"/>
        </w:rPr>
        <w:t>Bosworth 19</w:t>
      </w:r>
      <w:r>
        <w:rPr>
          <w:rStyle w:val="Style13ptBold"/>
          <w:b w:val="0"/>
          <w:bCs w:val="0"/>
        </w:rPr>
        <w:t xml:space="preserve"> </w:t>
      </w:r>
      <w:r>
        <w:rPr>
          <w:rStyle w:val="Style13ptBold"/>
        </w:rPr>
        <w:t xml:space="preserve">— </w:t>
      </w:r>
      <w:r w:rsidRPr="0037431B">
        <w:t>James Bosworth is the founder of Hxagon, a political risk consulting firm, and the author of the Latin America Risk Report, a weekly newsletter</w:t>
      </w:r>
      <w:r>
        <w:t>. (“</w:t>
      </w:r>
      <w:r w:rsidRPr="00737646">
        <w:rPr>
          <w:rStyle w:val="StyleUnderline"/>
        </w:rPr>
        <w:t xml:space="preserve">2019 has been a difficult year in Latin America — </w:t>
      </w:r>
      <w:r w:rsidRPr="00737646">
        <w:rPr>
          <w:rStyle w:val="Emphasis"/>
        </w:rPr>
        <w:t>2020 may only get worse</w:t>
      </w:r>
      <w:r>
        <w:t xml:space="preserve">” Business Insider citing an excerpt from a recent edition of the Latin America Risk Report, a newsletter by James Bosworth, founder of political-risk advisor Hxagon, November 25, 2019. </w:t>
      </w:r>
      <w:hyperlink r:id="rId242" w:history="1">
        <w:r w:rsidRPr="00B578F5">
          <w:rPr>
            <w:rStyle w:val="Hyperlink"/>
          </w:rPr>
          <w:t>https://www.businessinsider.com/political-instability-protests-in-latin-america-may-intensify-in-2020-2019-11)//JLPark</w:t>
        </w:r>
      </w:hyperlink>
    </w:p>
    <w:p w14:paraId="58B0E641" w14:textId="77777777" w:rsidR="00D91D7C" w:rsidRPr="00737646" w:rsidRDefault="00D91D7C" w:rsidP="00D91D7C">
      <w:pPr>
        <w:rPr>
          <w:sz w:val="14"/>
        </w:rPr>
      </w:pPr>
      <w:r w:rsidRPr="00737646">
        <w:rPr>
          <w:u w:val="single"/>
        </w:rPr>
        <w:t>2019 has been marked by political turmoil and popular outcry throughout Latin America</w:t>
      </w:r>
      <w:r w:rsidRPr="00737646">
        <w:rPr>
          <w:sz w:val="14"/>
        </w:rPr>
        <w:t>.</w:t>
      </w:r>
    </w:p>
    <w:p w14:paraId="157E33FE" w14:textId="77777777" w:rsidR="00D91D7C" w:rsidRPr="00737646" w:rsidRDefault="00D91D7C" w:rsidP="00D91D7C">
      <w:pPr>
        <w:rPr>
          <w:sz w:val="14"/>
        </w:rPr>
      </w:pPr>
      <w:r w:rsidRPr="00737646">
        <w:rPr>
          <w:sz w:val="14"/>
        </w:rPr>
        <w:t xml:space="preserve">Each country in the region is facing unique circumstances, but </w:t>
      </w:r>
      <w:r w:rsidRPr="00737646">
        <w:rPr>
          <w:u w:val="single"/>
        </w:rPr>
        <w:t>trends across the region suggest that the instability may only intensify</w:t>
      </w:r>
      <w:r w:rsidRPr="00737646">
        <w:rPr>
          <w:sz w:val="14"/>
        </w:rPr>
        <w:t xml:space="preserve"> next year, according to political-risk analyst James Bosworth.</w:t>
      </w:r>
    </w:p>
    <w:p w14:paraId="259D62BA" w14:textId="77777777" w:rsidR="00D91D7C" w:rsidRPr="00737646" w:rsidRDefault="00D91D7C" w:rsidP="00D91D7C">
      <w:pPr>
        <w:rPr>
          <w:sz w:val="14"/>
          <w:szCs w:val="14"/>
        </w:rPr>
      </w:pPr>
      <w:r w:rsidRPr="00737646">
        <w:rPr>
          <w:sz w:val="14"/>
          <w:szCs w:val="14"/>
        </w:rPr>
        <w:t>This year has been busy in terms of protests and anti-incumbent politics in Latin America. The past eight weeks have been particularly difficult. As I told two events in DC this past week, my forecast is that the number and intensity of protests will increase in 2020. Or, as I was quoted by Bloomberg this week:</w:t>
      </w:r>
    </w:p>
    <w:p w14:paraId="21E1500A" w14:textId="77777777" w:rsidR="00D91D7C" w:rsidRPr="00737646" w:rsidRDefault="00D91D7C" w:rsidP="00D91D7C">
      <w:pPr>
        <w:rPr>
          <w:sz w:val="14"/>
        </w:rPr>
      </w:pPr>
      <w:r w:rsidRPr="00737646">
        <w:rPr>
          <w:sz w:val="14"/>
        </w:rPr>
        <w:t>"</w:t>
      </w:r>
      <w:r w:rsidRPr="00737646">
        <w:rPr>
          <w:rStyle w:val="StyleUnderline"/>
        </w:rPr>
        <w:t>Anger at the political systems isn't going away and</w:t>
      </w:r>
      <w:r w:rsidRPr="00737646">
        <w:rPr>
          <w:sz w:val="14"/>
        </w:rPr>
        <w:t xml:space="preserve">, in many ways, </w:t>
      </w:r>
      <w:r w:rsidRPr="00737646">
        <w:rPr>
          <w:rStyle w:val="StyleUnderline"/>
        </w:rPr>
        <w:t>governments are trapped</w:t>
      </w:r>
      <w:r w:rsidRPr="00737646">
        <w:rPr>
          <w:sz w:val="14"/>
        </w:rPr>
        <w:t xml:space="preserve"> … There will be more protests, and they'll be more violent in 2020."</w:t>
      </w:r>
    </w:p>
    <w:p w14:paraId="5BC85AA2" w14:textId="77777777" w:rsidR="00D91D7C" w:rsidRPr="00737646" w:rsidRDefault="00D91D7C" w:rsidP="00D91D7C">
      <w:pPr>
        <w:rPr>
          <w:sz w:val="14"/>
        </w:rPr>
      </w:pPr>
      <w:r w:rsidRPr="00737646">
        <w:rPr>
          <w:sz w:val="14"/>
        </w:rPr>
        <w:t xml:space="preserve">I promised several readers I would outline some of my reasons for that prediction in this week's newsletter. My forecast comes from looking at the </w:t>
      </w:r>
      <w:r w:rsidRPr="00737646">
        <w:rPr>
          <w:rStyle w:val="StyleUnderline"/>
        </w:rPr>
        <w:t>big-picture trends across</w:t>
      </w:r>
      <w:r w:rsidRPr="00737646">
        <w:rPr>
          <w:sz w:val="14"/>
        </w:rPr>
        <w:t xml:space="preserve"> the region as well as the details of the </w:t>
      </w:r>
      <w:r w:rsidRPr="00737646">
        <w:rPr>
          <w:rStyle w:val="StyleUnderline"/>
        </w:rPr>
        <w:t>political, economic and security issues</w:t>
      </w:r>
      <w:r w:rsidRPr="00737646">
        <w:rPr>
          <w:sz w:val="14"/>
        </w:rPr>
        <w:t xml:space="preserve"> specific to each country.</w:t>
      </w:r>
    </w:p>
    <w:p w14:paraId="3049F23D" w14:textId="77777777" w:rsidR="00D91D7C" w:rsidRPr="00737646" w:rsidRDefault="00D91D7C" w:rsidP="00D91D7C">
      <w:pPr>
        <w:rPr>
          <w:sz w:val="14"/>
          <w:szCs w:val="14"/>
        </w:rPr>
      </w:pPr>
      <w:r w:rsidRPr="00737646">
        <w:rPr>
          <w:sz w:val="14"/>
          <w:szCs w:val="14"/>
        </w:rPr>
        <w:t>Big picture: The trends connecting the protests are going to continue.</w:t>
      </w:r>
    </w:p>
    <w:p w14:paraId="1FDECB87" w14:textId="77777777" w:rsidR="00D91D7C" w:rsidRPr="00737646" w:rsidRDefault="00D91D7C" w:rsidP="00D91D7C">
      <w:pPr>
        <w:rPr>
          <w:sz w:val="14"/>
        </w:rPr>
      </w:pPr>
      <w:r w:rsidRPr="00737646">
        <w:rPr>
          <w:rStyle w:val="StyleUnderline"/>
        </w:rPr>
        <w:t>Latin America's citizens are angry</w:t>
      </w:r>
      <w:r w:rsidRPr="00737646">
        <w:rPr>
          <w:sz w:val="14"/>
        </w:rPr>
        <w:t xml:space="preserve"> at their political systems </w:t>
      </w:r>
      <w:r w:rsidRPr="00737646">
        <w:rPr>
          <w:rStyle w:val="StyleUnderline"/>
        </w:rPr>
        <w:t>due to corruption and a lack of results on citizen security and economic promises</w:t>
      </w:r>
      <w:r w:rsidRPr="00737646">
        <w:rPr>
          <w:sz w:val="14"/>
        </w:rPr>
        <w:t xml:space="preserve">. </w:t>
      </w:r>
      <w:r w:rsidRPr="00737646">
        <w:rPr>
          <w:rStyle w:val="StyleUnderline"/>
        </w:rPr>
        <w:t>They are upset about inequality, low growth and the increasing cost of living</w:t>
      </w:r>
      <w:r w:rsidRPr="00737646">
        <w:rPr>
          <w:sz w:val="14"/>
        </w:rPr>
        <w:t>. Urbanization and youth with cell phones made rapid organization of protests in cities possible.</w:t>
      </w:r>
    </w:p>
    <w:p w14:paraId="4132CAD1" w14:textId="77777777" w:rsidR="00D91D7C" w:rsidRPr="00737646" w:rsidRDefault="00D91D7C" w:rsidP="00D91D7C">
      <w:pPr>
        <w:rPr>
          <w:sz w:val="14"/>
        </w:rPr>
      </w:pPr>
      <w:r w:rsidRPr="00737646">
        <w:rPr>
          <w:sz w:val="14"/>
        </w:rPr>
        <w:t xml:space="preserve">Some variation of those base level factors exists in nearly every country in Latin America. </w:t>
      </w:r>
      <w:r w:rsidRPr="00737646">
        <w:rPr>
          <w:rStyle w:val="StyleUnderline"/>
        </w:rPr>
        <w:t>They explain the protest movement</w:t>
      </w:r>
      <w:r w:rsidRPr="00737646">
        <w:rPr>
          <w:sz w:val="14"/>
        </w:rPr>
        <w:t xml:space="preserve"> we are seeing post hoc, </w:t>
      </w:r>
      <w:r w:rsidRPr="00737646">
        <w:rPr>
          <w:rStyle w:val="StyleUnderline"/>
        </w:rPr>
        <w:t>but they aren't predictive</w:t>
      </w:r>
      <w:r w:rsidRPr="00737646">
        <w:rPr>
          <w:sz w:val="14"/>
        </w:rPr>
        <w:t>.</w:t>
      </w:r>
    </w:p>
    <w:p w14:paraId="549B866C" w14:textId="77777777" w:rsidR="00D91D7C" w:rsidRPr="00737646" w:rsidRDefault="00D91D7C" w:rsidP="00D91D7C">
      <w:pPr>
        <w:rPr>
          <w:rStyle w:val="StyleUnderline"/>
        </w:rPr>
      </w:pPr>
      <w:r w:rsidRPr="00737646">
        <w:rPr>
          <w:sz w:val="14"/>
        </w:rPr>
        <w:t xml:space="preserve">For example, nothing about economic inequality predicted Chile would experience mass protests in October 2019 rather than April 2019 or October 2018. Similarly, it's tough to take any specific variables that would have predicted three months ago that Chile would fall into major protests before Brazil. </w:t>
      </w:r>
      <w:r w:rsidRPr="00737646">
        <w:rPr>
          <w:rStyle w:val="StyleUnderline"/>
        </w:rPr>
        <w:t>People in numerous countries around the region have been angry about corruption, economic inequality and other base level issues for a while.</w:t>
      </w:r>
    </w:p>
    <w:p w14:paraId="6D80B68C" w14:textId="77777777" w:rsidR="00D91D7C" w:rsidRPr="00737646" w:rsidRDefault="00D91D7C" w:rsidP="00D91D7C">
      <w:pPr>
        <w:rPr>
          <w:sz w:val="14"/>
        </w:rPr>
      </w:pPr>
      <w:r w:rsidRPr="00737646">
        <w:rPr>
          <w:sz w:val="14"/>
        </w:rPr>
        <w:t xml:space="preserve">But having seen protests begin, </w:t>
      </w:r>
      <w:r w:rsidRPr="00737646">
        <w:rPr>
          <w:rStyle w:val="StyleUnderline"/>
        </w:rPr>
        <w:t xml:space="preserve">there are strong reasons to believe they will continue and expand </w:t>
      </w:r>
      <w:r w:rsidRPr="00737646">
        <w:rPr>
          <w:sz w:val="14"/>
        </w:rPr>
        <w:t xml:space="preserve">around the region. </w:t>
      </w:r>
      <w:r w:rsidRPr="00737646">
        <w:rPr>
          <w:rStyle w:val="StyleUnderline"/>
        </w:rPr>
        <w:t>Many countries seem to be on edge, waiting for a catalyst to light the fire</w:t>
      </w:r>
      <w:r w:rsidRPr="00737646">
        <w:rPr>
          <w:sz w:val="14"/>
        </w:rPr>
        <w:t>. And as protesters have seen success in neighboring countries, they have been emboldened to call for similar protests in their own countries.</w:t>
      </w:r>
    </w:p>
    <w:p w14:paraId="7DE8067A" w14:textId="77777777" w:rsidR="00D91D7C" w:rsidRPr="00737646" w:rsidRDefault="00D91D7C" w:rsidP="00D91D7C">
      <w:pPr>
        <w:rPr>
          <w:sz w:val="14"/>
        </w:rPr>
      </w:pPr>
      <w:r w:rsidRPr="00737646">
        <w:rPr>
          <w:sz w:val="14"/>
        </w:rPr>
        <w:t xml:space="preserve">Country-level: Nearly </w:t>
      </w:r>
      <w:r w:rsidRPr="00737646">
        <w:rPr>
          <w:rStyle w:val="StyleUnderline"/>
        </w:rPr>
        <w:t>every country in the region has conditions that are likely to generate protests</w:t>
      </w:r>
      <w:r w:rsidRPr="00737646">
        <w:rPr>
          <w:sz w:val="14"/>
        </w:rPr>
        <w:t>.</w:t>
      </w:r>
    </w:p>
    <w:p w14:paraId="494D6CA2" w14:textId="77777777" w:rsidR="00D91D7C" w:rsidRPr="00737646" w:rsidRDefault="00D91D7C" w:rsidP="00D91D7C">
      <w:pPr>
        <w:rPr>
          <w:sz w:val="14"/>
          <w:szCs w:val="14"/>
        </w:rPr>
      </w:pPr>
      <w:r w:rsidRPr="00737646">
        <w:rPr>
          <w:sz w:val="14"/>
          <w:szCs w:val="14"/>
        </w:rPr>
        <w:t>I'm going to separate out the countries likely to protest into four groups. (Though some overlap multiple groups and each country does have its own unique circumstances.)</w:t>
      </w:r>
    </w:p>
    <w:p w14:paraId="3A4D5580" w14:textId="77777777" w:rsidR="00D91D7C" w:rsidRPr="00737646" w:rsidRDefault="00D91D7C" w:rsidP="00D91D7C">
      <w:pPr>
        <w:rPr>
          <w:sz w:val="14"/>
        </w:rPr>
      </w:pPr>
      <w:r w:rsidRPr="00737646">
        <w:rPr>
          <w:sz w:val="14"/>
        </w:rPr>
        <w:t xml:space="preserve">1. Most </w:t>
      </w:r>
      <w:r w:rsidRPr="00737646">
        <w:rPr>
          <w:rStyle w:val="StyleUnderline"/>
        </w:rPr>
        <w:t>countries that protested</w:t>
      </w:r>
      <w:r w:rsidRPr="00737646">
        <w:rPr>
          <w:sz w:val="14"/>
        </w:rPr>
        <w:t xml:space="preserve"> in 2019 </w:t>
      </w:r>
      <w:r w:rsidRPr="00737646">
        <w:rPr>
          <w:rStyle w:val="StyleUnderline"/>
        </w:rPr>
        <w:t>aren't done</w:t>
      </w:r>
      <w:r w:rsidRPr="00737646">
        <w:rPr>
          <w:sz w:val="14"/>
        </w:rPr>
        <w:t xml:space="preserve"> yet.</w:t>
      </w:r>
    </w:p>
    <w:p w14:paraId="43D5D063" w14:textId="77777777" w:rsidR="00D91D7C" w:rsidRPr="00737646" w:rsidRDefault="00D91D7C" w:rsidP="00D91D7C">
      <w:pPr>
        <w:rPr>
          <w:sz w:val="14"/>
          <w:szCs w:val="14"/>
        </w:rPr>
      </w:pPr>
      <w:r w:rsidRPr="00737646">
        <w:rPr>
          <w:sz w:val="14"/>
          <w:szCs w:val="14"/>
        </w:rPr>
        <w:t>Venezuela, Honduras, Ecuador, Haiti and Bolivia all have factors that are going to lead to continued and likely increased protests in the coming year.</w:t>
      </w:r>
    </w:p>
    <w:p w14:paraId="7CA84B57" w14:textId="77777777" w:rsidR="00D91D7C" w:rsidRPr="00737646" w:rsidRDefault="00D91D7C" w:rsidP="00D91D7C">
      <w:pPr>
        <w:rPr>
          <w:sz w:val="14"/>
          <w:szCs w:val="14"/>
        </w:rPr>
      </w:pPr>
      <w:r w:rsidRPr="00737646">
        <w:rPr>
          <w:sz w:val="14"/>
          <w:szCs w:val="14"/>
        </w:rPr>
        <w:t>Though the strength of the protests will ebb and flow, none of those five countries has a clear path out of the protest movements that continue.</w:t>
      </w:r>
    </w:p>
    <w:p w14:paraId="5F5F3F97" w14:textId="77777777" w:rsidR="00D91D7C" w:rsidRPr="00737646" w:rsidRDefault="00D91D7C" w:rsidP="00D91D7C">
      <w:pPr>
        <w:rPr>
          <w:sz w:val="14"/>
        </w:rPr>
      </w:pPr>
      <w:r w:rsidRPr="00737646">
        <w:rPr>
          <w:sz w:val="14"/>
        </w:rPr>
        <w:t xml:space="preserve">2. </w:t>
      </w:r>
      <w:r w:rsidRPr="00737646">
        <w:rPr>
          <w:rStyle w:val="Emphasis"/>
        </w:rPr>
        <w:t>Anti-system populists are struggling</w:t>
      </w:r>
      <w:r w:rsidRPr="00737646">
        <w:rPr>
          <w:sz w:val="14"/>
        </w:rPr>
        <w:t>.</w:t>
      </w:r>
    </w:p>
    <w:p w14:paraId="64176EC7" w14:textId="77777777" w:rsidR="00D91D7C" w:rsidRPr="00737646" w:rsidRDefault="00D91D7C" w:rsidP="00D91D7C">
      <w:pPr>
        <w:rPr>
          <w:sz w:val="14"/>
          <w:szCs w:val="14"/>
        </w:rPr>
      </w:pPr>
      <w:r w:rsidRPr="00737646">
        <w:rPr>
          <w:sz w:val="14"/>
          <w:szCs w:val="14"/>
        </w:rPr>
        <w:t>Brazil Jair Bolsonaro</w:t>
      </w:r>
    </w:p>
    <w:p w14:paraId="7201A9D9" w14:textId="77777777" w:rsidR="00D91D7C" w:rsidRPr="00737646" w:rsidRDefault="00D91D7C" w:rsidP="00D91D7C">
      <w:pPr>
        <w:rPr>
          <w:sz w:val="14"/>
          <w:szCs w:val="14"/>
        </w:rPr>
      </w:pPr>
      <w:r w:rsidRPr="00737646">
        <w:rPr>
          <w:sz w:val="14"/>
          <w:szCs w:val="14"/>
        </w:rPr>
        <w:t xml:space="preserve">Latin America's two largest countries are governed by populist leaders who have not met expectations. </w:t>
      </w:r>
    </w:p>
    <w:p w14:paraId="44DDD6B4" w14:textId="77777777" w:rsidR="00D91D7C" w:rsidRPr="00737646" w:rsidRDefault="00D91D7C" w:rsidP="00D91D7C">
      <w:pPr>
        <w:rPr>
          <w:sz w:val="14"/>
          <w:szCs w:val="14"/>
        </w:rPr>
      </w:pPr>
      <w:r w:rsidRPr="00737646">
        <w:rPr>
          <w:sz w:val="14"/>
          <w:szCs w:val="14"/>
        </w:rPr>
        <w:t>In Brazil, the Bolsonaro administration is below the 50% mark in the first year and has faced regular controversies over corruption scandals. The country's legislature just passed pension reform, something that may be good for Brazil's long term budget but is likely to spark anger in the short term. Bolsonaro's personality makes him likely to overreact to initial protests and create reasons for protests to escalate.</w:t>
      </w:r>
    </w:p>
    <w:p w14:paraId="0D828E63" w14:textId="77777777" w:rsidR="00D91D7C" w:rsidRPr="00737646" w:rsidRDefault="00D91D7C" w:rsidP="00D91D7C">
      <w:pPr>
        <w:rPr>
          <w:sz w:val="14"/>
          <w:szCs w:val="14"/>
        </w:rPr>
      </w:pPr>
      <w:r w:rsidRPr="00737646">
        <w:rPr>
          <w:sz w:val="14"/>
          <w:szCs w:val="14"/>
        </w:rPr>
        <w:t xml:space="preserve">In Mexico, President Lopez Obrador will finish his first year with over 50% popularity, not something many other presidents in the region can claim. But he is far from his goals for economic growth and faces a security crisis that is worse than the worst days of the Calderon or Peña Nieto administrations. This has hit his popularity recently </w:t>
      </w:r>
    </w:p>
    <w:p w14:paraId="649D1B05" w14:textId="77777777" w:rsidR="00D91D7C" w:rsidRPr="00737646" w:rsidRDefault="00D91D7C" w:rsidP="00D91D7C">
      <w:pPr>
        <w:rPr>
          <w:sz w:val="14"/>
        </w:rPr>
      </w:pPr>
      <w:r w:rsidRPr="00737646">
        <w:rPr>
          <w:sz w:val="14"/>
        </w:rPr>
        <w:t xml:space="preserve">3. </w:t>
      </w:r>
      <w:r w:rsidRPr="00737646">
        <w:rPr>
          <w:rStyle w:val="Emphasis"/>
        </w:rPr>
        <w:t>Stable countries look like Chile, and that's not good</w:t>
      </w:r>
      <w:r w:rsidRPr="00737646">
        <w:rPr>
          <w:sz w:val="14"/>
        </w:rPr>
        <w:t>.</w:t>
      </w:r>
    </w:p>
    <w:p w14:paraId="7A226B5A" w14:textId="77777777" w:rsidR="00D91D7C" w:rsidRPr="00737646" w:rsidRDefault="00D91D7C" w:rsidP="00D91D7C">
      <w:pPr>
        <w:rPr>
          <w:sz w:val="14"/>
        </w:rPr>
      </w:pPr>
      <w:r w:rsidRPr="00737646">
        <w:rPr>
          <w:rStyle w:val="StyleUnderline"/>
        </w:rPr>
        <w:t>Chile was a model country, considered relatively stable with strong business environments</w:t>
      </w:r>
      <w:r w:rsidRPr="00737646">
        <w:rPr>
          <w:sz w:val="14"/>
        </w:rPr>
        <w:t xml:space="preserve"> by outside analysts in recent years.</w:t>
      </w:r>
    </w:p>
    <w:p w14:paraId="157D420D" w14:textId="77777777" w:rsidR="00D91D7C" w:rsidRPr="00737646" w:rsidRDefault="00D91D7C" w:rsidP="00D91D7C">
      <w:pPr>
        <w:rPr>
          <w:sz w:val="14"/>
        </w:rPr>
      </w:pPr>
      <w:r w:rsidRPr="00737646">
        <w:rPr>
          <w:rStyle w:val="StyleUnderline"/>
        </w:rPr>
        <w:t>Many countries, including Colombia and Costa Rica, welcomed comparison to Chile. But comparisons to Chile aren't necessarily positive</w:t>
      </w:r>
      <w:r w:rsidRPr="00737646">
        <w:rPr>
          <w:sz w:val="14"/>
        </w:rPr>
        <w:t xml:space="preserve"> after the past few weeks of protests.</w:t>
      </w:r>
    </w:p>
    <w:p w14:paraId="015BA4FF" w14:textId="77777777" w:rsidR="00D91D7C" w:rsidRPr="00737646" w:rsidRDefault="00D91D7C" w:rsidP="00D91D7C">
      <w:pPr>
        <w:rPr>
          <w:sz w:val="14"/>
        </w:rPr>
      </w:pPr>
      <w:r w:rsidRPr="00737646">
        <w:rPr>
          <w:rStyle w:val="StyleUnderline"/>
        </w:rPr>
        <w:t>Presidents and political systems across the region are unpopular. Economic inequality is high, and there are large numbers of poor and lower middle class not able to take advantage of economic gains. The populations would like to see greater government investments in social services</w:t>
      </w:r>
      <w:r w:rsidRPr="00737646">
        <w:rPr>
          <w:sz w:val="14"/>
        </w:rPr>
        <w:t>, even as governments are concerned about a tough macroeconomic environment.</w:t>
      </w:r>
    </w:p>
    <w:p w14:paraId="33D58DEC" w14:textId="77777777" w:rsidR="00D91D7C" w:rsidRPr="00737646" w:rsidRDefault="00D91D7C" w:rsidP="00D91D7C">
      <w:pPr>
        <w:rPr>
          <w:sz w:val="14"/>
        </w:rPr>
      </w:pPr>
      <w:r w:rsidRPr="00737646">
        <w:rPr>
          <w:sz w:val="14"/>
        </w:rPr>
        <w:t xml:space="preserve">For the same reasons </w:t>
      </w:r>
      <w:r w:rsidRPr="00737646">
        <w:rPr>
          <w:rStyle w:val="StyleUnderline"/>
        </w:rPr>
        <w:t>Chile exploded in protest</w:t>
      </w:r>
      <w:r w:rsidRPr="00737646">
        <w:rPr>
          <w:sz w:val="14"/>
        </w:rPr>
        <w:t>, you can find similar reasons in countries that have tried to emulate the Chilean model.</w:t>
      </w:r>
    </w:p>
    <w:p w14:paraId="22B274EC" w14:textId="77777777" w:rsidR="00D91D7C" w:rsidRPr="00737646" w:rsidRDefault="00D91D7C" w:rsidP="00D91D7C">
      <w:pPr>
        <w:rPr>
          <w:rStyle w:val="Emphasis"/>
        </w:rPr>
      </w:pPr>
      <w:r w:rsidRPr="00737646">
        <w:rPr>
          <w:sz w:val="14"/>
        </w:rPr>
        <w:t xml:space="preserve">4. </w:t>
      </w:r>
      <w:r w:rsidRPr="00737646">
        <w:rPr>
          <w:rStyle w:val="Emphasis"/>
        </w:rPr>
        <w:t>New administrations face early challenges and resource constraints.</w:t>
      </w:r>
    </w:p>
    <w:p w14:paraId="333C4D13" w14:textId="77777777" w:rsidR="00D91D7C" w:rsidRPr="00737646" w:rsidRDefault="00D91D7C" w:rsidP="00D91D7C">
      <w:pPr>
        <w:rPr>
          <w:sz w:val="14"/>
          <w:szCs w:val="14"/>
        </w:rPr>
      </w:pPr>
      <w:r w:rsidRPr="00737646">
        <w:rPr>
          <w:sz w:val="14"/>
          <w:szCs w:val="14"/>
        </w:rPr>
        <w:t>There are three new administrations taking office that have the potential for early failure: Argentina, Guatemala and Panama.</w:t>
      </w:r>
    </w:p>
    <w:p w14:paraId="2B65B11A" w14:textId="77777777" w:rsidR="00D91D7C" w:rsidRPr="00737646" w:rsidRDefault="00D91D7C" w:rsidP="00D91D7C">
      <w:pPr>
        <w:rPr>
          <w:sz w:val="12"/>
        </w:rPr>
      </w:pPr>
      <w:r w:rsidRPr="00737646">
        <w:rPr>
          <w:sz w:val="12"/>
        </w:rPr>
        <w:t xml:space="preserve">All three were elected with less than 50% of the vote and some of their support came due to voters disliking their opponents more rather than a mandate for the new president's ideology or policy platform. </w:t>
      </w:r>
      <w:r w:rsidRPr="00737646">
        <w:rPr>
          <w:rStyle w:val="StyleUnderline"/>
        </w:rPr>
        <w:t xml:space="preserve">All </w:t>
      </w:r>
      <w:r w:rsidRPr="00737646">
        <w:rPr>
          <w:sz w:val="12"/>
        </w:rPr>
        <w:t>three</w:t>
      </w:r>
      <w:r w:rsidRPr="00737646">
        <w:rPr>
          <w:rStyle w:val="StyleUnderline"/>
        </w:rPr>
        <w:t xml:space="preserve"> presidents are likely to see divided governing coalitions and all three lack the economic resources to meet their campaign promises.</w:t>
      </w:r>
    </w:p>
    <w:p w14:paraId="7747F072" w14:textId="77777777" w:rsidR="00D91D7C" w:rsidRDefault="00D91D7C" w:rsidP="00D91D7C"/>
    <w:p w14:paraId="1DE03E3D" w14:textId="77777777" w:rsidR="00D91D7C" w:rsidRPr="000B26B7" w:rsidRDefault="00D91D7C" w:rsidP="00D91D7C"/>
    <w:p w14:paraId="5A58D37C" w14:textId="7138A624" w:rsidR="00456038" w:rsidRDefault="00456038" w:rsidP="00516959">
      <w:pPr>
        <w:pStyle w:val="Heading2"/>
      </w:pPr>
      <w:r>
        <w:t>Econ Add-On</w:t>
      </w:r>
    </w:p>
    <w:p w14:paraId="254AB920" w14:textId="7867BBD2" w:rsidR="00456038" w:rsidRDefault="00456038" w:rsidP="00456038">
      <w:pPr>
        <w:pStyle w:val="Heading3"/>
      </w:pPr>
      <w:r>
        <w:t xml:space="preserve">1NC – </w:t>
      </w:r>
      <w:r w:rsidR="00586EDF">
        <w:t xml:space="preserve">AT: Deregulation </w:t>
      </w:r>
    </w:p>
    <w:p w14:paraId="1968F1D4" w14:textId="2476D016" w:rsidR="00586EDF" w:rsidRPr="00586EDF" w:rsidRDefault="00586EDF" w:rsidP="00586EDF">
      <w:pPr>
        <w:pStyle w:val="Heading4"/>
        <w:rPr>
          <w:b w:val="0"/>
          <w:bCs/>
        </w:rPr>
      </w:pPr>
      <w:r>
        <w:t>Regulation is desirable and sensible.</w:t>
      </w:r>
    </w:p>
    <w:p w14:paraId="6A1215AC" w14:textId="77777777" w:rsidR="00586EDF" w:rsidRPr="007F2E64" w:rsidRDefault="00586EDF" w:rsidP="00586EDF">
      <w:r>
        <w:rPr>
          <w:rStyle w:val="Style13ptBold"/>
        </w:rPr>
        <w:t xml:space="preserve">Lipsky 16 — </w:t>
      </w:r>
      <w:r w:rsidRPr="007F2E64">
        <w:t>Michael Lipsky is a former Professor of Political Science, Massachusetts Institute of Technology</w:t>
      </w:r>
      <w:r>
        <w:t xml:space="preserve">, and </w:t>
      </w:r>
      <w:r w:rsidRPr="007F2E64">
        <w:t>Former Foundation Official, Ford Foundation</w:t>
      </w:r>
      <w:r>
        <w:t>. Lipsky currently serves as the Chair of the IBP board, and on the board of governors of Honoring Nations, the Harvard University project. (“WHY REGULATION IS NECESSARY AND PROPER FOR A WELL-FUNCTIONING DEMOCRACY AND MARKET ECONOMY” Scholars Strategy Network, April 12, 2016. https://scholars.org/contribution/why-regulation-necessary-and-proper-well-functioning-democracy-and-market-economy)//JLPark</w:t>
      </w:r>
    </w:p>
    <w:p w14:paraId="52D66883" w14:textId="77777777" w:rsidR="00586EDF" w:rsidRPr="0006228E" w:rsidRDefault="00586EDF" w:rsidP="00586EDF">
      <w:pPr>
        <w:rPr>
          <w:sz w:val="14"/>
        </w:rPr>
      </w:pPr>
      <w:r w:rsidRPr="0006228E">
        <w:rPr>
          <w:sz w:val="14"/>
        </w:rPr>
        <w:t xml:space="preserve">When they work well, democratic </w:t>
      </w:r>
      <w:r w:rsidRPr="0006228E">
        <w:rPr>
          <w:rStyle w:val="StyleUnderline"/>
        </w:rPr>
        <w:t>governments make laws to protect</w:t>
      </w:r>
      <w:r w:rsidRPr="0006228E">
        <w:rPr>
          <w:sz w:val="14"/>
        </w:rPr>
        <w:t xml:space="preserve"> people from harmful things that they cannot prevent on their own. This is the basic role of good government, yet the </w:t>
      </w:r>
      <w:r w:rsidRPr="0006228E">
        <w:rPr>
          <w:rStyle w:val="StyleUnderline"/>
        </w:rPr>
        <w:t>America</w:t>
      </w:r>
      <w:r w:rsidRPr="0006228E">
        <w:rPr>
          <w:sz w:val="14"/>
        </w:rPr>
        <w:t xml:space="preserve">n public </w:t>
      </w:r>
      <w:r w:rsidRPr="0006228E">
        <w:rPr>
          <w:rStyle w:val="StyleUnderline"/>
        </w:rPr>
        <w:t>hears a constant drumbeat of anti-regulatory messages from conservative politicians</w:t>
      </w:r>
      <w:r w:rsidRPr="0006228E">
        <w:rPr>
          <w:sz w:val="14"/>
        </w:rPr>
        <w:t xml:space="preserve"> and </w:t>
      </w:r>
      <w:r w:rsidRPr="0006228E">
        <w:rPr>
          <w:rStyle w:val="StyleUnderline"/>
        </w:rPr>
        <w:t>think tanks and influential business organizations like the U.S. Chamber of Commerce</w:t>
      </w:r>
      <w:r w:rsidRPr="0006228E">
        <w:rPr>
          <w:sz w:val="14"/>
        </w:rPr>
        <w:t xml:space="preserve">.  According to these groups, regulations are almost always bad for the country, because they interfere with “free” market activity and inhibit investment and job growth. </w:t>
      </w:r>
    </w:p>
    <w:p w14:paraId="06743B31" w14:textId="77777777" w:rsidR="00586EDF" w:rsidRPr="0006228E" w:rsidRDefault="00586EDF" w:rsidP="00586EDF">
      <w:pPr>
        <w:rPr>
          <w:rStyle w:val="StyleUnderline"/>
        </w:rPr>
      </w:pPr>
      <w:r w:rsidRPr="0006228E">
        <w:rPr>
          <w:sz w:val="14"/>
        </w:rPr>
        <w:t xml:space="preserve">But the </w:t>
      </w:r>
      <w:r w:rsidRPr="0006228E">
        <w:rPr>
          <w:rStyle w:val="StyleUnderline"/>
        </w:rPr>
        <w:t>arguments against</w:t>
      </w:r>
      <w:r w:rsidRPr="0006228E">
        <w:rPr>
          <w:sz w:val="14"/>
        </w:rPr>
        <w:t xml:space="preserve"> sensible </w:t>
      </w:r>
      <w:r w:rsidRPr="0006228E">
        <w:rPr>
          <w:rStyle w:val="StyleUnderline"/>
        </w:rPr>
        <w:t>regulations are not valid empirically or in principle</w:t>
      </w:r>
      <w:r w:rsidRPr="0006228E">
        <w:rPr>
          <w:sz w:val="14"/>
        </w:rPr>
        <w:t xml:space="preserve">.  </w:t>
      </w:r>
      <w:r w:rsidRPr="0006228E">
        <w:rPr>
          <w:rStyle w:val="StyleUnderline"/>
        </w:rPr>
        <w:t>Much evidence shows that the benefits of regulations vastly outweigh the costs</w:t>
      </w:r>
      <w:r w:rsidRPr="0006228E">
        <w:rPr>
          <w:sz w:val="14"/>
        </w:rPr>
        <w:t xml:space="preserve">. Furthermore, </w:t>
      </w:r>
      <w:r w:rsidRPr="0006228E">
        <w:rPr>
          <w:rStyle w:val="StyleUnderline"/>
        </w:rPr>
        <w:t>anti-regulatory claims rest on faulty ideas about the economy and democratic governance.</w:t>
      </w:r>
    </w:p>
    <w:p w14:paraId="340F72DC" w14:textId="77777777" w:rsidR="00586EDF" w:rsidRPr="0006228E" w:rsidRDefault="00586EDF" w:rsidP="00586EDF">
      <w:pPr>
        <w:rPr>
          <w:rStyle w:val="Emphasis"/>
        </w:rPr>
      </w:pPr>
      <w:r w:rsidRPr="0006228E">
        <w:rPr>
          <w:rStyle w:val="Emphasis"/>
        </w:rPr>
        <w:t>Wrong Empirically</w:t>
      </w:r>
    </w:p>
    <w:p w14:paraId="4FB63444" w14:textId="77777777" w:rsidR="00586EDF" w:rsidRPr="0006228E" w:rsidRDefault="00586EDF" w:rsidP="00586EDF">
      <w:pPr>
        <w:rPr>
          <w:rStyle w:val="StyleUnderline"/>
        </w:rPr>
      </w:pPr>
      <w:r w:rsidRPr="0006228E">
        <w:rPr>
          <w:sz w:val="14"/>
        </w:rPr>
        <w:t xml:space="preserve">For many years, </w:t>
      </w:r>
      <w:r w:rsidRPr="0006228E">
        <w:rPr>
          <w:rStyle w:val="StyleUnderline"/>
        </w:rPr>
        <w:t>the U.S. Office of Management and Budget</w:t>
      </w:r>
      <w:r w:rsidRPr="0006228E">
        <w:rPr>
          <w:sz w:val="14"/>
        </w:rPr>
        <w:t xml:space="preserve"> has </w:t>
      </w:r>
      <w:r w:rsidRPr="0006228E">
        <w:rPr>
          <w:rStyle w:val="StyleUnderline"/>
        </w:rPr>
        <w:t>systematically studied the costs of regulation</w:t>
      </w:r>
      <w:r w:rsidRPr="0006228E">
        <w:rPr>
          <w:sz w:val="14"/>
        </w:rPr>
        <w:t xml:space="preserve">. </w:t>
      </w:r>
      <w:r w:rsidRPr="0006228E">
        <w:rPr>
          <w:rStyle w:val="StyleUnderline"/>
        </w:rPr>
        <w:t xml:space="preserve">Looking at more than 100 major regulations over </w:t>
      </w:r>
      <w:r w:rsidRPr="0006228E">
        <w:rPr>
          <w:sz w:val="14"/>
        </w:rPr>
        <w:t>the</w:t>
      </w:r>
      <w:r w:rsidRPr="0006228E">
        <w:rPr>
          <w:rStyle w:val="StyleUnderline"/>
        </w:rPr>
        <w:t xml:space="preserve"> ten-year period</w:t>
      </w:r>
      <w:r w:rsidRPr="0006228E">
        <w:rPr>
          <w:sz w:val="14"/>
        </w:rPr>
        <w:t xml:space="preserve"> ending in 2010, </w:t>
      </w:r>
      <w:r w:rsidRPr="0006228E">
        <w:rPr>
          <w:rStyle w:val="StyleUnderline"/>
        </w:rPr>
        <w:t>it found that benefits were three to ten times greater than costs</w:t>
      </w:r>
      <w:r w:rsidRPr="0006228E">
        <w:rPr>
          <w:sz w:val="14"/>
        </w:rPr>
        <w:t xml:space="preserve">. For every regulatory agency considered, benefits exceeded costs. As the </w:t>
      </w:r>
      <w:r w:rsidRPr="0006228E">
        <w:rPr>
          <w:rStyle w:val="StyleUnderline"/>
        </w:rPr>
        <w:t>Office reported to Congress</w:t>
      </w:r>
      <w:r w:rsidRPr="0006228E">
        <w:rPr>
          <w:sz w:val="14"/>
        </w:rPr>
        <w:t xml:space="preserve"> in June 2014, </w:t>
      </w:r>
      <w:r w:rsidRPr="0006228E">
        <w:rPr>
          <w:rStyle w:val="StyleUnderline"/>
        </w:rPr>
        <w:t xml:space="preserve">the economic benefits of federal regulations totaled in the hundreds of millions of dollars over the previous decade, while the costs were a mere fraction of that total. </w:t>
      </w:r>
    </w:p>
    <w:p w14:paraId="1C000672" w14:textId="77777777" w:rsidR="00586EDF" w:rsidRPr="0006228E" w:rsidRDefault="00586EDF" w:rsidP="00586EDF">
      <w:pPr>
        <w:rPr>
          <w:sz w:val="14"/>
        </w:rPr>
      </w:pPr>
      <w:r w:rsidRPr="0006228E">
        <w:rPr>
          <w:rStyle w:val="StyleUnderline"/>
        </w:rPr>
        <w:t>Many other studies have also shown that regulations have little impact on employment</w:t>
      </w:r>
      <w:r w:rsidRPr="0006228E">
        <w:rPr>
          <w:sz w:val="14"/>
        </w:rPr>
        <w:t xml:space="preserve"> – or else a slight positive effect on balance. </w:t>
      </w:r>
      <w:r w:rsidRPr="0006228E">
        <w:rPr>
          <w:rStyle w:val="StyleUnderline"/>
        </w:rPr>
        <w:t>Businesses find ways to deal with new regulations</w:t>
      </w:r>
      <w:r w:rsidRPr="0006228E">
        <w:rPr>
          <w:sz w:val="14"/>
        </w:rPr>
        <w:t xml:space="preserve">. </w:t>
      </w:r>
      <w:r w:rsidRPr="0006228E">
        <w:rPr>
          <w:rStyle w:val="StyleUnderline"/>
        </w:rPr>
        <w:t>When</w:t>
      </w:r>
      <w:r w:rsidRPr="0006228E">
        <w:rPr>
          <w:sz w:val="14"/>
        </w:rPr>
        <w:t xml:space="preserve"> automobile </w:t>
      </w:r>
      <w:r w:rsidRPr="0006228E">
        <w:rPr>
          <w:rStyle w:val="StyleUnderline"/>
        </w:rPr>
        <w:t>companies were required to reduce air pollution</w:t>
      </w:r>
      <w:r w:rsidRPr="0006228E">
        <w:rPr>
          <w:sz w:val="14"/>
        </w:rPr>
        <w:t xml:space="preserve">, for example, </w:t>
      </w:r>
      <w:r w:rsidRPr="0006228E">
        <w:rPr>
          <w:rStyle w:val="StyleUnderline"/>
        </w:rPr>
        <w:t>they started using catalytic converters</w:t>
      </w:r>
      <w:r w:rsidRPr="0006228E">
        <w:rPr>
          <w:sz w:val="14"/>
        </w:rPr>
        <w:t xml:space="preserve">. Car </w:t>
      </w:r>
      <w:r w:rsidRPr="0006228E">
        <w:rPr>
          <w:rStyle w:val="StyleUnderline"/>
        </w:rPr>
        <w:t>prices rose slightly</w:t>
      </w:r>
      <w:r w:rsidRPr="0006228E">
        <w:rPr>
          <w:sz w:val="14"/>
        </w:rPr>
        <w:t xml:space="preserve">, </w:t>
      </w:r>
      <w:r w:rsidRPr="0006228E">
        <w:rPr>
          <w:rStyle w:val="StyleUnderline"/>
        </w:rPr>
        <w:t>perhaps leading to some job layoffs</w:t>
      </w:r>
      <w:r w:rsidRPr="0006228E">
        <w:rPr>
          <w:sz w:val="14"/>
        </w:rPr>
        <w:t xml:space="preserve">, </w:t>
      </w:r>
      <w:r w:rsidRPr="0006228E">
        <w:rPr>
          <w:rStyle w:val="StyleUnderline"/>
        </w:rPr>
        <w:t>but employment grew overall as more workers were hired to make, sell, and install the converters</w:t>
      </w:r>
      <w:r w:rsidRPr="0006228E">
        <w:rPr>
          <w:sz w:val="14"/>
        </w:rPr>
        <w:t xml:space="preserve">. </w:t>
      </w:r>
    </w:p>
    <w:p w14:paraId="480412EA" w14:textId="77777777" w:rsidR="00586EDF" w:rsidRPr="0006228E" w:rsidRDefault="00586EDF" w:rsidP="00586EDF">
      <w:pPr>
        <w:rPr>
          <w:rStyle w:val="Emphasis"/>
        </w:rPr>
      </w:pPr>
      <w:r w:rsidRPr="0006228E">
        <w:rPr>
          <w:rStyle w:val="Emphasis"/>
        </w:rPr>
        <w:t>Wrong about How the Economy Really Works</w:t>
      </w:r>
    </w:p>
    <w:p w14:paraId="5F566A21" w14:textId="77777777" w:rsidR="00586EDF" w:rsidRPr="0006228E" w:rsidRDefault="00586EDF" w:rsidP="00586EDF">
      <w:pPr>
        <w:rPr>
          <w:sz w:val="14"/>
        </w:rPr>
      </w:pPr>
      <w:r w:rsidRPr="0006228E">
        <w:rPr>
          <w:sz w:val="14"/>
        </w:rPr>
        <w:t xml:space="preserve">In Econ 101, students learn that, in theory, a pure market consisting of large numbers of independent buyers and sellers will produce goods and services in optimal amounts at the lowest possible prices. In this ideal pure market world, rules restricting buyers or sellers can only distort the optimal distribution of goods and services. However, this abstract academic lesson tells us little about the real world, because </w:t>
      </w:r>
      <w:r w:rsidRPr="0006228E">
        <w:rPr>
          <w:rStyle w:val="StyleUnderline"/>
        </w:rPr>
        <w:t>pure market conditions almost never exist in actual commerce</w:t>
      </w:r>
      <w:r w:rsidRPr="0006228E">
        <w:rPr>
          <w:sz w:val="14"/>
        </w:rPr>
        <w:t xml:space="preserve">. </w:t>
      </w:r>
      <w:r w:rsidRPr="0006228E">
        <w:rPr>
          <w:rStyle w:val="StyleUnderline"/>
        </w:rPr>
        <w:t>Real-world markets differ from theoretical models in markets</w:t>
      </w:r>
      <w:r w:rsidRPr="0006228E">
        <w:rPr>
          <w:sz w:val="14"/>
        </w:rPr>
        <w:t xml:space="preserve"> in several ways – </w:t>
      </w:r>
      <w:r w:rsidRPr="0006228E">
        <w:rPr>
          <w:rStyle w:val="StyleUnderline"/>
        </w:rPr>
        <w:t>and good regulations can help those imperfect markets work better</w:t>
      </w:r>
      <w:r w:rsidRPr="0006228E">
        <w:rPr>
          <w:sz w:val="14"/>
        </w:rPr>
        <w:t>:</w:t>
      </w:r>
    </w:p>
    <w:p w14:paraId="11326D00" w14:textId="77777777" w:rsidR="00586EDF" w:rsidRPr="0006228E" w:rsidRDefault="00586EDF" w:rsidP="00586EDF">
      <w:pPr>
        <w:rPr>
          <w:sz w:val="14"/>
        </w:rPr>
      </w:pPr>
      <w:r w:rsidRPr="0006228E">
        <w:rPr>
          <w:rStyle w:val="StyleUnderline"/>
        </w:rPr>
        <w:t>Real-world customers often lack</w:t>
      </w:r>
      <w:r w:rsidRPr="0006228E">
        <w:rPr>
          <w:sz w:val="14"/>
        </w:rPr>
        <w:t xml:space="preserve"> complete </w:t>
      </w:r>
      <w:r w:rsidRPr="0006228E">
        <w:rPr>
          <w:rStyle w:val="StyleUnderline"/>
        </w:rPr>
        <w:t>information about products</w:t>
      </w:r>
      <w:r w:rsidRPr="0006228E">
        <w:rPr>
          <w:sz w:val="14"/>
        </w:rPr>
        <w:t xml:space="preserve"> they might buy, </w:t>
      </w:r>
      <w:r w:rsidRPr="0006228E">
        <w:rPr>
          <w:rStyle w:val="StyleUnderline"/>
        </w:rPr>
        <w:t>or have difficulty understanding technical terms describing goods</w:t>
      </w:r>
      <w:r w:rsidRPr="0006228E">
        <w:rPr>
          <w:sz w:val="14"/>
        </w:rPr>
        <w:t xml:space="preserve"> like cars, pharmaceutical drugs, and mortgages. </w:t>
      </w:r>
      <w:r w:rsidRPr="0006228E">
        <w:rPr>
          <w:rStyle w:val="StyleUnderline"/>
        </w:rPr>
        <w:t>Consumer protection regulations help by requiring companies to spell out</w:t>
      </w:r>
      <w:r w:rsidRPr="0006228E">
        <w:rPr>
          <w:sz w:val="14"/>
        </w:rPr>
        <w:t xml:space="preserve"> the features and risks of their products.  </w:t>
      </w:r>
    </w:p>
    <w:p w14:paraId="568C59E3" w14:textId="77777777" w:rsidR="00586EDF" w:rsidRPr="0006228E" w:rsidRDefault="00586EDF" w:rsidP="00586EDF">
      <w:pPr>
        <w:rPr>
          <w:rStyle w:val="StyleUnderline"/>
        </w:rPr>
      </w:pPr>
      <w:r w:rsidRPr="0006228E">
        <w:rPr>
          <w:sz w:val="14"/>
        </w:rPr>
        <w:t xml:space="preserve">In the real world, </w:t>
      </w:r>
      <w:r w:rsidRPr="0006228E">
        <w:rPr>
          <w:rStyle w:val="StyleUnderline"/>
        </w:rPr>
        <w:t xml:space="preserve">markets are often dominated by one or a small number of sellers, who can limit production and force customers to pay artificially high prices. Anti-monopoly regulations can insure greater competition and fairer prices. </w:t>
      </w:r>
    </w:p>
    <w:p w14:paraId="61613ED7" w14:textId="77777777" w:rsidR="00586EDF" w:rsidRPr="0006228E" w:rsidRDefault="00586EDF" w:rsidP="00586EDF">
      <w:pPr>
        <w:rPr>
          <w:rStyle w:val="StyleUnderline"/>
        </w:rPr>
      </w:pPr>
      <w:r w:rsidRPr="0006228E">
        <w:rPr>
          <w:rStyle w:val="StyleUnderline"/>
        </w:rPr>
        <w:t>Unregulated markets do not take social costs into account</w:t>
      </w:r>
      <w:r w:rsidRPr="0006228E">
        <w:rPr>
          <w:sz w:val="14"/>
        </w:rPr>
        <w:t xml:space="preserve">. </w:t>
      </w:r>
      <w:r w:rsidRPr="0006228E">
        <w:rPr>
          <w:rStyle w:val="StyleUnderline"/>
        </w:rPr>
        <w:t>Unimpeded by public rules, anything-goes markets give us air and water pollution, employment discrimination, exposure to pornography by children, and other harmful results that most people in society abhor</w:t>
      </w:r>
      <w:r w:rsidRPr="0006228E">
        <w:rPr>
          <w:sz w:val="14"/>
        </w:rPr>
        <w:t xml:space="preserve">. Democratic governments can put in place </w:t>
      </w:r>
      <w:r w:rsidRPr="0006228E">
        <w:rPr>
          <w:rStyle w:val="StyleUnderline"/>
        </w:rPr>
        <w:t>rules</w:t>
      </w:r>
      <w:r w:rsidRPr="0006228E">
        <w:rPr>
          <w:sz w:val="14"/>
        </w:rPr>
        <w:t xml:space="preserve"> that force sellers to avoid or </w:t>
      </w:r>
      <w:r w:rsidRPr="0006228E">
        <w:rPr>
          <w:rStyle w:val="StyleUnderline"/>
        </w:rPr>
        <w:t>limit</w:t>
      </w:r>
      <w:r w:rsidRPr="0006228E">
        <w:rPr>
          <w:sz w:val="14"/>
        </w:rPr>
        <w:t xml:space="preserve"> such unacceptable </w:t>
      </w:r>
      <w:r w:rsidRPr="0006228E">
        <w:rPr>
          <w:rStyle w:val="StyleUnderline"/>
        </w:rPr>
        <w:t xml:space="preserve">consequences of market activities (called “negative externalities”). </w:t>
      </w:r>
    </w:p>
    <w:p w14:paraId="6AB4B517" w14:textId="77777777" w:rsidR="00586EDF" w:rsidRPr="0006228E" w:rsidRDefault="00586EDF" w:rsidP="00586EDF">
      <w:pPr>
        <w:rPr>
          <w:sz w:val="14"/>
        </w:rPr>
      </w:pPr>
      <w:r w:rsidRPr="0006228E">
        <w:rPr>
          <w:sz w:val="14"/>
        </w:rPr>
        <w:t xml:space="preserve">In addition to the departures from “pure free market” </w:t>
      </w:r>
      <w:r w:rsidRPr="0006228E">
        <w:rPr>
          <w:rStyle w:val="StyleUnderline"/>
        </w:rPr>
        <w:t>theory that almost all experts understand, the new field of behavioral economics has discovered clear evidence that peoples’ preferences are strongly influenced</w:t>
      </w:r>
      <w:r w:rsidRPr="0006228E">
        <w:rPr>
          <w:sz w:val="14"/>
        </w:rPr>
        <w:t xml:space="preserve"> by how choices are presented to them. For example, experiments show that people’s plans about retirement programs vary depending on whether they have to “opt in” or are automatically enrolled and have to “opt out.”  Corporations spend billions to influence consumer preferences and set up choices to maximize profits, so </w:t>
      </w:r>
      <w:r w:rsidRPr="0006228E">
        <w:rPr>
          <w:rStyle w:val="StyleUnderline"/>
        </w:rPr>
        <w:t>it hardly seems out of line for governments to use product information rules to ensure optimal consumer infor</w:t>
      </w:r>
      <w:r w:rsidRPr="0006228E">
        <w:rPr>
          <w:sz w:val="14"/>
        </w:rPr>
        <w:t>mation and beneficial options for citizens.</w:t>
      </w:r>
    </w:p>
    <w:p w14:paraId="31941E48" w14:textId="77777777" w:rsidR="00586EDF" w:rsidRPr="0006228E" w:rsidRDefault="00586EDF" w:rsidP="00586EDF">
      <w:pPr>
        <w:rPr>
          <w:rStyle w:val="Emphasis"/>
        </w:rPr>
      </w:pPr>
      <w:r w:rsidRPr="0006228E">
        <w:rPr>
          <w:rStyle w:val="Emphasis"/>
        </w:rPr>
        <w:t>Wrong about Good Governance</w:t>
      </w:r>
    </w:p>
    <w:p w14:paraId="1A5A6B5A" w14:textId="77777777" w:rsidR="00586EDF" w:rsidRPr="0006228E" w:rsidRDefault="00586EDF" w:rsidP="00586EDF">
      <w:pPr>
        <w:rPr>
          <w:rStyle w:val="StyleUnderline"/>
        </w:rPr>
      </w:pPr>
      <w:r w:rsidRPr="0006228E">
        <w:rPr>
          <w:sz w:val="14"/>
        </w:rPr>
        <w:t xml:space="preserve">Throughout American history, </w:t>
      </w:r>
      <w:r w:rsidRPr="0006228E">
        <w:rPr>
          <w:rStyle w:val="StyleUnderline"/>
        </w:rPr>
        <w:t>governments have subsidized businesses and established conditions for markets to function</w:t>
      </w:r>
      <w:r w:rsidRPr="0006228E">
        <w:rPr>
          <w:sz w:val="14"/>
        </w:rPr>
        <w:t xml:space="preserve">. But periodically, as Americans experienced unacceptable harms from market practices, they have insisted that public authorities override protests from profit-seekers and step in to secure the public interest. Examples of such </w:t>
      </w:r>
      <w:r w:rsidRPr="0006228E">
        <w:rPr>
          <w:rStyle w:val="StyleUnderline"/>
        </w:rPr>
        <w:t>public-interest regulations include laws to outlaw child labor, building code regulations to ensure stable construction and prevent catastrophic fires, food and pharmaceutical regulations, environmental protections, and laws to prevent irresponsible mortgage lending</w:t>
      </w:r>
      <w:r w:rsidRPr="0006228E">
        <w:rPr>
          <w:sz w:val="14"/>
        </w:rPr>
        <w:t xml:space="preserve">. </w:t>
      </w:r>
      <w:r w:rsidRPr="0006228E">
        <w:rPr>
          <w:rStyle w:val="StyleUnderline"/>
        </w:rPr>
        <w:t xml:space="preserve">Those who claim that all such regulations are unwarranted are implying that governments should only maximize private profits, not protect the environment and ensure public health and security.  This makes little sense. </w:t>
      </w:r>
    </w:p>
    <w:p w14:paraId="19D52235" w14:textId="77777777" w:rsidR="00586EDF" w:rsidRPr="0006228E" w:rsidRDefault="00586EDF" w:rsidP="00586EDF">
      <w:pPr>
        <w:rPr>
          <w:rStyle w:val="StyleUnderline"/>
        </w:rPr>
      </w:pPr>
      <w:r w:rsidRPr="0006228E">
        <w:rPr>
          <w:rStyle w:val="StyleUnderline"/>
        </w:rPr>
        <w:t>Claims that regulation is bad for business are wrong</w:t>
      </w:r>
      <w:r w:rsidRPr="0006228E">
        <w:rPr>
          <w:sz w:val="14"/>
        </w:rPr>
        <w:t xml:space="preserve"> – because the </w:t>
      </w:r>
      <w:r w:rsidRPr="0006228E">
        <w:rPr>
          <w:rStyle w:val="StyleUnderline"/>
        </w:rPr>
        <w:t>interests of more companies are well served by regulations in the public interest</w:t>
      </w:r>
      <w:r w:rsidRPr="0006228E">
        <w:rPr>
          <w:sz w:val="14"/>
        </w:rPr>
        <w:t xml:space="preserve">. To sell their products, </w:t>
      </w:r>
      <w:r w:rsidRPr="0006228E">
        <w:rPr>
          <w:rStyle w:val="StyleUnderline"/>
        </w:rPr>
        <w:t>businesses depend on public confidence that products will not harm people</w:t>
      </w:r>
      <w:r w:rsidRPr="0006228E">
        <w:rPr>
          <w:sz w:val="14"/>
        </w:rPr>
        <w:t xml:space="preserve">. </w:t>
      </w:r>
      <w:r w:rsidRPr="0006228E">
        <w:rPr>
          <w:rStyle w:val="StyleUnderline"/>
        </w:rPr>
        <w:t>Businesses also benefit when all of them have to meet the same standards, so some firms cannot undercut others</w:t>
      </w:r>
      <w:r w:rsidRPr="0006228E">
        <w:rPr>
          <w:sz w:val="14"/>
        </w:rPr>
        <w:t xml:space="preserve">. </w:t>
      </w:r>
      <w:r w:rsidRPr="0006228E">
        <w:rPr>
          <w:rStyle w:val="StyleUnderline"/>
        </w:rPr>
        <w:t>Even when some businesses are</w:t>
      </w:r>
      <w:r w:rsidRPr="0006228E">
        <w:rPr>
          <w:sz w:val="14"/>
        </w:rPr>
        <w:t xml:space="preserve"> in fact </w:t>
      </w:r>
      <w:r w:rsidRPr="0006228E">
        <w:rPr>
          <w:rStyle w:val="StyleUnderline"/>
        </w:rPr>
        <w:t>disadvantaged</w:t>
      </w:r>
      <w:r w:rsidRPr="0006228E">
        <w:rPr>
          <w:sz w:val="14"/>
        </w:rPr>
        <w:t xml:space="preserve"> by proposed regulations—such as coal-fired power plants required to limit pollution—</w:t>
      </w:r>
      <w:r w:rsidRPr="0006228E">
        <w:rPr>
          <w:rStyle w:val="StyleUnderline"/>
        </w:rPr>
        <w:t xml:space="preserve">others will benefit, such as firms promoting wind and solar power.  </w:t>
      </w:r>
    </w:p>
    <w:p w14:paraId="5B925F90" w14:textId="020202A7" w:rsidR="00586EDF" w:rsidRPr="00586EDF" w:rsidRDefault="00586EDF" w:rsidP="00586EDF">
      <w:pPr>
        <w:rPr>
          <w:sz w:val="14"/>
        </w:rPr>
      </w:pPr>
      <w:r w:rsidRPr="009746DC">
        <w:rPr>
          <w:rStyle w:val="StyleUnderline"/>
        </w:rPr>
        <w:t>Not all regulations are effective or achieve their purposes</w:t>
      </w:r>
      <w:r w:rsidRPr="009746DC">
        <w:rPr>
          <w:sz w:val="14"/>
        </w:rPr>
        <w:t xml:space="preserve">. Some are too restrictive, while others are weak or improperly implemented. </w:t>
      </w:r>
      <w:r w:rsidRPr="009746DC">
        <w:rPr>
          <w:rStyle w:val="StyleUnderline"/>
        </w:rPr>
        <w:t>But that does not mean that all regulation is harmful</w:t>
      </w:r>
      <w:r w:rsidRPr="009746DC">
        <w:rPr>
          <w:sz w:val="14"/>
        </w:rPr>
        <w:t xml:space="preserve">.  Although society benefits from well-functioning markets, </w:t>
      </w:r>
      <w:r w:rsidRPr="009746DC">
        <w:rPr>
          <w:rStyle w:val="StyleUnderline"/>
        </w:rPr>
        <w:t>critics are wrong to claim that</w:t>
      </w:r>
      <w:r w:rsidRPr="009746DC">
        <w:rPr>
          <w:sz w:val="14"/>
        </w:rPr>
        <w:t xml:space="preserve"> all government </w:t>
      </w:r>
      <w:r w:rsidRPr="009746DC">
        <w:rPr>
          <w:rStyle w:val="StyleUnderline"/>
        </w:rPr>
        <w:t xml:space="preserve">regulations are bad for business. </w:t>
      </w:r>
      <w:r w:rsidRPr="009746DC">
        <w:rPr>
          <w:sz w:val="14"/>
        </w:rPr>
        <w:t>To produce optimal results for firms and citizens, America needs a balance between markets free from unnecessary impediments and public rules to prevent businesses from inflicting grievous harms on people and the environment.</w:t>
      </w:r>
    </w:p>
    <w:p w14:paraId="35D6C66A" w14:textId="3E600FEC" w:rsidR="00456038" w:rsidRDefault="00586EDF" w:rsidP="00456038">
      <w:pPr>
        <w:pStyle w:val="Heading3"/>
      </w:pPr>
      <w:r>
        <w:t>2NC – AT: Deregulation</w:t>
      </w:r>
    </w:p>
    <w:p w14:paraId="55D2BEE1" w14:textId="4661DC25" w:rsidR="00586EDF" w:rsidRDefault="00586EDF" w:rsidP="00586EDF">
      <w:pPr>
        <w:pStyle w:val="Heading4"/>
      </w:pPr>
      <w:r>
        <w:t>Antitrust laws provide equitable growth.</w:t>
      </w:r>
    </w:p>
    <w:p w14:paraId="10F1B03B" w14:textId="77777777" w:rsidR="00586EDF" w:rsidRPr="0084634F" w:rsidRDefault="00586EDF" w:rsidP="00586EDF">
      <w:r w:rsidRPr="0084634F">
        <w:rPr>
          <w:rStyle w:val="Heading4Char"/>
        </w:rPr>
        <w:t>Morton 20</w:t>
      </w:r>
      <w:r w:rsidRPr="0084634F">
        <w:t xml:space="preserve"> – (Fiona M. Scott Morton is the Theodore Nierenberg Professor of Economics at the Yale University School of Management, B.A. in economics from Yale University and Ph.D. in economics from the Massachusetts Institute of Technology; “Reforming U.S. antitrust enforcement and competition policy</w:t>
      </w:r>
      <w:r>
        <w:t>”; Washington Center for Equitable Growth; D.A. July 6</w:t>
      </w:r>
      <w:r w:rsidRPr="0084634F">
        <w:rPr>
          <w:vertAlign w:val="superscript"/>
        </w:rPr>
        <w:t>th</w:t>
      </w:r>
      <w:r>
        <w:t xml:space="preserve"> 2020, [Published February 18</w:t>
      </w:r>
      <w:r w:rsidRPr="0084634F">
        <w:rPr>
          <w:vertAlign w:val="superscript"/>
        </w:rPr>
        <w:t>th</w:t>
      </w:r>
      <w:r>
        <w:t xml:space="preserve"> 2020]; </w:t>
      </w:r>
      <w:hyperlink r:id="rId243" w:history="1">
        <w:r>
          <w:rPr>
            <w:rStyle w:val="Hyperlink"/>
          </w:rPr>
          <w:t>https://equitablegrowth.org/reforming-u-s-antitrust-enforcement-and-competition-policy/</w:t>
        </w:r>
      </w:hyperlink>
      <w:r>
        <w:t>) //LFS—JCM</w:t>
      </w:r>
    </w:p>
    <w:p w14:paraId="23028FE4" w14:textId="77777777" w:rsidR="00586EDF" w:rsidRPr="0084634F" w:rsidRDefault="00586EDF" w:rsidP="00586EDF">
      <w:pPr>
        <w:rPr>
          <w:sz w:val="16"/>
        </w:rPr>
      </w:pPr>
      <w:r w:rsidRPr="007C6F3C">
        <w:rPr>
          <w:rStyle w:val="StyleUnderline"/>
          <w:highlight w:val="cyan"/>
        </w:rPr>
        <w:t xml:space="preserve">Competitive </w:t>
      </w:r>
      <w:r w:rsidRPr="007C6F3C">
        <w:rPr>
          <w:rStyle w:val="Emphasis"/>
          <w:highlight w:val="cyan"/>
        </w:rPr>
        <w:t>markets deliver</w:t>
      </w:r>
      <w:r w:rsidRPr="0084634F">
        <w:rPr>
          <w:sz w:val="16"/>
        </w:rPr>
        <w:t xml:space="preserve"> to consumers a variety of benefits: </w:t>
      </w:r>
      <w:r w:rsidRPr="007C6F3C">
        <w:rPr>
          <w:rStyle w:val="StyleUnderline"/>
          <w:highlight w:val="cyan"/>
        </w:rPr>
        <w:t>high</w:t>
      </w:r>
      <w:r w:rsidRPr="0084634F">
        <w:rPr>
          <w:rStyle w:val="StyleUnderline"/>
        </w:rPr>
        <w:t xml:space="preserve">er </w:t>
      </w:r>
      <w:r w:rsidRPr="007C6F3C">
        <w:rPr>
          <w:rStyle w:val="Emphasis"/>
          <w:highlight w:val="cyan"/>
        </w:rPr>
        <w:t>productivity</w:t>
      </w:r>
      <w:r w:rsidRPr="0084634F">
        <w:rPr>
          <w:rStyle w:val="StyleUnderline"/>
        </w:rPr>
        <w:t xml:space="preserve">, lower prices, better quality products, </w:t>
      </w:r>
      <w:r w:rsidRPr="007C6F3C">
        <w:rPr>
          <w:rStyle w:val="StyleUnderline"/>
          <w:highlight w:val="cyan"/>
        </w:rPr>
        <w:t xml:space="preserve">and </w:t>
      </w:r>
      <w:r w:rsidRPr="007C6F3C">
        <w:rPr>
          <w:rStyle w:val="Emphasis"/>
          <w:highlight w:val="cyan"/>
        </w:rPr>
        <w:t>more innovation</w:t>
      </w:r>
      <w:r w:rsidRPr="0084634F">
        <w:rPr>
          <w:sz w:val="16"/>
        </w:rPr>
        <w:t xml:space="preserve">. </w:t>
      </w:r>
      <w:r w:rsidRPr="007C6F3C">
        <w:rPr>
          <w:rStyle w:val="StyleUnderline"/>
          <w:highlight w:val="cyan"/>
        </w:rPr>
        <w:t xml:space="preserve">Yet </w:t>
      </w:r>
      <w:r w:rsidRPr="007C6F3C">
        <w:rPr>
          <w:rStyle w:val="Emphasis"/>
          <w:highlight w:val="cyan"/>
        </w:rPr>
        <w:t>firms have a financial incentive</w:t>
      </w:r>
      <w:r w:rsidRPr="007C6F3C">
        <w:rPr>
          <w:rStyle w:val="StyleUnderline"/>
          <w:highlight w:val="cyan"/>
        </w:rPr>
        <w:t xml:space="preserve"> to</w:t>
      </w:r>
      <w:r w:rsidRPr="0084634F">
        <w:rPr>
          <w:rStyle w:val="StyleUnderline"/>
        </w:rPr>
        <w:t xml:space="preserve"> restrain competition</w:t>
      </w:r>
      <w:r w:rsidRPr="0084634F">
        <w:rPr>
          <w:sz w:val="16"/>
        </w:rPr>
        <w:t xml:space="preserve"> in order </w:t>
      </w:r>
      <w:r w:rsidRPr="0084634F">
        <w:rPr>
          <w:rStyle w:val="StyleUnderline"/>
        </w:rPr>
        <w:t xml:space="preserve">to </w:t>
      </w:r>
      <w:r w:rsidRPr="007C6F3C">
        <w:rPr>
          <w:rStyle w:val="Emphasis"/>
          <w:highlight w:val="cyan"/>
        </w:rPr>
        <w:t>obtain monopoly</w:t>
      </w:r>
      <w:r w:rsidRPr="0084634F">
        <w:rPr>
          <w:sz w:val="16"/>
        </w:rPr>
        <w:t xml:space="preserve"> profits. There are three main harmful methods of limiting competition: </w:t>
      </w:r>
      <w:r w:rsidRPr="0084634F">
        <w:rPr>
          <w:rStyle w:val="Emphasis"/>
        </w:rPr>
        <w:t>colluding with rivals</w:t>
      </w:r>
      <w:r w:rsidRPr="0084634F">
        <w:rPr>
          <w:sz w:val="16"/>
        </w:rPr>
        <w:t xml:space="preserve"> in a market, </w:t>
      </w:r>
      <w:r w:rsidRPr="0084634F">
        <w:rPr>
          <w:rStyle w:val="StyleUnderline"/>
        </w:rPr>
        <w:t>merging</w:t>
      </w:r>
      <w:r w:rsidRPr="0084634F">
        <w:rPr>
          <w:sz w:val="16"/>
        </w:rPr>
        <w:t xml:space="preserve"> with rivals or potential rivals, </w:t>
      </w:r>
      <w:r w:rsidRPr="0084634F">
        <w:rPr>
          <w:rStyle w:val="StyleUnderline"/>
        </w:rPr>
        <w:t xml:space="preserve">and </w:t>
      </w:r>
      <w:r w:rsidRPr="007C6F3C">
        <w:rPr>
          <w:rStyle w:val="Emphasis"/>
          <w:highlight w:val="cyan"/>
        </w:rPr>
        <w:t>using anticompetitive techniques</w:t>
      </w:r>
      <w:r w:rsidRPr="0084634F">
        <w:rPr>
          <w:rStyle w:val="StyleUnderline"/>
        </w:rPr>
        <w:t xml:space="preserve"> to exclude</w:t>
      </w:r>
      <w:r w:rsidRPr="0084634F">
        <w:rPr>
          <w:sz w:val="16"/>
        </w:rPr>
        <w:t xml:space="preserve"> existing or potential </w:t>
      </w:r>
      <w:r w:rsidRPr="0084634F">
        <w:rPr>
          <w:rStyle w:val="StyleUnderline"/>
        </w:rPr>
        <w:t>entrants</w:t>
      </w:r>
      <w:r w:rsidRPr="0084634F">
        <w:rPr>
          <w:sz w:val="16"/>
        </w:rPr>
        <w:t>.</w:t>
      </w:r>
    </w:p>
    <w:p w14:paraId="3456EA1B" w14:textId="77777777" w:rsidR="00586EDF" w:rsidRPr="007C6F3C" w:rsidRDefault="00586EDF" w:rsidP="00586EDF">
      <w:pPr>
        <w:rPr>
          <w:sz w:val="16"/>
        </w:rPr>
      </w:pPr>
      <w:r w:rsidRPr="0084634F">
        <w:rPr>
          <w:rStyle w:val="StyleUnderline"/>
        </w:rPr>
        <w:t xml:space="preserve">U.S. </w:t>
      </w:r>
      <w:r w:rsidRPr="007C6F3C">
        <w:rPr>
          <w:rStyle w:val="Emphasis"/>
          <w:highlight w:val="cyan"/>
        </w:rPr>
        <w:t>antitrust laws</w:t>
      </w:r>
      <w:r w:rsidRPr="007C6F3C">
        <w:rPr>
          <w:rStyle w:val="StyleUnderline"/>
          <w:highlight w:val="cyan"/>
        </w:rPr>
        <w:t xml:space="preserve"> are designed to </w:t>
      </w:r>
      <w:r w:rsidRPr="007C6F3C">
        <w:rPr>
          <w:rStyle w:val="Emphasis"/>
          <w:highlight w:val="cyan"/>
        </w:rPr>
        <w:t>prevent these</w:t>
      </w:r>
      <w:r w:rsidRPr="0084634F">
        <w:rPr>
          <w:rStyle w:val="StyleUnderline"/>
        </w:rPr>
        <w:t xml:space="preserve"> behaviors</w:t>
      </w:r>
      <w:r w:rsidRPr="007C6F3C">
        <w:rPr>
          <w:sz w:val="16"/>
        </w:rPr>
        <w:t xml:space="preserve"> by </w:t>
      </w:r>
      <w:r w:rsidRPr="007C6F3C">
        <w:rPr>
          <w:rStyle w:val="StyleUnderline"/>
          <w:highlight w:val="cyan"/>
        </w:rPr>
        <w:t>making</w:t>
      </w:r>
      <w:r w:rsidRPr="0084634F">
        <w:rPr>
          <w:rStyle w:val="StyleUnderline"/>
        </w:rPr>
        <w:t xml:space="preserve"> </w:t>
      </w:r>
      <w:r w:rsidRPr="007C6F3C">
        <w:rPr>
          <w:rStyle w:val="StyleUnderline"/>
          <w:highlight w:val="cyan"/>
        </w:rPr>
        <w:t>price-fixing</w:t>
      </w:r>
      <w:r w:rsidRPr="0084634F">
        <w:rPr>
          <w:rStyle w:val="StyleUnderline"/>
        </w:rPr>
        <w:t xml:space="preserve">, </w:t>
      </w:r>
      <w:r w:rsidRPr="007C6F3C">
        <w:rPr>
          <w:rStyle w:val="StyleUnderline"/>
          <w:highlight w:val="cyan"/>
        </w:rPr>
        <w:t>bid-rigging</w:t>
      </w:r>
      <w:r w:rsidRPr="0084634F">
        <w:rPr>
          <w:rStyle w:val="StyleUnderline"/>
        </w:rPr>
        <w:t xml:space="preserve">, and similar behavior </w:t>
      </w:r>
      <w:r w:rsidRPr="007C6F3C">
        <w:rPr>
          <w:rStyle w:val="StyleUnderline"/>
          <w:highlight w:val="cyan"/>
        </w:rPr>
        <w:t>illegal</w:t>
      </w:r>
      <w:r w:rsidRPr="007C6F3C">
        <w:rPr>
          <w:sz w:val="16"/>
        </w:rPr>
        <w:t xml:space="preserve">, </w:t>
      </w:r>
      <w:r w:rsidRPr="0084634F">
        <w:rPr>
          <w:rStyle w:val="StyleUnderline"/>
        </w:rPr>
        <w:t>requiring government review of mergers</w:t>
      </w:r>
      <w:r w:rsidRPr="007C6F3C">
        <w:rPr>
          <w:sz w:val="16"/>
        </w:rPr>
        <w:t xml:space="preserve"> to prevent those that lessen competition, and </w:t>
      </w:r>
      <w:r w:rsidRPr="0084634F">
        <w:rPr>
          <w:rStyle w:val="StyleUnderline"/>
        </w:rPr>
        <w:t>prohibiting anticompetitive conduct</w:t>
      </w:r>
      <w:r w:rsidRPr="007C6F3C">
        <w:rPr>
          <w:sz w:val="16"/>
        </w:rPr>
        <w:t xml:space="preserve"> by an incumbent with market power that tends to exclude entrants and rivals. Unfortunately, over the past few decades, these laws have not been operating in a way that generates and preserves vigorous competition in U.S. markets.</w:t>
      </w:r>
    </w:p>
    <w:p w14:paraId="055FE434" w14:textId="77777777" w:rsidR="00586EDF" w:rsidRPr="007C6F3C" w:rsidRDefault="00586EDF" w:rsidP="00586EDF">
      <w:pPr>
        <w:rPr>
          <w:sz w:val="16"/>
        </w:rPr>
      </w:pPr>
      <w:r w:rsidRPr="007C6F3C">
        <w:rPr>
          <w:sz w:val="16"/>
        </w:rPr>
        <w:t xml:space="preserve">It is well understood that </w:t>
      </w:r>
      <w:r w:rsidRPr="007C6F3C">
        <w:rPr>
          <w:rStyle w:val="Emphasis"/>
          <w:highlight w:val="cyan"/>
        </w:rPr>
        <w:t>market power</w:t>
      </w:r>
      <w:r w:rsidRPr="007C6F3C">
        <w:rPr>
          <w:rStyle w:val="StyleUnderline"/>
        </w:rPr>
        <w:t xml:space="preserve"> decreases innovation</w:t>
      </w:r>
      <w:r w:rsidRPr="0084634F">
        <w:rPr>
          <w:rStyle w:val="StyleUnderline"/>
        </w:rPr>
        <w:t>, productivity, and the efficient use of resources</w:t>
      </w:r>
      <w:r w:rsidRPr="007C6F3C">
        <w:rPr>
          <w:sz w:val="16"/>
        </w:rPr>
        <w:t xml:space="preserve">. Market power, however, also </w:t>
      </w:r>
      <w:r w:rsidRPr="007C6F3C">
        <w:rPr>
          <w:rStyle w:val="Emphasis"/>
          <w:highlight w:val="cyan"/>
        </w:rPr>
        <w:t>contributes to</w:t>
      </w:r>
      <w:r w:rsidRPr="0084634F">
        <w:rPr>
          <w:rStyle w:val="StyleUnderline"/>
        </w:rPr>
        <w:t xml:space="preserve"> growing </w:t>
      </w:r>
      <w:r w:rsidRPr="007C6F3C">
        <w:rPr>
          <w:rStyle w:val="Emphasis"/>
          <w:highlight w:val="cyan"/>
        </w:rPr>
        <w:t>inequality</w:t>
      </w:r>
      <w:r w:rsidRPr="007C6F3C">
        <w:rPr>
          <w:sz w:val="16"/>
        </w:rPr>
        <w:t xml:space="preserve">. </w:t>
      </w:r>
      <w:r w:rsidRPr="0084634F">
        <w:rPr>
          <w:rStyle w:val="StyleUnderline"/>
        </w:rPr>
        <w:t>Shareholders</w:t>
      </w:r>
      <w:r w:rsidRPr="007C6F3C">
        <w:rPr>
          <w:sz w:val="16"/>
        </w:rPr>
        <w:t xml:space="preserve"> and senior executives who benefit from increased market power through higher salaries and increased stock prices </w:t>
      </w:r>
      <w:r w:rsidRPr="0084634F">
        <w:rPr>
          <w:rStyle w:val="StyleUnderline"/>
        </w:rPr>
        <w:t>are disproportionately wealthier than consumers</w:t>
      </w:r>
      <w:r w:rsidRPr="007C6F3C">
        <w:rPr>
          <w:sz w:val="16"/>
        </w:rPr>
        <w:t xml:space="preserve">, on average. Furthermore, consumers, suppliers, and </w:t>
      </w:r>
      <w:r w:rsidRPr="007C6F3C">
        <w:rPr>
          <w:rStyle w:val="StyleUnderline"/>
          <w:highlight w:val="cyan"/>
        </w:rPr>
        <w:t>workers </w:t>
      </w:r>
      <w:hyperlink r:id="rId244" w:tgtFrame="_blank" w:history="1">
        <w:r w:rsidRPr="007C6F3C">
          <w:rPr>
            <w:rStyle w:val="StyleUnderline"/>
            <w:highlight w:val="cyan"/>
          </w:rPr>
          <w:t>may be</w:t>
        </w:r>
      </w:hyperlink>
      <w:r w:rsidRPr="007C6F3C">
        <w:rPr>
          <w:rStyle w:val="StyleUnderline"/>
          <w:highlight w:val="cyan"/>
        </w:rPr>
        <w:t> </w:t>
      </w:r>
      <w:hyperlink r:id="rId245" w:tgtFrame="_blank" w:history="1">
        <w:r w:rsidRPr="007C6F3C">
          <w:rPr>
            <w:rStyle w:val="StyleUnderline"/>
            <w:highlight w:val="cyan"/>
          </w:rPr>
          <w:t>harmed</w:t>
        </w:r>
      </w:hyperlink>
      <w:r w:rsidRPr="007C6F3C">
        <w:rPr>
          <w:rStyle w:val="StyleUnderline"/>
          <w:highlight w:val="cyan"/>
        </w:rPr>
        <w:t> by paying</w:t>
      </w:r>
      <w:r w:rsidRPr="0084634F">
        <w:rPr>
          <w:rStyle w:val="StyleUnderline"/>
        </w:rPr>
        <w:t xml:space="preserve"> higher prices </w:t>
      </w:r>
      <w:r w:rsidRPr="007C6F3C">
        <w:rPr>
          <w:rStyle w:val="StyleUnderline"/>
          <w:highlight w:val="cyan"/>
        </w:rPr>
        <w:t>for monopoly products</w:t>
      </w:r>
      <w:r w:rsidRPr="007C6F3C">
        <w:rPr>
          <w:sz w:val="16"/>
        </w:rPr>
        <w:t xml:space="preserve"> or services and receiving lower compensation for the products and services (inputs or wages) they supply to monopsonists (buyers with market power).</w:t>
      </w:r>
      <w:hyperlink r:id="rId246" w:anchor="footnote-1" w:history="1">
        <w:r w:rsidRPr="007C6F3C">
          <w:rPr>
            <w:rStyle w:val="Hyperlink"/>
            <w:sz w:val="16"/>
          </w:rPr>
          <w:t>1</w:t>
        </w:r>
      </w:hyperlink>
    </w:p>
    <w:p w14:paraId="4AC262ED" w14:textId="77777777" w:rsidR="00586EDF" w:rsidRPr="007C6F3C" w:rsidRDefault="00586EDF" w:rsidP="00586EDF">
      <w:pPr>
        <w:rPr>
          <w:sz w:val="16"/>
        </w:rPr>
      </w:pPr>
      <w:r w:rsidRPr="0084634F">
        <w:rPr>
          <w:rStyle w:val="StyleUnderline"/>
        </w:rPr>
        <w:t>Consumption</w:t>
      </w:r>
      <w:r w:rsidRPr="007C6F3C">
        <w:rPr>
          <w:sz w:val="16"/>
        </w:rPr>
        <w:t xml:space="preserve">, by contrast, </w:t>
      </w:r>
      <w:r w:rsidRPr="0084634F">
        <w:rPr>
          <w:rStyle w:val="StyleUnderline"/>
        </w:rPr>
        <w:t>is not</w:t>
      </w:r>
      <w:r w:rsidRPr="007C6F3C">
        <w:rPr>
          <w:sz w:val="16"/>
        </w:rPr>
        <w:t xml:space="preserve"> nearly </w:t>
      </w:r>
      <w:r w:rsidRPr="0084634F">
        <w:rPr>
          <w:rStyle w:val="StyleUnderline"/>
        </w:rPr>
        <w:t>so concentrated</w:t>
      </w:r>
      <w:r w:rsidRPr="007C6F3C">
        <w:rPr>
          <w:sz w:val="16"/>
        </w:rPr>
        <w:t xml:space="preserve">. Joshua Gans at the University of Toronto’s Rotman School of Management and his co-authors report that the consumption </w:t>
      </w:r>
      <w:r w:rsidRPr="0084634F">
        <w:rPr>
          <w:rStyle w:val="StyleUnderline"/>
        </w:rPr>
        <w:t>of the top 20 percent of the wealth distribution in the United States is</w:t>
      </w:r>
      <w:r w:rsidRPr="007C6F3C">
        <w:rPr>
          <w:sz w:val="16"/>
        </w:rPr>
        <w:t xml:space="preserve"> approximately </w:t>
      </w:r>
      <w:r w:rsidRPr="0084634F">
        <w:rPr>
          <w:rStyle w:val="StyleUnderline"/>
        </w:rPr>
        <w:t>equal to</w:t>
      </w:r>
      <w:r w:rsidRPr="007C6F3C">
        <w:rPr>
          <w:sz w:val="16"/>
        </w:rPr>
        <w:t xml:space="preserve"> that of </w:t>
      </w:r>
      <w:r w:rsidRPr="0084634F">
        <w:rPr>
          <w:rStyle w:val="StyleUnderline"/>
        </w:rPr>
        <w:t>the bottom 60 percent</w:t>
      </w:r>
      <w:r w:rsidRPr="007C6F3C">
        <w:rPr>
          <w:sz w:val="16"/>
        </w:rPr>
        <w:t>, but their equity holdings are 13 times larger. Thus, if a dollar of monopoly profit is transferred to lower prices, most of that dollar moves from benefitting the top 10 percent through the value of their stock or dividends to instead benefitting the bottom 90 percent through lower costs of purchases.</w:t>
      </w:r>
    </w:p>
    <w:p w14:paraId="7C220883" w14:textId="5FAB057D" w:rsidR="00586EDF" w:rsidRPr="00586EDF" w:rsidRDefault="00586EDF" w:rsidP="00586EDF">
      <w:pPr>
        <w:rPr>
          <w:u w:val="single"/>
        </w:rPr>
      </w:pPr>
      <w:r w:rsidRPr="0084634F">
        <w:rPr>
          <w:sz w:val="16"/>
        </w:rPr>
        <w:t xml:space="preserve">Therefore, </w:t>
      </w:r>
      <w:r w:rsidRPr="007C6F3C">
        <w:rPr>
          <w:rStyle w:val="Emphasis"/>
          <w:highlight w:val="cyan"/>
        </w:rPr>
        <w:t>antitrust enforcement redistributes wealth</w:t>
      </w:r>
      <w:r w:rsidRPr="0084634F">
        <w:rPr>
          <w:rStyle w:val="StyleUnderline"/>
        </w:rPr>
        <w:t xml:space="preserve"> without incurring the traditional shadow costs</w:t>
      </w:r>
      <w:r w:rsidRPr="0084634F">
        <w:rPr>
          <w:sz w:val="16"/>
        </w:rPr>
        <w:t xml:space="preserve"> arising from taxation and, indeed, </w:t>
      </w:r>
      <w:r w:rsidRPr="0084634F">
        <w:rPr>
          <w:rStyle w:val="StyleUnderline"/>
        </w:rPr>
        <w:t>is an actively beneficial form of redistribution for the economy</w:t>
      </w:r>
      <w:r w:rsidRPr="0084634F">
        <w:rPr>
          <w:sz w:val="16"/>
        </w:rPr>
        <w:t>.</w:t>
      </w:r>
      <w:hyperlink r:id="rId247" w:anchor="footnote-2" w:history="1">
        <w:r w:rsidRPr="0084634F">
          <w:rPr>
            <w:rStyle w:val="Hyperlink"/>
            <w:sz w:val="16"/>
          </w:rPr>
          <w:t>2</w:t>
        </w:r>
      </w:hyperlink>
      <w:r w:rsidRPr="0084634F">
        <w:rPr>
          <w:sz w:val="16"/>
        </w:rPr>
        <w:t xml:space="preserve"> Because </w:t>
      </w:r>
      <w:r w:rsidRPr="0084634F">
        <w:rPr>
          <w:rStyle w:val="Emphasis"/>
        </w:rPr>
        <w:t>antitrust enforcement</w:t>
      </w:r>
      <w:r w:rsidRPr="0084634F">
        <w:rPr>
          <w:sz w:val="16"/>
        </w:rPr>
        <w:t xml:space="preserve"> both </w:t>
      </w:r>
      <w:r w:rsidRPr="0084634F">
        <w:rPr>
          <w:rStyle w:val="Emphasis"/>
        </w:rPr>
        <w:t>redistributes</w:t>
      </w:r>
      <w:r w:rsidRPr="0084634F">
        <w:rPr>
          <w:rStyle w:val="StyleUnderline"/>
        </w:rPr>
        <w:t xml:space="preserve"> income</w:t>
      </w:r>
      <w:r w:rsidRPr="0084634F">
        <w:rPr>
          <w:sz w:val="16"/>
        </w:rPr>
        <w:t xml:space="preserve"> and wealth to the bottom 90 percent of the population, as well as increases efficiency, </w:t>
      </w:r>
      <w:r w:rsidRPr="007C6F3C">
        <w:rPr>
          <w:rStyle w:val="StyleUnderline"/>
          <w:highlight w:val="cyan"/>
        </w:rPr>
        <w:t xml:space="preserve">it </w:t>
      </w:r>
      <w:r w:rsidRPr="007C6F3C">
        <w:rPr>
          <w:rStyle w:val="Emphasis"/>
          <w:highlight w:val="cyan"/>
        </w:rPr>
        <w:t>should be the first choice</w:t>
      </w:r>
      <w:r w:rsidRPr="0084634F">
        <w:rPr>
          <w:rStyle w:val="StyleUnderline"/>
        </w:rPr>
        <w:t xml:space="preserve"> of policymakers </w:t>
      </w:r>
      <w:r w:rsidRPr="007C6F3C">
        <w:rPr>
          <w:rStyle w:val="StyleUnderline"/>
          <w:highlight w:val="cyan"/>
        </w:rPr>
        <w:t>concerned with</w:t>
      </w:r>
      <w:r w:rsidRPr="0084634F">
        <w:rPr>
          <w:rStyle w:val="StyleUnderline"/>
        </w:rPr>
        <w:t xml:space="preserve"> equity</w:t>
      </w:r>
      <w:r w:rsidRPr="0084634F">
        <w:rPr>
          <w:sz w:val="16"/>
        </w:rPr>
        <w:t xml:space="preserve">. The standard for anticompetitive harm that courts use today is the protection of consumer welfare—meaning </w:t>
      </w:r>
      <w:r w:rsidRPr="007C6F3C">
        <w:rPr>
          <w:rStyle w:val="StyleUnderline"/>
          <w:highlight w:val="cyan"/>
        </w:rPr>
        <w:t>price</w:t>
      </w:r>
      <w:r w:rsidRPr="0084634F">
        <w:rPr>
          <w:rStyle w:val="StyleUnderline"/>
        </w:rPr>
        <w:t xml:space="preserve">, </w:t>
      </w:r>
      <w:r w:rsidRPr="007C6F3C">
        <w:rPr>
          <w:rStyle w:val="StyleUnderline"/>
          <w:highlight w:val="cyan"/>
        </w:rPr>
        <w:t>quality</w:t>
      </w:r>
      <w:r w:rsidRPr="0084634F">
        <w:rPr>
          <w:rStyle w:val="StyleUnderline"/>
        </w:rPr>
        <w:t xml:space="preserve">, </w:t>
      </w:r>
      <w:r w:rsidRPr="007C6F3C">
        <w:rPr>
          <w:rStyle w:val="StyleUnderline"/>
          <w:highlight w:val="cyan"/>
        </w:rPr>
        <w:t>and innovation</w:t>
      </w:r>
      <w:r w:rsidRPr="0084634F">
        <w:rPr>
          <w:sz w:val="16"/>
        </w:rPr>
        <w:t xml:space="preserve">, now and in the future. </w:t>
      </w:r>
      <w:r w:rsidRPr="007C6F3C">
        <w:rPr>
          <w:rStyle w:val="Emphasis"/>
          <w:highlight w:val="cyan"/>
        </w:rPr>
        <w:t>Antitrust enforcement</w:t>
      </w:r>
      <w:r w:rsidRPr="0084634F">
        <w:rPr>
          <w:sz w:val="16"/>
        </w:rPr>
        <w:t xml:space="preserve"> using the best available economic tools—developed, in some cases, decades ago—</w:t>
      </w:r>
      <w:r w:rsidRPr="007C6F3C">
        <w:rPr>
          <w:rStyle w:val="Emphasis"/>
          <w:highlight w:val="cyan"/>
        </w:rPr>
        <w:t>generates</w:t>
      </w:r>
      <w:r w:rsidRPr="007C6F3C">
        <w:rPr>
          <w:rStyle w:val="StyleUnderline"/>
          <w:highlight w:val="cyan"/>
        </w:rPr>
        <w:t xml:space="preserve"> the </w:t>
      </w:r>
      <w:r w:rsidRPr="007C6F3C">
        <w:rPr>
          <w:rStyle w:val="Emphasis"/>
          <w:highlight w:val="cyan"/>
        </w:rPr>
        <w:t>evidence</w:t>
      </w:r>
      <w:r w:rsidRPr="0084634F">
        <w:rPr>
          <w:rStyle w:val="StyleUnderline"/>
        </w:rPr>
        <w:t xml:space="preserve"> needed </w:t>
      </w:r>
      <w:r w:rsidRPr="007C6F3C">
        <w:rPr>
          <w:rStyle w:val="StyleUnderline"/>
          <w:highlight w:val="cyan"/>
        </w:rPr>
        <w:t>to show</w:t>
      </w:r>
      <w:r w:rsidRPr="0084634F">
        <w:rPr>
          <w:rStyle w:val="StyleUnderline"/>
        </w:rPr>
        <w:t xml:space="preserve"> where such </w:t>
      </w:r>
      <w:r w:rsidRPr="007C6F3C">
        <w:rPr>
          <w:rStyle w:val="StyleUnderline"/>
          <w:highlight w:val="cyan"/>
        </w:rPr>
        <w:t>anticompetitive</w:t>
      </w:r>
      <w:r w:rsidRPr="0084634F">
        <w:rPr>
          <w:rStyle w:val="StyleUnderline"/>
        </w:rPr>
        <w:t xml:space="preserve"> </w:t>
      </w:r>
      <w:r w:rsidRPr="007C6F3C">
        <w:rPr>
          <w:rStyle w:val="StyleUnderline"/>
          <w:highlight w:val="cyan"/>
        </w:rPr>
        <w:t>conduct</w:t>
      </w:r>
      <w:r w:rsidRPr="0084634F">
        <w:rPr>
          <w:rStyle w:val="StyleUnderline"/>
        </w:rPr>
        <w:t xml:space="preserve"> is present.</w:t>
      </w:r>
    </w:p>
    <w:p w14:paraId="2D7B1542" w14:textId="77777777" w:rsidR="00456038" w:rsidRPr="007C6F40" w:rsidRDefault="00456038" w:rsidP="00456038">
      <w:pPr>
        <w:pStyle w:val="Heading4"/>
      </w:pPr>
      <w:r>
        <w:t>Lenity in income tax makes tax codes incoherent.</w:t>
      </w:r>
    </w:p>
    <w:p w14:paraId="65EB3DD8" w14:textId="77777777" w:rsidR="00456038" w:rsidRPr="007C6F40" w:rsidRDefault="00456038" w:rsidP="00456038">
      <w:r w:rsidRPr="007C6F40">
        <w:rPr>
          <w:rStyle w:val="Style13ptBold"/>
        </w:rPr>
        <w:t>Grewal 16</w:t>
      </w:r>
      <w:r w:rsidRPr="007C6F40">
        <w:t xml:space="preserve"> (Andy S., Professor and Joseph F. Rosenfield Fellow in Law, 20 Jul 2016, "Why Lenity Has No Place in the Income Tax Laws", University of Missouri School of Law Scholarship Repository, https://scholarship.law.missouri.edu/mlr/vol81/iss4/10/, accessed: 6-21-2020)</w:t>
      </w:r>
    </w:p>
    <w:p w14:paraId="0CB08281" w14:textId="77777777" w:rsidR="00456038" w:rsidRDefault="00456038" w:rsidP="00456038">
      <w:pPr>
        <w:rPr>
          <w:rStyle w:val="StyleUnderline"/>
        </w:rPr>
      </w:pPr>
      <w:r w:rsidRPr="007C6F40">
        <w:rPr>
          <w:sz w:val="16"/>
        </w:rPr>
        <w:t>For ambiguities in Subtitle A of the tax code</w:t>
      </w:r>
      <w:r w:rsidRPr="007C6F40">
        <w:rPr>
          <w:rStyle w:val="StyleUnderline"/>
        </w:rPr>
        <w:t xml:space="preserve">, agency deference doctrines should always trump the rule of lenity because </w:t>
      </w:r>
      <w:r w:rsidRPr="007C6F40">
        <w:rPr>
          <w:rStyle w:val="Emphasis"/>
        </w:rPr>
        <w:t>that rule has no place in the construction of income tax statutes</w:t>
      </w:r>
      <w:r w:rsidRPr="007C6F40">
        <w:rPr>
          <w:sz w:val="16"/>
        </w:rPr>
        <w:t xml:space="preserve">. To understand why this is so, first </w:t>
      </w:r>
      <w:r w:rsidRPr="007C6F40">
        <w:rPr>
          <w:rStyle w:val="StyleUnderline"/>
        </w:rPr>
        <w:t xml:space="preserve">consider some hypothetical non-tax statutes that prohibit or require various behaviors. These statutes </w:t>
      </w:r>
      <w:r w:rsidRPr="007C6F40">
        <w:rPr>
          <w:sz w:val="16"/>
        </w:rPr>
        <w:t>might</w:t>
      </w:r>
      <w:r w:rsidRPr="007C6F40">
        <w:rPr>
          <w:rStyle w:val="StyleUnderline"/>
        </w:rPr>
        <w:t xml:space="preserve"> direct that no person shall travel in excess of</w:t>
      </w:r>
      <w:r w:rsidRPr="007C6F40">
        <w:rPr>
          <w:sz w:val="16"/>
        </w:rPr>
        <w:t xml:space="preserve"> a reasonable </w:t>
      </w:r>
      <w:r w:rsidRPr="007C6F40">
        <w:rPr>
          <w:rStyle w:val="StyleUnderline"/>
        </w:rPr>
        <w:t>speed</w:t>
      </w:r>
      <w:r w:rsidRPr="007C6F40">
        <w:rPr>
          <w:sz w:val="16"/>
        </w:rPr>
        <w:t xml:space="preserve">, </w:t>
      </w:r>
      <w:r w:rsidRPr="007C6F40">
        <w:rPr>
          <w:rStyle w:val="StyleUnderline"/>
        </w:rPr>
        <w:t>that</w:t>
      </w:r>
      <w:r w:rsidRPr="007C6F40">
        <w:rPr>
          <w:sz w:val="16"/>
        </w:rPr>
        <w:t xml:space="preserve"> </w:t>
      </w:r>
      <w:r w:rsidRPr="007C6F40">
        <w:rPr>
          <w:rStyle w:val="StyleUnderline"/>
        </w:rPr>
        <w:t>manufacturers</w:t>
      </w:r>
      <w:r w:rsidRPr="007C6F40">
        <w:rPr>
          <w:sz w:val="16"/>
        </w:rPr>
        <w:t xml:space="preserve"> </w:t>
      </w:r>
      <w:r w:rsidRPr="007C6F40">
        <w:rPr>
          <w:rStyle w:val="StyleUnderline"/>
        </w:rPr>
        <w:t>cannot</w:t>
      </w:r>
      <w:r w:rsidRPr="007C6F40">
        <w:rPr>
          <w:sz w:val="16"/>
        </w:rPr>
        <w:t xml:space="preserve"> </w:t>
      </w:r>
      <w:r w:rsidRPr="007C6F40">
        <w:rPr>
          <w:rStyle w:val="StyleUnderline"/>
        </w:rPr>
        <w:t>emit</w:t>
      </w:r>
      <w:r w:rsidRPr="007C6F40">
        <w:rPr>
          <w:sz w:val="16"/>
        </w:rPr>
        <w:t xml:space="preserve"> </w:t>
      </w:r>
      <w:r w:rsidRPr="007C6F40">
        <w:rPr>
          <w:rStyle w:val="StyleUnderline"/>
        </w:rPr>
        <w:t>pollutants</w:t>
      </w:r>
      <w:r w:rsidRPr="007C6F40">
        <w:rPr>
          <w:sz w:val="16"/>
        </w:rPr>
        <w:t xml:space="preserve"> into the environment, </w:t>
      </w:r>
      <w:r w:rsidRPr="007C6F40">
        <w:rPr>
          <w:rStyle w:val="StyleUnderline"/>
        </w:rPr>
        <w:t>or</w:t>
      </w:r>
      <w:r w:rsidRPr="007C6F40">
        <w:rPr>
          <w:sz w:val="16"/>
        </w:rPr>
        <w:t xml:space="preserve"> </w:t>
      </w:r>
      <w:r w:rsidRPr="007C6F40">
        <w:rPr>
          <w:rStyle w:val="StyleUnderline"/>
        </w:rPr>
        <w:t>that companies that sell stock must make financial disclosure</w:t>
      </w:r>
      <w:r w:rsidRPr="007C6F40">
        <w:rPr>
          <w:sz w:val="16"/>
        </w:rPr>
        <w:t xml:space="preserve">s. For each of these statutes, </w:t>
      </w:r>
      <w:r w:rsidRPr="007C6F40">
        <w:rPr>
          <w:rStyle w:val="StyleUnderline"/>
        </w:rPr>
        <w:t>we can easily identify potential ambiguities</w:t>
      </w:r>
      <w:r w:rsidRPr="007C6F40">
        <w:rPr>
          <w:sz w:val="16"/>
        </w:rPr>
        <w:t xml:space="preserve">, </w:t>
      </w:r>
      <w:r w:rsidRPr="007C6F40">
        <w:rPr>
          <w:rStyle w:val="StyleUnderline"/>
        </w:rPr>
        <w:t>which</w:t>
      </w:r>
      <w:r w:rsidRPr="007C6F40">
        <w:rPr>
          <w:sz w:val="16"/>
        </w:rPr>
        <w:t xml:space="preserve">, if resolved one way rather than the other, </w:t>
      </w:r>
      <w:r w:rsidRPr="007C6F40">
        <w:rPr>
          <w:rStyle w:val="StyleUnderline"/>
        </w:rPr>
        <w:t>would</w:t>
      </w:r>
      <w:r w:rsidRPr="007C6F40">
        <w:rPr>
          <w:sz w:val="16"/>
        </w:rPr>
        <w:t xml:space="preserve"> necessarily </w:t>
      </w:r>
      <w:r w:rsidRPr="007C6F40">
        <w:rPr>
          <w:rStyle w:val="StyleUnderline"/>
        </w:rPr>
        <w:t>favor defendants rather than the governmen</w:t>
      </w:r>
      <w:r w:rsidRPr="007C6F40">
        <w:rPr>
          <w:sz w:val="16"/>
        </w:rPr>
        <w:t xml:space="preserve">t. With the traffic statute, for example, </w:t>
      </w:r>
      <w:r w:rsidRPr="007C6F40">
        <w:rPr>
          <w:rStyle w:val="StyleUnderline"/>
        </w:rPr>
        <w:t>interpreting</w:t>
      </w:r>
      <w:r w:rsidRPr="007C6F40">
        <w:rPr>
          <w:sz w:val="16"/>
        </w:rPr>
        <w:t xml:space="preserve"> “</w:t>
      </w:r>
      <w:r w:rsidRPr="007C6F40">
        <w:rPr>
          <w:rStyle w:val="StyleUnderline"/>
        </w:rPr>
        <w:t>reasonable</w:t>
      </w:r>
      <w:r w:rsidRPr="007C6F40">
        <w:rPr>
          <w:sz w:val="16"/>
        </w:rPr>
        <w:t xml:space="preserve">” </w:t>
      </w:r>
      <w:r w:rsidRPr="007C6F40">
        <w:rPr>
          <w:rStyle w:val="StyleUnderline"/>
        </w:rPr>
        <w:t>to incorporate a higher number rather than a lower number will favor the defendant;</w:t>
      </w:r>
      <w:r w:rsidRPr="007C6F40">
        <w:rPr>
          <w:sz w:val="16"/>
        </w:rPr>
        <w:t xml:space="preserve"> </w:t>
      </w:r>
      <w:r w:rsidRPr="007C6F40">
        <w:rPr>
          <w:rStyle w:val="StyleUnderline"/>
        </w:rPr>
        <w:t xml:space="preserve">with the environmental statute, interpreting a narrower </w:t>
      </w:r>
      <w:r w:rsidRPr="007C6F40">
        <w:rPr>
          <w:sz w:val="16"/>
        </w:rPr>
        <w:t xml:space="preserve">rather than broader </w:t>
      </w:r>
      <w:r w:rsidRPr="007C6F40">
        <w:rPr>
          <w:rStyle w:val="StyleUnderline"/>
        </w:rPr>
        <w:t>definition of “pollutant”</w:t>
      </w:r>
      <w:r w:rsidRPr="007C6F40">
        <w:rPr>
          <w:sz w:val="16"/>
        </w:rPr>
        <w:t xml:space="preserve"> will also </w:t>
      </w:r>
      <w:r w:rsidRPr="007C6F40">
        <w:rPr>
          <w:rStyle w:val="StyleUnderline"/>
        </w:rPr>
        <w:t>favor the defendant</w:t>
      </w:r>
      <w:r w:rsidRPr="007C6F40">
        <w:rPr>
          <w:sz w:val="16"/>
        </w:rPr>
        <w:t xml:space="preserve">; </w:t>
      </w:r>
      <w:r w:rsidRPr="007C6F40">
        <w:rPr>
          <w:rStyle w:val="StyleUnderline"/>
        </w:rPr>
        <w:t>and with the securities statute</w:t>
      </w:r>
      <w:r w:rsidRPr="007C6F40">
        <w:rPr>
          <w:sz w:val="16"/>
        </w:rPr>
        <w:t xml:space="preserve">, </w:t>
      </w:r>
      <w:r w:rsidRPr="007C6F40">
        <w:rPr>
          <w:rStyle w:val="StyleUnderline"/>
        </w:rPr>
        <w:t>a narrower</w:t>
      </w:r>
      <w:r w:rsidRPr="007C6F40">
        <w:rPr>
          <w:sz w:val="16"/>
        </w:rPr>
        <w:t xml:space="preserve"> rather than broader </w:t>
      </w:r>
      <w:r w:rsidRPr="007C6F40">
        <w:rPr>
          <w:rStyle w:val="StyleUnderline"/>
        </w:rPr>
        <w:t>definition of “stock”</w:t>
      </w:r>
      <w:r w:rsidRPr="007C6F40">
        <w:rPr>
          <w:sz w:val="16"/>
        </w:rPr>
        <w:t xml:space="preserve"> </w:t>
      </w:r>
      <w:r w:rsidRPr="007C6F40">
        <w:rPr>
          <w:rStyle w:val="StyleUnderline"/>
        </w:rPr>
        <w:t>would</w:t>
      </w:r>
      <w:r w:rsidRPr="007C6F40">
        <w:rPr>
          <w:sz w:val="16"/>
        </w:rPr>
        <w:t xml:space="preserve"> similarly </w:t>
      </w:r>
      <w:r w:rsidRPr="007C6F40">
        <w:rPr>
          <w:rStyle w:val="StyleUnderline"/>
        </w:rPr>
        <w:t>favor the defendant</w:t>
      </w:r>
      <w:r w:rsidRPr="007C6F40">
        <w:rPr>
          <w:sz w:val="16"/>
        </w:rPr>
        <w:t xml:space="preserve">. In other words, for each statute, </w:t>
      </w:r>
      <w:r w:rsidRPr="007C6F40">
        <w:rPr>
          <w:rStyle w:val="StyleUnderline"/>
        </w:rPr>
        <w:t>we can easily determine which way the rule of lenity would run</w:t>
      </w:r>
      <w:r w:rsidRPr="007C6F40">
        <w:rPr>
          <w:sz w:val="16"/>
        </w:rPr>
        <w:t xml:space="preserve"> </w:t>
      </w:r>
      <w:r w:rsidRPr="007C6F40">
        <w:rPr>
          <w:rStyle w:val="StyleUnderline"/>
        </w:rPr>
        <w:t>because</w:t>
      </w:r>
      <w:r w:rsidRPr="007C6F40">
        <w:rPr>
          <w:sz w:val="16"/>
        </w:rPr>
        <w:t xml:space="preserve"> </w:t>
      </w:r>
      <w:r w:rsidRPr="007C6F40">
        <w:rPr>
          <w:rStyle w:val="StyleUnderline"/>
        </w:rPr>
        <w:t>each</w:t>
      </w:r>
      <w:r w:rsidRPr="007C6F40">
        <w:rPr>
          <w:sz w:val="16"/>
        </w:rPr>
        <w:t xml:space="preserve"> </w:t>
      </w:r>
      <w:r w:rsidRPr="007C6F40">
        <w:rPr>
          <w:rStyle w:val="StyleUnderline"/>
        </w:rPr>
        <w:t>prohibits</w:t>
      </w:r>
      <w:r w:rsidRPr="007C6F40">
        <w:rPr>
          <w:sz w:val="16"/>
        </w:rPr>
        <w:t xml:space="preserve"> </w:t>
      </w:r>
      <w:r w:rsidRPr="007C6F40">
        <w:rPr>
          <w:rStyle w:val="StyleUnderline"/>
        </w:rPr>
        <w:t>or</w:t>
      </w:r>
      <w:r w:rsidRPr="007C6F40">
        <w:rPr>
          <w:sz w:val="16"/>
        </w:rPr>
        <w:t xml:space="preserve"> </w:t>
      </w:r>
      <w:r w:rsidRPr="007C6F40">
        <w:rPr>
          <w:rStyle w:val="StyleUnderline"/>
        </w:rPr>
        <w:t>requires</w:t>
      </w:r>
      <w:r w:rsidRPr="007C6F40">
        <w:rPr>
          <w:sz w:val="16"/>
        </w:rPr>
        <w:t xml:space="preserve"> </w:t>
      </w:r>
      <w:r w:rsidRPr="007C6F40">
        <w:rPr>
          <w:rStyle w:val="StyleUnderline"/>
        </w:rPr>
        <w:t>specific</w:t>
      </w:r>
      <w:r w:rsidRPr="007C6F40">
        <w:rPr>
          <w:sz w:val="16"/>
        </w:rPr>
        <w:t xml:space="preserve"> </w:t>
      </w:r>
      <w:r w:rsidRPr="007C6F40">
        <w:rPr>
          <w:rStyle w:val="StyleUnderline"/>
        </w:rPr>
        <w:t>actions</w:t>
      </w:r>
      <w:r w:rsidRPr="007C6F40">
        <w:rPr>
          <w:sz w:val="16"/>
        </w:rPr>
        <w:t>. But</w:t>
      </w:r>
      <w:r w:rsidRPr="007C6F40">
        <w:rPr>
          <w:rStyle w:val="StyleUnderline"/>
        </w:rPr>
        <w:t xml:space="preserve"> we cannot do that with Subtitle A </w:t>
      </w:r>
      <w:r w:rsidRPr="007C6F40">
        <w:rPr>
          <w:sz w:val="16"/>
        </w:rPr>
        <w:t xml:space="preserve">of the tax code. The </w:t>
      </w:r>
      <w:r w:rsidRPr="007C6F40">
        <w:rPr>
          <w:rStyle w:val="StyleUnderline"/>
        </w:rPr>
        <w:t>income tax provisions</w:t>
      </w:r>
      <w:r w:rsidRPr="007C6F40">
        <w:rPr>
          <w:sz w:val="16"/>
        </w:rPr>
        <w:t xml:space="preserve">, unlike the provisions at issue in Thompson/Center Arms, </w:t>
      </w:r>
      <w:r w:rsidRPr="007C6F40">
        <w:rPr>
          <w:rStyle w:val="StyleUnderline"/>
        </w:rPr>
        <w:t>do not actually prohibit or require any type of behavior and instead attach consequences</w:t>
      </w:r>
      <w:r w:rsidRPr="007C6F40">
        <w:rPr>
          <w:sz w:val="16"/>
        </w:rPr>
        <w:t xml:space="preserve"> to different actions.38 </w:t>
      </w:r>
      <w:r w:rsidRPr="007C6F40">
        <w:rPr>
          <w:rStyle w:val="StyleUnderline"/>
        </w:rPr>
        <w:t>Section 162(c),</w:t>
      </w:r>
      <w:r w:rsidRPr="007C6F40">
        <w:rPr>
          <w:sz w:val="16"/>
        </w:rPr>
        <w:t xml:space="preserve"> for example, states that no deduction will be allowed for bribes, kickbacks, and other illegal payments.39 However, this statute </w:t>
      </w:r>
      <w:r w:rsidRPr="007C6F40">
        <w:rPr>
          <w:rStyle w:val="StyleUnderline"/>
        </w:rPr>
        <w:t>does not criminalize the payment of a bribe or kickback</w:t>
      </w:r>
      <w:r w:rsidRPr="007C6F40">
        <w:rPr>
          <w:sz w:val="16"/>
        </w:rPr>
        <w:t>. If a person makes such a payment, he will be prosecuted under the criminal laws, if at all. To establish that someone violated the tax laws, the government could not look to § 162(c).40 Rather, a taxpayer breaks the tax law only when violating some type of prohibition or requirement under the code.41 For example</w:t>
      </w:r>
      <w:r w:rsidRPr="007C6F40">
        <w:rPr>
          <w:rStyle w:val="StyleUnderline"/>
        </w:rPr>
        <w:t>, § 6012</w:t>
      </w:r>
      <w:r w:rsidRPr="007C6F40">
        <w:rPr>
          <w:sz w:val="16"/>
        </w:rPr>
        <w:t xml:space="preserve"> (codified in Subtitle F) states that “returns with respect to income taxes under subtitle A shall be made by” the various persons subject to tax.42 This provision actually </w:t>
      </w:r>
      <w:r w:rsidRPr="007C6F40">
        <w:rPr>
          <w:rStyle w:val="StyleUnderline"/>
        </w:rPr>
        <w:t>requires</w:t>
      </w:r>
      <w:r w:rsidRPr="007C6F40">
        <w:rPr>
          <w:sz w:val="16"/>
        </w:rPr>
        <w:t xml:space="preserve"> </w:t>
      </w:r>
      <w:r w:rsidRPr="007C6F40">
        <w:rPr>
          <w:rStyle w:val="StyleUnderline"/>
        </w:rPr>
        <w:t xml:space="preserve">the filing of a tax return that accurately reports taxable income,43 and a failure to comply with § 6012, not § 162(c), </w:t>
      </w:r>
      <w:r w:rsidRPr="007C6F40">
        <w:rPr>
          <w:rStyle w:val="StyleUnderline"/>
          <w:sz w:val="12"/>
        </w:rPr>
        <w:t xml:space="preserve"> </w:t>
      </w:r>
      <w:r w:rsidRPr="007C6F40">
        <w:rPr>
          <w:sz w:val="16"/>
        </w:rPr>
        <w:t xml:space="preserve">creates potential criminal tax consequences.44 And it is only statutes like § 6012, which require specific actions, to which the rule of lenity can sensibly apply. To further illustrate this, consider a simple statute that offers nothing more than a definition of “fruit.” Also suppose that it remains ambiguous whether the statute’s definition reaches tomatoes. </w:t>
      </w:r>
      <w:r w:rsidRPr="007C6F40">
        <w:rPr>
          <w:rStyle w:val="StyleUnderline"/>
        </w:rPr>
        <w:t xml:space="preserve">If a court were asked to determine the most lenient interpretation of this definitional statute, it would be helpless. </w:t>
      </w:r>
      <w:r w:rsidRPr="007C6F40">
        <w:rPr>
          <w:sz w:val="16"/>
        </w:rPr>
        <w:t xml:space="preserve">Whether including or excluding fruits reflects a lenient interpretation would depend on the content of some other operative statute. That is, if some operative statute made it a crime to import fruits, a lenient interpretation would exclude tomatoes from the definition. But if the operative statute shielded the importation of fruits from criminal consequences (but criminalized, for example, the importation of vegetables), then a lenient interpretation would include tomatoes in the definition. And if some statutes accorded advantaged status to fruits and others accorded disadvantaged status to them, there would be no single lenient interpretation. </w:t>
      </w:r>
      <w:r w:rsidRPr="007C6F40">
        <w:rPr>
          <w:rStyle w:val="StyleUnderline"/>
        </w:rPr>
        <w:t>When it comes to the income tax laws, a similar principle applies</w:t>
      </w:r>
      <w:r w:rsidRPr="007C6F40">
        <w:rPr>
          <w:sz w:val="16"/>
        </w:rPr>
        <w:t xml:space="preserve">. </w:t>
      </w:r>
      <w:r w:rsidRPr="007C6F40">
        <w:rPr>
          <w:rStyle w:val="StyleUnderline"/>
        </w:rPr>
        <w:t>Most taxpayers might prefer to exclude an item from gross income under § 61, but other taxpayers might favor inclusion.</w:t>
      </w:r>
      <w:r w:rsidRPr="007C6F40">
        <w:rPr>
          <w:sz w:val="16"/>
        </w:rPr>
        <w:t xml:space="preserve">45 Also, most taxpayers might prefer to immediately deduct expenses under § 162, but other taxpayers might prefer to capitalize those expenses.46 In other words, </w:t>
      </w:r>
      <w:r w:rsidRPr="007C6F40">
        <w:rPr>
          <w:rStyle w:val="StyleUnderline"/>
        </w:rPr>
        <w:t>the income tax laws do not yield a single lenient interpretation</w:t>
      </w:r>
      <w:r w:rsidRPr="007C6F40">
        <w:rPr>
          <w:sz w:val="16"/>
        </w:rPr>
        <w:t xml:space="preserve"> – </w:t>
      </w:r>
      <w:r w:rsidRPr="007C6F40">
        <w:rPr>
          <w:rStyle w:val="StyleUnderline"/>
        </w:rPr>
        <w:t>what might be good for one taxpayer might be bad for another</w:t>
      </w:r>
      <w:r w:rsidRPr="007C6F40">
        <w:rPr>
          <w:sz w:val="16"/>
        </w:rPr>
        <w:t xml:space="preserve">.47 A statute that figured heavily in the recent criminal tax shelter wave further illustrates this. Whether the so-called Bond Linked Issue Premium Structure (“BLIPS”) shelter generated the desired tax benefits depended, in large part, on § 752 of the tax code, which attaches consequences to partner partnership transactions involving “liabilities.”48 In a case decided in the 1970s, Helmer v. Commissioner, 49 the tax court held that contingent liabilities did not qualify as liabilities under § 752.50 This interpretation negatively affected the taxpayer, and the IRS won that dispute.51 However, in the 1990s, some tax advisers realized that if § 752 did not reach contingent liabilities, they could create transactions that generated massive artificial losses.52 They consequently advised their clients to participate in the BLIPS transaction.53 The government, obviously upset with this, engaged in massive enforcement efforts, collecting billions of dollars in civil penalties from taxpayers and pursuing criminal prosecutions against the advisers who concocted BLIPS and similar transactions.54 </w:t>
      </w:r>
      <w:r w:rsidRPr="007C6F40">
        <w:rPr>
          <w:rStyle w:val="StyleUnderline"/>
        </w:rPr>
        <w:t>Though the criminal litigation over BLIPS has largely wrapped up, commentators had earlier suggested that the rule of lenity could influence a court’s interpretation of § 752 and, thus, the shelter’s validity</w:t>
      </w:r>
      <w:r w:rsidRPr="007C6F40">
        <w:rPr>
          <w:sz w:val="16"/>
        </w:rPr>
        <w:t>.55 However</w:t>
      </w:r>
      <w:r w:rsidRPr="007C6F40">
        <w:rPr>
          <w:rStyle w:val="StyleUnderline"/>
        </w:rPr>
        <w:t>, had a court done so, it would have erred</w:t>
      </w:r>
      <w:r w:rsidRPr="007C6F40">
        <w:rPr>
          <w:sz w:val="16"/>
        </w:rPr>
        <w:t xml:space="preserve">. As § 752’s history shows, there is no single defendant-friendly interpretation of the statute.56 If a court tried to apply the rule of lenity to BLIPS participants, it would hold that contingent liabilities fall outside of § 752. But if it applied that holding to taxpayers situated like those in Helmer, its supposed rule of lenity would actually amount to a rule of severity. One might cleverly respond that, in applying the rule of lenity, a court could tilt the statute one way in cases involving BLIPS transactions and tilt it the other way in cases involving Helmer-type transactions. </w:t>
      </w:r>
      <w:r w:rsidRPr="007C6F40">
        <w:rPr>
          <w:rStyle w:val="StyleUnderline"/>
        </w:rPr>
        <w:t>However, the rule of lenity does not reflect a blunt, equitable tool intended to aid particular defendants</w:t>
      </w:r>
      <w:r w:rsidRPr="007C6F40">
        <w:rPr>
          <w:sz w:val="16"/>
        </w:rPr>
        <w:t xml:space="preserve"> in particular cases. Rather, </w:t>
      </w:r>
      <w:r w:rsidRPr="007C6F40">
        <w:rPr>
          <w:rStyle w:val="StyleUnderline"/>
        </w:rPr>
        <w:t>it is a canon of statutory construction intended to help determine the meaning of enacted language</w:t>
      </w:r>
      <w:r w:rsidRPr="007C6F40">
        <w:rPr>
          <w:sz w:val="16"/>
        </w:rPr>
        <w:t xml:space="preserve">.57 And the meaning of a statute’s language cannot change, chameleon-like, depending on the identity of particular defendants. To determine a single lenient interpretation of an income tax provision, a court might adopt whatever construction would favor most taxpayers, most of the time. However, </w:t>
      </w:r>
      <w:r w:rsidRPr="007C6F40">
        <w:rPr>
          <w:rStyle w:val="StyleUnderline"/>
        </w:rPr>
        <w:t>this approach would lead to strange results</w:t>
      </w:r>
      <w:r w:rsidRPr="007C6F40">
        <w:rPr>
          <w:sz w:val="16"/>
        </w:rPr>
        <w:t>. Suppose, for example, that it is ambiguous under § 302(b)(1) whether a particular type of distribution should be treated as a payment made in exchange for stock or should instead be treated as a dividend.59 Assume that most taxpayers, most of the time, prefer exchange treatment, and most taxpayers file their tax returns accordingly. However, some taxpayers take a cautious approach and report dividend treatment.60 Other taxpayers find that dividend treatment actually provides benefits, and they report that treatment not out of caution, but rather with the intent to evade taxes</w:t>
      </w:r>
      <w:r w:rsidRPr="007C6F40">
        <w:rPr>
          <w:rStyle w:val="StyleUnderline"/>
        </w:rPr>
        <w:t>. If a criminal case arose involving the taxpayers who attempted to evade taxes by reporting dividend treatment</w:t>
      </w:r>
      <w:r w:rsidRPr="007C6F40">
        <w:rPr>
          <w:sz w:val="16"/>
        </w:rPr>
        <w:t xml:space="preserve">, </w:t>
      </w:r>
      <w:r w:rsidRPr="007C6F40">
        <w:rPr>
          <w:rStyle w:val="StyleUnderline"/>
        </w:rPr>
        <w:t>a court</w:t>
      </w:r>
      <w:r w:rsidRPr="007C6F40">
        <w:rPr>
          <w:sz w:val="16"/>
        </w:rPr>
        <w:t xml:space="preserve"> </w:t>
      </w:r>
      <w:r w:rsidRPr="007C6F40">
        <w:rPr>
          <w:rStyle w:val="StyleUnderline"/>
        </w:rPr>
        <w:t>applying</w:t>
      </w:r>
      <w:r w:rsidRPr="007C6F40">
        <w:rPr>
          <w:sz w:val="16"/>
        </w:rPr>
        <w:t xml:space="preserve"> a general approach to</w:t>
      </w:r>
      <w:r w:rsidRPr="007C6F40">
        <w:rPr>
          <w:rStyle w:val="StyleUnderline"/>
        </w:rPr>
        <w:t xml:space="preserve"> the rule of lenity</w:t>
      </w:r>
      <w:r w:rsidRPr="007C6F40">
        <w:rPr>
          <w:sz w:val="16"/>
        </w:rPr>
        <w:t xml:space="preserve"> (an approach under which it adopts the interpretation that is favorable to most taxpayers, most of the time) </w:t>
      </w:r>
      <w:r w:rsidRPr="007C6F40">
        <w:rPr>
          <w:rStyle w:val="StyleUnderline"/>
        </w:rPr>
        <w:t>would find that the statute mandated exchange treatment for the distribution at issue.</w:t>
      </w:r>
      <w:r w:rsidRPr="007C6F40">
        <w:rPr>
          <w:sz w:val="16"/>
        </w:rPr>
        <w:t xml:space="preserve"> In doing so, </w:t>
      </w:r>
      <w:r w:rsidRPr="007C6F40">
        <w:rPr>
          <w:rStyle w:val="StyleUnderline"/>
        </w:rPr>
        <w:t>the court would have used the rule of lenity to find for the government</w:t>
      </w:r>
      <w:r w:rsidRPr="007C6F40">
        <w:rPr>
          <w:sz w:val="16"/>
        </w:rPr>
        <w:t xml:space="preserve"> – a strange result. Also, </w:t>
      </w:r>
      <w:r w:rsidRPr="007C6F40">
        <w:rPr>
          <w:rStyle w:val="StyleUnderline"/>
        </w:rPr>
        <w:t>the cautious taxpayers who reported dividend treatment, without seeking any tax advantage, would be punished</w:t>
      </w:r>
      <w:r w:rsidRPr="007C6F40">
        <w:rPr>
          <w:sz w:val="16"/>
        </w:rPr>
        <w:t xml:space="preserve">. </w:t>
      </w:r>
      <w:r w:rsidRPr="007C6F40">
        <w:rPr>
          <w:rStyle w:val="Emphasis"/>
        </w:rPr>
        <w:t>The rule of lenity should not be used in this context</w:t>
      </w:r>
      <w:r w:rsidRPr="007C6F40">
        <w:rPr>
          <w:sz w:val="16"/>
        </w:rPr>
        <w:t xml:space="preserve">. </w:t>
      </w:r>
      <w:r w:rsidRPr="007C6F40">
        <w:rPr>
          <w:rStyle w:val="StyleUnderline"/>
        </w:rPr>
        <w:t>If a statute affects different taxpayers differently, there will be no such thing as a universally favorable interpretation</w:t>
      </w:r>
      <w:r w:rsidRPr="007C6F40">
        <w:rPr>
          <w:sz w:val="16"/>
        </w:rPr>
        <w:t xml:space="preserve">. Agency deference doctrines and other principles of construction should apply to statutes like the income tax provisions, which impose no prohibitions or requirements. Arguably, in a future case involving a dual enforcement statute, the Court need not worry about the tax system and need not make any carve outs. Historically, </w:t>
      </w:r>
      <w:r w:rsidRPr="007C6F40">
        <w:rPr>
          <w:rStyle w:val="StyleUnderline"/>
        </w:rPr>
        <w:t>administrative law pronouncements issued in non-tax cases have not disrupted or even necessarily had major effects on the tax laws</w:t>
      </w:r>
      <w:r w:rsidRPr="007C6F40">
        <w:rPr>
          <w:sz w:val="16"/>
        </w:rPr>
        <w:t xml:space="preserve">.61 Consequently, the tax laws might be insulated from any general Court holding on the rule of lenity and agency deference. However, in light of recent developments, the Court should take a cautious approach. Specifically, in Mayo v. United States, the Court declined to “carve out an approach to administrative review good for tax law only” when it decided that the Chevron doctrine displaced tax-specific deference doctrines.62 With that in mind, </w:t>
      </w:r>
      <w:r w:rsidRPr="007C6F40">
        <w:rPr>
          <w:rStyle w:val="StyleUnderline"/>
        </w:rPr>
        <w:t>if the Court generally holds that the rule of lenity trumps agency deference doctrines, lower courts may improperly apply that holding in cases involving the IRS</w:t>
      </w:r>
      <w:r w:rsidRPr="007C6F40">
        <w:rPr>
          <w:sz w:val="16"/>
        </w:rPr>
        <w:t xml:space="preserve">. Also, </w:t>
      </w:r>
      <w:r w:rsidRPr="007C6F40">
        <w:rPr>
          <w:rStyle w:val="StyleUnderline"/>
        </w:rPr>
        <w:t xml:space="preserve">the law on </w:t>
      </w:r>
      <w:r w:rsidRPr="007C6F40">
        <w:rPr>
          <w:rStyle w:val="Emphasis"/>
        </w:rPr>
        <w:t>the rule of lenity and the income tax provisions remains underdeveloped</w:t>
      </w:r>
      <w:r w:rsidRPr="007C6F40">
        <w:rPr>
          <w:rStyle w:val="StyleUnderline"/>
        </w:rPr>
        <w:t>, which would amplify the effect of any general Court guidance on the issues.</w:t>
      </w:r>
      <w:r w:rsidRPr="007C6F40">
        <w:rPr>
          <w:sz w:val="16"/>
        </w:rPr>
        <w:t xml:space="preserve"> </w:t>
      </w:r>
      <w:r w:rsidRPr="007C6F40">
        <w:rPr>
          <w:rStyle w:val="StyleUnderline"/>
        </w:rPr>
        <w:t>Criminal tax cases have historically involved egregious transactions that do not present challenging questions of income tax law, so courts have had few occasions to construe ambiguous income tax provisions in the criminal context.</w:t>
      </w:r>
      <w:r w:rsidRPr="007C6F40">
        <w:rPr>
          <w:sz w:val="16"/>
        </w:rPr>
        <w:t xml:space="preserve"> And until recently</w:t>
      </w:r>
      <w:r w:rsidRPr="007C6F40">
        <w:rPr>
          <w:rStyle w:val="StyleUnderline"/>
        </w:rPr>
        <w:t>, some courts cabined off criminal income tax cases from civil cases by holding that the meaning of a statute could change depending on the context</w:t>
      </w:r>
      <w:r>
        <w:rPr>
          <w:rStyle w:val="StyleUnderline"/>
        </w:rPr>
        <w:t>.</w:t>
      </w:r>
    </w:p>
    <w:p w14:paraId="069F7276" w14:textId="15A8F716" w:rsidR="00586EDF" w:rsidRDefault="00586EDF" w:rsidP="00586EDF">
      <w:pPr>
        <w:pStyle w:val="Heading4"/>
      </w:pPr>
      <w:r>
        <w:t>They ensure business confidence.</w:t>
      </w:r>
    </w:p>
    <w:p w14:paraId="5C093A05" w14:textId="77777777" w:rsidR="00586EDF" w:rsidRPr="00C44619" w:rsidRDefault="00586EDF" w:rsidP="00586EDF">
      <w:r>
        <w:rPr>
          <w:rStyle w:val="Style13ptBold"/>
        </w:rPr>
        <w:t xml:space="preserve">Lipsky 14 — </w:t>
      </w:r>
      <w:r w:rsidRPr="007F2E64">
        <w:t>Michael Lipsky is a former Professor of Political Science, Massachusetts Institute of Technology</w:t>
      </w:r>
      <w:r>
        <w:t xml:space="preserve">, and </w:t>
      </w:r>
      <w:r w:rsidRPr="007F2E64">
        <w:t>Former Foundation Official, Ford Foundation</w:t>
      </w:r>
      <w:r>
        <w:t xml:space="preserve">. Lipsky currently serves as the Chair of the IBP board, and on the board of governors of Honoring Nations, the Harvard University project. (“Rulemaking as a Tool of Democracy: Reclaiming the Debate on Regulation” Desmos, December 2014. </w:t>
      </w:r>
      <w:hyperlink r:id="rId248" w:history="1">
        <w:r>
          <w:rPr>
            <w:rStyle w:val="Hyperlink"/>
          </w:rPr>
          <w:t>https://www./sites/default/files/publications/Rulemaking%20as%20a%20Tool%20of%20Democracy.pdf</w:t>
        </w:r>
      </w:hyperlink>
      <w:r>
        <w:t>)//JLPark</w:t>
      </w:r>
    </w:p>
    <w:p w14:paraId="6903AD9A" w14:textId="77777777" w:rsidR="00586EDF" w:rsidRPr="00C44619" w:rsidRDefault="00586EDF" w:rsidP="00586EDF">
      <w:pPr>
        <w:rPr>
          <w:rStyle w:val="Emphasis"/>
        </w:rPr>
      </w:pPr>
      <w:r w:rsidRPr="00C44619">
        <w:rPr>
          <w:rStyle w:val="Emphasis"/>
        </w:rPr>
        <w:t>Rules are Good for Business</w:t>
      </w:r>
    </w:p>
    <w:p w14:paraId="4D27DA57" w14:textId="77777777" w:rsidR="00586EDF" w:rsidRPr="00C44619" w:rsidRDefault="00586EDF" w:rsidP="00586EDF">
      <w:pPr>
        <w:rPr>
          <w:sz w:val="14"/>
        </w:rPr>
      </w:pPr>
      <w:r w:rsidRPr="00C44619">
        <w:rPr>
          <w:sz w:val="14"/>
        </w:rPr>
        <w:t xml:space="preserve">Although American business interests regularly complain that regulation hurts the economy, some of </w:t>
      </w:r>
      <w:r w:rsidRPr="00C44619">
        <w:rPr>
          <w:rStyle w:val="StyleUnderline"/>
        </w:rPr>
        <w:t>the most important benefits of regulation are enjoyed by</w:t>
      </w:r>
      <w:r w:rsidRPr="00C44619">
        <w:rPr>
          <w:sz w:val="14"/>
        </w:rPr>
        <w:t xml:space="preserve"> the </w:t>
      </w:r>
      <w:r w:rsidRPr="00C44619">
        <w:rPr>
          <w:rStyle w:val="StyleUnderline"/>
        </w:rPr>
        <w:t>business</w:t>
      </w:r>
      <w:r w:rsidRPr="00C44619">
        <w:rPr>
          <w:sz w:val="14"/>
        </w:rPr>
        <w:t xml:space="preserve"> sector. For example, </w:t>
      </w:r>
      <w:r w:rsidRPr="00C44619">
        <w:rPr>
          <w:rStyle w:val="StyleUnderline"/>
        </w:rPr>
        <w:t>sound regulations contribute to stable commercial environments</w:t>
      </w:r>
      <w:r w:rsidRPr="00C44619">
        <w:rPr>
          <w:sz w:val="14"/>
        </w:rPr>
        <w:t xml:space="preserve">, </w:t>
      </w:r>
      <w:r w:rsidRPr="00C44619">
        <w:rPr>
          <w:rStyle w:val="StyleUnderline"/>
        </w:rPr>
        <w:t>allowing businesses to plan for the future</w:t>
      </w:r>
      <w:r w:rsidRPr="00C44619">
        <w:rPr>
          <w:sz w:val="14"/>
        </w:rPr>
        <w:t xml:space="preserve"> with confidence. When master investor Warren Buffett decided to buy stock in electric utilities and railroads, a key factor in his decision, reportedly, was that, as heavily regulated public utilities, those companies might be expected to enjoy a high degree of stability.18</w:t>
      </w:r>
    </w:p>
    <w:p w14:paraId="0CF01CF1" w14:textId="77777777" w:rsidR="00586EDF" w:rsidRPr="00C44619" w:rsidRDefault="00586EDF" w:rsidP="00586EDF">
      <w:pPr>
        <w:rPr>
          <w:sz w:val="14"/>
        </w:rPr>
      </w:pPr>
      <w:r w:rsidRPr="00C44619">
        <w:rPr>
          <w:rStyle w:val="StyleUnderline"/>
        </w:rPr>
        <w:t xml:space="preserve">Businesses also benefit from the </w:t>
      </w:r>
      <w:r w:rsidRPr="00C44619">
        <w:rPr>
          <w:rStyle w:val="Emphasis"/>
        </w:rPr>
        <w:t>contribution of regulation to consumer confidence</w:t>
      </w:r>
      <w:r w:rsidRPr="00C44619">
        <w:rPr>
          <w:sz w:val="14"/>
        </w:rPr>
        <w:t>. People shop at supermarkets without questioning whether their purchases are safe to eat. They buy over-thecounter medicines with the same habitual comfort. Who would feed a can of beans to their children if they did not know that systems of food safety were in place?</w:t>
      </w:r>
    </w:p>
    <w:p w14:paraId="7292FB27" w14:textId="77777777" w:rsidR="00586EDF" w:rsidRPr="00C44619" w:rsidRDefault="00586EDF" w:rsidP="00586EDF">
      <w:pPr>
        <w:rPr>
          <w:sz w:val="14"/>
        </w:rPr>
      </w:pPr>
      <w:r w:rsidRPr="00C44619">
        <w:rPr>
          <w:rStyle w:val="StyleUnderline"/>
        </w:rPr>
        <w:t>There was a time when processed food and drugs were not held to any standards</w:t>
      </w:r>
      <w:r w:rsidRPr="00C44619">
        <w:rPr>
          <w:sz w:val="14"/>
        </w:rPr>
        <w:t xml:space="preserve">. In the early years of the 20th century, the predecessor to the Food and Drug Administration pursued companies that put decomposing tomatoes into bottled ketchup and parts of dead horses into lunch meats. In 1937, a Tennessee provider of one of the new sulfa miracle drugs was able to send an untested version to market that killed over 100 people before the FDA mobilized a campaign to inform doctors of the threat and was able to remove the product from drugstores.19 </w:t>
      </w:r>
      <w:r w:rsidRPr="00C44619">
        <w:rPr>
          <w:rStyle w:val="StyleUnderline"/>
        </w:rPr>
        <w:t>A key factor in the growth of the American drug industry was congressional action that prevented medicine manufacturers from making false or unsupported claims about their products</w:t>
      </w:r>
      <w:r w:rsidRPr="00C44619">
        <w:rPr>
          <w:sz w:val="14"/>
        </w:rPr>
        <w:t>. This development led to the discrediting of ineffective elixirs and potions and the beginnings of modern pharmaceutical research.</w:t>
      </w:r>
    </w:p>
    <w:p w14:paraId="0BB9EA74" w14:textId="77777777" w:rsidR="00586EDF" w:rsidRPr="00C44619" w:rsidRDefault="00586EDF" w:rsidP="00586EDF">
      <w:pPr>
        <w:rPr>
          <w:sz w:val="14"/>
          <w:szCs w:val="14"/>
        </w:rPr>
      </w:pPr>
      <w:r w:rsidRPr="00C44619">
        <w:rPr>
          <w:rStyle w:val="StyleUnderline"/>
        </w:rPr>
        <w:t>Business leaders are well served by the regulatory regime for additional reasons</w:t>
      </w:r>
      <w:r w:rsidRPr="00C44619">
        <w:rPr>
          <w:sz w:val="14"/>
        </w:rPr>
        <w:t xml:space="preserve">. </w:t>
      </w:r>
      <w:r w:rsidRPr="00C44619">
        <w:rPr>
          <w:rStyle w:val="StyleUnderline"/>
        </w:rPr>
        <w:t>Businesses are often glad to let taxpayers pay the expenses of insuring strong health and safety standards</w:t>
      </w:r>
      <w:r w:rsidRPr="00C44619">
        <w:rPr>
          <w:sz w:val="14"/>
        </w:rPr>
        <w:t>. A case in point arose in the summer of 2009, when nine people died and hundreds were sickened in a salmonella outbreak that was traced to contamination at a Georgia facility of the Peanut Corporation of America. The Kellogg Company, the largest purveyor of processed peanuts in the country, recalled seven million cases of Keebler 13 • cookies and other peanut-based p</w:t>
      </w:r>
      <w:r w:rsidRPr="00C44619">
        <w:rPr>
          <w:sz w:val="14"/>
          <w:szCs w:val="14"/>
        </w:rPr>
        <w:t>roducts during this period.</w:t>
      </w:r>
    </w:p>
    <w:p w14:paraId="76640B2D" w14:textId="77777777" w:rsidR="00586EDF" w:rsidRPr="00C44619" w:rsidRDefault="00586EDF" w:rsidP="00586EDF">
      <w:pPr>
        <w:rPr>
          <w:sz w:val="14"/>
          <w:szCs w:val="14"/>
        </w:rPr>
      </w:pPr>
      <w:r w:rsidRPr="00C44619">
        <w:rPr>
          <w:sz w:val="14"/>
          <w:szCs w:val="14"/>
        </w:rPr>
        <w:t>In his testimony on the recall before Congress, David Mackay, then President of Kellogg, asked the federal government to play a greater role in food safety inspection. He urged Congress to establish a single agency with responsibility for food safety, to undertake annual inspections of food processing plants that were particularly vulnerable to disease outbreaks, and to enact into law federal authority to recall food products directly (instead of relying on voluntary compliance). He explained that the task of inspecting all of the peanut processing plants in its supply chain was beyond his company’s capacity.20</w:t>
      </w:r>
    </w:p>
    <w:p w14:paraId="770DAF89" w14:textId="77777777" w:rsidR="00586EDF" w:rsidRPr="00C44619" w:rsidRDefault="00586EDF" w:rsidP="00586EDF">
      <w:pPr>
        <w:rPr>
          <w:sz w:val="14"/>
        </w:rPr>
      </w:pPr>
      <w:r w:rsidRPr="00C44619">
        <w:rPr>
          <w:sz w:val="14"/>
        </w:rPr>
        <w:t xml:space="preserve">Partly </w:t>
      </w:r>
      <w:r w:rsidRPr="00C44619">
        <w:rPr>
          <w:rStyle w:val="StyleUnderline"/>
        </w:rPr>
        <w:t>in response to the peanut crisis</w:t>
      </w:r>
      <w:r w:rsidRPr="00C44619">
        <w:rPr>
          <w:sz w:val="14"/>
        </w:rPr>
        <w:t xml:space="preserve">, the </w:t>
      </w:r>
      <w:r w:rsidRPr="00C44619">
        <w:rPr>
          <w:rStyle w:val="StyleUnderline"/>
        </w:rPr>
        <w:t>Congress adopted the Food Safety and Modernization Act</w:t>
      </w:r>
      <w:r w:rsidRPr="00C44619">
        <w:rPr>
          <w:sz w:val="14"/>
        </w:rPr>
        <w:t xml:space="preserve"> in 2011. The FSMA was shaped in part and later praised by the industry trade group, the Grocery Manufacturers Association, because it would “</w:t>
      </w:r>
      <w:r w:rsidRPr="00C44619">
        <w:rPr>
          <w:rStyle w:val="StyleUnderline"/>
        </w:rPr>
        <w:t>increase consumer confidence in the food they eat</w:t>
      </w:r>
      <w:r w:rsidRPr="00C44619">
        <w:rPr>
          <w:sz w:val="14"/>
        </w:rPr>
        <w:t>.”21</w:t>
      </w:r>
    </w:p>
    <w:p w14:paraId="63141414" w14:textId="77777777" w:rsidR="00586EDF" w:rsidRPr="00C44619" w:rsidRDefault="00586EDF" w:rsidP="00586EDF">
      <w:pPr>
        <w:rPr>
          <w:sz w:val="14"/>
        </w:rPr>
      </w:pPr>
      <w:r w:rsidRPr="00C44619">
        <w:rPr>
          <w:sz w:val="14"/>
        </w:rPr>
        <w:t xml:space="preserve">Another reason </w:t>
      </w:r>
      <w:r w:rsidRPr="00C44619">
        <w:rPr>
          <w:rStyle w:val="StyleUnderline"/>
        </w:rPr>
        <w:t xml:space="preserve">companies may seek comfort under a regulatory umbrella is to create favorable distinctions in the market </w:t>
      </w:r>
      <w:r w:rsidRPr="00C44619">
        <w:rPr>
          <w:sz w:val="14"/>
        </w:rPr>
        <w:t xml:space="preserve">that have the force of law. In recent months, a leading producer of hummus, the popular Middle Eastern spread, asked the Food and Drug Administration to establish a hummus “standard” to protect it (and consumers) from imitators who were using the name but not using chick peas or other essential ingredients.22 In short, both the Kellogg executive and the hummus manufacturer asked the federal government for more regulation. </w:t>
      </w:r>
    </w:p>
    <w:p w14:paraId="1453201B" w14:textId="77777777" w:rsidR="00586EDF" w:rsidRPr="00C44619" w:rsidRDefault="00586EDF" w:rsidP="00586EDF">
      <w:pPr>
        <w:rPr>
          <w:sz w:val="14"/>
        </w:rPr>
      </w:pPr>
      <w:r w:rsidRPr="00C44619">
        <w:rPr>
          <w:sz w:val="14"/>
        </w:rPr>
        <w:t xml:space="preserve">It is important to remember that </w:t>
      </w:r>
      <w:r w:rsidRPr="00C44619">
        <w:rPr>
          <w:rStyle w:val="Emphasis"/>
        </w:rPr>
        <w:t>business interests are not monolithic</w:t>
      </w:r>
      <w:r w:rsidRPr="00C44619">
        <w:rPr>
          <w:sz w:val="14"/>
        </w:rPr>
        <w:t xml:space="preserve">. When a business spokesperson claims that some regulation would be harmful, </w:t>
      </w:r>
      <w:r w:rsidRPr="00C44619">
        <w:rPr>
          <w:rStyle w:val="StyleUnderline"/>
        </w:rPr>
        <w:t>it is very likely that there are business counterparts who would welcome that same regulation. Regulations creating more stringent requirements of the coal industry</w:t>
      </w:r>
      <w:r w:rsidRPr="00C44619">
        <w:rPr>
          <w:sz w:val="14"/>
        </w:rPr>
        <w:t xml:space="preserve">, for example, are welcome not only by environmentalists but also by suppliers of natural gas and renewable energy. </w:t>
      </w:r>
      <w:r w:rsidRPr="00C44619">
        <w:rPr>
          <w:rStyle w:val="StyleUnderline"/>
        </w:rPr>
        <w:t>Regulations placing greater safety requirements on foreign food imports give a boost to domestic growers of the same products</w:t>
      </w:r>
      <w:r w:rsidRPr="00C44619">
        <w:rPr>
          <w:sz w:val="14"/>
        </w:rPr>
        <w:t xml:space="preserve">. Chemical manufacturers in West Virginia may be wary of additional regulation, but </w:t>
      </w:r>
      <w:r w:rsidRPr="00C44619">
        <w:rPr>
          <w:rStyle w:val="StyleUnderline"/>
        </w:rPr>
        <w:t>small businesses in the state</w:t>
      </w:r>
      <w:r w:rsidRPr="00C44619">
        <w:rPr>
          <w:sz w:val="14"/>
        </w:rPr>
        <w:t xml:space="preserve">, </w:t>
      </w:r>
      <w:r w:rsidRPr="00C44619">
        <w:rPr>
          <w:rStyle w:val="StyleUnderline"/>
        </w:rPr>
        <w:t>which have been devastated by their loss of revenues following the contamination</w:t>
      </w:r>
      <w:r w:rsidRPr="00C44619">
        <w:rPr>
          <w:sz w:val="14"/>
        </w:rPr>
        <w:t xml:space="preserve"> of the Elk River in January, 2014, </w:t>
      </w:r>
      <w:r w:rsidRPr="00C44619">
        <w:rPr>
          <w:rStyle w:val="StyleUnderline"/>
        </w:rPr>
        <w:t>strongly support safeguards that would prevent similar events</w:t>
      </w:r>
      <w:r w:rsidRPr="00C44619">
        <w:rPr>
          <w:sz w:val="14"/>
        </w:rPr>
        <w:t xml:space="preserve"> in the future.23</w:t>
      </w:r>
    </w:p>
    <w:p w14:paraId="5403614E" w14:textId="77777777" w:rsidR="00586EDF" w:rsidRPr="00C44619" w:rsidRDefault="00586EDF" w:rsidP="00586EDF">
      <w:pPr>
        <w:rPr>
          <w:sz w:val="14"/>
        </w:rPr>
      </w:pPr>
      <w:r w:rsidRPr="00C44619">
        <w:rPr>
          <w:sz w:val="14"/>
        </w:rPr>
        <w:t xml:space="preserve">When </w:t>
      </w:r>
      <w:r w:rsidRPr="00C44619">
        <w:rPr>
          <w:rStyle w:val="StyleUnderline"/>
        </w:rPr>
        <w:t>the Environmental Protection Agency proposed new rules</w:t>
      </w:r>
      <w:r w:rsidRPr="00C44619">
        <w:rPr>
          <w:sz w:val="14"/>
        </w:rPr>
        <w:t xml:space="preserve"> in March, 2014, to clarify which waters required protection under its jurisdiction</w:t>
      </w:r>
      <w:r w:rsidRPr="00C44619">
        <w:rPr>
          <w:rStyle w:val="StyleUnderline"/>
        </w:rPr>
        <w:t>, the bulk of news coverage focused on the positive</w:t>
      </w:r>
      <w:r w:rsidRPr="00C44619">
        <w:rPr>
          <w:sz w:val="14"/>
        </w:rPr>
        <w:t xml:space="preserve"> december 14 • 14 </w:t>
      </w:r>
      <w:r w:rsidRPr="00C44619">
        <w:rPr>
          <w:rStyle w:val="StyleUnderline"/>
        </w:rPr>
        <w:t>responses of environmentalists and the negative responses from some farm groups</w:t>
      </w:r>
      <w:r w:rsidRPr="00C44619">
        <w:rPr>
          <w:sz w:val="14"/>
        </w:rPr>
        <w:t xml:space="preserve"> and home builders. </w:t>
      </w:r>
      <w:r w:rsidRPr="00C44619">
        <w:rPr>
          <w:rStyle w:val="StyleUnderline"/>
        </w:rPr>
        <w:t>But many farm groups as well as businesses support the new rules because they benefit from regulation that insures clean drinking water and promotes wildlife preservation</w:t>
      </w:r>
      <w:r w:rsidRPr="00C44619">
        <w:rPr>
          <w:sz w:val="14"/>
        </w:rPr>
        <w:t>.24</w:t>
      </w:r>
    </w:p>
    <w:p w14:paraId="20B8E1B4" w14:textId="77777777" w:rsidR="00586EDF" w:rsidRPr="00C44619" w:rsidRDefault="00586EDF" w:rsidP="00586EDF">
      <w:pPr>
        <w:rPr>
          <w:sz w:val="14"/>
        </w:rPr>
      </w:pPr>
      <w:r w:rsidRPr="00C44619">
        <w:rPr>
          <w:sz w:val="14"/>
        </w:rPr>
        <w:t>Elon Musk, the founder and CEO of Tesla Motors, recently pointed out that nimble regulators help shape the future when they show sensitivity to their effect on innovation. “…[</w:t>
      </w:r>
      <w:r w:rsidRPr="00C44619">
        <w:rPr>
          <w:rStyle w:val="StyleUnderline"/>
        </w:rPr>
        <w:t>R]egulators can play an extremely important role in the advent of sustainable energy</w:t>
      </w:r>
      <w:r w:rsidRPr="00C44619">
        <w:rPr>
          <w:sz w:val="14"/>
        </w:rPr>
        <w:t>,” he said, “</w:t>
      </w:r>
      <w:r w:rsidRPr="00C44619">
        <w:rPr>
          <w:rStyle w:val="StyleUnderline"/>
        </w:rPr>
        <w:t>by ensuring that there is a means for people to establish solar on their roof or to buy wind and other renewables and to essentially make sure that the right thing happens</w:t>
      </w:r>
      <w:r w:rsidRPr="00C44619">
        <w:rPr>
          <w:sz w:val="14"/>
        </w:rPr>
        <w:t>.”25</w:t>
      </w:r>
    </w:p>
    <w:p w14:paraId="0E1BD00D" w14:textId="525AE764" w:rsidR="00586EDF" w:rsidRDefault="00586EDF" w:rsidP="00586EDF">
      <w:pPr>
        <w:rPr>
          <w:sz w:val="14"/>
        </w:rPr>
      </w:pPr>
      <w:r w:rsidRPr="00C44619">
        <w:rPr>
          <w:sz w:val="14"/>
        </w:rPr>
        <w:t xml:space="preserve">Thus </w:t>
      </w:r>
      <w:r w:rsidRPr="00C44619">
        <w:rPr>
          <w:rStyle w:val="StyleUnderline"/>
        </w:rPr>
        <w:t>regulations help commerce expand in socially-desirable directions. Competition is no less robust in electronics because government worked with industry to develop a high definition standard</w:t>
      </w:r>
      <w:r w:rsidRPr="00C44619">
        <w:rPr>
          <w:sz w:val="14"/>
        </w:rPr>
        <w:t xml:space="preserve"> for new television sets, thereby creating a common playing field for manufacturers. It is no less robust in the automobile industry because regulations channeled the industry into developing safer and more efficient cars.</w:t>
      </w:r>
    </w:p>
    <w:p w14:paraId="36FAC7FB" w14:textId="3EF1B208" w:rsidR="00586EDF" w:rsidRPr="002E6B59" w:rsidRDefault="00586EDF" w:rsidP="00586EDF">
      <w:pPr>
        <w:pStyle w:val="Heading4"/>
      </w:pPr>
      <w:r>
        <w:t>Their studies are poor.</w:t>
      </w:r>
    </w:p>
    <w:p w14:paraId="4DD6BA14" w14:textId="77777777" w:rsidR="00586EDF" w:rsidRDefault="00586EDF" w:rsidP="00586EDF">
      <w:r w:rsidRPr="002E6B59">
        <w:rPr>
          <w:rStyle w:val="Style13ptBold"/>
        </w:rPr>
        <w:t>CED 17 —</w:t>
      </w:r>
      <w:r w:rsidRPr="002E6B59">
        <w:t xml:space="preserve"> Committee for Economic Development is a nonprofit, nonpartisan, business-led public policy organization that delivers well-researched analysis and reasoned solutions to our nation’s most critical issues. (“Regulation &amp; the Economy: The Relationship &amp; How to Improve It ” Committee for Economic Development, September 27, 2017. </w:t>
      </w:r>
      <w:hyperlink r:id="rId249" w:history="1">
        <w:r w:rsidRPr="00972A4F">
          <w:rPr>
            <w:rStyle w:val="Hyperlink"/>
          </w:rPr>
          <w:t>https://www.ced.org/reports/regulation-and-the-economy)//JLPark</w:t>
        </w:r>
      </w:hyperlink>
    </w:p>
    <w:p w14:paraId="41AD7F8F" w14:textId="77777777" w:rsidR="00586EDF" w:rsidRPr="002E6B59" w:rsidRDefault="00586EDF" w:rsidP="00586EDF">
      <w:pPr>
        <w:rPr>
          <w:sz w:val="14"/>
          <w:szCs w:val="14"/>
        </w:rPr>
      </w:pPr>
      <w:r w:rsidRPr="002E6B59">
        <w:rPr>
          <w:sz w:val="14"/>
          <w:szCs w:val="14"/>
        </w:rPr>
        <w:t>Challenges to Assessing the Economic Effects of Regulations</w:t>
      </w:r>
    </w:p>
    <w:p w14:paraId="3803792D" w14:textId="77777777" w:rsidR="00586EDF" w:rsidRPr="002E6B59" w:rsidRDefault="00586EDF" w:rsidP="00586EDF">
      <w:pPr>
        <w:rPr>
          <w:sz w:val="14"/>
        </w:rPr>
      </w:pPr>
      <w:r w:rsidRPr="002E6B59">
        <w:rPr>
          <w:sz w:val="14"/>
        </w:rPr>
        <w:t xml:space="preserve">In asking “how could regulatory policy do better for the economy?” we must </w:t>
      </w:r>
      <w:r w:rsidRPr="002E6B59">
        <w:rPr>
          <w:rStyle w:val="StyleUnderline"/>
        </w:rPr>
        <w:t xml:space="preserve">first acknowledge the current resource constraints that make very challenging </w:t>
      </w:r>
      <w:r w:rsidRPr="002E6B59">
        <w:rPr>
          <w:sz w:val="14"/>
        </w:rPr>
        <w:t xml:space="preserve">the adequate </w:t>
      </w:r>
      <w:r w:rsidRPr="002E6B59">
        <w:rPr>
          <w:rStyle w:val="StyleUnderline"/>
        </w:rPr>
        <w:t>evaluation of regulations in terms of</w:t>
      </w:r>
      <w:r w:rsidRPr="002E6B59">
        <w:rPr>
          <w:sz w:val="14"/>
        </w:rPr>
        <w:t xml:space="preserve"> all these types of </w:t>
      </w:r>
      <w:r w:rsidRPr="002E6B59">
        <w:rPr>
          <w:rStyle w:val="StyleUnderline"/>
        </w:rPr>
        <w:t>economic effects</w:t>
      </w:r>
      <w:r w:rsidRPr="002E6B59">
        <w:rPr>
          <w:sz w:val="14"/>
        </w:rPr>
        <w:t xml:space="preserve">. </w:t>
      </w:r>
      <w:r w:rsidRPr="002E6B59">
        <w:rPr>
          <w:rStyle w:val="Emphasis"/>
        </w:rPr>
        <w:t>There are both data and analytical limitations</w:t>
      </w:r>
      <w:r w:rsidRPr="002E6B59">
        <w:rPr>
          <w:sz w:val="14"/>
        </w:rPr>
        <w:t xml:space="preserve">: </w:t>
      </w:r>
      <w:r w:rsidRPr="002E6B59">
        <w:rPr>
          <w:rStyle w:val="StyleUnderline"/>
        </w:rPr>
        <w:t>Federal agencies currently do not do a good job of monitoring and measuring the effects of regulations and collecting data along the way for later analyses</w:t>
      </w:r>
      <w:r w:rsidRPr="002E6B59">
        <w:rPr>
          <w:sz w:val="14"/>
        </w:rPr>
        <w:t xml:space="preserve">. </w:t>
      </w:r>
      <w:r w:rsidRPr="002E6B59">
        <w:rPr>
          <w:rStyle w:val="StyleUnderline"/>
        </w:rPr>
        <w:t>Having to compare effects</w:t>
      </w:r>
      <w:r w:rsidRPr="002E6B59">
        <w:rPr>
          <w:sz w:val="14"/>
        </w:rPr>
        <w:t xml:space="preserve"> at different points in time (involving discount rates), place values on human life, and deal with uncertain outcomes </w:t>
      </w:r>
      <w:r w:rsidRPr="002E6B59">
        <w:rPr>
          <w:rStyle w:val="StyleUnderline"/>
        </w:rPr>
        <w:t>is technically complicated</w:t>
      </w:r>
      <w:r w:rsidRPr="002E6B59">
        <w:rPr>
          <w:sz w:val="14"/>
        </w:rPr>
        <w:t>. Robert Hahn has argued that not enough progress has been made in the actual, evolving practice of regulatory assessment in terms of the rigor and quality of economic analysis and its potential to improve regulatory policy.19 Yet Hahn also acknowledges that there are understandable and persistent political obstacles to strengthening the role of economic assessments in regulatory decision making.</w:t>
      </w:r>
    </w:p>
    <w:p w14:paraId="784C8039" w14:textId="77777777" w:rsidR="00586EDF" w:rsidRPr="002E6B59" w:rsidRDefault="00586EDF" w:rsidP="00586EDF">
      <w:pPr>
        <w:rPr>
          <w:sz w:val="14"/>
        </w:rPr>
      </w:pPr>
      <w:r w:rsidRPr="002E6B59">
        <w:rPr>
          <w:sz w:val="14"/>
        </w:rPr>
        <w:t xml:space="preserve">Although </w:t>
      </w:r>
      <w:r w:rsidRPr="002E6B59">
        <w:rPr>
          <w:rStyle w:val="StyleUnderline"/>
        </w:rPr>
        <w:t xml:space="preserve">all regulations must at least implicitly pass a </w:t>
      </w:r>
      <w:r w:rsidRPr="002E6B59">
        <w:rPr>
          <w:sz w:val="14"/>
        </w:rPr>
        <w:t xml:space="preserve">society-wide cost-benefit </w:t>
      </w:r>
      <w:r w:rsidRPr="002E6B59">
        <w:rPr>
          <w:rStyle w:val="StyleUnderline"/>
        </w:rPr>
        <w:t>test</w:t>
      </w:r>
      <w:r w:rsidRPr="002E6B59">
        <w:rPr>
          <w:sz w:val="14"/>
        </w:rPr>
        <w:t xml:space="preserve">, </w:t>
      </w:r>
      <w:r w:rsidRPr="002E6B59">
        <w:rPr>
          <w:rStyle w:val="StyleUnderline"/>
        </w:rPr>
        <w:t>measurement</w:t>
      </w:r>
      <w:r w:rsidRPr="002E6B59">
        <w:rPr>
          <w:sz w:val="14"/>
        </w:rPr>
        <w:t xml:space="preserve"> (</w:t>
      </w:r>
      <w:r w:rsidRPr="002E6B59">
        <w:rPr>
          <w:rStyle w:val="StyleUnderline"/>
        </w:rPr>
        <w:t>especially of benefits and especially in the case of social regulations</w:t>
      </w:r>
      <w:r w:rsidRPr="002E6B59">
        <w:rPr>
          <w:sz w:val="14"/>
        </w:rPr>
        <w:t xml:space="preserve">) </w:t>
      </w:r>
      <w:r w:rsidRPr="002E6B59">
        <w:rPr>
          <w:rStyle w:val="StyleUnderline"/>
        </w:rPr>
        <w:t>can be extremely difficult</w:t>
      </w:r>
      <w:r w:rsidRPr="002E6B59">
        <w:rPr>
          <w:sz w:val="14"/>
        </w:rPr>
        <w:t xml:space="preserve">. </w:t>
      </w:r>
      <w:r w:rsidRPr="002E6B59">
        <w:rPr>
          <w:rStyle w:val="StyleUnderline"/>
        </w:rPr>
        <w:t>Given the limits of available knowledge</w:t>
      </w:r>
      <w:r w:rsidRPr="002E6B59">
        <w:rPr>
          <w:sz w:val="14"/>
        </w:rPr>
        <w:t xml:space="preserve">, benefits </w:t>
      </w:r>
      <w:r w:rsidRPr="002E6B59">
        <w:rPr>
          <w:rStyle w:val="StyleUnderline"/>
        </w:rPr>
        <w:t>can be highly uncertain</w:t>
      </w:r>
      <w:r w:rsidRPr="002E6B59">
        <w:rPr>
          <w:sz w:val="14"/>
        </w:rPr>
        <w:t xml:space="preserve">. Furthermore, it is in the nature of many regulations to require investment-type activities, which provide their uncertain payoffs years in the future. Thus, even if those benefits were known with certainty (which they are not) decision makers still could disagree over how many future dollars of benefit are required to justify one dollar of current cost. Still further, because those remote and uncertain benefits often include claims of the saving of human lives, those </w:t>
      </w:r>
      <w:r w:rsidRPr="002E6B59">
        <w:rPr>
          <w:rStyle w:val="StyleUnderline"/>
        </w:rPr>
        <w:t>decision-makers are caught in</w:t>
      </w:r>
      <w:r w:rsidRPr="002E6B59">
        <w:rPr>
          <w:sz w:val="14"/>
        </w:rPr>
        <w:t xml:space="preserve"> the analytical and ethical </w:t>
      </w:r>
      <w:r w:rsidRPr="002E6B59">
        <w:rPr>
          <w:rStyle w:val="StyleUnderline"/>
        </w:rPr>
        <w:t>quagmire</w:t>
      </w:r>
      <w:r w:rsidRPr="002E6B59">
        <w:rPr>
          <w:sz w:val="14"/>
        </w:rPr>
        <w:t xml:space="preserve"> of valuing a human life, </w:t>
      </w:r>
      <w:r w:rsidRPr="002E6B59">
        <w:rPr>
          <w:rStyle w:val="StyleUnderline"/>
        </w:rPr>
        <w:t>under</w:t>
      </w:r>
      <w:r w:rsidRPr="002E6B59">
        <w:rPr>
          <w:sz w:val="14"/>
        </w:rPr>
        <w:t xml:space="preserve"> various combinations of controversial </w:t>
      </w:r>
      <w:r w:rsidRPr="002E6B59">
        <w:rPr>
          <w:rStyle w:val="StyleUnderline"/>
        </w:rPr>
        <w:t>circumstances</w:t>
      </w:r>
      <w:r w:rsidRPr="002E6B59">
        <w:rPr>
          <w:sz w:val="14"/>
        </w:rPr>
        <w:t xml:space="preserve">. (The same of course can be true of the valuing of avoidance of injury or illness.) Environmental regulation is a good (and large) example: the economic costs of environmentally motivated regulatory policies in terms of reduced economic output (activities that explicitly enter GDP) are much easier to put dollar values on than are the environmental benefits. Thus, </w:t>
      </w:r>
      <w:r w:rsidRPr="002E6B59">
        <w:rPr>
          <w:rStyle w:val="StyleUnderline"/>
        </w:rPr>
        <w:t xml:space="preserve">although approving or rejecting a </w:t>
      </w:r>
      <w:r w:rsidRPr="002E6B59">
        <w:rPr>
          <w:sz w:val="14"/>
        </w:rPr>
        <w:t>proposed</w:t>
      </w:r>
      <w:r w:rsidRPr="002E6B59">
        <w:rPr>
          <w:rStyle w:val="StyleUnderline"/>
        </w:rPr>
        <w:t xml:space="preserve"> regulation is inevitably and implicitly passing judgment on a cost-benefit test, in many instances that judgment will of necessity be highly controversial.</w:t>
      </w:r>
    </w:p>
    <w:p w14:paraId="29DFF27C" w14:textId="77777777" w:rsidR="00586EDF" w:rsidRPr="002E6B59" w:rsidRDefault="00586EDF" w:rsidP="00586EDF">
      <w:pPr>
        <w:rPr>
          <w:sz w:val="14"/>
        </w:rPr>
      </w:pPr>
      <w:r w:rsidRPr="002E6B59">
        <w:rPr>
          <w:sz w:val="14"/>
        </w:rPr>
        <w:t xml:space="preserve">Hassett and Shapiro explain that </w:t>
      </w:r>
      <w:r w:rsidRPr="002E6B59">
        <w:rPr>
          <w:rStyle w:val="StyleUnderline"/>
        </w:rPr>
        <w:t>the economic effects of regulations are fundamentally challenging to evaluate compared with assessing the effects of other types of government policies that are more easily “parameterized”</w:t>
      </w:r>
      <w:r w:rsidRPr="002E6B59">
        <w:rPr>
          <w:sz w:val="14"/>
        </w:rPr>
        <w:t xml:space="preserve"> (such as tax policy’s effects depending on the breadth and uniformity of the tax base and level of marginal and average tax rates).20 </w:t>
      </w:r>
      <w:r w:rsidRPr="002E6B59">
        <w:rPr>
          <w:rStyle w:val="StyleUnderline"/>
        </w:rPr>
        <w:t>Regulations are varied and hard to generalize because every case is unique and it is difficult to find directly relevant empirical evidence</w:t>
      </w:r>
      <w:r w:rsidRPr="002E6B59">
        <w:rPr>
          <w:sz w:val="14"/>
        </w:rPr>
        <w:t>. Hassett and Shapiro conclude that “policymakers must draw inferences concerning the likely impact of regulations from analogies”—and based on international comparisons reflecting differences in regulatory climates and stringency. (Note that this also supports a “principles-based” approach to regulation, as broader economic principles typically are applicable and relevant across countries, whereas specific rules usually are not.)</w:t>
      </w:r>
    </w:p>
    <w:p w14:paraId="0F66488E" w14:textId="77777777" w:rsidR="00586EDF" w:rsidRPr="002E6B59" w:rsidRDefault="00586EDF" w:rsidP="00586EDF">
      <w:pPr>
        <w:rPr>
          <w:rStyle w:val="StyleUnderline"/>
        </w:rPr>
      </w:pPr>
      <w:r w:rsidRPr="002E6B59">
        <w:rPr>
          <w:rStyle w:val="StyleUnderline"/>
        </w:rPr>
        <w:t>International comparisons</w:t>
      </w:r>
      <w:r w:rsidRPr="002E6B59">
        <w:rPr>
          <w:sz w:val="14"/>
        </w:rPr>
        <w:t xml:space="preserve"> can help researchers assess the overall, country-wide, or at least industry-wide, stringency and burden of regulations on broad measures of business and household economic activity, but they </w:t>
      </w:r>
      <w:r w:rsidRPr="002E6B59">
        <w:rPr>
          <w:rStyle w:val="StyleUnderline"/>
        </w:rPr>
        <w:t>do not really help us evaluate the effectiveness of particular regulations on the particular</w:t>
      </w:r>
      <w:r w:rsidRPr="002E6B59">
        <w:rPr>
          <w:sz w:val="14"/>
        </w:rPr>
        <w:t xml:space="preserve"> (more specific) </w:t>
      </w:r>
      <w:r w:rsidRPr="002E6B59">
        <w:rPr>
          <w:rStyle w:val="StyleUnderline"/>
        </w:rPr>
        <w:t>activities of particular businesses</w:t>
      </w:r>
      <w:r w:rsidRPr="002E6B59">
        <w:rPr>
          <w:sz w:val="14"/>
        </w:rPr>
        <w:t xml:space="preserve"> and households. </w:t>
      </w:r>
      <w:r w:rsidRPr="002E6B59">
        <w:rPr>
          <w:rStyle w:val="StyleUnderline"/>
        </w:rPr>
        <w:t>To do that, we need more micro-level data.</w:t>
      </w:r>
      <w:r w:rsidRPr="002E6B59">
        <w:rPr>
          <w:sz w:val="14"/>
        </w:rPr>
        <w:t xml:space="preserve"> Here the case for more adequate funding for statistical agencies and programs must be made: All stakeholders in regulatory policy should collect adequately detailed data to measure these micro effects so that regulations do what they are supposed to, in economically sensible, optimal ways. </w:t>
      </w:r>
      <w:r w:rsidRPr="002E6B59">
        <w:rPr>
          <w:rStyle w:val="StyleUnderline"/>
        </w:rPr>
        <w:t>Assessing the economic costs and benefits of particular types of regulations cannot be done using macro-level data.</w:t>
      </w:r>
    </w:p>
    <w:p w14:paraId="61FA2A54" w14:textId="77777777" w:rsidR="00586EDF" w:rsidRPr="002E6B59" w:rsidRDefault="00586EDF" w:rsidP="00586EDF">
      <w:pPr>
        <w:rPr>
          <w:rStyle w:val="StyleUnderline"/>
        </w:rPr>
      </w:pPr>
      <w:r w:rsidRPr="00F67E25">
        <w:rPr>
          <w:sz w:val="14"/>
        </w:rPr>
        <w:t xml:space="preserve">Given that aggregate or average, economy-wide effects are typically very small, the most significant effects are the allocative and distributional effects (across geographies, industries, companies within industries, and different types of people), which require micro-level data to measure.21 </w:t>
      </w:r>
      <w:r w:rsidRPr="002E6B59">
        <w:rPr>
          <w:rStyle w:val="StyleUnderline"/>
        </w:rPr>
        <w:t>It is also true that regulatory policies are not imposed in a vacuum, so without the more detailed data it is extremely problematic to attribute changes in business or household behavior entirely to the regulatory policy.</w:t>
      </w:r>
    </w:p>
    <w:p w14:paraId="046BCF42" w14:textId="30BB03D5" w:rsidR="00586EDF" w:rsidRPr="00586EDF" w:rsidRDefault="00586EDF" w:rsidP="00586EDF">
      <w:pPr>
        <w:rPr>
          <w:u w:val="single"/>
        </w:rPr>
      </w:pPr>
      <w:r w:rsidRPr="002E6B59">
        <w:rPr>
          <w:rStyle w:val="Emphasis"/>
        </w:rPr>
        <w:t>Micro-level data are needed to control</w:t>
      </w:r>
      <w:r w:rsidRPr="002E6B59">
        <w:rPr>
          <w:rStyle w:val="StyleUnderline"/>
        </w:rPr>
        <w:t xml:space="preserve"> for other factors affecting decisions and outcomes.</w:t>
      </w:r>
    </w:p>
    <w:p w14:paraId="00C6BDA9" w14:textId="4B5F7D99" w:rsidR="00586EDF" w:rsidRDefault="00586EDF" w:rsidP="00456038">
      <w:pPr>
        <w:pStyle w:val="Heading3"/>
      </w:pPr>
      <w:r>
        <w:t>1NC – AT: Econ Recovery</w:t>
      </w:r>
    </w:p>
    <w:p w14:paraId="356FE1D9" w14:textId="7BB711EB" w:rsidR="00586EDF" w:rsidRPr="00586EDF" w:rsidRDefault="00586EDF" w:rsidP="00586EDF">
      <w:pPr>
        <w:pStyle w:val="Heading4"/>
      </w:pPr>
      <w:r>
        <w:t xml:space="preserve">Economy’s not recovering </w:t>
      </w:r>
      <w:r>
        <w:rPr>
          <w:u w:val="single"/>
        </w:rPr>
        <w:t>even</w:t>
      </w:r>
      <w:r>
        <w:t xml:space="preserve"> by 2022.</w:t>
      </w:r>
    </w:p>
    <w:p w14:paraId="20381DFF" w14:textId="77777777" w:rsidR="00586EDF" w:rsidRPr="002223D1" w:rsidRDefault="00586EDF" w:rsidP="00586EDF">
      <w:r>
        <w:rPr>
          <w:rStyle w:val="Style13ptBold"/>
        </w:rPr>
        <w:t xml:space="preserve">Reinicke 7/5 — </w:t>
      </w:r>
      <w:r w:rsidRPr="002223D1">
        <w:t>Carmen Reinicke</w:t>
      </w:r>
      <w:r>
        <w:t xml:space="preserve"> is a reporter covering the US economy and markets at Business Insider based in New York. Carmen previously covered emerging markets and consumer companies at Bloomberg and personal finance at CNBC. She's an alumna of Vassar College and the Craig Newmark Graduate School of Journalism at CUNY. Interviewing Christophe Barraud, the chief economist of the broker-dealer Market Securities, has been ranked as Bloomberg's most accurate forecaster of US economic data for eight years in a row. PHD in Economics. (“The world's most accurate economist says a full US recovery is unlikely before 2022 — and warns of a stock-market correction before year-end” Market Insider, July 5, 2020. https://markets.businessinsider.com/news/stocks/economic-outlook-forecaster-us-recovery-unlikely-stock-correction-christophe-barraud-2020-7-1029366890#)//JLPark</w:t>
      </w:r>
    </w:p>
    <w:p w14:paraId="23E38326" w14:textId="77777777" w:rsidR="00586EDF" w:rsidRPr="002223D1" w:rsidRDefault="00586EDF" w:rsidP="00586EDF">
      <w:pPr>
        <w:rPr>
          <w:sz w:val="14"/>
        </w:rPr>
      </w:pPr>
      <w:r w:rsidRPr="002223D1">
        <w:rPr>
          <w:rStyle w:val="StyleUnderline"/>
        </w:rPr>
        <w:t>Christophe Barraud</w:t>
      </w:r>
      <w:r w:rsidRPr="002223D1">
        <w:rPr>
          <w:sz w:val="14"/>
        </w:rPr>
        <w:t>, the chief economist of the broker-dealer Market Securities, has been ranked as Bloomberg's most accurate forecaster of US economic data for eight years in a row.</w:t>
      </w:r>
    </w:p>
    <w:p w14:paraId="6A2B1587" w14:textId="77777777" w:rsidR="00586EDF" w:rsidRPr="002223D1" w:rsidRDefault="00586EDF" w:rsidP="00586EDF">
      <w:pPr>
        <w:rPr>
          <w:sz w:val="14"/>
        </w:rPr>
      </w:pPr>
      <w:r w:rsidRPr="002223D1">
        <w:rPr>
          <w:sz w:val="14"/>
        </w:rPr>
        <w:t xml:space="preserve">He </w:t>
      </w:r>
      <w:r w:rsidRPr="002223D1">
        <w:rPr>
          <w:rStyle w:val="StyleUnderline"/>
        </w:rPr>
        <w:t>told Business Insider that the US wouldn't return</w:t>
      </w:r>
      <w:r w:rsidRPr="002223D1">
        <w:rPr>
          <w:sz w:val="14"/>
        </w:rPr>
        <w:t xml:space="preserve"> to its fourth-quarter 2019 real GDP level </w:t>
      </w:r>
      <w:r w:rsidRPr="002223D1">
        <w:rPr>
          <w:rStyle w:val="StyleUnderline"/>
        </w:rPr>
        <w:t>until at least 2022</w:t>
      </w:r>
      <w:r w:rsidRPr="002223D1">
        <w:rPr>
          <w:sz w:val="14"/>
        </w:rPr>
        <w:t xml:space="preserve"> and that for some European countries a recovery won't happen until 2023.</w:t>
      </w:r>
    </w:p>
    <w:p w14:paraId="11E5DC40" w14:textId="77777777" w:rsidR="00586EDF" w:rsidRPr="002223D1" w:rsidRDefault="00586EDF" w:rsidP="00586EDF">
      <w:pPr>
        <w:rPr>
          <w:sz w:val="14"/>
          <w:szCs w:val="14"/>
        </w:rPr>
      </w:pPr>
      <w:r w:rsidRPr="002223D1">
        <w:rPr>
          <w:sz w:val="14"/>
          <w:szCs w:val="14"/>
        </w:rPr>
        <w:t>"It will take a long time for life to return to normal," Barraud told Business Insider.</w:t>
      </w:r>
    </w:p>
    <w:p w14:paraId="3A3F2E8F" w14:textId="77777777" w:rsidR="00586EDF" w:rsidRPr="002223D1" w:rsidRDefault="00586EDF" w:rsidP="00586EDF">
      <w:pPr>
        <w:rPr>
          <w:sz w:val="14"/>
        </w:rPr>
      </w:pPr>
      <w:r w:rsidRPr="002223D1">
        <w:rPr>
          <w:rStyle w:val="StyleUnderline"/>
        </w:rPr>
        <w:t>The US economy has a long road to recovery</w:t>
      </w:r>
      <w:r w:rsidRPr="002223D1">
        <w:rPr>
          <w:sz w:val="14"/>
        </w:rPr>
        <w:t xml:space="preserve"> ahead from the shock of the coronavirus pandemic, </w:t>
      </w:r>
      <w:r w:rsidRPr="002223D1">
        <w:rPr>
          <w:rStyle w:val="StyleUnderline"/>
        </w:rPr>
        <w:t>and that could weigh on the stock market</w:t>
      </w:r>
      <w:r w:rsidRPr="002223D1">
        <w:rPr>
          <w:sz w:val="14"/>
        </w:rPr>
        <w:t>'s epic rally, according to Christophe Barraud, the chief economist of the broker-dealer Market Securities.</w:t>
      </w:r>
    </w:p>
    <w:p w14:paraId="24E9FD57" w14:textId="77777777" w:rsidR="00586EDF" w:rsidRPr="002223D1" w:rsidRDefault="00586EDF" w:rsidP="00586EDF">
      <w:pPr>
        <w:rPr>
          <w:sz w:val="14"/>
        </w:rPr>
      </w:pPr>
      <w:r w:rsidRPr="002223D1">
        <w:rPr>
          <w:rStyle w:val="StyleUnderline"/>
        </w:rPr>
        <w:t>The pandemic slammed the US</w:t>
      </w:r>
      <w:r w:rsidRPr="002223D1">
        <w:rPr>
          <w:sz w:val="14"/>
        </w:rPr>
        <w:t xml:space="preserve"> economy, </w:t>
      </w:r>
      <w:r w:rsidRPr="002223D1">
        <w:rPr>
          <w:rStyle w:val="StyleUnderline"/>
        </w:rPr>
        <w:t>putting millions of Americans out of work and leading to a nearly 5% slump in g</w:t>
      </w:r>
      <w:r w:rsidRPr="002223D1">
        <w:rPr>
          <w:sz w:val="14"/>
        </w:rPr>
        <w:t xml:space="preserve">ross </w:t>
      </w:r>
      <w:r w:rsidRPr="002223D1">
        <w:rPr>
          <w:rStyle w:val="StyleUnderline"/>
        </w:rPr>
        <w:t>d</w:t>
      </w:r>
      <w:r w:rsidRPr="002223D1">
        <w:rPr>
          <w:sz w:val="14"/>
        </w:rPr>
        <w:t xml:space="preserve">omestic </w:t>
      </w:r>
      <w:r w:rsidRPr="002223D1">
        <w:rPr>
          <w:rStyle w:val="StyleUnderline"/>
        </w:rPr>
        <w:t>p</w:t>
      </w:r>
      <w:r w:rsidRPr="002223D1">
        <w:rPr>
          <w:sz w:val="14"/>
        </w:rPr>
        <w:t xml:space="preserve">roduct in the first quarter of 2020. And </w:t>
      </w:r>
      <w:r w:rsidRPr="002223D1">
        <w:rPr>
          <w:rStyle w:val="StyleUnderline"/>
        </w:rPr>
        <w:t>economists expect it'll get worse</w:t>
      </w:r>
      <w:r w:rsidRPr="002223D1">
        <w:rPr>
          <w:sz w:val="14"/>
        </w:rPr>
        <w:t xml:space="preserve">: They've forecast that </w:t>
      </w:r>
      <w:r w:rsidRPr="002223D1">
        <w:rPr>
          <w:rStyle w:val="StyleUnderline"/>
        </w:rPr>
        <w:t>US GDP will slump by more than 30%</w:t>
      </w:r>
      <w:r w:rsidRPr="002223D1">
        <w:rPr>
          <w:sz w:val="14"/>
        </w:rPr>
        <w:t xml:space="preserve"> in the second quarter before returning to growth at the end of the year.</w:t>
      </w:r>
    </w:p>
    <w:p w14:paraId="3FA8C0D5" w14:textId="77777777" w:rsidR="00586EDF" w:rsidRDefault="00586EDF" w:rsidP="00586EDF">
      <w:r>
        <w:t>A recovery to the pre-pandemic level won't happen overnight, Barraud said.</w:t>
      </w:r>
    </w:p>
    <w:p w14:paraId="47FA7722" w14:textId="77777777" w:rsidR="00586EDF" w:rsidRPr="002223D1" w:rsidRDefault="00586EDF" w:rsidP="00586EDF">
      <w:pPr>
        <w:rPr>
          <w:rStyle w:val="StyleUnderline"/>
        </w:rPr>
      </w:pPr>
      <w:r w:rsidRPr="002223D1">
        <w:rPr>
          <w:sz w:val="14"/>
        </w:rPr>
        <w:t xml:space="preserve">"It will take a long time for life to return to normal," Barraud told Business Insider. </w:t>
      </w:r>
      <w:r w:rsidRPr="002223D1">
        <w:rPr>
          <w:rStyle w:val="StyleUnderline"/>
        </w:rPr>
        <w:t>Even if there is a vaccine by the end of the year, it likely wouldn't be distributed</w:t>
      </w:r>
      <w:r w:rsidRPr="002223D1">
        <w:rPr>
          <w:sz w:val="14"/>
        </w:rPr>
        <w:t xml:space="preserve"> until 2021, </w:t>
      </w:r>
      <w:r w:rsidRPr="002223D1">
        <w:rPr>
          <w:rStyle w:val="StyleUnderline"/>
        </w:rPr>
        <w:t>leaving a long time for the US to grapple with the virus.</w:t>
      </w:r>
    </w:p>
    <w:p w14:paraId="6EB91F54" w14:textId="77777777" w:rsidR="00586EDF" w:rsidRDefault="00586EDF" w:rsidP="00586EDF">
      <w:r>
        <w:t>He said that because of this, the US won't return to its fourth-quarter 2019 real GDP level until at least 2022, adding that for some European countries a recovery won't happen until 2023.</w:t>
      </w:r>
    </w:p>
    <w:p w14:paraId="4EF3BA66" w14:textId="77777777" w:rsidR="00586EDF" w:rsidRPr="002223D1" w:rsidRDefault="00586EDF" w:rsidP="00586EDF">
      <w:pPr>
        <w:rPr>
          <w:u w:val="single"/>
        </w:rPr>
      </w:pPr>
      <w:r w:rsidRPr="002223D1">
        <w:rPr>
          <w:rStyle w:val="StyleUnderline"/>
        </w:rPr>
        <w:t>Barraud has a track record of getting it right. He has been ranked as Bloomberg's most accurate forecaster of US economic data for eight years in a row. He's also been named a top economist for the euro area since 2015 and for China since 2017.</w:t>
      </w:r>
      <w:r>
        <w:t>.</w:t>
      </w:r>
    </w:p>
    <w:p w14:paraId="7742AFA5" w14:textId="77777777" w:rsidR="00586EDF" w:rsidRPr="002223D1" w:rsidRDefault="00586EDF" w:rsidP="00586EDF">
      <w:pPr>
        <w:rPr>
          <w:sz w:val="14"/>
          <w:szCs w:val="14"/>
        </w:rPr>
      </w:pPr>
      <w:r w:rsidRPr="002223D1">
        <w:rPr>
          <w:sz w:val="14"/>
          <w:szCs w:val="14"/>
        </w:rPr>
        <w:t>Uncertainty could spark a market correction</w:t>
      </w:r>
    </w:p>
    <w:p w14:paraId="54594FEA" w14:textId="77777777" w:rsidR="00586EDF" w:rsidRPr="002223D1" w:rsidRDefault="00586EDF" w:rsidP="00586EDF">
      <w:pPr>
        <w:rPr>
          <w:sz w:val="14"/>
        </w:rPr>
      </w:pPr>
      <w:r w:rsidRPr="002223D1">
        <w:rPr>
          <w:sz w:val="14"/>
        </w:rPr>
        <w:t xml:space="preserve">As the US economy recovers, </w:t>
      </w:r>
      <w:r w:rsidRPr="002223D1">
        <w:rPr>
          <w:rStyle w:val="StyleUnderline"/>
        </w:rPr>
        <w:t>Barraud sees much uncertainty that could lead to a correction</w:t>
      </w:r>
      <w:r w:rsidRPr="002223D1">
        <w:rPr>
          <w:sz w:val="14"/>
        </w:rPr>
        <w:t xml:space="preserve"> — a drop of 10% or more — for stocks from August to November. </w:t>
      </w:r>
      <w:r w:rsidRPr="002223D1">
        <w:rPr>
          <w:rStyle w:val="StyleUnderline"/>
        </w:rPr>
        <w:t>This would thwart the market's recent momentum</w:t>
      </w:r>
      <w:r w:rsidRPr="002223D1">
        <w:rPr>
          <w:sz w:val="14"/>
        </w:rPr>
        <w:t>; the S&amp;P 500 just posted its best quarter since 1998, and the Dow Jones industrial average had its best quarter since 1987.</w:t>
      </w:r>
    </w:p>
    <w:p w14:paraId="015BB155" w14:textId="77777777" w:rsidR="00586EDF" w:rsidRPr="002223D1" w:rsidRDefault="00586EDF" w:rsidP="00586EDF">
      <w:pPr>
        <w:rPr>
          <w:sz w:val="14"/>
        </w:rPr>
      </w:pPr>
      <w:r w:rsidRPr="002223D1">
        <w:rPr>
          <w:sz w:val="14"/>
        </w:rPr>
        <w:t>"</w:t>
      </w:r>
      <w:r w:rsidRPr="002223D1">
        <w:rPr>
          <w:rStyle w:val="StyleUnderline"/>
        </w:rPr>
        <w:t>Markets are not pricing in a lot of risk</w:t>
      </w:r>
      <w:r w:rsidRPr="002223D1">
        <w:rPr>
          <w:sz w:val="14"/>
        </w:rPr>
        <w:t>," Barraud said, adding that this may be because of dovish fiscal policy or the potential for another round of stimulus in the short term as countries deal with the virus.</w:t>
      </w:r>
    </w:p>
    <w:p w14:paraId="35AEBDE1" w14:textId="77777777" w:rsidR="00586EDF" w:rsidRPr="002223D1" w:rsidRDefault="00586EDF" w:rsidP="00586EDF">
      <w:pPr>
        <w:rPr>
          <w:sz w:val="14"/>
        </w:rPr>
      </w:pPr>
      <w:r w:rsidRPr="002223D1">
        <w:rPr>
          <w:sz w:val="14"/>
        </w:rPr>
        <w:t xml:space="preserve">He also said </w:t>
      </w:r>
      <w:r w:rsidRPr="002223D1">
        <w:rPr>
          <w:rStyle w:val="StyleUnderline"/>
        </w:rPr>
        <w:t>the market structure had changed</w:t>
      </w:r>
      <w:r w:rsidRPr="002223D1">
        <w:rPr>
          <w:sz w:val="14"/>
        </w:rPr>
        <w:t>, with some of the rebound in the second quarter driven by heavy buying by retail investors, hedge funds, and commodity-trading advisers.</w:t>
      </w:r>
    </w:p>
    <w:p w14:paraId="0BB73CD4" w14:textId="77777777" w:rsidR="00586EDF" w:rsidRPr="002223D1" w:rsidRDefault="00586EDF" w:rsidP="00586EDF">
      <w:pPr>
        <w:rPr>
          <w:sz w:val="14"/>
        </w:rPr>
      </w:pPr>
      <w:r w:rsidRPr="002223D1">
        <w:rPr>
          <w:sz w:val="14"/>
        </w:rPr>
        <w:t xml:space="preserve">But that could change, he said. </w:t>
      </w:r>
      <w:r w:rsidRPr="002223D1">
        <w:rPr>
          <w:rStyle w:val="StyleUnderline"/>
        </w:rPr>
        <w:t>Market focus could shift in August to look more closely at the presidential election and what that means in terms of fiscal policy, trade policy, and more. That could lead people to take some profits, and market structure might revert</w:t>
      </w:r>
      <w:r w:rsidRPr="002223D1">
        <w:rPr>
          <w:sz w:val="14"/>
        </w:rPr>
        <w:t xml:space="preserve"> to what it looked like before the coronavirus pandemic, Barraud said.</w:t>
      </w:r>
    </w:p>
    <w:p w14:paraId="0FA55906" w14:textId="77777777" w:rsidR="00586EDF" w:rsidRPr="002223D1" w:rsidRDefault="00586EDF" w:rsidP="00586EDF">
      <w:pPr>
        <w:rPr>
          <w:rStyle w:val="Emphasis"/>
        </w:rPr>
      </w:pPr>
      <w:r w:rsidRPr="002223D1">
        <w:rPr>
          <w:rStyle w:val="Emphasis"/>
        </w:rPr>
        <w:t>Risks include the 2020 election, earnings, and COVID-19</w:t>
      </w:r>
    </w:p>
    <w:p w14:paraId="55550402" w14:textId="77777777" w:rsidR="00586EDF" w:rsidRPr="002223D1" w:rsidRDefault="00586EDF" w:rsidP="00586EDF">
      <w:pPr>
        <w:rPr>
          <w:sz w:val="14"/>
        </w:rPr>
      </w:pPr>
      <w:r w:rsidRPr="002223D1">
        <w:rPr>
          <w:sz w:val="14"/>
        </w:rPr>
        <w:t xml:space="preserve">In addition to the election, </w:t>
      </w:r>
      <w:r w:rsidRPr="002223D1">
        <w:rPr>
          <w:rStyle w:val="StyleUnderline"/>
        </w:rPr>
        <w:t>Barraud</w:t>
      </w:r>
      <w:r w:rsidRPr="002223D1">
        <w:rPr>
          <w:sz w:val="14"/>
        </w:rPr>
        <w:t xml:space="preserve"> said he </w:t>
      </w:r>
      <w:r w:rsidRPr="002223D1">
        <w:rPr>
          <w:rStyle w:val="StyleUnderline"/>
        </w:rPr>
        <w:t>sees</w:t>
      </w:r>
      <w:r w:rsidRPr="002223D1">
        <w:rPr>
          <w:sz w:val="14"/>
        </w:rPr>
        <w:t xml:space="preserve"> the </w:t>
      </w:r>
      <w:r w:rsidRPr="002223D1">
        <w:rPr>
          <w:rStyle w:val="StyleUnderline"/>
        </w:rPr>
        <w:t>upcoming earnings season and a second wave of COVID</w:t>
      </w:r>
      <w:r w:rsidRPr="002223D1">
        <w:rPr>
          <w:sz w:val="14"/>
        </w:rPr>
        <w:t xml:space="preserve">-19 </w:t>
      </w:r>
      <w:r w:rsidRPr="002223D1">
        <w:rPr>
          <w:rStyle w:val="StyleUnderline"/>
        </w:rPr>
        <w:t>as events that could pull markets lower</w:t>
      </w:r>
      <w:r w:rsidRPr="002223D1">
        <w:rPr>
          <w:sz w:val="14"/>
        </w:rPr>
        <w:t>.</w:t>
      </w:r>
    </w:p>
    <w:p w14:paraId="2962269B" w14:textId="6234A0D9" w:rsidR="00586EDF" w:rsidRDefault="00586EDF" w:rsidP="00586EDF">
      <w:pPr>
        <w:rPr>
          <w:sz w:val="14"/>
        </w:rPr>
      </w:pPr>
      <w:r w:rsidRPr="002223D1">
        <w:rPr>
          <w:sz w:val="14"/>
        </w:rPr>
        <w:t xml:space="preserve">"At this point people look a little optimistic about EPS for next year," Barraud said, adding that analysts and </w:t>
      </w:r>
      <w:r w:rsidRPr="002223D1">
        <w:rPr>
          <w:rStyle w:val="StyleUnderline"/>
        </w:rPr>
        <w:t>investors were expecting a V-shaped recovery and weren't pricing in risks, such as increased taxes, that could come as a result of the</w:t>
      </w:r>
      <w:r w:rsidRPr="002223D1">
        <w:rPr>
          <w:sz w:val="14"/>
        </w:rPr>
        <w:t xml:space="preserve"> presidential </w:t>
      </w:r>
      <w:r w:rsidRPr="002223D1">
        <w:rPr>
          <w:rStyle w:val="StyleUnderline"/>
        </w:rPr>
        <w:t>election</w:t>
      </w:r>
      <w:r w:rsidRPr="002223D1">
        <w:rPr>
          <w:sz w:val="14"/>
        </w:rPr>
        <w:t xml:space="preserve"> in November.</w:t>
      </w:r>
    </w:p>
    <w:p w14:paraId="180B8C03" w14:textId="10720D41" w:rsidR="00586EDF" w:rsidRPr="00586EDF" w:rsidRDefault="00586EDF" w:rsidP="00586EDF">
      <w:pPr>
        <w:pStyle w:val="Heading3"/>
      </w:pPr>
      <w:r>
        <w:t>2NC – AT: Econ Recovery</w:t>
      </w:r>
    </w:p>
    <w:p w14:paraId="39374D92" w14:textId="3D435BD2" w:rsidR="00586EDF" w:rsidRPr="004F74D6" w:rsidRDefault="00586EDF" w:rsidP="00586EDF">
      <w:pPr>
        <w:pStyle w:val="Heading4"/>
        <w:rPr>
          <w:rStyle w:val="Style13ptBold"/>
        </w:rPr>
      </w:pPr>
      <w:r>
        <w:t>Covid tubes it – no growth since Feb.</w:t>
      </w:r>
    </w:p>
    <w:p w14:paraId="19A7B4C8" w14:textId="77777777" w:rsidR="00586EDF" w:rsidRDefault="00586EDF" w:rsidP="00586EDF">
      <w:r>
        <w:rPr>
          <w:rStyle w:val="Style13ptBold"/>
        </w:rPr>
        <w:t xml:space="preserve">Rugaber 6/8 — </w:t>
      </w:r>
      <w:r w:rsidRPr="004F74D6">
        <w:t xml:space="preserve">Christopher Rugaber is an AP economic writer. </w:t>
      </w:r>
      <w:r>
        <w:t xml:space="preserve">(“U.S. economic growth ended in February and began recession, experts say” The Salt Lake Tribune, June 8, 2020, updated June 9, 2020. </w:t>
      </w:r>
      <w:hyperlink r:id="rId250" w:history="1">
        <w:r w:rsidRPr="00972A4F">
          <w:rPr>
            <w:rStyle w:val="Hyperlink"/>
          </w:rPr>
          <w:t>https://www.sltrib.com/news/nation-world/2020/06/08/us-economic-growth-ended/)//JLPark</w:t>
        </w:r>
      </w:hyperlink>
    </w:p>
    <w:p w14:paraId="51CF0EDC" w14:textId="77777777" w:rsidR="00586EDF" w:rsidRPr="00586EDF" w:rsidRDefault="00586EDF" w:rsidP="00586EDF">
      <w:pPr>
        <w:rPr>
          <w:sz w:val="16"/>
        </w:rPr>
      </w:pPr>
      <w:r w:rsidRPr="00586EDF">
        <w:rPr>
          <w:sz w:val="16"/>
        </w:rPr>
        <w:t xml:space="preserve">Washington • </w:t>
      </w:r>
      <w:r w:rsidRPr="004F74D6">
        <w:rPr>
          <w:rStyle w:val="StyleUnderline"/>
        </w:rPr>
        <w:t>The U.S. economy entered a recession</w:t>
      </w:r>
      <w:r w:rsidRPr="00586EDF">
        <w:rPr>
          <w:sz w:val="16"/>
        </w:rPr>
        <w:t xml:space="preserve"> in February as the coronavirus struck the nation, a group of economists declared Monday, ending the longest expansion on record.</w:t>
      </w:r>
    </w:p>
    <w:p w14:paraId="0F79DC3A" w14:textId="77777777" w:rsidR="00586EDF" w:rsidRPr="00586EDF" w:rsidRDefault="00586EDF" w:rsidP="00586EDF">
      <w:pPr>
        <w:rPr>
          <w:sz w:val="16"/>
        </w:rPr>
      </w:pPr>
      <w:r w:rsidRPr="00586EDF">
        <w:rPr>
          <w:sz w:val="16"/>
        </w:rPr>
        <w:t xml:space="preserve">The economists said that employment, income and spending peaked in February and then fell sharply afterward as the viral outbreak shut down businesses across the country, </w:t>
      </w:r>
      <w:r w:rsidRPr="004F74D6">
        <w:rPr>
          <w:rStyle w:val="StyleUnderline"/>
        </w:rPr>
        <w:t>marking the start of the downturn after nearly 11 full years of economic growth</w:t>
      </w:r>
      <w:r w:rsidRPr="00586EDF">
        <w:rPr>
          <w:sz w:val="16"/>
        </w:rPr>
        <w:t>.</w:t>
      </w:r>
    </w:p>
    <w:p w14:paraId="5102496D" w14:textId="77777777" w:rsidR="00586EDF" w:rsidRPr="00586EDF" w:rsidRDefault="00586EDF" w:rsidP="00586EDF">
      <w:pPr>
        <w:rPr>
          <w:sz w:val="16"/>
        </w:rPr>
      </w:pPr>
      <w:r w:rsidRPr="00586EDF">
        <w:rPr>
          <w:sz w:val="16"/>
        </w:rPr>
        <w:t>A committee within the National Bureau of Economic Research, a private nonprofit group, determines when recessions begin and end. It broadly defines a recession as “a decline in economic activity that lasts more than a few months.”</w:t>
      </w:r>
    </w:p>
    <w:p w14:paraId="5FC7C8D1" w14:textId="77777777" w:rsidR="00586EDF" w:rsidRPr="00586EDF" w:rsidRDefault="00586EDF" w:rsidP="00586EDF">
      <w:pPr>
        <w:rPr>
          <w:sz w:val="16"/>
        </w:rPr>
      </w:pPr>
      <w:r w:rsidRPr="00586EDF">
        <w:rPr>
          <w:sz w:val="16"/>
        </w:rPr>
        <w:t>For that reason, the NBER typically waits longer before making a determination that the economy is in a downturn. In the previous recession, the committee did not declare that the economy was in recession until December 2008, a year after it had actually begun. But in this case, the NBER said the collapse in employment and incomes was so steep that it could much more quickly make a determination.</w:t>
      </w:r>
    </w:p>
    <w:p w14:paraId="0E6FDB30" w14:textId="77777777" w:rsidR="00586EDF" w:rsidRPr="00586EDF" w:rsidRDefault="00586EDF" w:rsidP="00586EDF">
      <w:pPr>
        <w:rPr>
          <w:sz w:val="16"/>
          <w:szCs w:val="14"/>
        </w:rPr>
      </w:pPr>
      <w:r w:rsidRPr="00586EDF">
        <w:rPr>
          <w:sz w:val="16"/>
        </w:rPr>
        <w:t>“</w:t>
      </w:r>
      <w:r w:rsidRPr="004F74D6">
        <w:rPr>
          <w:rStyle w:val="StyleUnderline"/>
        </w:rPr>
        <w:t>The unprecedented magnitude of the decline in employment and production, and its broad reach across the entire economy, warrants the designation of</w:t>
      </w:r>
      <w:r w:rsidRPr="00586EDF">
        <w:rPr>
          <w:sz w:val="16"/>
        </w:rPr>
        <w:t xml:space="preserve"> this episode as a </w:t>
      </w:r>
      <w:r w:rsidRPr="004F74D6">
        <w:rPr>
          <w:rStyle w:val="StyleUnderline"/>
        </w:rPr>
        <w:t>recession</w:t>
      </w:r>
      <w:r w:rsidRPr="00586EDF">
        <w:rPr>
          <w:sz w:val="16"/>
        </w:rPr>
        <w:t xml:space="preserve">, even if it turns out to be briefer than earlier contractions,” </w:t>
      </w:r>
      <w:r w:rsidRPr="00586EDF">
        <w:rPr>
          <w:sz w:val="16"/>
          <w:szCs w:val="14"/>
        </w:rPr>
        <w:t>the NBER panel said.</w:t>
      </w:r>
    </w:p>
    <w:p w14:paraId="74386B12" w14:textId="77777777" w:rsidR="00586EDF" w:rsidRPr="00586EDF" w:rsidRDefault="00586EDF" w:rsidP="00586EDF">
      <w:pPr>
        <w:rPr>
          <w:sz w:val="16"/>
          <w:szCs w:val="14"/>
        </w:rPr>
      </w:pPr>
      <w:r w:rsidRPr="00586EDF">
        <w:rPr>
          <w:sz w:val="16"/>
          <w:szCs w:val="14"/>
        </w:rPr>
        <w:t>The way the NBER defines recessions, they begin in the same month that the previous expansion ends. Because the economy peaked in February, that is the month when the recession officially began, rather than in March, when unemployment began to rise.</w:t>
      </w:r>
    </w:p>
    <w:p w14:paraId="337078F1" w14:textId="77777777" w:rsidR="00586EDF" w:rsidRPr="00586EDF" w:rsidRDefault="00586EDF" w:rsidP="00586EDF">
      <w:pPr>
        <w:rPr>
          <w:sz w:val="16"/>
          <w:szCs w:val="14"/>
        </w:rPr>
      </w:pPr>
      <w:r w:rsidRPr="00586EDF">
        <w:rPr>
          <w:sz w:val="16"/>
          <w:szCs w:val="14"/>
        </w:rPr>
        <w:t>Financial markets had little reaction Monday to the NBER’s declaration. February is when the stock market hit its own record high before stumbling into a severe downturn from which it has mostly recovered, thanks to extraordinary stimulus and support measures from the Federal Reserve and Congress as well as expectations that the worst of the economic pain may have passed.</w:t>
      </w:r>
    </w:p>
    <w:p w14:paraId="7CDC8280" w14:textId="77777777" w:rsidR="00586EDF" w:rsidRPr="00586EDF" w:rsidRDefault="00586EDF" w:rsidP="00586EDF">
      <w:pPr>
        <w:rPr>
          <w:sz w:val="16"/>
        </w:rPr>
      </w:pPr>
      <w:r w:rsidRPr="004F74D6">
        <w:rPr>
          <w:rStyle w:val="StyleUnderline"/>
        </w:rPr>
        <w:t>The unemployment rate is officially 13.3</w:t>
      </w:r>
      <w:r w:rsidRPr="00586EDF">
        <w:rPr>
          <w:sz w:val="16"/>
        </w:rPr>
        <w:t>%, down from 14.7% in April. Both figures are higher than in any other downturn since World War II. A broader measure of underemployment that includes those who have given up looking and those who have been reduced to part-time status is 21.2%.</w:t>
      </w:r>
    </w:p>
    <w:p w14:paraId="3287573F" w14:textId="77777777" w:rsidR="00586EDF" w:rsidRPr="00586EDF" w:rsidRDefault="00586EDF" w:rsidP="00586EDF">
      <w:pPr>
        <w:rPr>
          <w:sz w:val="16"/>
          <w:szCs w:val="14"/>
        </w:rPr>
      </w:pPr>
      <w:r w:rsidRPr="00586EDF">
        <w:rPr>
          <w:sz w:val="16"/>
          <w:szCs w:val="14"/>
        </w:rPr>
        <w:t>On Friday, the government said that employers added 2.5 million jobs in May, an unexpected gain that suggested job losses may have bottomed out. A recession ends when employment and output start to pick up again, not when they reach their pre-recession levels. So it’s possible that the recession could technically end soon.</w:t>
      </w:r>
    </w:p>
    <w:p w14:paraId="0D2AD159" w14:textId="77777777" w:rsidR="00586EDF" w:rsidRPr="00586EDF" w:rsidRDefault="00586EDF" w:rsidP="00586EDF">
      <w:pPr>
        <w:rPr>
          <w:sz w:val="16"/>
        </w:rPr>
      </w:pPr>
      <w:r w:rsidRPr="00586EDF">
        <w:rPr>
          <w:sz w:val="16"/>
        </w:rPr>
        <w:t xml:space="preserve">That would make the current recession the shortest and deepest on record. It is expected to be followed by an extended recovery before the economy manages to regain its pre-pandemic levels of production and employment. Some economists say it could take two years or more, with the </w:t>
      </w:r>
      <w:r w:rsidRPr="004F74D6">
        <w:rPr>
          <w:rStyle w:val="StyleUnderline"/>
        </w:rPr>
        <w:t>unemployment rate likely still 10% or higher at the end of this year</w:t>
      </w:r>
      <w:r w:rsidRPr="00586EDF">
        <w:rPr>
          <w:sz w:val="16"/>
        </w:rPr>
        <w:t>.</w:t>
      </w:r>
    </w:p>
    <w:p w14:paraId="3EAE056B" w14:textId="77777777" w:rsidR="00586EDF" w:rsidRPr="00586EDF" w:rsidRDefault="00586EDF" w:rsidP="00586EDF">
      <w:pPr>
        <w:rPr>
          <w:sz w:val="16"/>
          <w:szCs w:val="14"/>
        </w:rPr>
      </w:pPr>
      <w:r w:rsidRPr="00586EDF">
        <w:rPr>
          <w:sz w:val="16"/>
          <w:szCs w:val="14"/>
        </w:rPr>
        <w:t>“The most important thing to focus on is the strength of the recovery, and that’s where the greatest uncertainty lies right now,” said Ernie Tedeschi, policy economist at investment bank Evercore ISI.</w:t>
      </w:r>
    </w:p>
    <w:p w14:paraId="3512BBA7" w14:textId="77777777" w:rsidR="00586EDF" w:rsidRPr="00586EDF" w:rsidRDefault="00586EDF" w:rsidP="00586EDF">
      <w:pPr>
        <w:rPr>
          <w:sz w:val="16"/>
          <w:szCs w:val="14"/>
        </w:rPr>
      </w:pPr>
      <w:r w:rsidRPr="00586EDF">
        <w:rPr>
          <w:sz w:val="16"/>
          <w:szCs w:val="14"/>
        </w:rPr>
        <w:t>It’s unclear, Tedeschi noted, whether the virus is under control, whether there will be a second wave or whether or when a vaccine will be developed.</w:t>
      </w:r>
    </w:p>
    <w:p w14:paraId="2AB5D115" w14:textId="77777777" w:rsidR="00586EDF" w:rsidRPr="00586EDF" w:rsidRDefault="00586EDF" w:rsidP="00586EDF">
      <w:pPr>
        <w:rPr>
          <w:sz w:val="16"/>
          <w:szCs w:val="14"/>
        </w:rPr>
      </w:pPr>
      <w:r w:rsidRPr="00586EDF">
        <w:rPr>
          <w:sz w:val="16"/>
          <w:szCs w:val="14"/>
        </w:rPr>
        <w:t>On Monday, the World Bank said the world was facing a health and economic crisis that has spread with astonishing speed and will produce the largest shock the global economy has witnessed in seven decades. It expects millions of people to be pushed into extreme poverty.</w:t>
      </w:r>
    </w:p>
    <w:p w14:paraId="1C22DD2F" w14:textId="77777777" w:rsidR="00586EDF" w:rsidRPr="00586EDF" w:rsidRDefault="00586EDF" w:rsidP="00586EDF">
      <w:pPr>
        <w:rPr>
          <w:sz w:val="16"/>
          <w:szCs w:val="14"/>
        </w:rPr>
      </w:pPr>
      <w:r w:rsidRPr="00586EDF">
        <w:rPr>
          <w:sz w:val="16"/>
        </w:rPr>
        <w:t xml:space="preserve">In its updated global outlook, </w:t>
      </w:r>
      <w:r w:rsidRPr="004F74D6">
        <w:rPr>
          <w:rStyle w:val="StyleUnderline"/>
        </w:rPr>
        <w:t>the World Bank projected that international economic activity will shrink by 5.2</w:t>
      </w:r>
      <w:r w:rsidRPr="00586EDF">
        <w:rPr>
          <w:sz w:val="16"/>
        </w:rPr>
        <w:t xml:space="preserve">% this year, the deepest recession since a contraction in 1945-46 at the end of World War II. The 5.2% downturn would be the fourth-worst global downturn over the past 150 years, </w:t>
      </w:r>
      <w:r w:rsidRPr="00586EDF">
        <w:rPr>
          <w:sz w:val="16"/>
          <w:szCs w:val="14"/>
        </w:rPr>
        <w:t>exceeded only by the Great Depression of the 1930s and the periods immediately after World War I and World War II.</w:t>
      </w:r>
    </w:p>
    <w:p w14:paraId="008C23A7" w14:textId="77777777" w:rsidR="00586EDF" w:rsidRPr="00586EDF" w:rsidRDefault="00586EDF" w:rsidP="00586EDF">
      <w:pPr>
        <w:rPr>
          <w:sz w:val="16"/>
          <w:szCs w:val="14"/>
        </w:rPr>
      </w:pPr>
      <w:r w:rsidRPr="00586EDF">
        <w:rPr>
          <w:sz w:val="16"/>
          <w:szCs w:val="14"/>
        </w:rPr>
        <w:t>In the U.S., states have begun reopening their economies, thereby allowing businesses to recall some employees to work. But economic activity is returning only very gradually. A full recovery won’t occur until Americans are willing to resume their previous habits of shopping, eating out, and traveling. That might not happen until a vaccine is developed or testing is more widely available.</w:t>
      </w:r>
    </w:p>
    <w:p w14:paraId="1B406D66" w14:textId="77777777" w:rsidR="00586EDF" w:rsidRPr="00586EDF" w:rsidRDefault="00586EDF" w:rsidP="00586EDF">
      <w:pPr>
        <w:rPr>
          <w:sz w:val="16"/>
          <w:szCs w:val="14"/>
        </w:rPr>
      </w:pPr>
      <w:r w:rsidRPr="00586EDF">
        <w:rPr>
          <w:sz w:val="16"/>
          <w:szCs w:val="14"/>
        </w:rPr>
        <w:t>Diane Swonk, chief economist at Grant Thornton, an accounting firm, said the NBER committee might end up declaring this recession to have already ended in May based on the fact that hiring rebounded that month.</w:t>
      </w:r>
    </w:p>
    <w:p w14:paraId="11B1B095" w14:textId="77777777" w:rsidR="00586EDF" w:rsidRPr="00586EDF" w:rsidRDefault="00586EDF" w:rsidP="00586EDF">
      <w:pPr>
        <w:rPr>
          <w:sz w:val="16"/>
          <w:szCs w:val="14"/>
        </w:rPr>
      </w:pPr>
      <w:r w:rsidRPr="00586EDF">
        <w:rPr>
          <w:sz w:val="16"/>
          <w:szCs w:val="14"/>
        </w:rPr>
        <w:t>“We could have the shortest recession in history — it seems ridiculous, but we could,” Swonk said. Still, it will take much longer for the economy to rebound, she said.</w:t>
      </w:r>
    </w:p>
    <w:p w14:paraId="1124EB56" w14:textId="291335DA" w:rsidR="00586EDF" w:rsidRPr="00586EDF" w:rsidRDefault="00586EDF" w:rsidP="00586EDF">
      <w:pPr>
        <w:rPr>
          <w:sz w:val="16"/>
        </w:rPr>
      </w:pPr>
      <w:r w:rsidRPr="00586EDF">
        <w:rPr>
          <w:sz w:val="16"/>
        </w:rPr>
        <w:t>“</w:t>
      </w:r>
      <w:r w:rsidRPr="004F74D6">
        <w:rPr>
          <w:rStyle w:val="StyleUnderline"/>
        </w:rPr>
        <w:t>This bottom is going to be uniquely deep</w:t>
      </w:r>
      <w:r w:rsidRPr="00586EDF">
        <w:rPr>
          <w:sz w:val="16"/>
        </w:rPr>
        <w:t>, and we don’t know how fast we will get out of the bottom,” she said.</w:t>
      </w:r>
    </w:p>
    <w:p w14:paraId="5064FEA2" w14:textId="4DCF699B" w:rsidR="00586EDF" w:rsidRDefault="00586EDF" w:rsidP="00586EDF">
      <w:pPr>
        <w:pStyle w:val="Heading4"/>
      </w:pPr>
      <w:r>
        <w:t>Covid’s gonna get worse.</w:t>
      </w:r>
    </w:p>
    <w:p w14:paraId="4D897620" w14:textId="77777777" w:rsidR="00586EDF" w:rsidRPr="00E84D9F" w:rsidRDefault="00586EDF" w:rsidP="00586EDF">
      <w:r>
        <w:rPr>
          <w:rStyle w:val="Style13ptBold"/>
        </w:rPr>
        <w:t xml:space="preserve">Winck 7/7 — </w:t>
      </w:r>
      <w:r w:rsidRPr="00E84D9F">
        <w:t>Ben</w:t>
      </w:r>
      <w:r>
        <w:t xml:space="preserve"> Winck</w:t>
      </w:r>
      <w:r w:rsidRPr="00E84D9F">
        <w:t xml:space="preserve"> </w:t>
      </w:r>
      <w:r>
        <w:t>is</w:t>
      </w:r>
      <w:r w:rsidRPr="00E84D9F">
        <w:t xml:space="preserve"> a Markets Insider Fellow </w:t>
      </w:r>
      <w:r>
        <w:t>that graduated</w:t>
      </w:r>
      <w:r w:rsidRPr="00E84D9F">
        <w:t xml:space="preserve"> from Northwestern University</w:t>
      </w:r>
      <w:r>
        <w:t>. He is quoting Raphael W. Bostic, President and Chief Executive Officer of the Federal Reserve Bank of Atlanta, speaking at a European Financial Forum. (“'People are getting nervous again': Fed president says virus resurgence could prematurely freeze economic recovery” Business Insider, July 7, 2020. https://www.businessinsider.com/economic-outlook-feds-bostic-coronavirus-case-wave-could-stop-recovery-2020-7)//JLPark</w:t>
      </w:r>
    </w:p>
    <w:p w14:paraId="2D858B55" w14:textId="77777777" w:rsidR="00586EDF" w:rsidRPr="00E84D9F" w:rsidRDefault="00586EDF" w:rsidP="00586EDF">
      <w:pPr>
        <w:rPr>
          <w:sz w:val="14"/>
        </w:rPr>
      </w:pPr>
      <w:r w:rsidRPr="00E84D9F">
        <w:rPr>
          <w:sz w:val="14"/>
        </w:rPr>
        <w:t xml:space="preserve">The </w:t>
      </w:r>
      <w:r w:rsidRPr="00E84D9F">
        <w:rPr>
          <w:rStyle w:val="StyleUnderline"/>
        </w:rPr>
        <w:t xml:space="preserve">coronavirus' </w:t>
      </w:r>
      <w:r w:rsidRPr="00E84D9F">
        <w:rPr>
          <w:sz w:val="14"/>
        </w:rPr>
        <w:t xml:space="preserve">accelerated </w:t>
      </w:r>
      <w:r w:rsidRPr="00E84D9F">
        <w:rPr>
          <w:rStyle w:val="StyleUnderline"/>
        </w:rPr>
        <w:t>spread throughout the US threatens to halt</w:t>
      </w:r>
      <w:r w:rsidRPr="00E84D9F">
        <w:rPr>
          <w:sz w:val="14"/>
        </w:rPr>
        <w:t xml:space="preserve"> the nation's economic </w:t>
      </w:r>
      <w:r w:rsidRPr="00E84D9F">
        <w:rPr>
          <w:rStyle w:val="StyleUnderline"/>
        </w:rPr>
        <w:t>recovery before it takes off</w:t>
      </w:r>
      <w:r w:rsidRPr="00E84D9F">
        <w:rPr>
          <w:sz w:val="14"/>
        </w:rPr>
        <w:t>, Raphael Bostic, president of the Federal Reserve Bank of Atlanta, said Tuesday.</w:t>
      </w:r>
    </w:p>
    <w:p w14:paraId="773F1052" w14:textId="77777777" w:rsidR="00586EDF" w:rsidRPr="00E84D9F" w:rsidRDefault="00586EDF" w:rsidP="00586EDF">
      <w:pPr>
        <w:rPr>
          <w:sz w:val="14"/>
        </w:rPr>
      </w:pPr>
      <w:r w:rsidRPr="00E84D9F">
        <w:rPr>
          <w:sz w:val="14"/>
        </w:rPr>
        <w:t xml:space="preserve">Several states reported record increases in COVID-19 cases over the weekend, reviving fears that a second wave of infections could push the US back into strict lockdowns. </w:t>
      </w:r>
      <w:r w:rsidRPr="00E84D9F">
        <w:rPr>
          <w:rStyle w:val="StyleUnderline"/>
        </w:rPr>
        <w:t>The uptick is already hitting</w:t>
      </w:r>
      <w:r w:rsidRPr="00E84D9F">
        <w:rPr>
          <w:sz w:val="14"/>
        </w:rPr>
        <w:t xml:space="preserve"> business sentiments, </w:t>
      </w:r>
      <w:r w:rsidRPr="00E84D9F">
        <w:rPr>
          <w:rStyle w:val="StyleUnderline"/>
        </w:rPr>
        <w:t>and the nation is starting to grapple with the prospects of a lengthy recessio</w:t>
      </w:r>
      <w:r w:rsidRPr="00E84D9F">
        <w:rPr>
          <w:sz w:val="14"/>
        </w:rPr>
        <w:t>n, Bostic said.</w:t>
      </w:r>
    </w:p>
    <w:p w14:paraId="49620ED4" w14:textId="77777777" w:rsidR="00586EDF" w:rsidRPr="00E84D9F" w:rsidRDefault="00586EDF" w:rsidP="00586EDF">
      <w:pPr>
        <w:rPr>
          <w:sz w:val="14"/>
          <w:szCs w:val="14"/>
        </w:rPr>
      </w:pPr>
      <w:r w:rsidRPr="00E84D9F">
        <w:rPr>
          <w:sz w:val="14"/>
          <w:szCs w:val="14"/>
        </w:rPr>
        <w:t>"People are getting nervous again. Business leaders are getting worried. Consumers are getting worried," he said during a web conference with the Tennessee Business Roundtable. "There is a real sense that this might go on longer than we had hoped and we had expected and we had planned for."</w:t>
      </w:r>
    </w:p>
    <w:p w14:paraId="51DFAA5D" w14:textId="77777777" w:rsidR="00586EDF" w:rsidRPr="00E84D9F" w:rsidRDefault="00586EDF" w:rsidP="00586EDF">
      <w:pPr>
        <w:rPr>
          <w:sz w:val="14"/>
        </w:rPr>
      </w:pPr>
      <w:r w:rsidRPr="00E84D9F">
        <w:rPr>
          <w:sz w:val="14"/>
        </w:rPr>
        <w:t xml:space="preserve">Economic data detailing the pandemic's toll has yet to reveal such a slowdown. June's jobs report showed the unemployment rate falling for a second straight month to 11.1% and American businesses adding 4.8 million payrolls last month. Yet the lasting damage isn't yet visible. </w:t>
      </w:r>
      <w:r w:rsidRPr="00E84D9F">
        <w:rPr>
          <w:rStyle w:val="StyleUnderline"/>
        </w:rPr>
        <w:t>Bostic</w:t>
      </w:r>
      <w:r w:rsidRPr="00E84D9F">
        <w:rPr>
          <w:sz w:val="14"/>
        </w:rPr>
        <w:t xml:space="preserve"> recently </w:t>
      </w:r>
      <w:r w:rsidRPr="00E84D9F">
        <w:rPr>
          <w:rStyle w:val="StyleUnderline"/>
        </w:rPr>
        <w:t>told</w:t>
      </w:r>
      <w:r w:rsidRPr="00E84D9F">
        <w:rPr>
          <w:sz w:val="14"/>
        </w:rPr>
        <w:t xml:space="preserve"> the Financial Times </w:t>
      </w:r>
      <w:r w:rsidRPr="00E84D9F">
        <w:rPr>
          <w:rStyle w:val="StyleUnderline"/>
        </w:rPr>
        <w:t>his "biggest concern in this whole period</w:t>
      </w:r>
      <w:r w:rsidRPr="00E84D9F">
        <w:rPr>
          <w:sz w:val="14"/>
        </w:rPr>
        <w:t xml:space="preserve">" </w:t>
      </w:r>
      <w:r w:rsidRPr="00E84D9F">
        <w:rPr>
          <w:rStyle w:val="StyleUnderline"/>
        </w:rPr>
        <w:t>is the extent of permanent job loss</w:t>
      </w:r>
      <w:r w:rsidRPr="00E84D9F">
        <w:rPr>
          <w:sz w:val="14"/>
        </w:rPr>
        <w:t xml:space="preserve"> throughout the US.</w:t>
      </w:r>
    </w:p>
    <w:p w14:paraId="0C979957" w14:textId="77777777" w:rsidR="00586EDF" w:rsidRPr="00E84D9F" w:rsidRDefault="00586EDF" w:rsidP="00586EDF">
      <w:pPr>
        <w:rPr>
          <w:sz w:val="14"/>
        </w:rPr>
      </w:pPr>
      <w:r w:rsidRPr="00E84D9F">
        <w:rPr>
          <w:sz w:val="14"/>
        </w:rPr>
        <w:t xml:space="preserve">The central bank president also pointed to consumer confidence as an indicator to watch for whether a recovery continues or freezes up. Retail spending data has picked up from its March lows, but </w:t>
      </w:r>
      <w:r w:rsidRPr="00E84D9F">
        <w:rPr>
          <w:rStyle w:val="StyleUnderline"/>
        </w:rPr>
        <w:t>experts caution that a</w:t>
      </w:r>
      <w:r w:rsidRPr="00E84D9F">
        <w:rPr>
          <w:sz w:val="14"/>
        </w:rPr>
        <w:t xml:space="preserve"> full </w:t>
      </w:r>
      <w:r w:rsidRPr="00E84D9F">
        <w:rPr>
          <w:rStyle w:val="StyleUnderline"/>
        </w:rPr>
        <w:t>rebound in sentiments may not take place until a coronavirus vaccine reaches the market</w:t>
      </w:r>
      <w:r w:rsidRPr="00E84D9F">
        <w:rPr>
          <w:sz w:val="14"/>
        </w:rPr>
        <w:t>.</w:t>
      </w:r>
    </w:p>
    <w:p w14:paraId="2EE25322" w14:textId="77777777" w:rsidR="00586EDF" w:rsidRPr="00E84D9F" w:rsidRDefault="00586EDF" w:rsidP="00586EDF">
      <w:pPr>
        <w:rPr>
          <w:sz w:val="14"/>
          <w:szCs w:val="14"/>
        </w:rPr>
      </w:pPr>
      <w:r w:rsidRPr="00E84D9F">
        <w:rPr>
          <w:sz w:val="14"/>
          <w:szCs w:val="14"/>
        </w:rPr>
        <w:t>"That worry, that lack of confidence, is a critical thing that we all need to be mindful of, that I definitely need to be mindful of, as so much of the US economy is based on confidence," he said.</w:t>
      </w:r>
    </w:p>
    <w:p w14:paraId="3B9BFF7E" w14:textId="77777777" w:rsidR="00586EDF" w:rsidRPr="00E84D9F" w:rsidRDefault="00586EDF" w:rsidP="00586EDF">
      <w:pPr>
        <w:rPr>
          <w:sz w:val="14"/>
          <w:szCs w:val="14"/>
        </w:rPr>
      </w:pPr>
      <w:r w:rsidRPr="00E84D9F">
        <w:rPr>
          <w:sz w:val="14"/>
          <w:szCs w:val="14"/>
        </w:rPr>
        <w:t>Bostic reiterated that the Fed has no plans to close any of its nine emergency relief programs anytime soon. He also noted that, as cases are rising slower in some areas, studying those regions' containment methods may be the best way to aid the economy.</w:t>
      </w:r>
    </w:p>
    <w:p w14:paraId="6AA54AD4" w14:textId="77777777" w:rsidR="00586EDF" w:rsidRPr="00E84D9F" w:rsidRDefault="00586EDF" w:rsidP="00586EDF">
      <w:pPr>
        <w:rPr>
          <w:sz w:val="14"/>
          <w:szCs w:val="14"/>
        </w:rPr>
      </w:pPr>
      <w:r w:rsidRPr="00E84D9F">
        <w:rPr>
          <w:sz w:val="14"/>
          <w:szCs w:val="14"/>
        </w:rPr>
        <w:t>"We might need to do better and do more in terms of following and respecting our social distance requests and do things like wear masks," he added.</w:t>
      </w:r>
    </w:p>
    <w:p w14:paraId="625A13C1" w14:textId="278FBC62" w:rsidR="00440F00" w:rsidRPr="004F436A" w:rsidRDefault="00440F00" w:rsidP="00440F00">
      <w:pPr>
        <w:pStyle w:val="Heading4"/>
      </w:pPr>
      <w:r>
        <w:t>CLO crash coming now – it’ll deepen the recession.</w:t>
      </w:r>
    </w:p>
    <w:p w14:paraId="34B4B3D9" w14:textId="77777777" w:rsidR="00440F00" w:rsidRPr="00205997" w:rsidRDefault="00440F00" w:rsidP="00440F00">
      <w:pPr>
        <w:rPr>
          <w:rStyle w:val="Style13ptBold"/>
          <w:b w:val="0"/>
          <w:bCs w:val="0"/>
        </w:rPr>
      </w:pPr>
      <w:r>
        <w:rPr>
          <w:rStyle w:val="Style13ptBold"/>
        </w:rPr>
        <w:t xml:space="preserve">Partnoy 20 — </w:t>
      </w:r>
      <w:r w:rsidRPr="00205997">
        <w:t>Frank Partnoy is a law professor at UC Berkeley. (“</w:t>
      </w:r>
      <w:r>
        <w:t>The Looming Bank Collapse</w:t>
      </w:r>
      <w:r w:rsidRPr="00205997">
        <w:t>”</w:t>
      </w:r>
      <w:r>
        <w:t xml:space="preserve"> The Atlantic, July/August 2020 Business Issue. https://www.theatlantic.com/magazine/archive/2020/07/coronavirus-banks-collapse/612247/</w:t>
      </w:r>
      <w:r w:rsidRPr="00205997">
        <w:t>)</w:t>
      </w:r>
      <w:r>
        <w:t>//JLPark</w:t>
      </w:r>
    </w:p>
    <w:p w14:paraId="1364526B" w14:textId="77777777" w:rsidR="00440F00" w:rsidRPr="00566EA2" w:rsidRDefault="00440F00" w:rsidP="00440F00">
      <w:pPr>
        <w:rPr>
          <w:sz w:val="14"/>
        </w:rPr>
      </w:pPr>
      <w:r w:rsidRPr="00566EA2">
        <w:rPr>
          <w:smallCaps/>
          <w:sz w:val="14"/>
        </w:rPr>
        <w:t>A</w:t>
      </w:r>
      <w:r w:rsidRPr="00566EA2">
        <w:rPr>
          <w:sz w:val="14"/>
        </w:rPr>
        <w:t xml:space="preserve">fter months of living with the coronavirus pandemic, American citizens are well aware of the toll it has taken on the economy: </w:t>
      </w:r>
      <w:r w:rsidRPr="00566EA2">
        <w:rPr>
          <w:rStyle w:val="StyleUnderline"/>
        </w:rPr>
        <w:t>broken supply chains, record unemployment, failing small businesses</w:t>
      </w:r>
      <w:r w:rsidRPr="00566EA2">
        <w:rPr>
          <w:sz w:val="14"/>
        </w:rPr>
        <w:t xml:space="preserve">. </w:t>
      </w:r>
      <w:r w:rsidRPr="00566EA2">
        <w:rPr>
          <w:rStyle w:val="StyleUnderline"/>
        </w:rPr>
        <w:t>All of these factors</w:t>
      </w:r>
      <w:r w:rsidRPr="00566EA2">
        <w:rPr>
          <w:sz w:val="14"/>
        </w:rPr>
        <w:t xml:space="preserve"> are serious and could </w:t>
      </w:r>
      <w:r w:rsidRPr="00566EA2">
        <w:rPr>
          <w:rStyle w:val="StyleUnderline"/>
        </w:rPr>
        <w:t>mire the U</w:t>
      </w:r>
      <w:r w:rsidRPr="00566EA2">
        <w:rPr>
          <w:sz w:val="14"/>
        </w:rPr>
        <w:t xml:space="preserve">nited </w:t>
      </w:r>
      <w:r w:rsidRPr="00566EA2">
        <w:rPr>
          <w:rStyle w:val="StyleUnderline"/>
        </w:rPr>
        <w:t>S</w:t>
      </w:r>
      <w:r w:rsidRPr="00566EA2">
        <w:rPr>
          <w:sz w:val="14"/>
        </w:rPr>
        <w:t xml:space="preserve">tates </w:t>
      </w:r>
      <w:r w:rsidRPr="00566EA2">
        <w:rPr>
          <w:rStyle w:val="StyleUnderline"/>
        </w:rPr>
        <w:t>in a</w:t>
      </w:r>
      <w:r w:rsidRPr="00566EA2">
        <w:rPr>
          <w:sz w:val="14"/>
        </w:rPr>
        <w:t xml:space="preserve"> deep, </w:t>
      </w:r>
      <w:r w:rsidRPr="00566EA2">
        <w:rPr>
          <w:rStyle w:val="StyleUnderline"/>
        </w:rPr>
        <w:t>prolonged recession</w:t>
      </w:r>
      <w:r w:rsidRPr="00566EA2">
        <w:rPr>
          <w:sz w:val="14"/>
        </w:rPr>
        <w:t xml:space="preserve">. But there’s </w:t>
      </w:r>
      <w:r w:rsidRPr="00566EA2">
        <w:rPr>
          <w:rStyle w:val="StyleUnderline"/>
        </w:rPr>
        <w:t xml:space="preserve">another threat </w:t>
      </w:r>
      <w:r w:rsidRPr="00566EA2">
        <w:rPr>
          <w:sz w:val="14"/>
        </w:rPr>
        <w:t xml:space="preserve">to the economy, too. It lurks on the balance sheets of the big banks, and it </w:t>
      </w:r>
      <w:r w:rsidRPr="00566EA2">
        <w:rPr>
          <w:rStyle w:val="StyleUnderline"/>
        </w:rPr>
        <w:t>could be cataclysmic</w:t>
      </w:r>
      <w:r w:rsidRPr="00566EA2">
        <w:rPr>
          <w:sz w:val="14"/>
        </w:rPr>
        <w:t>. Imagine if, in addition to all the uncertainty surrounding the pandemic, you woke up one morning to find that the financial sector had collapsed.</w:t>
      </w:r>
    </w:p>
    <w:p w14:paraId="0ABA8A66" w14:textId="77777777" w:rsidR="00440F00" w:rsidRPr="00566EA2" w:rsidRDefault="00440F00" w:rsidP="00440F00">
      <w:pPr>
        <w:rPr>
          <w:sz w:val="14"/>
        </w:rPr>
      </w:pPr>
      <w:r w:rsidRPr="00566EA2">
        <w:rPr>
          <w:sz w:val="14"/>
        </w:rPr>
        <w:t xml:space="preserve">You may think that such a crisis is unlikely, with memories of the 2008 crash still so fresh. But </w:t>
      </w:r>
      <w:r w:rsidRPr="00566EA2">
        <w:rPr>
          <w:rStyle w:val="StyleUnderline"/>
        </w:rPr>
        <w:t>banks learned few lessons from</w:t>
      </w:r>
      <w:r w:rsidRPr="00566EA2">
        <w:rPr>
          <w:sz w:val="14"/>
        </w:rPr>
        <w:t xml:space="preserve"> that </w:t>
      </w:r>
      <w:r w:rsidRPr="00566EA2">
        <w:rPr>
          <w:rStyle w:val="StyleUnderline"/>
        </w:rPr>
        <w:t>calamity</w:t>
      </w:r>
      <w:r w:rsidRPr="00566EA2">
        <w:rPr>
          <w:sz w:val="14"/>
        </w:rPr>
        <w:t>, and new laws intended to keep them from taking on too much risk have failed to do so. As a result, we could be on the precipice of another crash, one different from 2008 less in kind than in degree. This one could be worse.</w:t>
      </w:r>
    </w:p>
    <w:p w14:paraId="315C0F06" w14:textId="77777777" w:rsidR="00440F00" w:rsidRPr="00566EA2" w:rsidRDefault="00440F00" w:rsidP="00440F00">
      <w:pPr>
        <w:rPr>
          <w:sz w:val="12"/>
          <w:szCs w:val="12"/>
        </w:rPr>
      </w:pPr>
      <w:r w:rsidRPr="00566EA2">
        <w:rPr>
          <w:sz w:val="12"/>
          <w:szCs w:val="12"/>
        </w:rPr>
        <w:t>The financial crisis of 2008 was about home mortgages. Hundreds of billions of dollars in loans to home buyers were repackaged into securities called collateralized debt obligations, known as CDOs. In theory, CDOs were intended to shift risk away from banks, which lend money to home buyers. In practice, the same banks that issued home loans also bet heavily on CDOs, often using complex techniques hidden from investors and regulators. When the housing market took a hit, these banks were doubly affected. In late 2007, banks began disclosing tens of billions of dollars of subprime-CDO losses. The next year, Lehman Brothers went under, taking the economy with it.</w:t>
      </w:r>
    </w:p>
    <w:p w14:paraId="33B913DA" w14:textId="77777777" w:rsidR="00440F00" w:rsidRPr="00566EA2" w:rsidRDefault="00440F00" w:rsidP="00440F00">
      <w:pPr>
        <w:rPr>
          <w:sz w:val="12"/>
          <w:szCs w:val="12"/>
        </w:rPr>
      </w:pPr>
      <w:r w:rsidRPr="00566EA2">
        <w:rPr>
          <w:sz w:val="12"/>
          <w:szCs w:val="12"/>
        </w:rPr>
        <w:t>The federal government stepped in to rescue the other big banks and forestall a panic. The intervention worked—though its success did not seem assured at the time—and the system righted itself. Of course, many Americans suffered as a result of the crash, losing homes, jobs, and wealth. An already troubling gap between America’s haves and have-nots grew wider still. Yet by March 2009, the economy was on the upswing, and the longest bull market in history had begun.</w:t>
      </w:r>
    </w:p>
    <w:p w14:paraId="5E3B4E49" w14:textId="77777777" w:rsidR="00440F00" w:rsidRPr="00566EA2" w:rsidRDefault="00440F00" w:rsidP="00440F00">
      <w:pPr>
        <w:rPr>
          <w:sz w:val="12"/>
          <w:szCs w:val="12"/>
        </w:rPr>
      </w:pPr>
      <w:r w:rsidRPr="00566EA2">
        <w:rPr>
          <w:sz w:val="12"/>
          <w:szCs w:val="12"/>
        </w:rPr>
        <w:t>To prevent the next crisis, Congress in 2010 passed the Dodd-Frank Act. Under the new rules, banks were supposed to borrow less, make fewer long-shot bets, and be more transparent about their holdings. The Federal Reserve began conducting “stress tests” to keep the banks in line. Congress also tried to reform the credit-rating agencies, which were widely blamed for enabling the meltdown by giving high marks to dubious CDOs, many of which were larded with subprime loans given to unqualified borrowers. Over the course of the crisis, more than 13,000 CDO investments that were rated AAA—the highest possible rating—defaulted.</w:t>
      </w:r>
    </w:p>
    <w:p w14:paraId="24373A49" w14:textId="77777777" w:rsidR="00440F00" w:rsidRPr="00566EA2" w:rsidRDefault="00440F00" w:rsidP="00440F00">
      <w:pPr>
        <w:rPr>
          <w:sz w:val="14"/>
        </w:rPr>
      </w:pPr>
      <w:r w:rsidRPr="00566EA2">
        <w:rPr>
          <w:sz w:val="14"/>
        </w:rPr>
        <w:t xml:space="preserve">The </w:t>
      </w:r>
      <w:r w:rsidRPr="00566EA2">
        <w:rPr>
          <w:rStyle w:val="StyleUnderline"/>
        </w:rPr>
        <w:t>reforms were well intentioned</w:t>
      </w:r>
      <w:r w:rsidRPr="00566EA2">
        <w:rPr>
          <w:sz w:val="14"/>
        </w:rPr>
        <w:t xml:space="preserve">, </w:t>
      </w:r>
      <w:r w:rsidRPr="00566EA2">
        <w:rPr>
          <w:rStyle w:val="StyleUnderline"/>
        </w:rPr>
        <w:t>but</w:t>
      </w:r>
      <w:r w:rsidRPr="00566EA2">
        <w:rPr>
          <w:sz w:val="14"/>
        </w:rPr>
        <w:t xml:space="preserve">, as we’ll see, they </w:t>
      </w:r>
      <w:r w:rsidRPr="00566EA2">
        <w:rPr>
          <w:rStyle w:val="StyleUnderline"/>
        </w:rPr>
        <w:t>haven’t kept</w:t>
      </w:r>
      <w:r w:rsidRPr="00566EA2">
        <w:rPr>
          <w:sz w:val="14"/>
        </w:rPr>
        <w:t xml:space="preserve"> the </w:t>
      </w:r>
      <w:r w:rsidRPr="00566EA2">
        <w:rPr>
          <w:rStyle w:val="StyleUnderline"/>
        </w:rPr>
        <w:t>banks from falling back into old</w:t>
      </w:r>
      <w:r w:rsidRPr="00566EA2">
        <w:rPr>
          <w:sz w:val="14"/>
        </w:rPr>
        <w:t xml:space="preserve">, bad </w:t>
      </w:r>
      <w:r w:rsidRPr="00566EA2">
        <w:rPr>
          <w:rStyle w:val="StyleUnderline"/>
        </w:rPr>
        <w:t>habits</w:t>
      </w:r>
      <w:r w:rsidRPr="00566EA2">
        <w:rPr>
          <w:sz w:val="14"/>
        </w:rPr>
        <w:t xml:space="preserve">. After the housing crisis, subprime CDOs naturally fell out of favor. </w:t>
      </w:r>
      <w:r w:rsidRPr="00566EA2">
        <w:rPr>
          <w:rStyle w:val="StyleUnderline"/>
        </w:rPr>
        <w:t xml:space="preserve">Demand shifted to </w:t>
      </w:r>
      <w:r w:rsidRPr="00566EA2">
        <w:rPr>
          <w:sz w:val="14"/>
        </w:rPr>
        <w:t xml:space="preserve">a similar—and similarly risky—instrument, one that even has a similar name: </w:t>
      </w:r>
      <w:r w:rsidRPr="00566EA2">
        <w:rPr>
          <w:rStyle w:val="StyleUnderline"/>
        </w:rPr>
        <w:t>the CLO, or collateralized loan obligation</w:t>
      </w:r>
      <w:r w:rsidRPr="00566EA2">
        <w:rPr>
          <w:sz w:val="14"/>
        </w:rPr>
        <w:t xml:space="preserve">. A CLO walks and talks like a CDO, but in place of loans made to home buyers are loans made to businesses—specifically, troubled businesses. CLOs bundle together so-called leveraged loans, the subprime mortgages of the corporate world. </w:t>
      </w:r>
      <w:r w:rsidRPr="00566EA2">
        <w:rPr>
          <w:rStyle w:val="StyleUnderline"/>
        </w:rPr>
        <w:t>These are loans made to companies that have maxed out their borrowing and can no longer sell bonds directly to investors or qualify for a traditional bank loan</w:t>
      </w:r>
      <w:r w:rsidRPr="00566EA2">
        <w:rPr>
          <w:sz w:val="14"/>
        </w:rPr>
        <w:t>. There are more than $1 trillion worth of leveraged loans currently outstanding. The majority are held in CLOs.</w:t>
      </w:r>
    </w:p>
    <w:p w14:paraId="75C3CE58" w14:textId="77777777" w:rsidR="00440F00" w:rsidRPr="00205997" w:rsidRDefault="00440F00" w:rsidP="00440F00">
      <w:r w:rsidRPr="00205997">
        <w:t>Just as easy mortgages fueled economic growth in the 2000s, cheap corporate debt has done so in the past decade, and many companies have binged on it.</w:t>
      </w:r>
    </w:p>
    <w:p w14:paraId="73CFFF46" w14:textId="77777777" w:rsidR="00440F00" w:rsidRPr="00566EA2" w:rsidRDefault="00440F00" w:rsidP="00440F00">
      <w:pPr>
        <w:rPr>
          <w:sz w:val="14"/>
        </w:rPr>
      </w:pPr>
      <w:r w:rsidRPr="00566EA2">
        <w:rPr>
          <w:sz w:val="14"/>
        </w:rPr>
        <w:t xml:space="preserve">I was part of the group that structured and sold CDOs and CLOs at Morgan Stanley in the 1990s. The two securities are remarkably alike. Like a CDO, a </w:t>
      </w:r>
      <w:r w:rsidRPr="00566EA2">
        <w:rPr>
          <w:rStyle w:val="StyleUnderline"/>
        </w:rPr>
        <w:t>CLO has multiple layers</w:t>
      </w:r>
      <w:r w:rsidRPr="00566EA2">
        <w:rPr>
          <w:sz w:val="14"/>
        </w:rPr>
        <w:t xml:space="preserve">, which are sold separately. </w:t>
      </w:r>
      <w:r w:rsidRPr="00566EA2">
        <w:rPr>
          <w:rStyle w:val="StyleUnderline"/>
        </w:rPr>
        <w:t>The</w:t>
      </w:r>
      <w:r w:rsidRPr="00566EA2">
        <w:rPr>
          <w:sz w:val="14"/>
        </w:rPr>
        <w:t xml:space="preserve"> bottom </w:t>
      </w:r>
      <w:r w:rsidRPr="00566EA2">
        <w:rPr>
          <w:rStyle w:val="StyleUnderline"/>
        </w:rPr>
        <w:t>layer is the riskiest</w:t>
      </w:r>
      <w:r w:rsidRPr="00566EA2">
        <w:rPr>
          <w:sz w:val="14"/>
        </w:rPr>
        <w:t>, the top the safest. If just a few of the loans in a CLO default, the bottom layer will suffer a loss and the other layers will remain safe. If the defaults increase, the bottom layer will lose even more, and the pain will start to work its way up the layers. The top layer, however, remains protected: It loses money only after the lower layers have been wiped out.</w:t>
      </w:r>
    </w:p>
    <w:p w14:paraId="0D8123A2" w14:textId="77777777" w:rsidR="00440F00" w:rsidRPr="00566EA2" w:rsidRDefault="00440F00" w:rsidP="00440F00">
      <w:pPr>
        <w:rPr>
          <w:rStyle w:val="StyleUnderline"/>
        </w:rPr>
      </w:pPr>
      <w:r w:rsidRPr="00566EA2">
        <w:rPr>
          <w:sz w:val="14"/>
        </w:rPr>
        <w:t>Unless you work in finance, you probably haven’t heard of CLOs, but according to many estimates, the CLO market is bigger than the subprime-mortgage CDO market was in its heyday. The Bank for International Settlements, which helps central banks pursue financial stability, has </w:t>
      </w:r>
      <w:hyperlink r:id="rId251" w:history="1">
        <w:r w:rsidRPr="00566EA2">
          <w:rPr>
            <w:rStyle w:val="Hyperlink"/>
            <w:sz w:val="14"/>
          </w:rPr>
          <w:t>estimated the overall size of the CDO market in 2007</w:t>
        </w:r>
      </w:hyperlink>
      <w:r w:rsidRPr="00566EA2">
        <w:rPr>
          <w:sz w:val="14"/>
        </w:rPr>
        <w:t xml:space="preserve"> at $640 billion; it estimated the overall size of the CLO market in 2018 at $750 billion. More than $130 billion worth of CLOs have been created since then, some even in recent months. Just as easy </w:t>
      </w:r>
      <w:r w:rsidRPr="00566EA2">
        <w:rPr>
          <w:rStyle w:val="StyleUnderline"/>
        </w:rPr>
        <w:t>mortgages fueled economic growth in the 2000s, cheap corporate debt has done so in the past decade, and many companies have binged on it.</w:t>
      </w:r>
    </w:p>
    <w:p w14:paraId="2E40B36D" w14:textId="77777777" w:rsidR="00440F00" w:rsidRPr="00566EA2" w:rsidRDefault="00440F00" w:rsidP="00440F00">
      <w:pPr>
        <w:rPr>
          <w:sz w:val="14"/>
        </w:rPr>
      </w:pPr>
      <w:r w:rsidRPr="00566EA2">
        <w:rPr>
          <w:rStyle w:val="StyleUnderline"/>
        </w:rPr>
        <w:t>Despite</w:t>
      </w:r>
      <w:r w:rsidRPr="00566EA2">
        <w:rPr>
          <w:sz w:val="14"/>
        </w:rPr>
        <w:t xml:space="preserve"> their obvious </w:t>
      </w:r>
      <w:r w:rsidRPr="00566EA2">
        <w:rPr>
          <w:rStyle w:val="StyleUnderline"/>
        </w:rPr>
        <w:t>resemblance to the villain of the last crash</w:t>
      </w:r>
      <w:r w:rsidRPr="00566EA2">
        <w:rPr>
          <w:sz w:val="14"/>
        </w:rPr>
        <w:t xml:space="preserve">, </w:t>
      </w:r>
      <w:r w:rsidRPr="00566EA2">
        <w:rPr>
          <w:rStyle w:val="StyleUnderline"/>
        </w:rPr>
        <w:t>CLOs have been praised</w:t>
      </w:r>
      <w:r w:rsidRPr="00566EA2">
        <w:rPr>
          <w:sz w:val="14"/>
        </w:rPr>
        <w:t xml:space="preserve"> by Federal Reserve Chair Jerome Powell and Treasury Secretary Steven Mnuchin for moving the risk of leveraged loans outside the banking system. Like former Fed Chair Alan Greenspan, who downplayed the risks posed by subprime mortgages, Powell and Mnuchin have downplayed any trouble CLOs could pose for banks, arguing that the risk is contained within the CLOs themselves.</w:t>
      </w:r>
    </w:p>
    <w:p w14:paraId="03303192" w14:textId="77777777" w:rsidR="00440F00" w:rsidRPr="00226A23" w:rsidRDefault="00440F00" w:rsidP="00440F00">
      <w:pPr>
        <w:rPr>
          <w:sz w:val="12"/>
          <w:szCs w:val="12"/>
        </w:rPr>
      </w:pPr>
      <w:r w:rsidRPr="00226A23">
        <w:rPr>
          <w:sz w:val="12"/>
          <w:szCs w:val="12"/>
        </w:rPr>
        <w:t>These sanguine views are hard to square with reality. The Bank for International Settlements estimates that, across the globe, banks held at least $250 billion worth of CLOs at the end of 2018. Last July, one month after </w:t>
      </w:r>
      <w:hyperlink r:id="rId252" w:history="1">
        <w:r w:rsidRPr="00226A23">
          <w:rPr>
            <w:rStyle w:val="Hyperlink"/>
            <w:sz w:val="12"/>
            <w:szCs w:val="12"/>
          </w:rPr>
          <w:t>Powell declared in a press conference</w:t>
        </w:r>
      </w:hyperlink>
      <w:r w:rsidRPr="00226A23">
        <w:rPr>
          <w:sz w:val="12"/>
          <w:szCs w:val="12"/>
        </w:rPr>
        <w:t> that “the risk isn’t in the banks,” </w:t>
      </w:r>
      <w:hyperlink r:id="rId253" w:history="1">
        <w:r w:rsidRPr="00226A23">
          <w:rPr>
            <w:rStyle w:val="Hyperlink"/>
            <w:sz w:val="12"/>
            <w:szCs w:val="12"/>
          </w:rPr>
          <w:t>two economists from the Federal Reserve reported</w:t>
        </w:r>
      </w:hyperlink>
      <w:r w:rsidRPr="00226A23">
        <w:rPr>
          <w:sz w:val="12"/>
          <w:szCs w:val="12"/>
        </w:rPr>
        <w:t> that U.S. depository institutions and their holding companies owned more than $110 billion worth of CLOs issued out of the Cayman Islands alone. A more complete picture is hard to come by, in part because banks have been inconsistent about reporting their CLO holdings. The Financial Stability Board, which monitors the global financial system, </w:t>
      </w:r>
      <w:hyperlink r:id="rId254" w:history="1">
        <w:r w:rsidRPr="00226A23">
          <w:rPr>
            <w:rStyle w:val="Hyperlink"/>
            <w:sz w:val="12"/>
            <w:szCs w:val="12"/>
          </w:rPr>
          <w:t>warned in December</w:t>
        </w:r>
      </w:hyperlink>
      <w:r w:rsidRPr="00226A23">
        <w:rPr>
          <w:sz w:val="12"/>
          <w:szCs w:val="12"/>
        </w:rPr>
        <w:t> that 14 percent of CLOs—more than $100 billion worth—are unaccounted for.</w:t>
      </w:r>
    </w:p>
    <w:p w14:paraId="6AEA60C3" w14:textId="77777777" w:rsidR="00440F00" w:rsidRPr="00226A23" w:rsidRDefault="00440F00" w:rsidP="00440F00">
      <w:pPr>
        <w:rPr>
          <w:sz w:val="12"/>
          <w:szCs w:val="12"/>
        </w:rPr>
      </w:pPr>
      <w:r w:rsidRPr="00226A23">
        <w:rPr>
          <w:sz w:val="12"/>
          <w:szCs w:val="12"/>
        </w:rPr>
        <w:t>I have a checking account and a home mortgage with Wells Fargo; I decided to see how heavily invested my bank is in CLOs. I had to dig deep into the footnotes of </w:t>
      </w:r>
      <w:hyperlink r:id="rId255" w:history="1">
        <w:r w:rsidRPr="00226A23">
          <w:rPr>
            <w:rStyle w:val="Hyperlink"/>
            <w:sz w:val="12"/>
            <w:szCs w:val="12"/>
          </w:rPr>
          <w:t>the bank’s most recent annual report, all the way to page 144</w:t>
        </w:r>
      </w:hyperlink>
      <w:r w:rsidRPr="00226A23">
        <w:rPr>
          <w:sz w:val="12"/>
          <w:szCs w:val="12"/>
        </w:rPr>
        <w:t>. Listed there are its “available for sale” accounts. These are investments a bank plans to sell at some point, though not necessarily right away. The list contains the categories of safe assets you might expect: U.S. Treasury bonds, municipal bonds, and so on. Nestled among them is an item called “collateralized loan and other obligations”—CLOs. I ran my finger across the page to see the total for these investments, investments that Powell and Mnuchin have asserted are “outside the banking system.”</w:t>
      </w:r>
    </w:p>
    <w:p w14:paraId="3C8F17EC" w14:textId="77777777" w:rsidR="00440F00" w:rsidRPr="00226A23" w:rsidRDefault="00440F00" w:rsidP="00440F00">
      <w:pPr>
        <w:rPr>
          <w:rStyle w:val="StyleUnderline"/>
        </w:rPr>
      </w:pPr>
      <w:r w:rsidRPr="00226A23">
        <w:rPr>
          <w:rStyle w:val="StyleUnderline"/>
        </w:rPr>
        <w:t>The total is $29.7 billion. It is a massive number. And it is inside the bank.</w:t>
      </w:r>
    </w:p>
    <w:p w14:paraId="589585AF" w14:textId="77777777" w:rsidR="00440F00" w:rsidRPr="00226A23" w:rsidRDefault="00440F00" w:rsidP="00440F00">
      <w:pPr>
        <w:rPr>
          <w:sz w:val="12"/>
          <w:szCs w:val="12"/>
        </w:rPr>
      </w:pPr>
      <w:r w:rsidRPr="00226A23">
        <w:rPr>
          <w:sz w:val="12"/>
          <w:szCs w:val="12"/>
        </w:rPr>
        <w:t>Since 2008, banks have kept more capital on hand to protect against a downturn, and their balance sheets are less leveraged now than they were in 2007. And not every bank has loaded up on CLOs. But in December, </w:t>
      </w:r>
      <w:hyperlink r:id="rId256" w:history="1">
        <w:r w:rsidRPr="00226A23">
          <w:rPr>
            <w:rStyle w:val="Hyperlink"/>
            <w:sz w:val="12"/>
            <w:szCs w:val="12"/>
          </w:rPr>
          <w:t>the Financial Stability Board estimated</w:t>
        </w:r>
      </w:hyperlink>
      <w:r w:rsidRPr="00226A23">
        <w:rPr>
          <w:sz w:val="12"/>
          <w:szCs w:val="12"/>
        </w:rPr>
        <w:t> that, for the 30 “global systemically important banks,” the average exposure to leveraged loans and CLOs was roughly 60 percent of capital on hand. </w:t>
      </w:r>
      <w:hyperlink r:id="rId257" w:history="1">
        <w:r w:rsidRPr="00226A23">
          <w:rPr>
            <w:rStyle w:val="Hyperlink"/>
            <w:sz w:val="12"/>
            <w:szCs w:val="12"/>
          </w:rPr>
          <w:t>Citigroup reported</w:t>
        </w:r>
      </w:hyperlink>
      <w:r w:rsidRPr="00226A23">
        <w:rPr>
          <w:sz w:val="12"/>
          <w:szCs w:val="12"/>
        </w:rPr>
        <w:t> $20 billion worth of CLOs as of March 31; </w:t>
      </w:r>
      <w:hyperlink r:id="rId258" w:history="1">
        <w:r w:rsidRPr="00226A23">
          <w:rPr>
            <w:rStyle w:val="Hyperlink"/>
            <w:sz w:val="12"/>
            <w:szCs w:val="12"/>
          </w:rPr>
          <w:t>JPMorgan Chase reported</w:t>
        </w:r>
      </w:hyperlink>
      <w:r w:rsidRPr="00226A23">
        <w:rPr>
          <w:sz w:val="12"/>
          <w:szCs w:val="12"/>
        </w:rPr>
        <w:t> $35 billion (along with an unrealized loss on CLOs of $2 billion). A couple of midsize banks—Banc of California, Stifel Financial—have CLOs totaling more than 100 percent of their capital. If the leveraged-loan market imploded, their liabilities could quickly become greater than their assets.</w:t>
      </w:r>
    </w:p>
    <w:p w14:paraId="7B367951" w14:textId="77777777" w:rsidR="00440F00" w:rsidRPr="00226A23" w:rsidRDefault="00440F00" w:rsidP="00440F00">
      <w:pPr>
        <w:rPr>
          <w:sz w:val="14"/>
        </w:rPr>
      </w:pPr>
      <w:r w:rsidRPr="00226A23">
        <w:rPr>
          <w:sz w:val="14"/>
        </w:rPr>
        <w:t xml:space="preserve">How can </w:t>
      </w:r>
      <w:r w:rsidRPr="00226A23">
        <w:rPr>
          <w:rStyle w:val="StyleUnderline"/>
        </w:rPr>
        <w:t>these banks</w:t>
      </w:r>
      <w:r w:rsidRPr="00226A23">
        <w:rPr>
          <w:sz w:val="14"/>
        </w:rPr>
        <w:t xml:space="preserve"> justify </w:t>
      </w:r>
      <w:r w:rsidRPr="00226A23">
        <w:rPr>
          <w:rStyle w:val="StyleUnderline"/>
        </w:rPr>
        <w:t xml:space="preserve">gambling so much money on </w:t>
      </w:r>
      <w:r w:rsidRPr="00226A23">
        <w:rPr>
          <w:sz w:val="14"/>
        </w:rPr>
        <w:t xml:space="preserve">what looks like such </w:t>
      </w:r>
      <w:r w:rsidRPr="00226A23">
        <w:rPr>
          <w:rStyle w:val="StyleUnderline"/>
        </w:rPr>
        <w:t>a risky bet</w:t>
      </w:r>
      <w:r w:rsidRPr="00226A23">
        <w:rPr>
          <w:sz w:val="14"/>
        </w:rPr>
        <w:t>? Defenders of CLOs say they aren’t, in fact, a gamble—on the contrary, they are as sure a thing as you can hope for. That’s because the banks mostly own the least risky, top layer of CLOs. Since the mid-1990s, the highest annual default rate on leveraged loans was about 10 percent, during the previous financial crisis. If 10 percent of a CLO’s loans default, the bottom layers will suffer, but if you own the top layer, you might not even notice. Three times as many loans could default and you’d still be protected, because the lower layers would bear the loss. The securities are structured such that investors with a high tolerance for risk, like hedge funds and private-equity firms, buy the bottom layers hoping to win the lottery. The big banks settle for smaller returns and the security of the top layer. As of this writing, no AAA</w:t>
      </w:r>
      <w:r w:rsidRPr="00226A23">
        <w:rPr>
          <w:sz w:val="14"/>
        </w:rPr>
        <w:noBreakHyphen/>
        <w:t>rated layer of a CLO has ever lost principal.</w:t>
      </w:r>
    </w:p>
    <w:p w14:paraId="73D90418" w14:textId="77777777" w:rsidR="00440F00" w:rsidRPr="004F436A" w:rsidRDefault="00440F00" w:rsidP="00440F00">
      <w:pPr>
        <w:rPr>
          <w:sz w:val="14"/>
        </w:rPr>
      </w:pPr>
      <w:r w:rsidRPr="004F436A">
        <w:rPr>
          <w:sz w:val="14"/>
        </w:rPr>
        <w:t xml:space="preserve">But that AAA rating is deceiving. The credit-rating agencies grade CLOs and their underlying debt separately. You might assume that a CLO must contain AAA debt if its top layer is rated AAA. Far from it. Remember: </w:t>
      </w:r>
      <w:r w:rsidRPr="004F436A">
        <w:rPr>
          <w:rStyle w:val="StyleUnderline"/>
        </w:rPr>
        <w:t>CLOs are made up of loans to businesses that are already in trouble</w:t>
      </w:r>
      <w:r w:rsidRPr="004F436A">
        <w:rPr>
          <w:sz w:val="14"/>
        </w:rPr>
        <w:t>.</w:t>
      </w:r>
    </w:p>
    <w:p w14:paraId="677F0DAB" w14:textId="77777777" w:rsidR="00440F00" w:rsidRPr="004F436A" w:rsidRDefault="00440F00" w:rsidP="00440F00">
      <w:pPr>
        <w:rPr>
          <w:sz w:val="14"/>
        </w:rPr>
      </w:pPr>
      <w:r w:rsidRPr="004F436A">
        <w:rPr>
          <w:sz w:val="14"/>
        </w:rPr>
        <w:t xml:space="preserve">So what sort of debt do you find in a CLO? Fitch Ratings has estimated that as of April, more than 67 percent of the 1,745 borrowers in its leveraged-loan database had a B rating. That might not sound bad, but B-rated debt is lousy debt. According to the rating agencies’ definitions, a B-rated borrower’s ability to repay a loan is likely to be impaired in adverse business or economic conditions. In other words, two-thirds of those leveraged loans are likely to lose money in economic conditions like the ones we’re presently experiencing. According to Fitch, 15 percent of </w:t>
      </w:r>
      <w:r w:rsidRPr="004F436A">
        <w:rPr>
          <w:rStyle w:val="StyleUnderline"/>
        </w:rPr>
        <w:t xml:space="preserve">companies with leveraged loans are rated lower </w:t>
      </w:r>
      <w:r w:rsidRPr="004F436A">
        <w:rPr>
          <w:sz w:val="14"/>
        </w:rPr>
        <w:t>still, at CCC or below. These borrowers are on the cusp of default.</w:t>
      </w:r>
    </w:p>
    <w:p w14:paraId="103C4A31" w14:textId="77777777" w:rsidR="00440F00" w:rsidRPr="004F436A" w:rsidRDefault="00440F00" w:rsidP="00440F00">
      <w:pPr>
        <w:rPr>
          <w:sz w:val="14"/>
        </w:rPr>
      </w:pPr>
      <w:r w:rsidRPr="004F436A">
        <w:rPr>
          <w:sz w:val="14"/>
        </w:rPr>
        <w:t xml:space="preserve">So </w:t>
      </w:r>
      <w:r w:rsidRPr="004F436A">
        <w:rPr>
          <w:rStyle w:val="StyleUnderline"/>
        </w:rPr>
        <w:t>while the banks</w:t>
      </w:r>
      <w:r w:rsidRPr="004F436A">
        <w:rPr>
          <w:sz w:val="14"/>
        </w:rPr>
        <w:t xml:space="preserve"> restrict their </w:t>
      </w:r>
      <w:r w:rsidRPr="004F436A">
        <w:rPr>
          <w:rStyle w:val="StyleUnderline"/>
        </w:rPr>
        <w:t>CLO investments</w:t>
      </w:r>
      <w:r w:rsidRPr="004F436A">
        <w:rPr>
          <w:sz w:val="14"/>
        </w:rPr>
        <w:t xml:space="preserve"> mostly to AAA</w:t>
      </w:r>
      <w:r w:rsidRPr="004F436A">
        <w:rPr>
          <w:sz w:val="14"/>
        </w:rPr>
        <w:noBreakHyphen/>
        <w:t xml:space="preserve">rated layers, what </w:t>
      </w:r>
      <w:r w:rsidRPr="004F436A">
        <w:rPr>
          <w:rStyle w:val="StyleUnderline"/>
        </w:rPr>
        <w:t>they really own is exposure to tens of billions of dollars of high-risk debt</w:t>
      </w:r>
      <w:r w:rsidRPr="004F436A">
        <w:rPr>
          <w:sz w:val="14"/>
        </w:rPr>
        <w:t>. In those highly rated CLOs, you won’t find a single loan rated AAA, AA, or even A.</w:t>
      </w:r>
    </w:p>
    <w:p w14:paraId="73F6F0F2" w14:textId="77777777" w:rsidR="00440F00" w:rsidRPr="004F436A" w:rsidRDefault="00440F00" w:rsidP="00440F00">
      <w:pPr>
        <w:rPr>
          <w:sz w:val="14"/>
        </w:rPr>
      </w:pPr>
      <w:r w:rsidRPr="004F436A">
        <w:rPr>
          <w:sz w:val="14"/>
        </w:rPr>
        <w:t xml:space="preserve">How can the credit-rating agencies get away with this? The answer is “default correlation,” a measure of the likelihood of loans defaulting at the same time. The main reason CLOs have been so safe is the same reason CDOs seemed safe before 2008. </w:t>
      </w:r>
      <w:r w:rsidRPr="004F436A">
        <w:rPr>
          <w:rStyle w:val="StyleUnderline"/>
        </w:rPr>
        <w:t>Back then, the underlying loans were risky too, and everyone knew that some of them would default</w:t>
      </w:r>
      <w:r w:rsidRPr="004F436A">
        <w:rPr>
          <w:sz w:val="14"/>
        </w:rPr>
        <w:t xml:space="preserve">. </w:t>
      </w:r>
      <w:r w:rsidRPr="004F436A">
        <w:rPr>
          <w:rStyle w:val="StyleUnderline"/>
        </w:rPr>
        <w:t>But it seemed unlikely that many of them would default at the same time. The loans were spread across the entire country and among many lenders</w:t>
      </w:r>
      <w:r w:rsidRPr="004F436A">
        <w:rPr>
          <w:sz w:val="14"/>
        </w:rPr>
        <w:t>. Real-estate markets were thought to be local, not national, and the factors that typically lead people to default on their home loans—job loss, divorce, poor health—don’t all move in the same direction at the same time. Then housing prices fell 30 percent across the board and defaults skyrocketed.</w:t>
      </w:r>
    </w:p>
    <w:p w14:paraId="63866820" w14:textId="77777777" w:rsidR="00440F00" w:rsidRPr="004F436A" w:rsidRDefault="00440F00" w:rsidP="00440F00">
      <w:pPr>
        <w:rPr>
          <w:sz w:val="14"/>
        </w:rPr>
      </w:pPr>
      <w:r w:rsidRPr="004F436A">
        <w:rPr>
          <w:sz w:val="14"/>
        </w:rPr>
        <w:t xml:space="preserve">For CLOs, the rating agencies determine the grades of the various layers by assessing both the risks of the leveraged loans and their default correlation. </w:t>
      </w:r>
      <w:r w:rsidRPr="004F436A">
        <w:rPr>
          <w:rStyle w:val="StyleUnderline"/>
        </w:rPr>
        <w:t>Even during a recession</w:t>
      </w:r>
      <w:r w:rsidRPr="004F436A">
        <w:rPr>
          <w:sz w:val="14"/>
        </w:rPr>
        <w:t xml:space="preserve">, different sectors of the economy, such as entertainment, health care, and retail, don’t necessarily move in lockstep. In theory, </w:t>
      </w:r>
      <w:r w:rsidRPr="004F436A">
        <w:rPr>
          <w:rStyle w:val="StyleUnderline"/>
        </w:rPr>
        <w:t>CLOs are constructed in such a way as to minimize the chances that all of the loans will be affected by a single event or chain of events</w:t>
      </w:r>
      <w:r w:rsidRPr="004F436A">
        <w:rPr>
          <w:sz w:val="14"/>
        </w:rPr>
        <w:t>. The rating agencies award high ratings to those layers that seem sufficiently diversified across industry and geography.</w:t>
      </w:r>
    </w:p>
    <w:p w14:paraId="36558957" w14:textId="77777777" w:rsidR="00440F00" w:rsidRPr="004F436A" w:rsidRDefault="00440F00" w:rsidP="00440F00">
      <w:pPr>
        <w:rPr>
          <w:sz w:val="14"/>
        </w:rPr>
      </w:pPr>
      <w:r w:rsidRPr="004F436A">
        <w:rPr>
          <w:sz w:val="14"/>
        </w:rPr>
        <w:t xml:space="preserve">Banks do not publicly report which CLOs they hold, so we can’t know precisely which leveraged loans a given institution might be exposed to. But all you have to do is look at a list of leveraged borrowers to see the potential for trouble. </w:t>
      </w:r>
      <w:r w:rsidRPr="004F436A">
        <w:rPr>
          <w:rStyle w:val="StyleUnderline"/>
        </w:rPr>
        <w:t>Among the dozens of companies</w:t>
      </w:r>
      <w:r w:rsidRPr="004F436A">
        <w:rPr>
          <w:sz w:val="14"/>
        </w:rPr>
        <w:t xml:space="preserve"> Fitch added to its list of “</w:t>
      </w:r>
      <w:r w:rsidRPr="004F436A">
        <w:rPr>
          <w:rStyle w:val="StyleUnderline"/>
        </w:rPr>
        <w:t>loans of concern</w:t>
      </w:r>
      <w:r w:rsidRPr="004F436A">
        <w:rPr>
          <w:sz w:val="14"/>
        </w:rPr>
        <w:t xml:space="preserve">” in April were </w:t>
      </w:r>
      <w:r w:rsidRPr="004F436A">
        <w:rPr>
          <w:rStyle w:val="StyleUnderline"/>
        </w:rPr>
        <w:t>AMC Entertainment, Bob’s Discount Furniture, California Pizza Kitchen, the Container Store, Lands’ End, Men’s Wearhouse, and Party City. These are all companies hard hit by the sort of belt-tightening that accompanies a conventional downturn.</w:t>
      </w:r>
    </w:p>
    <w:p w14:paraId="0A828FCC" w14:textId="77777777" w:rsidR="00440F00" w:rsidRPr="004F436A" w:rsidRDefault="00440F00" w:rsidP="00440F00">
      <w:pPr>
        <w:rPr>
          <w:sz w:val="12"/>
          <w:szCs w:val="12"/>
        </w:rPr>
      </w:pPr>
      <w:r w:rsidRPr="004F436A">
        <w:rPr>
          <w:sz w:val="12"/>
          <w:szCs w:val="12"/>
        </w:rPr>
        <w:t>We are not in the midst of a conventional downturn. The two companies with the largest amount of outstanding debt on Fitch’s April list were Envision Healthcare, a medical-staffing company that, among other things, helps hospitals administer emergency-room care, and Intelsat, which provides satellite broadband access. Also added to the list was Hoffmaster, which makes products used by restaurants to package food for takeout. Companies you might have expected to weather the present economic storm are among those suffering most acutely as consumers not only tighten their belts, but also redefine what they consider necessary.</w:t>
      </w:r>
    </w:p>
    <w:p w14:paraId="4DD339A2" w14:textId="77777777" w:rsidR="00440F00" w:rsidRPr="004F436A" w:rsidRDefault="00440F00" w:rsidP="00440F00">
      <w:pPr>
        <w:rPr>
          <w:sz w:val="12"/>
          <w:szCs w:val="12"/>
        </w:rPr>
      </w:pPr>
      <w:r w:rsidRPr="004F436A">
        <w:rPr>
          <w:sz w:val="12"/>
          <w:szCs w:val="12"/>
        </w:rPr>
        <w:t>Loan defaults are already happening. There were more in April than ever before. It will only get worse from here.</w:t>
      </w:r>
    </w:p>
    <w:p w14:paraId="3B56E25B" w14:textId="77777777" w:rsidR="00440F00" w:rsidRPr="004F436A" w:rsidRDefault="00440F00" w:rsidP="00440F00">
      <w:pPr>
        <w:rPr>
          <w:sz w:val="14"/>
        </w:rPr>
      </w:pPr>
      <w:r w:rsidRPr="004F436A">
        <w:rPr>
          <w:rStyle w:val="StyleUnderline"/>
        </w:rPr>
        <w:t>Even before the pandemic</w:t>
      </w:r>
      <w:r w:rsidRPr="004F436A">
        <w:rPr>
          <w:sz w:val="14"/>
        </w:rPr>
        <w:t xml:space="preserve"> struck</w:t>
      </w:r>
      <w:r w:rsidRPr="004F436A">
        <w:rPr>
          <w:rStyle w:val="StyleUnderline"/>
        </w:rPr>
        <w:t>, the credit-rating agencies may have been underestimating how vulnerable unrelated industries could be to the same economic forces</w:t>
      </w:r>
      <w:r w:rsidRPr="004F436A">
        <w:rPr>
          <w:sz w:val="14"/>
        </w:rPr>
        <w:t>. </w:t>
      </w:r>
      <w:hyperlink r:id="rId259" w:history="1">
        <w:r w:rsidRPr="004F436A">
          <w:rPr>
            <w:rStyle w:val="Hyperlink"/>
            <w:sz w:val="14"/>
          </w:rPr>
          <w:t>A 2017 article</w:t>
        </w:r>
      </w:hyperlink>
      <w:r w:rsidRPr="004F436A">
        <w:rPr>
          <w:sz w:val="14"/>
        </w:rPr>
        <w:t xml:space="preserve"> by John Griffin, of the University of Texas, and Jordan Nickerson, of Boston College, demonstrated that the default-correlation assumptions used to create a group of 136 CLOs should have been three to four times higher than they were, and the </w:t>
      </w:r>
      <w:r w:rsidRPr="004F436A">
        <w:rPr>
          <w:rStyle w:val="StyleUnderline"/>
        </w:rPr>
        <w:t>miscalculations resulted in much higher ratings than were warranted</w:t>
      </w:r>
      <w:r w:rsidRPr="004F436A">
        <w:rPr>
          <w:sz w:val="14"/>
        </w:rPr>
        <w:t>. “I’ve been concerned about AAA CLOs failing in the next crisis for several years,” Griffin told me in May. “This crisis is more horrifying than I anticipated.”</w:t>
      </w:r>
    </w:p>
    <w:p w14:paraId="0F36831F" w14:textId="77777777" w:rsidR="00440F00" w:rsidRPr="004F436A" w:rsidRDefault="00440F00" w:rsidP="00440F00">
      <w:pPr>
        <w:rPr>
          <w:rStyle w:val="StyleUnderline"/>
        </w:rPr>
      </w:pPr>
      <w:r w:rsidRPr="004F436A">
        <w:rPr>
          <w:sz w:val="14"/>
        </w:rPr>
        <w:t xml:space="preserve">Under current conditions, </w:t>
      </w:r>
      <w:r w:rsidRPr="004F436A">
        <w:rPr>
          <w:rStyle w:val="StyleUnderline"/>
        </w:rPr>
        <w:t>the outlook for leveraged loans in a range of industries is truly grim</w:t>
      </w:r>
      <w:r w:rsidRPr="004F436A">
        <w:rPr>
          <w:sz w:val="14"/>
        </w:rPr>
        <w:t xml:space="preserve">. </w:t>
      </w:r>
      <w:r w:rsidRPr="004F436A">
        <w:rPr>
          <w:rStyle w:val="StyleUnderline"/>
        </w:rPr>
        <w:t>Companies</w:t>
      </w:r>
      <w:r w:rsidRPr="004F436A">
        <w:rPr>
          <w:sz w:val="14"/>
        </w:rPr>
        <w:t xml:space="preserve"> such as AMC (nearly $2 billion of debt spread across 224 CLOs) and Party City ($719 million of debt in 183 CLOs) were in dire straits before social distancing. Now moviegoing and party-throwing </w:t>
      </w:r>
      <w:r w:rsidRPr="004F436A">
        <w:rPr>
          <w:rStyle w:val="StyleUnderline"/>
        </w:rPr>
        <w:t>are paused indefinitely—and may never come back to their pre-pandemic levels.</w:t>
      </w:r>
    </w:p>
    <w:p w14:paraId="3950E95F" w14:textId="77777777" w:rsidR="00440F00" w:rsidRPr="004F436A" w:rsidRDefault="00440F00" w:rsidP="00440F00">
      <w:pPr>
        <w:rPr>
          <w:sz w:val="12"/>
          <w:szCs w:val="12"/>
        </w:rPr>
      </w:pPr>
      <w:r w:rsidRPr="004F436A">
        <w:rPr>
          <w:sz w:val="12"/>
          <w:szCs w:val="12"/>
        </w:rPr>
        <w:t>The prices of AAA-rated CLO layers tumbled in March, before the Federal Reserve announced that its additional $2.3 trillion of lending would include loans to CLOs. (The program is controversial: Is the Fed really willing to prop up CLOs when so many previously healthy small businesses are struggling to pay their debts? As of mid-May, no such loans had been made.) Far from scaring off the big banks, the tumble inspired several of them to buy low: Citigroup acquired $2 billion of AAA CLOs during the dip, which it flipped for a $100 million profit when prices bounced back. Other banks, including Bank of America, reportedly bought lower layers of CLOs in May for about 20 cents on the dollar.</w:t>
      </w:r>
    </w:p>
    <w:p w14:paraId="7015A252" w14:textId="77777777" w:rsidR="00440F00" w:rsidRPr="004F436A" w:rsidRDefault="00440F00" w:rsidP="00440F00">
      <w:pPr>
        <w:rPr>
          <w:rStyle w:val="StyleUnderline"/>
        </w:rPr>
      </w:pPr>
      <w:r w:rsidRPr="004F436A">
        <w:rPr>
          <w:sz w:val="14"/>
        </w:rPr>
        <w:t xml:space="preserve">Meanwhile, </w:t>
      </w:r>
      <w:r w:rsidRPr="004F436A">
        <w:rPr>
          <w:rStyle w:val="StyleUnderline"/>
        </w:rPr>
        <w:t>loan defaults are already happening</w:t>
      </w:r>
      <w:r w:rsidRPr="004F436A">
        <w:rPr>
          <w:sz w:val="14"/>
        </w:rPr>
        <w:t xml:space="preserve">. </w:t>
      </w:r>
      <w:r w:rsidRPr="004F436A">
        <w:rPr>
          <w:rStyle w:val="StyleUnderline"/>
        </w:rPr>
        <w:t>There were more in April than ever before</w:t>
      </w:r>
      <w:r w:rsidRPr="004F436A">
        <w:rPr>
          <w:sz w:val="14"/>
        </w:rPr>
        <w:t xml:space="preserve">. Several </w:t>
      </w:r>
      <w:r w:rsidRPr="004F436A">
        <w:rPr>
          <w:rStyle w:val="StyleUnderline"/>
        </w:rPr>
        <w:t>experts</w:t>
      </w:r>
      <w:r w:rsidRPr="004F436A">
        <w:rPr>
          <w:sz w:val="14"/>
        </w:rPr>
        <w:t xml:space="preserve"> told me they </w:t>
      </w:r>
      <w:r w:rsidRPr="004F436A">
        <w:rPr>
          <w:rStyle w:val="StyleUnderline"/>
        </w:rPr>
        <w:t>expect more record-breaking months this summer. It will only get worse from there.</w:t>
      </w:r>
    </w:p>
    <w:p w14:paraId="09012891" w14:textId="77777777" w:rsidR="00440F00" w:rsidRPr="00205997" w:rsidRDefault="00440F00" w:rsidP="00440F00">
      <w:r w:rsidRPr="004F436A">
        <w:rPr>
          <w:rStyle w:val="StyleUnderline"/>
        </w:rPr>
        <w:t>If leveraged-loan defaults continue, how badly could they damage the larger economy?</w:t>
      </w:r>
      <w:r w:rsidRPr="00205997">
        <w:t xml:space="preserve"> What, precisely, is </w:t>
      </w:r>
      <w:r w:rsidRPr="004F436A">
        <w:rPr>
          <w:rStyle w:val="StyleUnderline"/>
        </w:rPr>
        <w:t>the worst-case scenario</w:t>
      </w:r>
      <w:r w:rsidRPr="00205997">
        <w:t>?</w:t>
      </w:r>
    </w:p>
    <w:p w14:paraId="0C7DF10F" w14:textId="77777777" w:rsidR="00440F00" w:rsidRPr="004F436A" w:rsidRDefault="00440F00" w:rsidP="00440F00">
      <w:pPr>
        <w:rPr>
          <w:sz w:val="14"/>
        </w:rPr>
      </w:pPr>
      <w:r w:rsidRPr="004F436A">
        <w:rPr>
          <w:sz w:val="14"/>
        </w:rPr>
        <w:t xml:space="preserve">For the moment, </w:t>
      </w:r>
      <w:r w:rsidRPr="004F436A">
        <w:rPr>
          <w:rStyle w:val="StyleUnderline"/>
        </w:rPr>
        <w:t>the financial system seems relatively stable</w:t>
      </w:r>
      <w:r w:rsidRPr="004F436A">
        <w:rPr>
          <w:sz w:val="14"/>
        </w:rPr>
        <w:t xml:space="preserve">. Banks can still pay their debts and pass their regulatory capital tests. </w:t>
      </w:r>
      <w:r w:rsidRPr="004F436A">
        <w:rPr>
          <w:rStyle w:val="StyleUnderline"/>
        </w:rPr>
        <w:t>But recall that the previous crash took more than a year to unfold</w:t>
      </w:r>
      <w:r w:rsidRPr="004F436A">
        <w:rPr>
          <w:sz w:val="14"/>
        </w:rPr>
        <w:t xml:space="preserve">. </w:t>
      </w:r>
      <w:r w:rsidRPr="004F436A">
        <w:rPr>
          <w:rStyle w:val="StyleUnderline"/>
        </w:rPr>
        <w:t>The present is analogous not to the fall of 2008</w:t>
      </w:r>
      <w:r w:rsidRPr="004F436A">
        <w:rPr>
          <w:sz w:val="14"/>
        </w:rPr>
        <w:t xml:space="preserve">, when the U.S. was in full-blown crisis, </w:t>
      </w:r>
      <w:r w:rsidRPr="004F436A">
        <w:rPr>
          <w:rStyle w:val="StyleUnderline"/>
        </w:rPr>
        <w:t>but to</w:t>
      </w:r>
      <w:r w:rsidRPr="004F436A">
        <w:rPr>
          <w:sz w:val="14"/>
        </w:rPr>
        <w:t xml:space="preserve"> the summer of </w:t>
      </w:r>
      <w:r w:rsidRPr="004F436A">
        <w:rPr>
          <w:rStyle w:val="StyleUnderline"/>
        </w:rPr>
        <w:t>2007</w:t>
      </w:r>
      <w:r w:rsidRPr="004F436A">
        <w:rPr>
          <w:sz w:val="14"/>
        </w:rPr>
        <w:t xml:space="preserve">, </w:t>
      </w:r>
      <w:r w:rsidRPr="004F436A">
        <w:rPr>
          <w:rStyle w:val="StyleUnderline"/>
        </w:rPr>
        <w:t>when some securities were going underwater but no one yet knew what the upshot would be</w:t>
      </w:r>
      <w:r w:rsidRPr="004F436A">
        <w:rPr>
          <w:sz w:val="14"/>
        </w:rPr>
        <w:t>.</w:t>
      </w:r>
    </w:p>
    <w:p w14:paraId="569590A2" w14:textId="77777777" w:rsidR="00440F00" w:rsidRPr="004F436A" w:rsidRDefault="00440F00" w:rsidP="00440F00">
      <w:pPr>
        <w:rPr>
          <w:sz w:val="14"/>
        </w:rPr>
      </w:pPr>
      <w:r w:rsidRPr="004F436A">
        <w:rPr>
          <w:sz w:val="14"/>
        </w:rPr>
        <w:t xml:space="preserve">What I’m about to describe is necessarily speculative, but </w:t>
      </w:r>
      <w:r w:rsidRPr="004F436A">
        <w:rPr>
          <w:rStyle w:val="StyleUnderline"/>
        </w:rPr>
        <w:t>it is rooted in the experience of the previous crash and in what we know about current bank holdings</w:t>
      </w:r>
      <w:r w:rsidRPr="004F436A">
        <w:rPr>
          <w:sz w:val="14"/>
        </w:rPr>
        <w:t>. The purpose of laying out this worst-case scenario isn’t to say that it will necessarily come to pass. The purpose is to show that it could. That alone should scare us all—and inform the way we think about the next year and beyond.</w:t>
      </w:r>
    </w:p>
    <w:p w14:paraId="42DA7BEE" w14:textId="77777777" w:rsidR="00440F00" w:rsidRPr="004F436A" w:rsidRDefault="00440F00" w:rsidP="00440F00">
      <w:pPr>
        <w:rPr>
          <w:sz w:val="14"/>
        </w:rPr>
      </w:pPr>
      <w:r w:rsidRPr="004F436A">
        <w:rPr>
          <w:sz w:val="14"/>
        </w:rPr>
        <w:t xml:space="preserve">Later this summer, </w:t>
      </w:r>
      <w:r w:rsidRPr="004F436A">
        <w:rPr>
          <w:rStyle w:val="StyleUnderline"/>
        </w:rPr>
        <w:t>leveraged-loan defaults will increase significantly as the economic effects of the pandemic fully register</w:t>
      </w:r>
      <w:r w:rsidRPr="004F436A">
        <w:rPr>
          <w:sz w:val="14"/>
        </w:rPr>
        <w:t>. Bankruptcy courts will very likely buckle under the weight of new filings. (During a two-week period in May, J.Crew, Neiman Marcus, and J. C. Penney all filed for bankruptcy.) We already know that a significant majority of the loans in CLOs have weak covenants that offer investors only minimal legal protection; in industry parlance, they are “cov lite.” The holders of leveraged loans will thus be fortunate to get pennies on the dollar as companies default—nothing close to the 70 cents that has been standard in the past.</w:t>
      </w:r>
    </w:p>
    <w:p w14:paraId="52D13493" w14:textId="77777777" w:rsidR="00440F00" w:rsidRPr="003462EF" w:rsidRDefault="00440F00" w:rsidP="00440F00">
      <w:pPr>
        <w:rPr>
          <w:sz w:val="14"/>
        </w:rPr>
      </w:pPr>
      <w:r w:rsidRPr="004F436A">
        <w:rPr>
          <w:rStyle w:val="StyleUnderline"/>
        </w:rPr>
        <w:t>As the banks begin to feel</w:t>
      </w:r>
      <w:r w:rsidRPr="003462EF">
        <w:rPr>
          <w:sz w:val="14"/>
        </w:rPr>
        <w:t xml:space="preserve"> the pain of these </w:t>
      </w:r>
      <w:r w:rsidRPr="004F436A">
        <w:rPr>
          <w:rStyle w:val="StyleUnderline"/>
        </w:rPr>
        <w:t>defaults</w:t>
      </w:r>
      <w:r w:rsidRPr="003462EF">
        <w:rPr>
          <w:sz w:val="14"/>
        </w:rPr>
        <w:t xml:space="preserve">, </w:t>
      </w:r>
      <w:r w:rsidRPr="004F436A">
        <w:rPr>
          <w:rStyle w:val="StyleUnderline"/>
        </w:rPr>
        <w:t>the public will learn</w:t>
      </w:r>
      <w:r w:rsidRPr="003462EF">
        <w:rPr>
          <w:sz w:val="14"/>
        </w:rPr>
        <w:t xml:space="preserve"> that they were hardly the only institutions to bet big on CLOs. The insurance giant </w:t>
      </w:r>
      <w:r w:rsidRPr="003462EF">
        <w:rPr>
          <w:rStyle w:val="StyleUnderline"/>
        </w:rPr>
        <w:t>AIG</w:t>
      </w:r>
      <w:r w:rsidRPr="003462EF">
        <w:rPr>
          <w:sz w:val="14"/>
        </w:rPr>
        <w:t xml:space="preserve">—which had massive investments in CDOs in 2008—is now exposed to more than </w:t>
      </w:r>
      <w:r w:rsidRPr="003462EF">
        <w:rPr>
          <w:rStyle w:val="StyleUnderline"/>
        </w:rPr>
        <w:t>$9 billion</w:t>
      </w:r>
      <w:r w:rsidRPr="003462EF">
        <w:rPr>
          <w:sz w:val="14"/>
        </w:rPr>
        <w:t xml:space="preserve">. </w:t>
      </w:r>
      <w:r w:rsidRPr="004F436A">
        <w:rPr>
          <w:rStyle w:val="StyleUnderline"/>
        </w:rPr>
        <w:t>U.S. life-insurance companies</w:t>
      </w:r>
      <w:r w:rsidRPr="003462EF">
        <w:rPr>
          <w:sz w:val="14"/>
        </w:rPr>
        <w:t xml:space="preserve"> as a group in 2018 had an </w:t>
      </w:r>
      <w:r w:rsidRPr="004F436A">
        <w:rPr>
          <w:rStyle w:val="StyleUnderline"/>
        </w:rPr>
        <w:t>estimated one-fifth of their capital</w:t>
      </w:r>
      <w:r w:rsidRPr="003462EF">
        <w:rPr>
          <w:sz w:val="14"/>
        </w:rPr>
        <w:t xml:space="preserve"> tied up in these same instruments. Pension funds, mutual funds, and exchange-traded funds (popular among retail investors) are also heavily invested in leveraged loans and CLOs.</w:t>
      </w:r>
    </w:p>
    <w:p w14:paraId="3EDAC072" w14:textId="77777777" w:rsidR="00440F00" w:rsidRPr="004F436A" w:rsidRDefault="00440F00" w:rsidP="00440F00">
      <w:pPr>
        <w:rPr>
          <w:sz w:val="14"/>
        </w:rPr>
      </w:pPr>
      <w:r w:rsidRPr="004F436A">
        <w:rPr>
          <w:rStyle w:val="StyleUnderline"/>
        </w:rPr>
        <w:t>The banks themselves may reveal that their CLO investments</w:t>
      </w:r>
      <w:r w:rsidRPr="004F436A">
        <w:rPr>
          <w:sz w:val="14"/>
        </w:rPr>
        <w:t xml:space="preserve"> are larger than was previously understood. In fact, we’re already seeing this happen. On May 5, </w:t>
      </w:r>
      <w:hyperlink r:id="rId260" w:history="1">
        <w:r w:rsidRPr="004F436A">
          <w:rPr>
            <w:rStyle w:val="StyleUnderline"/>
            <w:sz w:val="14"/>
          </w:rPr>
          <w:t>Wells Fargo disclosed $7.7 billion</w:t>
        </w:r>
        <w:r w:rsidRPr="004F436A">
          <w:rPr>
            <w:rStyle w:val="Hyperlink"/>
            <w:sz w:val="14"/>
          </w:rPr>
          <w:t xml:space="preserve"> worth of CLOs</w:t>
        </w:r>
      </w:hyperlink>
      <w:r w:rsidRPr="004F436A">
        <w:rPr>
          <w:sz w:val="14"/>
        </w:rPr>
        <w:t> in a different corner of its balance sheet than the $29.7 billion I’d found in its annual report. As defaults pile up, the Mnuchin-Powell view that leveraged loans can’t harm the financial system will be exposed as wishful thinking.</w:t>
      </w:r>
    </w:p>
    <w:p w14:paraId="6915B578" w14:textId="77777777" w:rsidR="00440F00" w:rsidRPr="003C638B" w:rsidRDefault="00440F00" w:rsidP="00440F00">
      <w:pPr>
        <w:rPr>
          <w:sz w:val="12"/>
        </w:rPr>
      </w:pPr>
      <w:r w:rsidRPr="003C638B">
        <w:rPr>
          <w:sz w:val="12"/>
        </w:rPr>
        <w:t>Thus far, I’ve focused on CLOs because they are the most troubling assets held by the banks. But they are also emblematic of other complex and artificial products that banks have stashed on—and off—their balance sheets. Later this year, banks may very well report quarterly losses that are much worse than anticipated. The details will include a dizzying array of transactions that will recall not only the housing crisis, but the Enron scandal of the early 2000s. Remember all those subsidiaries Enron created (many of them infamously named after Star Wars characters) to keep risky bets off the energy firm’s financial statements? The big banks use similar structures, called “variable interest entities”—companies established largely to hold off-the-books positions. </w:t>
      </w:r>
      <w:hyperlink r:id="rId261" w:history="1">
        <w:r w:rsidRPr="003C638B">
          <w:rPr>
            <w:rStyle w:val="StyleUnderline"/>
            <w:sz w:val="12"/>
          </w:rPr>
          <w:t xml:space="preserve">Wells Fargo has more than $1 trillion </w:t>
        </w:r>
        <w:r w:rsidRPr="003C638B">
          <w:rPr>
            <w:rStyle w:val="Hyperlink"/>
            <w:sz w:val="12"/>
          </w:rPr>
          <w:t>of VIE assets</w:t>
        </w:r>
      </w:hyperlink>
      <w:r w:rsidRPr="003C638B">
        <w:rPr>
          <w:sz w:val="12"/>
        </w:rPr>
        <w:t>, about which we currently know very little, because reporting requirements are opaque. But one popular investment held in VIEs is securities backed by commercial mortgages, such as loans to shopping malls and office parks—two categories of borrowers experiencing severe strain as a result of the pandemic.</w:t>
      </w:r>
    </w:p>
    <w:p w14:paraId="00DFB78E" w14:textId="77777777" w:rsidR="00440F00" w:rsidRPr="00AD156C" w:rsidRDefault="00440F00" w:rsidP="00440F00">
      <w:pPr>
        <w:rPr>
          <w:sz w:val="12"/>
        </w:rPr>
      </w:pPr>
      <w:r w:rsidRPr="00AD156C">
        <w:rPr>
          <w:sz w:val="12"/>
        </w:rPr>
        <w:t xml:space="preserve">The early losses from CLOs will not on their own erase the capital reserves required by Dodd-Frank. And some of the most </w:t>
      </w:r>
      <w:r w:rsidRPr="00A7733C">
        <w:rPr>
          <w:rStyle w:val="StyleUnderline"/>
        </w:rPr>
        <w:t xml:space="preserve">irresponsible gambles from </w:t>
      </w:r>
      <w:r w:rsidRPr="00AD156C">
        <w:rPr>
          <w:sz w:val="12"/>
        </w:rPr>
        <w:t xml:space="preserve">the last crisis—the speculative derivatives and credit-default swaps you may remember reading about in 2008—are less common today, experts told me. But the </w:t>
      </w:r>
      <w:r w:rsidRPr="00A7733C">
        <w:rPr>
          <w:rStyle w:val="StyleUnderline"/>
        </w:rPr>
        <w:t>losses from CLOs</w:t>
      </w:r>
      <w:r w:rsidRPr="00AD156C">
        <w:rPr>
          <w:sz w:val="12"/>
        </w:rPr>
        <w:t xml:space="preserve">, combined with losses from other troubled assets like those commercial-mortgage-backed securities, </w:t>
      </w:r>
      <w:r w:rsidRPr="00A7733C">
        <w:rPr>
          <w:rStyle w:val="StyleUnderline"/>
        </w:rPr>
        <w:t>will lead to serious deficiencies in capital</w:t>
      </w:r>
      <w:r w:rsidRPr="00AD156C">
        <w:rPr>
          <w:sz w:val="12"/>
        </w:rPr>
        <w:t xml:space="preserve">. Meanwhile, the same economic forces buffeting CLOs will hit other parts of the banks’ balance sheets hard; as the recession drags on, their </w:t>
      </w:r>
      <w:r w:rsidRPr="00AD156C">
        <w:rPr>
          <w:rStyle w:val="StyleUnderline"/>
        </w:rPr>
        <w:t>traditional sources of revenue will also dry up</w:t>
      </w:r>
      <w:r w:rsidRPr="00AD156C">
        <w:rPr>
          <w:sz w:val="12"/>
        </w:rPr>
        <w:t xml:space="preserve">. For some, the erosion of capital could approach the levels Lehman Brothers and Citigroup suffered in 2008. </w:t>
      </w:r>
      <w:r w:rsidRPr="00AD156C">
        <w:rPr>
          <w:rStyle w:val="StyleUnderline"/>
        </w:rPr>
        <w:t>Banks with insufficient cash reserves will be forced to sell assets into a dour market, and the proceeds will be dismal. The prices of leveraged loans, and by extension CLOs, will spiral downward.</w:t>
      </w:r>
    </w:p>
    <w:p w14:paraId="219178D6" w14:textId="77777777" w:rsidR="00440F00" w:rsidRPr="00AD156C" w:rsidRDefault="00440F00" w:rsidP="00440F00">
      <w:pPr>
        <w:rPr>
          <w:sz w:val="12"/>
        </w:rPr>
      </w:pPr>
      <w:r w:rsidRPr="00AD156C">
        <w:rPr>
          <w:sz w:val="12"/>
        </w:rPr>
        <w:t xml:space="preserve">You can perhaps guess much of the rest: At some point, </w:t>
      </w:r>
      <w:r w:rsidRPr="00AD156C">
        <w:rPr>
          <w:rStyle w:val="StyleUnderline"/>
        </w:rPr>
        <w:t>rumors will circulate that one major bank is near collapse</w:t>
      </w:r>
      <w:r w:rsidRPr="00AD156C">
        <w:rPr>
          <w:sz w:val="12"/>
        </w:rPr>
        <w:t xml:space="preserve">. Overnight </w:t>
      </w:r>
      <w:r w:rsidRPr="00AD156C">
        <w:rPr>
          <w:rStyle w:val="StyleUnderline"/>
        </w:rPr>
        <w:t>lending, which keeps the American economy running, will seize up</w:t>
      </w:r>
      <w:r w:rsidRPr="00AD156C">
        <w:rPr>
          <w:sz w:val="12"/>
        </w:rPr>
        <w:t xml:space="preserve">. </w:t>
      </w:r>
      <w:r w:rsidRPr="00AD156C">
        <w:rPr>
          <w:rStyle w:val="StyleUnderline"/>
        </w:rPr>
        <w:t>The</w:t>
      </w:r>
      <w:r w:rsidRPr="00AD156C">
        <w:rPr>
          <w:sz w:val="12"/>
        </w:rPr>
        <w:t xml:space="preserve"> Federal </w:t>
      </w:r>
      <w:r w:rsidRPr="00AD156C">
        <w:rPr>
          <w:rStyle w:val="StyleUnderline"/>
        </w:rPr>
        <w:t>Reserve will try to arrange a bank bailout. All of that happened last time</w:t>
      </w:r>
      <w:r w:rsidRPr="00AD156C">
        <w:rPr>
          <w:sz w:val="12"/>
        </w:rPr>
        <w:t>, too.</w:t>
      </w:r>
    </w:p>
    <w:p w14:paraId="64D570B3" w14:textId="77777777" w:rsidR="00440F00" w:rsidRPr="00AD156C" w:rsidRDefault="00440F00" w:rsidP="00440F00">
      <w:pPr>
        <w:rPr>
          <w:rStyle w:val="StyleUnderline"/>
        </w:rPr>
      </w:pPr>
      <w:r w:rsidRPr="00AD156C">
        <w:rPr>
          <w:sz w:val="12"/>
        </w:rPr>
        <w:t xml:space="preserve">But this time, the bailout proposal will likely face stiffer opposition, from both parties. Since 2008, populists on the left and the right in American politics have grown suspicious of handouts to the big banks. Already irate that banks were inadequately punished for their malfeasance leading up to the last crash, critics will be outraged to learn that they so egregiously flouted the spirit of the post-2008 reforms. Some members of Congress will question whether the Federal Reserve has the authority to buy risky investments to prop up the financial sector, as it did in 2008. (Dodd-Frank limited the Fed’s ability to target specific companies, and precluded loans to failing or insolvent institutions.) Government officials will hold frantic meetings, but to no avail. </w:t>
      </w:r>
      <w:r w:rsidRPr="00AD156C">
        <w:rPr>
          <w:rStyle w:val="StyleUnderline"/>
        </w:rPr>
        <w:t>The faltering bank will fail, with others lined up behind it.</w:t>
      </w:r>
    </w:p>
    <w:p w14:paraId="6B5168E4" w14:textId="77777777" w:rsidR="00440F00" w:rsidRPr="00AD156C" w:rsidRDefault="00440F00" w:rsidP="00440F00">
      <w:pPr>
        <w:rPr>
          <w:sz w:val="12"/>
        </w:rPr>
      </w:pPr>
      <w:r w:rsidRPr="00AD156C">
        <w:rPr>
          <w:sz w:val="12"/>
        </w:rPr>
        <w:t xml:space="preserve">And then, sometime </w:t>
      </w:r>
      <w:r w:rsidRPr="00AD156C">
        <w:rPr>
          <w:rStyle w:val="StyleUnderline"/>
        </w:rPr>
        <w:t>in the next year</w:t>
      </w:r>
      <w:r w:rsidRPr="00AD156C">
        <w:rPr>
          <w:sz w:val="12"/>
        </w:rPr>
        <w:t xml:space="preserve">, we will all stare into </w:t>
      </w:r>
      <w:r w:rsidRPr="00AD156C">
        <w:rPr>
          <w:rStyle w:val="StyleUnderline"/>
        </w:rPr>
        <w:t>the financial abyss. At that point</w:t>
      </w:r>
      <w:r w:rsidRPr="00AD156C">
        <w:rPr>
          <w:sz w:val="12"/>
        </w:rPr>
        <w:t xml:space="preserve">, </w:t>
      </w:r>
      <w:r w:rsidRPr="00AD156C">
        <w:rPr>
          <w:rStyle w:val="StyleUnderline"/>
        </w:rPr>
        <w:t>we will be well beyond the scope of the previous recession</w:t>
      </w:r>
      <w:r w:rsidRPr="00AD156C">
        <w:rPr>
          <w:sz w:val="12"/>
        </w:rPr>
        <w:t xml:space="preserve">, </w:t>
      </w:r>
      <w:r w:rsidRPr="00AD156C">
        <w:rPr>
          <w:rStyle w:val="StyleUnderline"/>
        </w:rPr>
        <w:t>and we will have</w:t>
      </w:r>
      <w:r w:rsidRPr="00AD156C">
        <w:rPr>
          <w:sz w:val="12"/>
        </w:rPr>
        <w:t xml:space="preserve"> either </w:t>
      </w:r>
      <w:r w:rsidRPr="00AD156C">
        <w:rPr>
          <w:rStyle w:val="StyleUnderline"/>
        </w:rPr>
        <w:t>exhausted the remedies</w:t>
      </w:r>
      <w:r w:rsidRPr="00AD156C">
        <w:rPr>
          <w:sz w:val="12"/>
        </w:rPr>
        <w:t xml:space="preserve"> that spared the system last time or found that they won’t work this time around. What then?</w:t>
      </w:r>
    </w:p>
    <w:p w14:paraId="2D31DD87" w14:textId="77777777" w:rsidR="00440F00" w:rsidRPr="00AD156C" w:rsidRDefault="00440F00" w:rsidP="00440F00">
      <w:pPr>
        <w:rPr>
          <w:sz w:val="12"/>
        </w:rPr>
      </w:pPr>
      <w:r w:rsidRPr="00AD156C">
        <w:rPr>
          <w:sz w:val="12"/>
        </w:rPr>
        <w:t xml:space="preserve">Until recently, at least, </w:t>
      </w:r>
      <w:r w:rsidRPr="00AD156C">
        <w:rPr>
          <w:rStyle w:val="StyleUnderline"/>
        </w:rPr>
        <w:t>the U.S. was rightly focused on finding ways to emerge from the</w:t>
      </w:r>
      <w:r w:rsidRPr="00AD156C">
        <w:rPr>
          <w:sz w:val="12"/>
        </w:rPr>
        <w:t xml:space="preserve"> coronavirus </w:t>
      </w:r>
      <w:r w:rsidRPr="00AD156C">
        <w:rPr>
          <w:rStyle w:val="StyleUnderline"/>
        </w:rPr>
        <w:t>pandemic</w:t>
      </w:r>
      <w:r w:rsidRPr="00AD156C">
        <w:rPr>
          <w:sz w:val="12"/>
        </w:rPr>
        <w:t xml:space="preserve"> that prioritize the health of American citizens. And </w:t>
      </w:r>
      <w:r w:rsidRPr="00AD156C">
        <w:rPr>
          <w:rStyle w:val="Emphasis"/>
        </w:rPr>
        <w:t>economic health cannot be restored</w:t>
      </w:r>
      <w:r w:rsidRPr="00AD156C">
        <w:rPr>
          <w:sz w:val="12"/>
        </w:rPr>
        <w:t xml:space="preserve"> until people feel safe going about their daily business. But health risks and economic risks must be considered together. In calculating the risks of reopening the economy, we must understand the true costs of remaining closed. At some point, they will become more than the country can bear.</w:t>
      </w:r>
    </w:p>
    <w:p w14:paraId="6D0C50B1" w14:textId="77777777" w:rsidR="00440F00" w:rsidRPr="00AD156C" w:rsidRDefault="00440F00" w:rsidP="00440F00">
      <w:pPr>
        <w:rPr>
          <w:sz w:val="12"/>
          <w:szCs w:val="12"/>
        </w:rPr>
      </w:pPr>
      <w:r w:rsidRPr="00AD156C">
        <w:rPr>
          <w:sz w:val="12"/>
          <w:szCs w:val="12"/>
        </w:rPr>
        <w:t>The financial sector isn’t like other sectors. If it fails, fundamental aspects of modern life could fail with it. We could lose the ability to get loans to buy a house or a car, or to pay for college. Without reliable credit, many Americans might struggle to pay for their daily needs. This is why, in 2008, then–Treasury Secretary Henry Paulson went so far as to get down on one knee to beg Nancy Pelosi for her help sparing the system. He understood the alternative.</w:t>
      </w:r>
    </w:p>
    <w:p w14:paraId="0C808F8A" w14:textId="77777777" w:rsidR="00440F00" w:rsidRPr="00AD156C" w:rsidRDefault="00440F00" w:rsidP="00440F00">
      <w:pPr>
        <w:rPr>
          <w:sz w:val="12"/>
          <w:szCs w:val="12"/>
        </w:rPr>
      </w:pPr>
      <w:r w:rsidRPr="00AD156C">
        <w:rPr>
          <w:sz w:val="12"/>
          <w:szCs w:val="12"/>
        </w:rPr>
        <w:t>It is a distasteful fact that the present situation is so dire in part because the banks fell right back into bad behavior after the last crash—taking too many risks, hiding debt in complex instruments and off-balance-sheet entities, and generally exploiting loopholes in laws intended to rein in their greed. Sparing them for a second time this century will be that much harder.</w:t>
      </w:r>
    </w:p>
    <w:p w14:paraId="3B0F50B7" w14:textId="77777777" w:rsidR="00440F00" w:rsidRPr="00AD156C" w:rsidRDefault="00440F00" w:rsidP="00440F00">
      <w:pPr>
        <w:rPr>
          <w:sz w:val="12"/>
        </w:rPr>
      </w:pPr>
      <w:r w:rsidRPr="00AD156C">
        <w:rPr>
          <w:sz w:val="12"/>
        </w:rPr>
        <w:t xml:space="preserve">If we muster the political will to do so—or if we avert the worst possible outcomes in this precarious time—it will be imperative for the U.S. government to impose reforms stringent enough to head off the next crisis. We’ve seen how banks respond to stern reprimands and modest reform. This time, </w:t>
      </w:r>
      <w:r w:rsidRPr="00AD156C">
        <w:rPr>
          <w:rStyle w:val="StyleUnderline"/>
        </w:rPr>
        <w:t>regulators</w:t>
      </w:r>
      <w:r w:rsidRPr="00AD156C">
        <w:rPr>
          <w:sz w:val="12"/>
        </w:rPr>
        <w:t xml:space="preserve"> might </w:t>
      </w:r>
      <w:r w:rsidRPr="00AD156C">
        <w:rPr>
          <w:rStyle w:val="StyleUnderline"/>
        </w:rPr>
        <w:t>need to dismantle the system</w:t>
      </w:r>
      <w:r w:rsidRPr="00AD156C">
        <w:rPr>
          <w:sz w:val="12"/>
        </w:rPr>
        <w:t xml:space="preserve"> as we know it. Banks should play a much simpler role in the new economy, making lending decisions themselves instead of farming them out to credit-rating agencies. They should steer clear of whatever newfangled security might replace the CLO. To prevent another crisis, </w:t>
      </w:r>
      <w:r w:rsidRPr="00AD156C">
        <w:rPr>
          <w:rStyle w:val="StyleUnderline"/>
        </w:rPr>
        <w:t>we</w:t>
      </w:r>
      <w:r w:rsidRPr="00AD156C">
        <w:rPr>
          <w:sz w:val="12"/>
        </w:rPr>
        <w:t xml:space="preserve"> also</w:t>
      </w:r>
      <w:r w:rsidRPr="00AD156C">
        <w:rPr>
          <w:rStyle w:val="StyleUnderline"/>
        </w:rPr>
        <w:t xml:space="preserve"> need far more transparency, so we can see when banks give in to temptation</w:t>
      </w:r>
      <w:r w:rsidRPr="00AD156C">
        <w:rPr>
          <w:sz w:val="12"/>
        </w:rPr>
        <w:t>. A bank shouldn’t be able to keep $1 trillion worth of assets off its books.</w:t>
      </w:r>
    </w:p>
    <w:p w14:paraId="0093F5B2" w14:textId="4C6BA50B" w:rsidR="00586EDF" w:rsidRPr="00440F00" w:rsidRDefault="00440F00" w:rsidP="00586EDF">
      <w:pPr>
        <w:rPr>
          <w:sz w:val="12"/>
        </w:rPr>
      </w:pPr>
      <w:r w:rsidRPr="00AD156C">
        <w:rPr>
          <w:sz w:val="12"/>
        </w:rPr>
        <w:t xml:space="preserve">If we do manage to make it through the next year without waking up to a collapse, </w:t>
      </w:r>
      <w:r w:rsidRPr="00AD156C">
        <w:rPr>
          <w:rStyle w:val="StyleUnderline"/>
        </w:rPr>
        <w:t>we must find ways to prevent the big banks from going all in on bets they can’t afford to lose</w:t>
      </w:r>
      <w:r w:rsidRPr="00AD156C">
        <w:rPr>
          <w:sz w:val="12"/>
        </w:rPr>
        <w:t xml:space="preserve">. </w:t>
      </w:r>
      <w:r w:rsidRPr="00AD156C">
        <w:rPr>
          <w:rStyle w:val="Emphasis"/>
        </w:rPr>
        <w:t>Their luck—and ours—will at some point run out</w:t>
      </w:r>
      <w:r w:rsidRPr="00AD156C">
        <w:rPr>
          <w:sz w:val="12"/>
        </w:rPr>
        <w:t>.</w:t>
      </w:r>
    </w:p>
    <w:p w14:paraId="4D550484" w14:textId="35044496" w:rsidR="00440F00" w:rsidRDefault="00440F00" w:rsidP="00456038">
      <w:pPr>
        <w:pStyle w:val="Heading3"/>
      </w:pPr>
      <w:r>
        <w:t>1NC –</w:t>
      </w:r>
      <w:r w:rsidR="00471EA1">
        <w:t xml:space="preserve"> AT:</w:t>
      </w:r>
      <w:r>
        <w:t xml:space="preserve"> Business Confidence</w:t>
      </w:r>
    </w:p>
    <w:p w14:paraId="6D58220E" w14:textId="4CF53E23" w:rsidR="00440F00" w:rsidRDefault="00440F00" w:rsidP="00440F00">
      <w:pPr>
        <w:pStyle w:val="Heading4"/>
      </w:pPr>
      <w:r>
        <w:t>It’s fake.</w:t>
      </w:r>
    </w:p>
    <w:p w14:paraId="691F5EC1" w14:textId="77777777" w:rsidR="00440F00" w:rsidRPr="00AC6D3B" w:rsidRDefault="00440F00" w:rsidP="00440F00">
      <w:r>
        <w:rPr>
          <w:rStyle w:val="Style13ptBold"/>
        </w:rPr>
        <w:t>Rekenthaler 5/4</w:t>
      </w:r>
      <w:r>
        <w:rPr>
          <w:rStyle w:val="Style13ptBold"/>
          <w:b w:val="0"/>
          <w:bCs w:val="0"/>
        </w:rPr>
        <w:t xml:space="preserve"> — </w:t>
      </w:r>
      <w:r w:rsidRPr="00AC6D3B">
        <w:t>John Rekenthaler is the vice president of research for Morningstar</w:t>
      </w:r>
      <w:r>
        <w:t>. (“</w:t>
      </w:r>
      <w:r w:rsidRPr="00AC6D3B">
        <w:rPr>
          <w:b/>
          <w:bCs/>
          <w:u w:val="single"/>
        </w:rPr>
        <w:t>The Stock Market Is Not the Economy</w:t>
      </w:r>
      <w:r>
        <w:t xml:space="preserve">” Morningstar, May 4, 2020. </w:t>
      </w:r>
      <w:hyperlink r:id="rId262" w:history="1">
        <w:r>
          <w:rPr>
            <w:rStyle w:val="Hyperlink"/>
          </w:rPr>
          <w:t>https://www.morningstar.com/articles/982525/the-stock-market-is-not-the-economy</w:t>
        </w:r>
      </w:hyperlink>
      <w:r>
        <w:t>)//JLPark</w:t>
      </w:r>
    </w:p>
    <w:p w14:paraId="73831310" w14:textId="77777777" w:rsidR="00440F00" w:rsidRPr="007C3E46" w:rsidRDefault="00440F00" w:rsidP="00440F00">
      <w:pPr>
        <w:rPr>
          <w:sz w:val="12"/>
        </w:rPr>
      </w:pPr>
      <w:r w:rsidRPr="007C3E46">
        <w:rPr>
          <w:sz w:val="12"/>
        </w:rPr>
        <w:t xml:space="preserve">In 1982, </w:t>
      </w:r>
      <w:hyperlink r:id="rId263" w:history="1">
        <w:r w:rsidRPr="007C3E46">
          <w:rPr>
            <w:rStyle w:val="Hyperlink"/>
            <w:sz w:val="12"/>
          </w:rPr>
          <w:t>the unemployment rate</w:t>
        </w:r>
      </w:hyperlink>
      <w:r w:rsidRPr="007C3E46">
        <w:rPr>
          <w:sz w:val="12"/>
        </w:rPr>
        <w:t xml:space="preserve"> started high and finished higher. It entered the year at 8.6% and concluded at 10.8%, its steepest level since the Great Depression. That was the first time that I had paid attention to employment statistics, because I was approaching my college graduation, and I must confess I was worried. (Correctly, as it turned out: I would not land a permanent job until summer 1984.) To my surprise, stocks surged in 1982. The S&amp;P 500 gained 21.6% on the year, well above its average. That made no sense to me. Not only was unemployment rising, but seasonally adjusted gross domestic product fell during every quarter of 1982. The media called it “the Reagan recession.” (It wasn’t until later that I realized presidents cause neither busts nor booms.) What I did not know, because I was not then an investor, is that stock prices are only tenuously connected to general economic conditions. For one, stocks anticipate future developments rather than dwell on current affairs. For another, neither employment statistics nor GDP growth directly affect equity prices. The primary drivers are instead two sets of expectations: 1) future earnings and 2) future interest rates, with the latter being used to discount the former. Disconnected Later I learned that it is difficult to find even an indirect relationship between a country’s GDP growth rate and its future stock-market returns. In perhaps the most widely cited of such studies, London Business School professors Elroy Dimson, Paul Marsh, and Mike Staunton </w:t>
      </w:r>
      <w:hyperlink r:id="rId264" w:history="1">
        <w:r w:rsidRPr="007C3E46">
          <w:rPr>
            <w:rStyle w:val="Hyperlink"/>
            <w:sz w:val="12"/>
          </w:rPr>
          <w:t>found a negative</w:t>
        </w:r>
      </w:hyperlink>
      <w:r w:rsidRPr="007C3E46">
        <w:rPr>
          <w:sz w:val="12"/>
        </w:rPr>
        <w:t xml:space="preserve"> correlation between national per capita GDP growth and stock performances. (When aggregate GDP growth was substituted, the correlation became slightly positive.) In theory, </w:t>
      </w:r>
      <w:r w:rsidRPr="007C3E46">
        <w:rPr>
          <w:u w:val="single"/>
        </w:rPr>
        <w:t>expansion floats corporate boats</w:t>
      </w:r>
      <w:r w:rsidRPr="007C3E46">
        <w:rPr>
          <w:sz w:val="12"/>
        </w:rPr>
        <w:t xml:space="preserve">. In practice, </w:t>
      </w:r>
      <w:r w:rsidRPr="00C16EFE">
        <w:rPr>
          <w:rStyle w:val="Emphasis"/>
          <w:highlight w:val="cyan"/>
        </w:rPr>
        <w:t>many factors affect</w:t>
      </w:r>
      <w:r w:rsidRPr="007C3E46">
        <w:rPr>
          <w:u w:val="single"/>
        </w:rPr>
        <w:t xml:space="preserve"> whether </w:t>
      </w:r>
      <w:r w:rsidRPr="00AC6D3B">
        <w:rPr>
          <w:highlight w:val="cyan"/>
          <w:u w:val="single"/>
        </w:rPr>
        <w:t>an economy</w:t>
      </w:r>
      <w:r w:rsidRPr="007C3E46">
        <w:rPr>
          <w:u w:val="single"/>
        </w:rPr>
        <w:t>’s general succes</w:t>
      </w:r>
      <w:r w:rsidRPr="007C3E46">
        <w:rPr>
          <w:sz w:val="12"/>
        </w:rPr>
        <w:t xml:space="preserve">s reaches companies’ bottom lines. Managements may squander their good fortunes by making poor investment decisions. Workers may collect the gains instead, through wage inflation. Or governments may enjoy the benefits, through corruption or excessive taxes. </w:t>
      </w:r>
      <w:r w:rsidRPr="00C16EFE">
        <w:rPr>
          <w:rStyle w:val="Emphasis"/>
          <w:highlight w:val="cyan"/>
        </w:rPr>
        <w:t>The economy is not the stock market</w:t>
      </w:r>
      <w:r w:rsidRPr="00AC6D3B">
        <w:rPr>
          <w:b/>
          <w:bCs/>
          <w:highlight w:val="cyan"/>
          <w:u w:val="single"/>
        </w:rPr>
        <w:t xml:space="preserve">. </w:t>
      </w:r>
      <w:r w:rsidRPr="00AC6D3B">
        <w:rPr>
          <w:highlight w:val="cyan"/>
          <w:u w:val="single"/>
        </w:rPr>
        <w:t>This year</w:t>
      </w:r>
      <w:r w:rsidRPr="007C3E46">
        <w:rPr>
          <w:u w:val="single"/>
        </w:rPr>
        <w:t xml:space="preserve"> has</w:t>
      </w:r>
      <w:r w:rsidRPr="007C3E46">
        <w:rPr>
          <w:sz w:val="12"/>
        </w:rPr>
        <w:t xml:space="preserve"> powerfully </w:t>
      </w:r>
      <w:r w:rsidRPr="00AC6D3B">
        <w:rPr>
          <w:highlight w:val="cyan"/>
          <w:u w:val="single"/>
        </w:rPr>
        <w:t>reinforced that lesson</w:t>
      </w:r>
      <w:r w:rsidRPr="007C3E46">
        <w:rPr>
          <w:u w:val="single"/>
        </w:rPr>
        <w:t>. Unofficially, unemployment is currently far above 1982’s apex</w:t>
      </w:r>
      <w:r w:rsidRPr="007C3E46">
        <w:rPr>
          <w:sz w:val="12"/>
        </w:rPr>
        <w:t xml:space="preserve">, although the official numbers are lower, as they do not count workers who have been sidelined but who expect to return to their positions. </w:t>
      </w:r>
      <w:r w:rsidRPr="007C3E46">
        <w:rPr>
          <w:u w:val="single"/>
        </w:rPr>
        <w:t>At negative 4.8%, the first quarter’s GDP slide was deeper than any suffered</w:t>
      </w:r>
      <w:r w:rsidRPr="007C3E46">
        <w:rPr>
          <w:sz w:val="12"/>
        </w:rPr>
        <w:t xml:space="preserve"> in 1982, and of course that was only the beginning. </w:t>
      </w:r>
      <w:r w:rsidRPr="00AC6D3B">
        <w:rPr>
          <w:highlight w:val="cyan"/>
          <w:u w:val="single"/>
        </w:rPr>
        <w:t xml:space="preserve">The second quarter’s GDP decline </w:t>
      </w:r>
      <w:hyperlink r:id="rId265" w:history="1">
        <w:r w:rsidRPr="00AC6D3B">
          <w:rPr>
            <w:rStyle w:val="Hyperlink"/>
            <w:highlight w:val="cyan"/>
            <w:u w:val="single"/>
          </w:rPr>
          <w:t>is forecast</w:t>
        </w:r>
      </w:hyperlink>
      <w:r w:rsidRPr="00AC6D3B">
        <w:rPr>
          <w:highlight w:val="cyan"/>
          <w:u w:val="single"/>
        </w:rPr>
        <w:t xml:space="preserve"> to approach 30%</w:t>
      </w:r>
      <w:r w:rsidRPr="007C3E46">
        <w:rPr>
          <w:u w:val="single"/>
        </w:rPr>
        <w:t>.</w:t>
      </w:r>
      <w:r>
        <w:rPr>
          <w:u w:val="single"/>
        </w:rPr>
        <w:t xml:space="preserve"> </w:t>
      </w:r>
      <w:r w:rsidRPr="007C3E46">
        <w:rPr>
          <w:u w:val="single"/>
        </w:rPr>
        <w:t xml:space="preserve">Yet </w:t>
      </w:r>
      <w:r w:rsidRPr="00AC6D3B">
        <w:rPr>
          <w:highlight w:val="cyan"/>
          <w:u w:val="single"/>
        </w:rPr>
        <w:t>stocks have rallied strongly, even as the economic news has deteriorated</w:t>
      </w:r>
      <w:r w:rsidRPr="007C3E46">
        <w:rPr>
          <w:u w:val="single"/>
        </w:rPr>
        <w:t>. (When stock prices began to rise in late March, the consensus second-quarter GDP outlook was for an 18% decrease. Since then, stock prices have steadily climbed, while the GDP predictions have steadily fallen.)</w:t>
      </w:r>
      <w:r>
        <w:rPr>
          <w:u w:val="single"/>
        </w:rPr>
        <w:t xml:space="preserve"> </w:t>
      </w:r>
      <w:r w:rsidRPr="007C3E46">
        <w:rPr>
          <w:sz w:val="12"/>
        </w:rPr>
        <w:t xml:space="preserve">The Few and the Many To be sure, the headlines do not relate the full story. </w:t>
      </w:r>
      <w:r w:rsidRPr="007C3E46">
        <w:rPr>
          <w:u w:val="single"/>
        </w:rPr>
        <w:t>The S&amp;P 500 has recovered so powerfully as to make its year-to-date loss of 12% unmemorable</w:t>
      </w:r>
      <w:r w:rsidRPr="007C3E46">
        <w:rPr>
          <w:sz w:val="12"/>
        </w:rPr>
        <w:t xml:space="preserve">, aside from the abruptness of the path. Meanwhile, small-company indexes have fallen twice that far, and small-value indexes, which represent the largest number of publicly traded companies, are down 30%. Those are genuinely poor results. MORE ON THIS TOPIC </w:t>
      </w:r>
      <w:hyperlink r:id="rId266" w:history="1">
        <w:r w:rsidRPr="007C3E46">
          <w:rPr>
            <w:rStyle w:val="Hyperlink"/>
            <w:sz w:val="12"/>
          </w:rPr>
          <w:t>Nobody's Talking About the Banks</w:t>
        </w:r>
      </w:hyperlink>
      <w:r w:rsidRPr="007C3E46">
        <w:rPr>
          <w:sz w:val="12"/>
        </w:rPr>
        <w:t xml:space="preserve"> Nonetheless, as large companies account for about 80% of U.S. stock-market capitalization, their performance reflects most </w:t>
      </w:r>
      <w:r w:rsidRPr="00AC6D3B">
        <w:rPr>
          <w:highlight w:val="cyan"/>
          <w:u w:val="single"/>
        </w:rPr>
        <w:t>investors’</w:t>
      </w:r>
      <w:r w:rsidRPr="007C3E46">
        <w:rPr>
          <w:u w:val="single"/>
        </w:rPr>
        <w:t xml:space="preserve"> experiences</w:t>
      </w:r>
      <w:r w:rsidRPr="007C3E46">
        <w:rPr>
          <w:sz w:val="12"/>
        </w:rPr>
        <w:t xml:space="preserve">. And those experiences </w:t>
      </w:r>
      <w:r w:rsidRPr="00AC6D3B">
        <w:rPr>
          <w:highlight w:val="cyan"/>
          <w:u w:val="single"/>
        </w:rPr>
        <w:t>have been</w:t>
      </w:r>
      <w:r w:rsidRPr="007C3E46">
        <w:rPr>
          <w:sz w:val="12"/>
        </w:rPr>
        <w:t xml:space="preserve"> benign compared with the </w:t>
      </w:r>
      <w:r w:rsidRPr="00AC6D3B">
        <w:rPr>
          <w:highlight w:val="cyan"/>
          <w:u w:val="single"/>
        </w:rPr>
        <w:t>awful showing</w:t>
      </w:r>
      <w:r w:rsidRPr="007C3E46">
        <w:rPr>
          <w:u w:val="single"/>
        </w:rPr>
        <w:t xml:space="preserve"> of </w:t>
      </w:r>
      <w:r w:rsidRPr="00AC6D3B">
        <w:rPr>
          <w:highlight w:val="cyan"/>
          <w:u w:val="single"/>
        </w:rPr>
        <w:t>the</w:t>
      </w:r>
      <w:r w:rsidRPr="007C3E46">
        <w:rPr>
          <w:u w:val="single"/>
        </w:rPr>
        <w:t xml:space="preserve"> overall </w:t>
      </w:r>
      <w:r w:rsidRPr="00AC6D3B">
        <w:rPr>
          <w:highlight w:val="cyan"/>
          <w:u w:val="single"/>
        </w:rPr>
        <w:t xml:space="preserve">economy. </w:t>
      </w:r>
      <w:r w:rsidRPr="00AC6D3B">
        <w:rPr>
          <w:u w:val="single"/>
        </w:rPr>
        <w:t xml:space="preserve">Two </w:t>
      </w:r>
      <w:r w:rsidRPr="00AC6D3B">
        <w:rPr>
          <w:highlight w:val="cyan"/>
          <w:u w:val="single"/>
        </w:rPr>
        <w:t>additional factors</w:t>
      </w:r>
      <w:r w:rsidRPr="007C3E46">
        <w:rPr>
          <w:u w:val="single"/>
        </w:rPr>
        <w:t xml:space="preserve"> have </w:t>
      </w:r>
      <w:r w:rsidRPr="00AC6D3B">
        <w:rPr>
          <w:highlight w:val="cyan"/>
          <w:u w:val="single"/>
        </w:rPr>
        <w:t>weakened the</w:t>
      </w:r>
      <w:r w:rsidRPr="007C3E46">
        <w:rPr>
          <w:u w:val="single"/>
        </w:rPr>
        <w:t xml:space="preserve"> already tenuous </w:t>
      </w:r>
      <w:r w:rsidRPr="00AC6D3B">
        <w:rPr>
          <w:highlight w:val="cyan"/>
          <w:u w:val="single"/>
        </w:rPr>
        <w:t>link</w:t>
      </w:r>
      <w:r w:rsidRPr="007C3E46">
        <w:rPr>
          <w:u w:val="single"/>
        </w:rPr>
        <w:t xml:space="preserve">. One is the increasing </w:t>
      </w:r>
      <w:r w:rsidRPr="00AC6D3B">
        <w:rPr>
          <w:highlight w:val="cyan"/>
          <w:u w:val="single"/>
        </w:rPr>
        <w:t>divergence between</w:t>
      </w:r>
      <w:r w:rsidRPr="007C3E46">
        <w:rPr>
          <w:u w:val="single"/>
        </w:rPr>
        <w:t xml:space="preserve"> the “have” </w:t>
      </w:r>
      <w:r w:rsidRPr="00AC6D3B">
        <w:rPr>
          <w:highlight w:val="cyan"/>
          <w:u w:val="single"/>
        </w:rPr>
        <w:t>companies and</w:t>
      </w:r>
      <w:r w:rsidRPr="007C3E46">
        <w:rPr>
          <w:u w:val="single"/>
        </w:rPr>
        <w:t xml:space="preserve"> the “have nots.” The other has been </w:t>
      </w:r>
      <w:r w:rsidRPr="00AC6D3B">
        <w:rPr>
          <w:highlight w:val="cyan"/>
          <w:u w:val="single"/>
        </w:rPr>
        <w:t>the federal government</w:t>
      </w:r>
      <w:r w:rsidRPr="00AC6D3B">
        <w:rPr>
          <w:u w:val="single"/>
        </w:rPr>
        <w:t>’s</w:t>
      </w:r>
      <w:r w:rsidRPr="007C3E46">
        <w:rPr>
          <w:u w:val="single"/>
        </w:rPr>
        <w:t xml:space="preserve"> aggressive intervention.</w:t>
      </w:r>
      <w:r>
        <w:rPr>
          <w:u w:val="single"/>
        </w:rPr>
        <w:t xml:space="preserve"> </w:t>
      </w:r>
      <w:r w:rsidRPr="007C3E46">
        <w:rPr>
          <w:sz w:val="12"/>
        </w:rPr>
        <w:t>While</w:t>
      </w:r>
      <w:r w:rsidRPr="007C3E46">
        <w:rPr>
          <w:u w:val="single"/>
        </w:rPr>
        <w:t xml:space="preserve"> most businesses are at best struggling</w:t>
      </w:r>
      <w:r w:rsidRPr="007C3E46">
        <w:rPr>
          <w:sz w:val="12"/>
        </w:rPr>
        <w:t xml:space="preserve">, a happy few are booming. This fact is not only reflected in the performance gap between the large- and small-company indexes, but also by the disparity in fortunes between public and private companies. </w:t>
      </w:r>
      <w:r w:rsidRPr="007C3E46">
        <w:rPr>
          <w:u w:val="single"/>
        </w:rPr>
        <w:t>Because</w:t>
      </w:r>
      <w:r w:rsidRPr="007C3E46">
        <w:rPr>
          <w:sz w:val="12"/>
        </w:rPr>
        <w:t xml:space="preserve"> publicly traded </w:t>
      </w:r>
      <w:r w:rsidRPr="007C3E46">
        <w:rPr>
          <w:u w:val="single"/>
        </w:rPr>
        <w:t>firms operate</w:t>
      </w:r>
      <w:r w:rsidRPr="007C3E46">
        <w:rPr>
          <w:sz w:val="12"/>
        </w:rPr>
        <w:t xml:space="preserve"> nationally (if not internationally), they tend to be technologically capable and therefore positioned to compete during</w:t>
      </w:r>
      <w:r w:rsidRPr="007C3E46">
        <w:rPr>
          <w:u w:val="single"/>
        </w:rPr>
        <w:t xml:space="preserve"> social distancing</w:t>
      </w:r>
      <w:r w:rsidRPr="007C3E46">
        <w:rPr>
          <w:sz w:val="12"/>
        </w:rPr>
        <w:t xml:space="preserve">. Local businesses, in contrast, are likelier to be brick-and-mortar affairs that are hampered by movement restrictions. In other words, that </w:t>
      </w:r>
      <w:r w:rsidRPr="00AC6D3B">
        <w:rPr>
          <w:highlight w:val="cyan"/>
          <w:u w:val="single"/>
        </w:rPr>
        <w:t>millions of workers have</w:t>
      </w:r>
      <w:r w:rsidRPr="007C3E46">
        <w:rPr>
          <w:u w:val="single"/>
        </w:rPr>
        <w:t xml:space="preserve"> </w:t>
      </w:r>
      <w:r w:rsidRPr="00AC6D3B">
        <w:rPr>
          <w:highlight w:val="cyan"/>
          <w:u w:val="single"/>
        </w:rPr>
        <w:t>been released</w:t>
      </w:r>
      <w:r w:rsidRPr="007C3E46">
        <w:rPr>
          <w:u w:val="single"/>
        </w:rPr>
        <w:t xml:space="preserve"> by local businesses--or national firms </w:t>
      </w:r>
      <w:r w:rsidRPr="00AC6D3B">
        <w:rPr>
          <w:highlight w:val="cyan"/>
          <w:u w:val="single"/>
        </w:rPr>
        <w:t>in industries that have been devastated, such as airlines</w:t>
      </w:r>
      <w:r w:rsidRPr="007C3E46">
        <w:rPr>
          <w:u w:val="single"/>
        </w:rPr>
        <w:t xml:space="preserve"> and hotels--</w:t>
      </w:r>
      <w:r w:rsidRPr="00AC6D3B">
        <w:rPr>
          <w:highlight w:val="cyan"/>
          <w:u w:val="single"/>
        </w:rPr>
        <w:t>is relatively immaterial to the</w:t>
      </w:r>
      <w:r w:rsidRPr="007C3E46">
        <w:rPr>
          <w:u w:val="single"/>
        </w:rPr>
        <w:t xml:space="preserve"> stock </w:t>
      </w:r>
      <w:r w:rsidRPr="00AC6D3B">
        <w:rPr>
          <w:highlight w:val="cyan"/>
          <w:u w:val="single"/>
        </w:rPr>
        <w:t>market</w:t>
      </w:r>
      <w:r w:rsidRPr="00AC6D3B">
        <w:rPr>
          <w:u w:val="single"/>
        </w:rPr>
        <w:t>’s</w:t>
      </w:r>
      <w:r w:rsidRPr="007C3E46">
        <w:rPr>
          <w:u w:val="single"/>
        </w:rPr>
        <w:t xml:space="preserve"> leaders. As long the layoffs don’t lead to a ripple effect, wherein the broader economic woes affect their revenues, their </w:t>
      </w:r>
      <w:r w:rsidRPr="00AC6D3B">
        <w:rPr>
          <w:highlight w:val="cyan"/>
          <w:u w:val="single"/>
        </w:rPr>
        <w:t xml:space="preserve">stocks </w:t>
      </w:r>
      <w:r w:rsidRPr="00AC6D3B">
        <w:rPr>
          <w:u w:val="single"/>
        </w:rPr>
        <w:t>quite logically</w:t>
      </w:r>
      <w:r w:rsidRPr="007C3E46">
        <w:rPr>
          <w:u w:val="single"/>
        </w:rPr>
        <w:t xml:space="preserve"> </w:t>
      </w:r>
      <w:r w:rsidRPr="00AC6D3B">
        <w:rPr>
          <w:highlight w:val="cyan"/>
          <w:u w:val="single"/>
        </w:rPr>
        <w:t>can rise even as other businesses fall</w:t>
      </w:r>
      <w:r w:rsidRPr="007C3E46">
        <w:rPr>
          <w:u w:val="single"/>
        </w:rPr>
        <w:t>.</w:t>
      </w:r>
      <w:r>
        <w:rPr>
          <w:u w:val="single"/>
        </w:rPr>
        <w:t xml:space="preserve"> </w:t>
      </w:r>
      <w:r w:rsidRPr="007C3E46">
        <w:rPr>
          <w:sz w:val="12"/>
        </w:rPr>
        <w:t xml:space="preserve">Once Again, The Fed Put This much I knew six weeks ago. What I did not realize was that, at least to date, the ripple effect would not occur. One reason has been </w:t>
      </w:r>
      <w:hyperlink r:id="rId267" w:history="1">
        <w:r w:rsidRPr="007C3E46">
          <w:rPr>
            <w:rStyle w:val="Hyperlink"/>
            <w:sz w:val="12"/>
          </w:rPr>
          <w:t>banks’ relative health</w:t>
        </w:r>
      </w:hyperlink>
      <w:r w:rsidRPr="007C3E46">
        <w:rPr>
          <w:sz w:val="12"/>
        </w:rPr>
        <w:t xml:space="preserve">, which has forestalled the financial panic that bedeviled 2008’s stock market. </w:t>
      </w:r>
      <w:r w:rsidRPr="007C3E46">
        <w:rPr>
          <w:u w:val="single"/>
        </w:rPr>
        <w:t>Happy banks do not always make for happy stock prices</w:t>
      </w:r>
      <w:r w:rsidRPr="007C3E46">
        <w:rPr>
          <w:sz w:val="12"/>
        </w:rPr>
        <w:t xml:space="preserve">, but unhappy ones inevitably lead to misery. However, the other explanation lies not with the marketplace but instead with its overseers: </w:t>
      </w:r>
      <w:r w:rsidRPr="007C3E46">
        <w:rPr>
          <w:u w:val="single"/>
        </w:rPr>
        <w:t>The federal government has been a most generous host.</w:t>
      </w:r>
      <w:r>
        <w:rPr>
          <w:u w:val="single"/>
        </w:rPr>
        <w:t xml:space="preserve"> </w:t>
      </w:r>
      <w:r w:rsidRPr="007C3E46">
        <w:rPr>
          <w:sz w:val="12"/>
        </w:rPr>
        <w:t xml:space="preserve">Both </w:t>
      </w:r>
      <w:r w:rsidRPr="00AC6D3B">
        <w:rPr>
          <w:highlight w:val="cyan"/>
          <w:u w:val="single"/>
        </w:rPr>
        <w:t>the Fed</w:t>
      </w:r>
      <w:r w:rsidRPr="007C3E46">
        <w:rPr>
          <w:u w:val="single"/>
        </w:rPr>
        <w:t xml:space="preserve">eral Reserve </w:t>
      </w:r>
      <w:r w:rsidRPr="00AC6D3B">
        <w:rPr>
          <w:highlight w:val="cyan"/>
          <w:u w:val="single"/>
        </w:rPr>
        <w:t>and Congress</w:t>
      </w:r>
      <w:r w:rsidRPr="007C3E46">
        <w:rPr>
          <w:u w:val="single"/>
        </w:rPr>
        <w:t xml:space="preserve">, through the CARES bill, have </w:t>
      </w:r>
      <w:r w:rsidRPr="00AC6D3B">
        <w:rPr>
          <w:u w:val="single"/>
        </w:rPr>
        <w:t>rained money</w:t>
      </w:r>
      <w:r w:rsidRPr="007C3E46">
        <w:rPr>
          <w:u w:val="single"/>
        </w:rPr>
        <w:t xml:space="preserve"> </w:t>
      </w:r>
      <w:r w:rsidRPr="007C3E46">
        <w:rPr>
          <w:sz w:val="12"/>
        </w:rPr>
        <w:t xml:space="preserve">onto the economy. Such actions have helped preserve consumer spending power. In addition, they have encouraged equity investors by demonstrating that both major parties--there has been little disagreement on either side of the aisle--will spend what they believe is needed to maintain some semblance of normality. Government intervention is the new and updated version of “The Fed Put”: the idea that the Federal Reserve could always support equity prices, whenever it desired, by cutting short-term interest rates. Those rates are currently at zero, so that game can no longer be played. But </w:t>
      </w:r>
      <w:r w:rsidRPr="007C3E46">
        <w:rPr>
          <w:u w:val="single"/>
        </w:rPr>
        <w:t xml:space="preserve">the Federal Reserve </w:t>
      </w:r>
      <w:r w:rsidRPr="00AC6D3B">
        <w:rPr>
          <w:highlight w:val="cyan"/>
          <w:u w:val="single"/>
        </w:rPr>
        <w:t xml:space="preserve">can continue its </w:t>
      </w:r>
      <w:r w:rsidRPr="00AC6D3B">
        <w:rPr>
          <w:u w:val="single"/>
        </w:rPr>
        <w:t xml:space="preserve">newer </w:t>
      </w:r>
      <w:r w:rsidRPr="00AC6D3B">
        <w:rPr>
          <w:highlight w:val="cyan"/>
          <w:u w:val="single"/>
        </w:rPr>
        <w:t>technique of buying bonds in the open marketplace</w:t>
      </w:r>
      <w:r w:rsidRPr="007C3E46">
        <w:rPr>
          <w:u w:val="single"/>
        </w:rPr>
        <w:t xml:space="preserve"> and flooding the banks with liquidity</w:t>
      </w:r>
      <w:r w:rsidRPr="007C3E46">
        <w:rPr>
          <w:sz w:val="12"/>
        </w:rPr>
        <w:t>, and Congress can pass new stimulus bills. It likely will. Whether such activity will benefit investors more than workers remains to be seen. Thus far, it has.</w:t>
      </w:r>
    </w:p>
    <w:p w14:paraId="3C38F747" w14:textId="5C93178E" w:rsidR="00440F00" w:rsidRDefault="00440F00" w:rsidP="00440F00">
      <w:pPr>
        <w:pStyle w:val="Heading3"/>
      </w:pPr>
      <w:r>
        <w:t>2NC – AT: Business Confidence</w:t>
      </w:r>
    </w:p>
    <w:p w14:paraId="519D8FDB" w14:textId="377A6AD8" w:rsidR="00440F00" w:rsidRPr="00A7733C" w:rsidRDefault="00440F00" w:rsidP="00440F00">
      <w:pPr>
        <w:pStyle w:val="Heading4"/>
      </w:pPr>
      <w:r>
        <w:t>Totally disconnected from the broader economy.</w:t>
      </w:r>
    </w:p>
    <w:p w14:paraId="24A4B0AF" w14:textId="77777777" w:rsidR="00440F00" w:rsidRDefault="00440F00" w:rsidP="00440F00">
      <w:r w:rsidRPr="003C638B">
        <w:rPr>
          <w:rStyle w:val="Style13ptBold"/>
        </w:rPr>
        <w:t>Phillips</w:t>
      </w:r>
      <w:r>
        <w:rPr>
          <w:rStyle w:val="Style13ptBold"/>
        </w:rPr>
        <w:t xml:space="preserve"> 5/10 —</w:t>
      </w:r>
      <w:r>
        <w:t xml:space="preserve"> Matt Phillips writes about finance, markets and economics. He worked at The Wall Street Journal for seven years. Matt caught the markets bug as lead writer for the Journal’s MarketBeat blog, which he helped turn into one of the most heavily trafficked web properties at the Journal. (“Repeat After Me: </w:t>
      </w:r>
      <w:r w:rsidRPr="000E3008">
        <w:rPr>
          <w:rStyle w:val="Emphasis"/>
        </w:rPr>
        <w:t>The Markets Are Not the Economy</w:t>
      </w:r>
      <w:r>
        <w:t>” The New York Times, May 10, 2020. https://www.nytimes.com/2020/05/10/business/stock-market-economy-coronavirus.html)//JLPark</w:t>
      </w:r>
    </w:p>
    <w:p w14:paraId="5D1AE12B" w14:textId="77777777" w:rsidR="00440F00" w:rsidRPr="000E3008" w:rsidRDefault="00440F00" w:rsidP="00440F00">
      <w:r w:rsidRPr="000E3008">
        <w:rPr>
          <w:rStyle w:val="StyleUnderline"/>
        </w:rPr>
        <w:t>The stock market looks increasingly divorced from economic reality</w:t>
      </w:r>
      <w:r w:rsidRPr="000E3008">
        <w:t>.</w:t>
      </w:r>
    </w:p>
    <w:p w14:paraId="6B3D2647" w14:textId="77777777" w:rsidR="00440F00" w:rsidRPr="000E3008" w:rsidRDefault="00440F00" w:rsidP="00440F00">
      <w:pPr>
        <w:rPr>
          <w:sz w:val="14"/>
        </w:rPr>
      </w:pPr>
      <w:r w:rsidRPr="000E3008">
        <w:rPr>
          <w:rStyle w:val="StyleUnderline"/>
        </w:rPr>
        <w:t>The U</w:t>
      </w:r>
      <w:r w:rsidRPr="000E3008">
        <w:rPr>
          <w:sz w:val="14"/>
        </w:rPr>
        <w:t xml:space="preserve">nited </w:t>
      </w:r>
      <w:r w:rsidRPr="000E3008">
        <w:rPr>
          <w:rStyle w:val="StyleUnderline"/>
        </w:rPr>
        <w:t>S</w:t>
      </w:r>
      <w:r w:rsidRPr="000E3008">
        <w:rPr>
          <w:sz w:val="14"/>
        </w:rPr>
        <w:t xml:space="preserve">tates </w:t>
      </w:r>
      <w:r w:rsidRPr="000E3008">
        <w:rPr>
          <w:rStyle w:val="StyleUnderline"/>
        </w:rPr>
        <w:t>is</w:t>
      </w:r>
      <w:r w:rsidRPr="000E3008">
        <w:rPr>
          <w:sz w:val="14"/>
        </w:rPr>
        <w:t xml:space="preserve"> on the brink of </w:t>
      </w:r>
      <w:r w:rsidRPr="000E3008">
        <w:rPr>
          <w:rStyle w:val="StyleUnderline"/>
        </w:rPr>
        <w:t>the worst economic collapse</w:t>
      </w:r>
      <w:r w:rsidRPr="000E3008">
        <w:rPr>
          <w:sz w:val="14"/>
        </w:rPr>
        <w:t xml:space="preserve"> since the Hoover administration. </w:t>
      </w:r>
      <w:r w:rsidRPr="000E3008">
        <w:rPr>
          <w:rStyle w:val="StyleUnderline"/>
        </w:rPr>
        <w:t xml:space="preserve">Corporate profits </w:t>
      </w:r>
      <w:r w:rsidRPr="000E3008">
        <w:rPr>
          <w:sz w:val="14"/>
        </w:rPr>
        <w:t>have</w:t>
      </w:r>
      <w:r w:rsidRPr="000E3008">
        <w:rPr>
          <w:rStyle w:val="StyleUnderline"/>
        </w:rPr>
        <w:t xml:space="preserve"> crumpled</w:t>
      </w:r>
      <w:r w:rsidRPr="000E3008">
        <w:rPr>
          <w:sz w:val="14"/>
        </w:rPr>
        <w:t xml:space="preserve">. More than a million Americans have contracted the coronavirus, and hundreds are dying each day. </w:t>
      </w:r>
      <w:r w:rsidRPr="000E3008">
        <w:rPr>
          <w:rStyle w:val="StyleUnderline"/>
        </w:rPr>
        <w:t>There is no turnaround in sight</w:t>
      </w:r>
      <w:r w:rsidRPr="000E3008">
        <w:rPr>
          <w:sz w:val="14"/>
        </w:rPr>
        <w:t>.</w:t>
      </w:r>
    </w:p>
    <w:p w14:paraId="23F27512" w14:textId="77777777" w:rsidR="00440F00" w:rsidRPr="00330439" w:rsidRDefault="00440F00" w:rsidP="00440F00">
      <w:pPr>
        <w:rPr>
          <w:sz w:val="14"/>
        </w:rPr>
      </w:pPr>
      <w:r w:rsidRPr="000E3008">
        <w:rPr>
          <w:rStyle w:val="StyleUnderline"/>
        </w:rPr>
        <w:t>Yet stocks keep climbing</w:t>
      </w:r>
      <w:r w:rsidRPr="00330439">
        <w:rPr>
          <w:sz w:val="14"/>
        </w:rPr>
        <w:t xml:space="preserve">. Even as 20.5 million people lost their jobs in April, the </w:t>
      </w:r>
      <w:r w:rsidRPr="000E3008">
        <w:rPr>
          <w:rStyle w:val="StyleUnderline"/>
        </w:rPr>
        <w:t>S&amp;P</w:t>
      </w:r>
      <w:r w:rsidRPr="00330439">
        <w:rPr>
          <w:sz w:val="14"/>
        </w:rPr>
        <w:t xml:space="preserve"> 500 stock index </w:t>
      </w:r>
      <w:r w:rsidRPr="00330439">
        <w:rPr>
          <w:rStyle w:val="StyleUnderline"/>
        </w:rPr>
        <w:t>logged its best month in 33 years</w:t>
      </w:r>
      <w:r w:rsidRPr="00330439">
        <w:rPr>
          <w:sz w:val="14"/>
        </w:rPr>
        <w:t xml:space="preserve">. </w:t>
      </w:r>
      <w:r w:rsidRPr="00330439">
        <w:rPr>
          <w:rStyle w:val="StyleUnderline"/>
        </w:rPr>
        <w:t>After a few</w:t>
      </w:r>
      <w:r w:rsidRPr="00330439">
        <w:rPr>
          <w:sz w:val="14"/>
        </w:rPr>
        <w:t xml:space="preserve"> weeks of wild </w:t>
      </w:r>
      <w:r w:rsidRPr="00330439">
        <w:rPr>
          <w:rStyle w:val="StyleUnderline"/>
        </w:rPr>
        <w:t>swings</w:t>
      </w:r>
      <w:r w:rsidRPr="00330439">
        <w:rPr>
          <w:sz w:val="14"/>
        </w:rPr>
        <w:t xml:space="preserve">, </w:t>
      </w:r>
      <w:r w:rsidRPr="00330439">
        <w:rPr>
          <w:rStyle w:val="StyleUnderline"/>
        </w:rPr>
        <w:t>the market is down a mere 9.3 percent</w:t>
      </w:r>
      <w:r w:rsidRPr="00330439">
        <w:rPr>
          <w:sz w:val="14"/>
        </w:rPr>
        <w:t xml:space="preserve"> this year </w:t>
      </w:r>
      <w:r w:rsidRPr="00330439">
        <w:rPr>
          <w:rStyle w:val="StyleUnderline"/>
        </w:rPr>
        <w:t>and 13.5 percent from its peak</w:t>
      </w:r>
      <w:r w:rsidRPr="00330439">
        <w:rPr>
          <w:sz w:val="14"/>
        </w:rPr>
        <w:t xml:space="preserve"> — </w:t>
      </w:r>
      <w:r w:rsidRPr="00330439">
        <w:rPr>
          <w:rStyle w:val="StyleUnderline"/>
        </w:rPr>
        <w:t>what most investors would consider</w:t>
      </w:r>
      <w:r w:rsidRPr="00330439">
        <w:rPr>
          <w:sz w:val="14"/>
        </w:rPr>
        <w:t xml:space="preserve"> a </w:t>
      </w:r>
      <w:r w:rsidRPr="00330439">
        <w:rPr>
          <w:rStyle w:val="StyleUnderline"/>
        </w:rPr>
        <w:t>correction</w:t>
      </w:r>
      <w:r w:rsidRPr="00330439">
        <w:rPr>
          <w:sz w:val="14"/>
        </w:rPr>
        <w:t>. On Friday, after the government released the staggering unemployment figures, the S&amp;P 500 closed up 1.7 percent.</w:t>
      </w:r>
    </w:p>
    <w:p w14:paraId="2781F002" w14:textId="77777777" w:rsidR="00440F00" w:rsidRPr="00330439" w:rsidRDefault="00440F00" w:rsidP="00440F00">
      <w:pPr>
        <w:rPr>
          <w:sz w:val="14"/>
          <w:szCs w:val="14"/>
        </w:rPr>
      </w:pPr>
      <w:r w:rsidRPr="00330439">
        <w:rPr>
          <w:sz w:val="14"/>
          <w:szCs w:val="14"/>
        </w:rPr>
        <w:t>Conventional wisdom would explain the market’s comparatively modest losses this way: Since markets tend to be forward-looking, investors have already accounted for what’s expected to be a cataclysmic drop in second-quarter activity and are forecasting a relatively rapid economic recovery afterward. The Federal Reserve’s actions have also bolstered investors’ confidence that the bottom won’t fall out of the market.</w:t>
      </w:r>
    </w:p>
    <w:p w14:paraId="3EE1469B" w14:textId="77777777" w:rsidR="00440F00" w:rsidRPr="00330439" w:rsidRDefault="00440F00" w:rsidP="00440F00">
      <w:pPr>
        <w:rPr>
          <w:sz w:val="14"/>
        </w:rPr>
      </w:pPr>
      <w:r w:rsidRPr="00330439">
        <w:rPr>
          <w:sz w:val="14"/>
        </w:rPr>
        <w:t xml:space="preserve">But </w:t>
      </w:r>
      <w:r w:rsidRPr="00A7733C">
        <w:rPr>
          <w:rStyle w:val="Emphasis"/>
        </w:rPr>
        <w:t>the pandemic has also highlighted a deeper trend</w:t>
      </w:r>
      <w:r w:rsidRPr="00330439">
        <w:rPr>
          <w:sz w:val="14"/>
        </w:rPr>
        <w:t xml:space="preserve">. </w:t>
      </w:r>
      <w:r w:rsidRPr="00330439">
        <w:rPr>
          <w:rStyle w:val="StyleUnderline"/>
        </w:rPr>
        <w:t>For decades, the market has been</w:t>
      </w:r>
      <w:r w:rsidRPr="00330439">
        <w:rPr>
          <w:sz w:val="14"/>
        </w:rPr>
        <w:t xml:space="preserve"> growing </w:t>
      </w:r>
      <w:r w:rsidRPr="00330439">
        <w:rPr>
          <w:rStyle w:val="StyleUnderline"/>
        </w:rPr>
        <w:t xml:space="preserve">increasingly </w:t>
      </w:r>
      <w:r w:rsidRPr="00A7733C">
        <w:rPr>
          <w:rStyle w:val="Emphasis"/>
        </w:rPr>
        <w:t>detached</w:t>
      </w:r>
      <w:r w:rsidRPr="00330439">
        <w:rPr>
          <w:rStyle w:val="StyleUnderline"/>
        </w:rPr>
        <w:t xml:space="preserve"> </w:t>
      </w:r>
      <w:r w:rsidRPr="00330439">
        <w:rPr>
          <w:sz w:val="14"/>
        </w:rPr>
        <w:t>from the mainstream of American life, mirroring broad changes in the economy.</w:t>
      </w:r>
    </w:p>
    <w:p w14:paraId="635E85E4" w14:textId="77777777" w:rsidR="00440F00" w:rsidRPr="00330439" w:rsidRDefault="00440F00" w:rsidP="00440F00">
      <w:pPr>
        <w:rPr>
          <w:sz w:val="14"/>
          <w:szCs w:val="14"/>
        </w:rPr>
      </w:pPr>
      <w:r w:rsidRPr="00330439">
        <w:rPr>
          <w:sz w:val="14"/>
          <w:szCs w:val="14"/>
        </w:rPr>
        <w:t xml:space="preserve"> “Wall Street has very little to do with Main Street,” said Joachim Klement, a market analyst at Liberum Capital in London. “And less and less so.”</w:t>
      </w:r>
    </w:p>
    <w:p w14:paraId="3C437703" w14:textId="77777777" w:rsidR="00440F00" w:rsidRPr="00330439" w:rsidRDefault="00440F00" w:rsidP="00440F00">
      <w:pPr>
        <w:rPr>
          <w:sz w:val="14"/>
        </w:rPr>
      </w:pPr>
      <w:r w:rsidRPr="00330439">
        <w:rPr>
          <w:sz w:val="14"/>
        </w:rPr>
        <w:t xml:space="preserve">Still, the market retains its grip on the collective imagination. From politicians and corporate executives to mom-and-pop investors, Americans have long relied on the stock market as a proxy for the U.S. economy — for reasons that are partly historical. Its crests suggested bright days ahead, while its troughs suggested a darkening outlook. </w:t>
      </w:r>
      <w:r w:rsidRPr="00330439">
        <w:rPr>
          <w:rStyle w:val="StyleUnderline"/>
        </w:rPr>
        <w:t>The current economic fallout</w:t>
      </w:r>
      <w:r w:rsidRPr="00330439">
        <w:rPr>
          <w:sz w:val="14"/>
        </w:rPr>
        <w:t xml:space="preserve">, however, could </w:t>
      </w:r>
      <w:r w:rsidRPr="00330439">
        <w:rPr>
          <w:rStyle w:val="StyleUnderline"/>
        </w:rPr>
        <w:t>snap any illusions that the logic of the market is derived</w:t>
      </w:r>
      <w:r w:rsidRPr="00330439">
        <w:rPr>
          <w:sz w:val="14"/>
        </w:rPr>
        <w:t xml:space="preserve">, in any consistent way, </w:t>
      </w:r>
      <w:r w:rsidRPr="00330439">
        <w:rPr>
          <w:rStyle w:val="StyleUnderline"/>
        </w:rPr>
        <w:t>from real-world events</w:t>
      </w:r>
      <w:r w:rsidRPr="00330439">
        <w:rPr>
          <w:sz w:val="14"/>
        </w:rPr>
        <w:t>.</w:t>
      </w:r>
    </w:p>
    <w:p w14:paraId="0339793F" w14:textId="77777777" w:rsidR="00440F00" w:rsidRPr="00A7733C" w:rsidRDefault="00440F00" w:rsidP="00440F00">
      <w:pPr>
        <w:rPr>
          <w:sz w:val="14"/>
          <w:szCs w:val="14"/>
        </w:rPr>
      </w:pPr>
      <w:r w:rsidRPr="00A7733C">
        <w:rPr>
          <w:sz w:val="14"/>
          <w:szCs w:val="14"/>
        </w:rPr>
        <w:t>Part of the reason is the makeup of the stock market, and the fact that the giant companies that make up the S&amp;P 500 operate under very different circumstances than the nation’s small businesses, workers and cities and states. They are highly profitable, hold significant sums of cash and have regular access to public bond markets. They’re far more global than the typical American family firm. (Roughly 40 percent of the revenues of S&amp;P 500 companies come from abroad.)</w:t>
      </w:r>
    </w:p>
    <w:p w14:paraId="4EED207B" w14:textId="77777777" w:rsidR="00440F00" w:rsidRPr="00A7733C" w:rsidRDefault="00440F00" w:rsidP="00440F00">
      <w:pPr>
        <w:rPr>
          <w:sz w:val="14"/>
          <w:szCs w:val="14"/>
        </w:rPr>
      </w:pPr>
      <w:r w:rsidRPr="00A7733C">
        <w:rPr>
          <w:sz w:val="14"/>
          <w:szCs w:val="14"/>
        </w:rPr>
        <w:t>In 2015, about 600,000 U.S. companies counted at least 20 employees, and only 3,600 of those — or less than 1 percent — were publicly listed, said René Stulz, a professor of finance at Ohio State University, who has studied the changing composition of publicly traded markets.</w:t>
      </w:r>
    </w:p>
    <w:p w14:paraId="7A03EA2C" w14:textId="77777777" w:rsidR="00440F00" w:rsidRPr="00A7733C" w:rsidRDefault="00440F00" w:rsidP="00440F00">
      <w:pPr>
        <w:rPr>
          <w:sz w:val="14"/>
        </w:rPr>
      </w:pPr>
      <w:r w:rsidRPr="00A7733C">
        <w:rPr>
          <w:sz w:val="14"/>
        </w:rPr>
        <w:t xml:space="preserve">Because the financial strength of big companies makes them more likely to survive the downturn, their </w:t>
      </w:r>
      <w:r w:rsidRPr="00A7733C">
        <w:rPr>
          <w:rStyle w:val="StyleUnderline"/>
        </w:rPr>
        <w:t>share prices</w:t>
      </w:r>
      <w:r w:rsidRPr="00A7733C">
        <w:rPr>
          <w:sz w:val="14"/>
        </w:rPr>
        <w:t xml:space="preserve"> tend to </w:t>
      </w:r>
      <w:r w:rsidRPr="00A7733C">
        <w:rPr>
          <w:rStyle w:val="Emphasis"/>
        </w:rPr>
        <w:t>underplay the impact</w:t>
      </w:r>
      <w:r w:rsidRPr="00A7733C">
        <w:rPr>
          <w:rStyle w:val="StyleUnderline"/>
        </w:rPr>
        <w:t xml:space="preserve"> of a widespread economic collapse</w:t>
      </w:r>
      <w:r w:rsidRPr="00A7733C">
        <w:rPr>
          <w:sz w:val="14"/>
        </w:rPr>
        <w:t>. In fact, market indexes like the S&amp;P 500 are weighted to reflect the performance of the largest and most profitable companies. In recent weeks, the stocks of such companies have not only veered in the opposite direction of the outlook for the U.S. economy, but from the rest of the stock market itself.</w:t>
      </w:r>
    </w:p>
    <w:p w14:paraId="033B8283" w14:textId="77777777" w:rsidR="00440F00" w:rsidRPr="00A7733C" w:rsidRDefault="00440F00" w:rsidP="00440F00">
      <w:pPr>
        <w:rPr>
          <w:sz w:val="14"/>
          <w:szCs w:val="14"/>
        </w:rPr>
      </w:pPr>
      <w:r w:rsidRPr="00A7733C">
        <w:rPr>
          <w:sz w:val="14"/>
          <w:szCs w:val="14"/>
        </w:rPr>
        <w:t>The five largest listed companies — Microsoft, Apple, Amazon, Alphabet and Facebook — have continued to climb this year, as investors bet these behemoths will emerge in an even more dominant position after the crisis. Through the end of April, these companies were up roughly 10 percent this year, while the 495 other companies in the S&amp;P were down 13 percent, according to Goldman Sachs analysts. These highly valued firms — Microsoft, Amazon and Apple are each worth more than $1 trillion — now account for one-fifth of the market value of the index, the highest level in 30 years.</w:t>
      </w:r>
    </w:p>
    <w:p w14:paraId="1D0A9E0E" w14:textId="77777777" w:rsidR="00440F00" w:rsidRPr="000E3008" w:rsidRDefault="00440F00" w:rsidP="00440F00">
      <w:r w:rsidRPr="00A7733C">
        <w:rPr>
          <w:sz w:val="14"/>
          <w:szCs w:val="14"/>
        </w:rPr>
        <w:t>“It’s very easy to get confused by looking at the S&amp;P doing well and that being driven by a relatively small subset of firms which aren’t really affected by this virus and actually gain from it,” said Mr. Stulz</w:t>
      </w:r>
      <w:r w:rsidRPr="000E3008">
        <w:t>.</w:t>
      </w:r>
    </w:p>
    <w:p w14:paraId="3B5E36FC" w14:textId="77777777" w:rsidR="00440F00" w:rsidRPr="00A7733C" w:rsidRDefault="00440F00" w:rsidP="00440F00">
      <w:pPr>
        <w:rPr>
          <w:sz w:val="14"/>
          <w:szCs w:val="14"/>
        </w:rPr>
      </w:pPr>
      <w:r w:rsidRPr="00A7733C">
        <w:rPr>
          <w:rStyle w:val="StyleUnderline"/>
        </w:rPr>
        <w:t>Nor does the mood of the market</w:t>
      </w:r>
      <w:r w:rsidRPr="00A7733C">
        <w:rPr>
          <w:sz w:val="14"/>
        </w:rPr>
        <w:t xml:space="preserve"> necessarily </w:t>
      </w:r>
      <w:r w:rsidRPr="00A7733C">
        <w:rPr>
          <w:rStyle w:val="StyleUnderline"/>
        </w:rPr>
        <w:t>reflect</w:t>
      </w:r>
      <w:r w:rsidRPr="00A7733C">
        <w:rPr>
          <w:sz w:val="14"/>
        </w:rPr>
        <w:t xml:space="preserve"> the sentiment of a broad swathe of Americans. While U.S. stock markets are more democratic than most, with more than half of American households owning shares or investment funds like mutual funds, the overwhelming majority of stock accounts are relatively modest. Rather, stock ownership is heavily skewed to the richest segments of the </w:t>
      </w:r>
      <w:r w:rsidRPr="00A7733C">
        <w:rPr>
          <w:sz w:val="14"/>
          <w:szCs w:val="14"/>
        </w:rPr>
        <w:t>population, who are least likely to feel the pain of an economic downturn.</w:t>
      </w:r>
    </w:p>
    <w:p w14:paraId="28703F5C" w14:textId="77777777" w:rsidR="00440F00" w:rsidRPr="00A7733C" w:rsidRDefault="00440F00" w:rsidP="00440F00">
      <w:pPr>
        <w:rPr>
          <w:sz w:val="14"/>
          <w:szCs w:val="14"/>
        </w:rPr>
      </w:pPr>
      <w:r w:rsidRPr="00A7733C">
        <w:rPr>
          <w:sz w:val="14"/>
          <w:szCs w:val="14"/>
        </w:rPr>
        <w:t xml:space="preserve"> “Stock ownership among the middle class is pretty minimal,” said Ed Wolff, an economist at New York University who studies the net worth of American families. He added: “The fluctuations in the stock market don’t have much effect on the net worth of middle-class families.”</w:t>
      </w:r>
    </w:p>
    <w:p w14:paraId="753B6FC8" w14:textId="77777777" w:rsidR="00440F00" w:rsidRPr="00A7733C" w:rsidRDefault="00440F00" w:rsidP="00440F00">
      <w:pPr>
        <w:rPr>
          <w:sz w:val="14"/>
          <w:szCs w:val="14"/>
        </w:rPr>
      </w:pPr>
      <w:r w:rsidRPr="00A7733C">
        <w:rPr>
          <w:sz w:val="14"/>
          <w:szCs w:val="14"/>
        </w:rPr>
        <w:t>In fact, a relatively small number of wealthy families own the vast majority of the shares controlled by U.S. households.</w:t>
      </w:r>
    </w:p>
    <w:p w14:paraId="043C30D0" w14:textId="77777777" w:rsidR="00440F00" w:rsidRPr="00A7733C" w:rsidRDefault="00440F00" w:rsidP="00440F00">
      <w:pPr>
        <w:rPr>
          <w:sz w:val="14"/>
          <w:szCs w:val="14"/>
        </w:rPr>
      </w:pPr>
      <w:r w:rsidRPr="00A7733C">
        <w:rPr>
          <w:sz w:val="14"/>
          <w:szCs w:val="14"/>
        </w:rPr>
        <w:t>The most recent data from the Federal Reserve shows that the wealthiest top 10 percent of American households own about 84 percent of the value of all household stock ownership, according to an analysis by Mr. Wolff. The top 1 percent controlled 40 percent of household stock holdings.</w:t>
      </w:r>
    </w:p>
    <w:p w14:paraId="1429576F" w14:textId="77777777" w:rsidR="00440F00" w:rsidRPr="00A7733C" w:rsidRDefault="00440F00" w:rsidP="00440F00">
      <w:pPr>
        <w:rPr>
          <w:sz w:val="14"/>
        </w:rPr>
      </w:pPr>
      <w:r w:rsidRPr="00A7733C">
        <w:rPr>
          <w:rStyle w:val="StyleUnderline"/>
        </w:rPr>
        <w:t>Economists</w:t>
      </w:r>
      <w:r w:rsidRPr="00A7733C">
        <w:rPr>
          <w:sz w:val="14"/>
        </w:rPr>
        <w:t xml:space="preserve"> who have studied the performance of stock markets over time </w:t>
      </w:r>
      <w:r w:rsidRPr="00A7733C">
        <w:rPr>
          <w:rStyle w:val="StyleUnderline"/>
        </w:rPr>
        <w:t>say there’s</w:t>
      </w:r>
      <w:r w:rsidRPr="00A7733C">
        <w:rPr>
          <w:sz w:val="14"/>
        </w:rPr>
        <w:t xml:space="preserve"> relatively </w:t>
      </w:r>
      <w:r w:rsidRPr="00A7733C">
        <w:rPr>
          <w:rStyle w:val="StyleUnderline"/>
        </w:rPr>
        <w:t>little evidence that economic growth matters to the outcome of the market</w:t>
      </w:r>
      <w:r w:rsidRPr="00A7733C">
        <w:rPr>
          <w:sz w:val="14"/>
        </w:rPr>
        <w:t xml:space="preserve"> at all.</w:t>
      </w:r>
    </w:p>
    <w:p w14:paraId="110BF5D3" w14:textId="77777777" w:rsidR="00440F00" w:rsidRPr="00A7733C" w:rsidRDefault="00440F00" w:rsidP="00440F00">
      <w:pPr>
        <w:rPr>
          <w:sz w:val="14"/>
        </w:rPr>
      </w:pPr>
      <w:r w:rsidRPr="00A7733C">
        <w:rPr>
          <w:sz w:val="14"/>
        </w:rPr>
        <w:t>“</w:t>
      </w:r>
      <w:r w:rsidRPr="00A7733C">
        <w:rPr>
          <w:rStyle w:val="StyleUnderline"/>
        </w:rPr>
        <w:t>The linkage is actually pretty weak</w:t>
      </w:r>
      <w:r w:rsidRPr="00A7733C">
        <w:rPr>
          <w:sz w:val="14"/>
        </w:rPr>
        <w:t xml:space="preserve">,” said Jay Ritter, a finance professor at the University of Florida who has studied the long-run relationship between economic growth and market returns in world markets. “In the longer run, </w:t>
      </w:r>
      <w:r w:rsidRPr="00A7733C">
        <w:rPr>
          <w:rStyle w:val="StyleUnderline"/>
        </w:rPr>
        <w:t>the relationship is, empirically</w:t>
      </w:r>
      <w:r w:rsidRPr="00A7733C">
        <w:rPr>
          <w:sz w:val="14"/>
        </w:rPr>
        <w:t xml:space="preserve">, it’s </w:t>
      </w:r>
      <w:r w:rsidRPr="00A7733C">
        <w:rPr>
          <w:rStyle w:val="StyleUnderline"/>
        </w:rPr>
        <w:t>not there</w:t>
      </w:r>
      <w:r w:rsidRPr="00A7733C">
        <w:rPr>
          <w:sz w:val="14"/>
        </w:rPr>
        <w:t>.”</w:t>
      </w:r>
    </w:p>
    <w:p w14:paraId="12E2517C" w14:textId="77777777" w:rsidR="00440F00" w:rsidRPr="00A7733C" w:rsidRDefault="00440F00" w:rsidP="00440F00">
      <w:pPr>
        <w:rPr>
          <w:sz w:val="14"/>
          <w:szCs w:val="14"/>
        </w:rPr>
      </w:pPr>
      <w:r w:rsidRPr="00A7733C">
        <w:rPr>
          <w:sz w:val="14"/>
          <w:szCs w:val="14"/>
        </w:rPr>
        <w:t>None of this is a secret. So why do millions of Americans continue to think the market really is a barometer on the economy? That’s more a question of history and culture than economics.</w:t>
      </w:r>
    </w:p>
    <w:p w14:paraId="0F5CAD82" w14:textId="77777777" w:rsidR="00440F00" w:rsidRPr="00A7733C" w:rsidRDefault="00440F00" w:rsidP="00440F00">
      <w:pPr>
        <w:rPr>
          <w:sz w:val="14"/>
        </w:rPr>
      </w:pPr>
      <w:r w:rsidRPr="00A7733C">
        <w:rPr>
          <w:sz w:val="14"/>
        </w:rPr>
        <w:t xml:space="preserve">Historians say </w:t>
      </w:r>
      <w:r w:rsidRPr="00A7733C">
        <w:rPr>
          <w:rStyle w:val="StyleUnderline"/>
        </w:rPr>
        <w:t>the stock market’s link</w:t>
      </w:r>
      <w:r w:rsidRPr="00A7733C">
        <w:rPr>
          <w:sz w:val="14"/>
        </w:rPr>
        <w:t xml:space="preserve"> in the </w:t>
      </w:r>
      <w:r w:rsidRPr="00A7733C">
        <w:rPr>
          <w:rStyle w:val="StyleUnderline"/>
        </w:rPr>
        <w:t>American psyche</w:t>
      </w:r>
      <w:r w:rsidRPr="00A7733C">
        <w:rPr>
          <w:sz w:val="14"/>
        </w:rPr>
        <w:t xml:space="preserve"> to the economic health of the country goes back, at least, to the 1929 crash.</w:t>
      </w:r>
    </w:p>
    <w:p w14:paraId="71791530" w14:textId="77777777" w:rsidR="00440F00" w:rsidRPr="00A7733C" w:rsidRDefault="00440F00" w:rsidP="00440F00">
      <w:pPr>
        <w:rPr>
          <w:sz w:val="14"/>
          <w:szCs w:val="14"/>
        </w:rPr>
      </w:pPr>
      <w:r w:rsidRPr="00A7733C">
        <w:rPr>
          <w:sz w:val="14"/>
          <w:szCs w:val="14"/>
        </w:rPr>
        <w:t>“You can think of the Great Crash as almost traumatizing Americans,” said Janice Traflet, a financial historian at Bucknell University’s Freeman College of Management.</w:t>
      </w:r>
    </w:p>
    <w:p w14:paraId="4D2EBEC9" w14:textId="77777777" w:rsidR="00440F00" w:rsidRPr="00A7733C" w:rsidRDefault="00440F00" w:rsidP="00440F00">
      <w:pPr>
        <w:rPr>
          <w:sz w:val="14"/>
        </w:rPr>
      </w:pPr>
      <w:r w:rsidRPr="00A7733C">
        <w:rPr>
          <w:sz w:val="14"/>
        </w:rPr>
        <w:t xml:space="preserve">With little quality economic information, many Americans saw the 1929 market collapse — the S&amp;P fell an astounding 86 percent before bottoming in 1932 — as the event that caused the Great Depression. </w:t>
      </w:r>
      <w:r w:rsidRPr="00A7733C">
        <w:rPr>
          <w:rStyle w:val="StyleUnderline"/>
        </w:rPr>
        <w:t xml:space="preserve">The close connection between the health of the economy and the health of the markets, in the minds of </w:t>
      </w:r>
      <w:r w:rsidRPr="00A7733C">
        <w:rPr>
          <w:sz w:val="14"/>
        </w:rPr>
        <w:t>many</w:t>
      </w:r>
      <w:r w:rsidRPr="00A7733C">
        <w:rPr>
          <w:rStyle w:val="StyleUnderline"/>
        </w:rPr>
        <w:t xml:space="preserve"> Americans, had been forged</w:t>
      </w:r>
      <w:r w:rsidRPr="00A7733C">
        <w:rPr>
          <w:sz w:val="14"/>
        </w:rPr>
        <w:t>.</w:t>
      </w:r>
    </w:p>
    <w:p w14:paraId="1559F1AD" w14:textId="77777777" w:rsidR="00440F00" w:rsidRPr="00A7733C" w:rsidRDefault="00440F00" w:rsidP="00440F00">
      <w:pPr>
        <w:rPr>
          <w:sz w:val="14"/>
          <w:szCs w:val="14"/>
        </w:rPr>
      </w:pPr>
      <w:r w:rsidRPr="00A7733C">
        <w:rPr>
          <w:sz w:val="14"/>
          <w:szCs w:val="14"/>
        </w:rPr>
        <w:t>“Whether or not they were right or wrong that’s the way many Americans interpreted it. And sometimes perceptions become the reality,” said Ms. Traflet.</w:t>
      </w:r>
    </w:p>
    <w:p w14:paraId="3699265B" w14:textId="77777777" w:rsidR="00440F00" w:rsidRPr="00A7733C" w:rsidRDefault="00440F00" w:rsidP="00440F00">
      <w:pPr>
        <w:rPr>
          <w:sz w:val="14"/>
          <w:szCs w:val="14"/>
        </w:rPr>
      </w:pPr>
      <w:r w:rsidRPr="00A7733C">
        <w:rPr>
          <w:sz w:val="14"/>
          <w:szCs w:val="14"/>
        </w:rPr>
        <w:t>The crash put mainstream America off the stock market for decades. But by the 1950s, a marketing push from major Wall Street institutions began to coax newly affluent Americans to invest as postwar prosperity grew. The New York Stock Exchange pushed a campaign urging people to “own your share of American business.”</w:t>
      </w:r>
    </w:p>
    <w:p w14:paraId="2C6146DA" w14:textId="77777777" w:rsidR="00440F00" w:rsidRPr="00A7733C" w:rsidRDefault="00440F00" w:rsidP="00440F00">
      <w:pPr>
        <w:rPr>
          <w:sz w:val="14"/>
          <w:szCs w:val="14"/>
        </w:rPr>
      </w:pPr>
      <w:r w:rsidRPr="00A7733C">
        <w:rPr>
          <w:sz w:val="14"/>
          <w:szCs w:val="14"/>
        </w:rPr>
        <w:t>During the 1950s and 1960s, it was easier to link the health of the largest American companies with the broader health of the country, partly because their enormous payrolls helped fuel the expansion of the middle class.</w:t>
      </w:r>
    </w:p>
    <w:p w14:paraId="2AE7F236" w14:textId="77777777" w:rsidR="00440F00" w:rsidRPr="00A7733C" w:rsidRDefault="00440F00" w:rsidP="00440F00">
      <w:pPr>
        <w:rPr>
          <w:sz w:val="14"/>
          <w:szCs w:val="14"/>
        </w:rPr>
      </w:pPr>
      <w:r w:rsidRPr="00A7733C">
        <w:rPr>
          <w:sz w:val="14"/>
          <w:szCs w:val="14"/>
        </w:rPr>
        <w:t>According to a Brookings Institution report, for example, the two most highly valued companies in the country in 1962 — AT&amp;T and General Motors — employed nearly 1.2 million people combined. Last year, the two largest companies in the S&amp;P 500 — Microsoft and Apple — employed 280,000.</w:t>
      </w:r>
    </w:p>
    <w:p w14:paraId="11FB936E" w14:textId="77777777" w:rsidR="00440F00" w:rsidRPr="00440F00" w:rsidRDefault="00440F00" w:rsidP="00440F00"/>
    <w:p w14:paraId="61D8EE1A" w14:textId="5D9F4330" w:rsidR="00456038" w:rsidRPr="00456038" w:rsidRDefault="00456038" w:rsidP="00456038">
      <w:pPr>
        <w:pStyle w:val="Heading3"/>
      </w:pPr>
      <w:r>
        <w:t xml:space="preserve">1NC – </w:t>
      </w:r>
      <w:r w:rsidR="004E2D89">
        <w:t xml:space="preserve">AT: </w:t>
      </w:r>
      <w:r>
        <w:t>Econ Decline</w:t>
      </w:r>
      <w:r w:rsidR="004E2D89">
        <w:t xml:space="preserve"> War</w:t>
      </w:r>
    </w:p>
    <w:p w14:paraId="09B347E8" w14:textId="77777777" w:rsidR="00456038" w:rsidRDefault="00456038" w:rsidP="00456038">
      <w:pPr>
        <w:pStyle w:val="Heading4"/>
      </w:pPr>
      <w:r>
        <w:t>Economic decline doesn’t cause war and the pandemic is fostering international peace</w:t>
      </w:r>
    </w:p>
    <w:p w14:paraId="3DDA3605" w14:textId="77777777" w:rsidR="00456038" w:rsidRDefault="00456038" w:rsidP="00456038">
      <w:r w:rsidRPr="0018779E">
        <w:rPr>
          <w:rStyle w:val="Heading4Char"/>
        </w:rPr>
        <w:t>Walt 20</w:t>
      </w:r>
      <w:r w:rsidRPr="0018779E">
        <w:t xml:space="preserve"> – (Stephen M. Walt is the Robert and Renée Belfer professor of international relations at Harvard University; “Will a Global Depression Trigger Another World War?</w:t>
      </w:r>
      <w:r>
        <w:t>”; Foreign Policy; D.A. July 5</w:t>
      </w:r>
      <w:r w:rsidRPr="0018779E">
        <w:rPr>
          <w:vertAlign w:val="superscript"/>
        </w:rPr>
        <w:t>th</w:t>
      </w:r>
      <w:r>
        <w:t xml:space="preserve"> 2020, [Published May 13</w:t>
      </w:r>
      <w:r w:rsidRPr="0018779E">
        <w:rPr>
          <w:vertAlign w:val="superscript"/>
        </w:rPr>
        <w:t>th</w:t>
      </w:r>
      <w:r>
        <w:t xml:space="preserve"> 2020]; </w:t>
      </w:r>
      <w:hyperlink r:id="rId268" w:history="1">
        <w:r>
          <w:rPr>
            <w:rStyle w:val="Hyperlink"/>
          </w:rPr>
          <w:t>https://foreignpolicy.com/2020/05/13/coronavirus-pandemic-depression-economy-world-war/</w:t>
        </w:r>
      </w:hyperlink>
      <w:r>
        <w:t>) //LFS—JCM</w:t>
      </w:r>
    </w:p>
    <w:p w14:paraId="77573421" w14:textId="77777777" w:rsidR="00456038" w:rsidRPr="0018779E" w:rsidRDefault="00456038" w:rsidP="00456038">
      <w:pPr>
        <w:rPr>
          <w:rStyle w:val="Emphasis"/>
        </w:rPr>
      </w:pPr>
      <w:r>
        <w:t xml:space="preserve">[TITLE]: </w:t>
      </w:r>
      <w:r w:rsidRPr="00256189">
        <w:rPr>
          <w:rStyle w:val="StyleUnderline"/>
          <w:highlight w:val="cyan"/>
        </w:rPr>
        <w:t>Will</w:t>
      </w:r>
      <w:r w:rsidRPr="0018779E">
        <w:rPr>
          <w:rStyle w:val="StyleUnderline"/>
        </w:rPr>
        <w:t xml:space="preserve"> a </w:t>
      </w:r>
      <w:r w:rsidRPr="0018779E">
        <w:rPr>
          <w:rStyle w:val="Emphasis"/>
        </w:rPr>
        <w:t xml:space="preserve">Global </w:t>
      </w:r>
      <w:r w:rsidRPr="00256189">
        <w:rPr>
          <w:rStyle w:val="Emphasis"/>
          <w:highlight w:val="cyan"/>
        </w:rPr>
        <w:t>Depression</w:t>
      </w:r>
      <w:r w:rsidRPr="00256189">
        <w:rPr>
          <w:rStyle w:val="StyleUnderline"/>
          <w:highlight w:val="cyan"/>
        </w:rPr>
        <w:t xml:space="preserve"> Trigger</w:t>
      </w:r>
      <w:r w:rsidRPr="0018779E">
        <w:t xml:space="preserve"> </w:t>
      </w:r>
      <w:r w:rsidRPr="0018779E">
        <w:rPr>
          <w:sz w:val="16"/>
          <w:szCs w:val="16"/>
        </w:rPr>
        <w:t>Another</w:t>
      </w:r>
      <w:r w:rsidRPr="0018779E">
        <w:t xml:space="preserve"> </w:t>
      </w:r>
      <w:r w:rsidRPr="0018779E">
        <w:rPr>
          <w:rStyle w:val="StyleUnderline"/>
        </w:rPr>
        <w:t>World</w:t>
      </w:r>
      <w:r w:rsidRPr="0018779E">
        <w:t xml:space="preserve"> </w:t>
      </w:r>
      <w:r w:rsidRPr="00256189">
        <w:rPr>
          <w:rStyle w:val="Emphasis"/>
          <w:highlight w:val="cyan"/>
        </w:rPr>
        <w:t>War?</w:t>
      </w:r>
    </w:p>
    <w:p w14:paraId="6777DFC8" w14:textId="77777777" w:rsidR="00456038" w:rsidRPr="0018779E" w:rsidRDefault="00456038" w:rsidP="00456038">
      <w:pPr>
        <w:rPr>
          <w:sz w:val="16"/>
        </w:rPr>
      </w:pPr>
      <w:r w:rsidRPr="0018779E">
        <w:rPr>
          <w:sz w:val="16"/>
        </w:rPr>
        <w:t xml:space="preserve">By many measures, </w:t>
      </w:r>
      <w:r w:rsidRPr="0018779E">
        <w:rPr>
          <w:rStyle w:val="StyleUnderline"/>
        </w:rPr>
        <w:t>2020 is looking to be the worst year</w:t>
      </w:r>
      <w:r w:rsidRPr="0018779E">
        <w:rPr>
          <w:sz w:val="16"/>
        </w:rPr>
        <w:t xml:space="preserve"> that </w:t>
      </w:r>
      <w:r w:rsidRPr="0018779E">
        <w:rPr>
          <w:rStyle w:val="StyleUnderline"/>
        </w:rPr>
        <w:t>humankind has faced in</w:t>
      </w:r>
      <w:r w:rsidRPr="0018779E">
        <w:rPr>
          <w:sz w:val="16"/>
        </w:rPr>
        <w:t xml:space="preserve"> many </w:t>
      </w:r>
      <w:r w:rsidRPr="0018779E">
        <w:rPr>
          <w:rStyle w:val="StyleUnderline"/>
        </w:rPr>
        <w:t>decades</w:t>
      </w:r>
      <w:r w:rsidRPr="0018779E">
        <w:rPr>
          <w:sz w:val="16"/>
        </w:rPr>
        <w:t xml:space="preserve">. We’re in the </w:t>
      </w:r>
      <w:r w:rsidRPr="0018779E">
        <w:rPr>
          <w:rStyle w:val="StyleUnderline"/>
        </w:rPr>
        <w:t>midst of a pandemic</w:t>
      </w:r>
      <w:r w:rsidRPr="0018779E">
        <w:rPr>
          <w:sz w:val="16"/>
        </w:rPr>
        <w:t xml:space="preserve"> that has already claimed more than 280,000 lives, sickened millions of people, and is certain to afflict millions more before it ends. </w:t>
      </w:r>
      <w:r w:rsidRPr="0018779E">
        <w:rPr>
          <w:rStyle w:val="StyleUnderline"/>
        </w:rPr>
        <w:t xml:space="preserve">The world </w:t>
      </w:r>
      <w:r w:rsidRPr="0018779E">
        <w:rPr>
          <w:rStyle w:val="Emphasis"/>
        </w:rPr>
        <w:t>economy</w:t>
      </w:r>
      <w:r w:rsidRPr="0018779E">
        <w:rPr>
          <w:rStyle w:val="StyleUnderline"/>
        </w:rPr>
        <w:t xml:space="preserve"> is in </w:t>
      </w:r>
      <w:r w:rsidRPr="0018779E">
        <w:rPr>
          <w:rStyle w:val="Emphasis"/>
        </w:rPr>
        <w:t>free fall</w:t>
      </w:r>
      <w:r w:rsidRPr="0018779E">
        <w:rPr>
          <w:sz w:val="16"/>
        </w:rPr>
        <w:t xml:space="preserve">, with </w:t>
      </w:r>
      <w:r w:rsidRPr="0018779E">
        <w:rPr>
          <w:rStyle w:val="Emphasis"/>
        </w:rPr>
        <w:t>unemployment rising</w:t>
      </w:r>
      <w:r w:rsidRPr="0018779E">
        <w:rPr>
          <w:rStyle w:val="StyleUnderline"/>
        </w:rPr>
        <w:t xml:space="preserve"> dramatically</w:t>
      </w:r>
      <w:r w:rsidRPr="0018779E">
        <w:rPr>
          <w:sz w:val="16"/>
        </w:rPr>
        <w:t xml:space="preserve">, </w:t>
      </w:r>
      <w:r w:rsidRPr="0018779E">
        <w:rPr>
          <w:rStyle w:val="Emphasis"/>
        </w:rPr>
        <w:t>trade</w:t>
      </w:r>
      <w:r w:rsidRPr="0018779E">
        <w:rPr>
          <w:rStyle w:val="StyleUnderline"/>
        </w:rPr>
        <w:t xml:space="preserve"> and output </w:t>
      </w:r>
      <w:r w:rsidRPr="0018779E">
        <w:rPr>
          <w:rStyle w:val="Emphasis"/>
        </w:rPr>
        <w:t>plummeting</w:t>
      </w:r>
      <w:r w:rsidRPr="0018779E">
        <w:rPr>
          <w:sz w:val="16"/>
        </w:rPr>
        <w:t xml:space="preserve">, and </w:t>
      </w:r>
      <w:r w:rsidRPr="0018779E">
        <w:rPr>
          <w:rStyle w:val="Emphasis"/>
        </w:rPr>
        <w:t>no</w:t>
      </w:r>
      <w:r w:rsidRPr="0018779E">
        <w:rPr>
          <w:sz w:val="16"/>
        </w:rPr>
        <w:t xml:space="preserve"> hopeful </w:t>
      </w:r>
      <w:r w:rsidRPr="0018779E">
        <w:rPr>
          <w:rStyle w:val="Emphasis"/>
        </w:rPr>
        <w:t>end in sight</w:t>
      </w:r>
      <w:r w:rsidRPr="0018779E">
        <w:rPr>
          <w:sz w:val="16"/>
        </w:rPr>
        <w:t>. A plague of locusts is back for a second time in Africa, and last week we learned about </w:t>
      </w:r>
      <w:hyperlink r:id="rId269" w:history="1">
        <w:r w:rsidRPr="0018779E">
          <w:rPr>
            <w:rStyle w:val="Hyperlink"/>
            <w:sz w:val="16"/>
          </w:rPr>
          <w:t>murderous killer wasps</w:t>
        </w:r>
      </w:hyperlink>
      <w:r w:rsidRPr="0018779E">
        <w:rPr>
          <w:sz w:val="16"/>
        </w:rPr>
        <w:t xml:space="preserve"> threatening the bee population in the United States. </w:t>
      </w:r>
      <w:r w:rsidRPr="0018779E">
        <w:rPr>
          <w:rStyle w:val="StyleUnderline"/>
        </w:rPr>
        <w:t xml:space="preserve">Americans have a </w:t>
      </w:r>
      <w:r w:rsidRPr="0018779E">
        <w:rPr>
          <w:rStyle w:val="Emphasis"/>
        </w:rPr>
        <w:t>head-in-the-sand president</w:t>
      </w:r>
      <w:r w:rsidRPr="0018779E">
        <w:rPr>
          <w:sz w:val="16"/>
        </w:rPr>
        <w:t xml:space="preserve"> who prescribes potentially lethal nostrums and ignores the advice of his scientific advisors. Even if all </w:t>
      </w:r>
      <w:r w:rsidRPr="0018779E">
        <w:rPr>
          <w:rStyle w:val="StyleUnderline"/>
        </w:rPr>
        <w:t>those things magically disappeared</w:t>
      </w:r>
      <w:r w:rsidRPr="0018779E">
        <w:rPr>
          <w:sz w:val="16"/>
        </w:rPr>
        <w:t xml:space="preserve"> tomorrow—and </w:t>
      </w:r>
      <w:r w:rsidRPr="0018779E">
        <w:rPr>
          <w:rStyle w:val="StyleUnderline"/>
        </w:rPr>
        <w:t>they won’t</w:t>
      </w:r>
      <w:r w:rsidRPr="0018779E">
        <w:rPr>
          <w:sz w:val="16"/>
        </w:rPr>
        <w:t>—we still face the looming long-term danger from climate change.</w:t>
      </w:r>
    </w:p>
    <w:p w14:paraId="7CD0D6FE" w14:textId="77777777" w:rsidR="00456038" w:rsidRPr="0018779E" w:rsidRDefault="00456038" w:rsidP="00456038">
      <w:pPr>
        <w:rPr>
          <w:sz w:val="16"/>
        </w:rPr>
      </w:pPr>
      <w:r w:rsidRPr="0018779E">
        <w:rPr>
          <w:sz w:val="16"/>
        </w:rPr>
        <w:t xml:space="preserve">Given all that, </w:t>
      </w:r>
      <w:r w:rsidRPr="0018779E">
        <w:rPr>
          <w:rStyle w:val="StyleUnderline"/>
        </w:rPr>
        <w:t>what could</w:t>
      </w:r>
      <w:r w:rsidRPr="0018779E">
        <w:rPr>
          <w:sz w:val="16"/>
        </w:rPr>
        <w:t xml:space="preserve"> possibly </w:t>
      </w:r>
      <w:r w:rsidRPr="0018779E">
        <w:rPr>
          <w:rStyle w:val="StyleUnderline"/>
        </w:rPr>
        <w:t xml:space="preserve">make things worse? </w:t>
      </w:r>
      <w:r w:rsidRPr="0018779E">
        <w:rPr>
          <w:sz w:val="16"/>
        </w:rPr>
        <w:t xml:space="preserve">Here’s one possibility: </w:t>
      </w:r>
      <w:r w:rsidRPr="0018779E">
        <w:rPr>
          <w:rStyle w:val="Emphasis"/>
        </w:rPr>
        <w:t>war</w:t>
      </w:r>
      <w:r w:rsidRPr="0018779E">
        <w:rPr>
          <w:sz w:val="16"/>
        </w:rPr>
        <w:t xml:space="preserve">. </w:t>
      </w:r>
      <w:r w:rsidRPr="0018779E">
        <w:rPr>
          <w:rStyle w:val="StyleUnderline"/>
        </w:rPr>
        <w:t>It is</w:t>
      </w:r>
      <w:r w:rsidRPr="0018779E">
        <w:rPr>
          <w:sz w:val="16"/>
        </w:rPr>
        <w:t xml:space="preserve"> therefore </w:t>
      </w:r>
      <w:r w:rsidRPr="0018779E">
        <w:rPr>
          <w:rStyle w:val="StyleUnderline"/>
        </w:rPr>
        <w:t xml:space="preserve">worth asking </w:t>
      </w:r>
      <w:r w:rsidRPr="0018779E">
        <w:rPr>
          <w:rStyle w:val="Emphasis"/>
        </w:rPr>
        <w:t>whether</w:t>
      </w:r>
      <w:r w:rsidRPr="0018779E">
        <w:rPr>
          <w:rStyle w:val="StyleUnderline"/>
        </w:rPr>
        <w:t xml:space="preserve"> the</w:t>
      </w:r>
      <w:r w:rsidRPr="0018779E">
        <w:rPr>
          <w:sz w:val="16"/>
        </w:rPr>
        <w:t xml:space="preserve"> combination of a pandemic and a </w:t>
      </w:r>
      <w:r w:rsidRPr="0018779E">
        <w:rPr>
          <w:rStyle w:val="StyleUnderline"/>
        </w:rPr>
        <w:t xml:space="preserve">major </w:t>
      </w:r>
      <w:r w:rsidRPr="0018779E">
        <w:rPr>
          <w:rStyle w:val="Emphasis"/>
        </w:rPr>
        <w:t>economic depression</w:t>
      </w:r>
      <w:r w:rsidRPr="0018779E">
        <w:rPr>
          <w:rStyle w:val="StyleUnderline"/>
        </w:rPr>
        <w:t xml:space="preserve"> is </w:t>
      </w:r>
      <w:r w:rsidRPr="0018779E">
        <w:rPr>
          <w:rStyle w:val="Emphasis"/>
        </w:rPr>
        <w:t>making war more</w:t>
      </w:r>
      <w:r w:rsidRPr="0018779E">
        <w:rPr>
          <w:rStyle w:val="StyleUnderline"/>
        </w:rPr>
        <w:t xml:space="preserve"> or less </w:t>
      </w:r>
      <w:r w:rsidRPr="0018779E">
        <w:rPr>
          <w:rStyle w:val="Emphasis"/>
        </w:rPr>
        <w:t>likely</w:t>
      </w:r>
      <w:r w:rsidRPr="0018779E">
        <w:rPr>
          <w:sz w:val="16"/>
        </w:rPr>
        <w:t>. What does history and theory tell us about that question?</w:t>
      </w:r>
    </w:p>
    <w:p w14:paraId="72D4B838" w14:textId="77777777" w:rsidR="00456038" w:rsidRPr="0018779E" w:rsidRDefault="00456038" w:rsidP="00456038">
      <w:pPr>
        <w:rPr>
          <w:sz w:val="16"/>
        </w:rPr>
      </w:pPr>
      <w:r w:rsidRPr="0018779E">
        <w:rPr>
          <w:sz w:val="16"/>
        </w:rPr>
        <w:t>For starters, we know neither plague nor depression make war impossible. World War I ended just as the 1918-1919 influenza was beginning to devastate the world, but that pandemic didn’t stop the Russian Civil War, the Russo-Polish War, or </w:t>
      </w:r>
      <w:hyperlink r:id="rId270" w:history="1">
        <w:r w:rsidRPr="0018779E">
          <w:rPr>
            <w:rStyle w:val="Hyperlink"/>
            <w:sz w:val="16"/>
          </w:rPr>
          <w:t>several other serious conflicts</w:t>
        </w:r>
      </w:hyperlink>
      <w:r w:rsidRPr="0018779E">
        <w:rPr>
          <w:sz w:val="16"/>
        </w:rPr>
        <w:t xml:space="preserve">. The Great Depression that began in 1929 didn’t prevent Japan from invading Manchuria in 1931, and it helped fuel the rise of fascism in the 1930s and made World War II more likely. So </w:t>
      </w:r>
      <w:r w:rsidRPr="0018779E">
        <w:rPr>
          <w:rStyle w:val="StyleUnderline"/>
        </w:rPr>
        <w:t>if you think major war</w:t>
      </w:r>
      <w:r w:rsidRPr="0018779E">
        <w:rPr>
          <w:sz w:val="16"/>
        </w:rPr>
        <w:t xml:space="preserve"> simply </w:t>
      </w:r>
      <w:r w:rsidRPr="0018779E">
        <w:rPr>
          <w:rStyle w:val="StyleUnderline"/>
        </w:rPr>
        <w:t>can’t happen</w:t>
      </w:r>
      <w:r w:rsidRPr="0018779E">
        <w:rPr>
          <w:sz w:val="16"/>
        </w:rPr>
        <w:t xml:space="preserve"> during COVID-19 and the accompanying global recession, </w:t>
      </w:r>
      <w:r w:rsidRPr="0018779E">
        <w:rPr>
          <w:rStyle w:val="StyleUnderline"/>
        </w:rPr>
        <w:t>think again</w:t>
      </w:r>
      <w:r w:rsidRPr="0018779E">
        <w:rPr>
          <w:sz w:val="16"/>
        </w:rPr>
        <w:t>.</w:t>
      </w:r>
    </w:p>
    <w:p w14:paraId="65AC368D" w14:textId="77777777" w:rsidR="00456038" w:rsidRPr="00763119" w:rsidRDefault="00456038" w:rsidP="00456038">
      <w:pPr>
        <w:rPr>
          <w:sz w:val="16"/>
        </w:rPr>
      </w:pPr>
      <w:r w:rsidRPr="00763119">
        <w:rPr>
          <w:sz w:val="16"/>
        </w:rPr>
        <w:t xml:space="preserve">But </w:t>
      </w:r>
      <w:r w:rsidRPr="00256189">
        <w:rPr>
          <w:rStyle w:val="Emphasis"/>
          <w:highlight w:val="cyan"/>
        </w:rPr>
        <w:t>war</w:t>
      </w:r>
      <w:r w:rsidRPr="00763119">
        <w:rPr>
          <w:sz w:val="16"/>
        </w:rPr>
        <w:t xml:space="preserve"> could still be </w:t>
      </w:r>
      <w:r w:rsidRPr="00256189">
        <w:rPr>
          <w:rStyle w:val="Emphasis"/>
          <w:highlight w:val="cyan"/>
        </w:rPr>
        <w:t>much less likely</w:t>
      </w:r>
      <w:r w:rsidRPr="00763119">
        <w:rPr>
          <w:sz w:val="16"/>
        </w:rPr>
        <w:t xml:space="preserve">. The Massachusetts Institute of Technology’s </w:t>
      </w:r>
      <w:r w:rsidRPr="0018779E">
        <w:rPr>
          <w:rStyle w:val="Emphasis"/>
        </w:rPr>
        <w:t xml:space="preserve">Barry </w:t>
      </w:r>
      <w:r w:rsidRPr="00256189">
        <w:rPr>
          <w:rStyle w:val="Emphasis"/>
          <w:highlight w:val="cyan"/>
        </w:rPr>
        <w:t>Posen</w:t>
      </w:r>
      <w:r w:rsidRPr="0018779E">
        <w:rPr>
          <w:rStyle w:val="StyleUnderline"/>
        </w:rPr>
        <w:t xml:space="preserve"> has already considered the likely impact of the</w:t>
      </w:r>
      <w:r w:rsidRPr="00763119">
        <w:rPr>
          <w:sz w:val="16"/>
        </w:rPr>
        <w:t xml:space="preserve"> current </w:t>
      </w:r>
      <w:r w:rsidRPr="0018779E">
        <w:rPr>
          <w:rStyle w:val="StyleUnderline"/>
        </w:rPr>
        <w:t>pandemic</w:t>
      </w:r>
      <w:r w:rsidRPr="00763119">
        <w:rPr>
          <w:sz w:val="16"/>
        </w:rPr>
        <w:t xml:space="preserve"> on the probability of war, </w:t>
      </w:r>
      <w:r w:rsidRPr="0018779E">
        <w:rPr>
          <w:rStyle w:val="StyleUnderline"/>
        </w:rPr>
        <w:t xml:space="preserve">and he </w:t>
      </w:r>
      <w:r w:rsidRPr="00256189">
        <w:rPr>
          <w:rStyle w:val="StyleUnderline"/>
          <w:highlight w:val="cyan"/>
        </w:rPr>
        <w:t xml:space="preserve">believes </w:t>
      </w:r>
      <w:r w:rsidRPr="00256189">
        <w:rPr>
          <w:rStyle w:val="Emphasis"/>
          <w:highlight w:val="cyan"/>
        </w:rPr>
        <w:t>COVID</w:t>
      </w:r>
      <w:r w:rsidRPr="0018779E">
        <w:rPr>
          <w:rStyle w:val="Emphasis"/>
        </w:rPr>
        <w:t xml:space="preserve">-19 is more </w:t>
      </w:r>
      <w:r w:rsidRPr="00256189">
        <w:rPr>
          <w:rStyle w:val="Emphasis"/>
          <w:highlight w:val="cyan"/>
        </w:rPr>
        <w:t>likely to promote peace</w:t>
      </w:r>
      <w:r w:rsidRPr="0018779E">
        <w:rPr>
          <w:rStyle w:val="StyleUnderline"/>
        </w:rPr>
        <w:t xml:space="preserve"> instead</w:t>
      </w:r>
      <w:r w:rsidRPr="00763119">
        <w:rPr>
          <w:sz w:val="16"/>
        </w:rPr>
        <w:t xml:space="preserve">. He argues that </w:t>
      </w:r>
      <w:r w:rsidRPr="0018779E">
        <w:rPr>
          <w:rStyle w:val="StyleUnderline"/>
        </w:rPr>
        <w:t>the</w:t>
      </w:r>
      <w:r w:rsidRPr="00763119">
        <w:rPr>
          <w:sz w:val="16"/>
        </w:rPr>
        <w:t xml:space="preserve"> current </w:t>
      </w:r>
      <w:r w:rsidRPr="00256189">
        <w:rPr>
          <w:rStyle w:val="StyleUnderline"/>
          <w:highlight w:val="cyan"/>
        </w:rPr>
        <w:t>pandemic</w:t>
      </w:r>
      <w:r w:rsidRPr="0018779E">
        <w:rPr>
          <w:rStyle w:val="StyleUnderline"/>
        </w:rPr>
        <w:t xml:space="preserve"> is </w:t>
      </w:r>
      <w:r w:rsidRPr="00256189">
        <w:rPr>
          <w:rStyle w:val="Emphasis"/>
          <w:highlight w:val="cyan"/>
        </w:rPr>
        <w:t>affecting all</w:t>
      </w:r>
      <w:r w:rsidRPr="0018779E">
        <w:rPr>
          <w:rStyle w:val="Emphasis"/>
        </w:rPr>
        <w:t xml:space="preserve"> </w:t>
      </w:r>
      <w:r w:rsidRPr="0018779E">
        <w:rPr>
          <w:rStyle w:val="StyleUnderline"/>
        </w:rPr>
        <w:t xml:space="preserve">the </w:t>
      </w:r>
      <w:r w:rsidRPr="0018779E">
        <w:rPr>
          <w:rStyle w:val="Emphasis"/>
        </w:rPr>
        <w:t xml:space="preserve">major </w:t>
      </w:r>
      <w:r w:rsidRPr="00256189">
        <w:rPr>
          <w:rStyle w:val="Emphasis"/>
          <w:highlight w:val="cyan"/>
        </w:rPr>
        <w:t>powers adversely</w:t>
      </w:r>
      <w:r w:rsidRPr="0018779E">
        <w:rPr>
          <w:rStyle w:val="StyleUnderline"/>
        </w:rPr>
        <w:t xml:space="preserve">, which means </w:t>
      </w:r>
      <w:r w:rsidRPr="00256189">
        <w:rPr>
          <w:rStyle w:val="Emphasis"/>
          <w:highlight w:val="cyan"/>
        </w:rPr>
        <w:t>it isn’t creating</w:t>
      </w:r>
      <w:r w:rsidRPr="0018779E">
        <w:rPr>
          <w:rStyle w:val="StyleUnderline"/>
        </w:rPr>
        <w:t xml:space="preserve"> tempting </w:t>
      </w:r>
      <w:r w:rsidRPr="00256189">
        <w:rPr>
          <w:rStyle w:val="Emphasis"/>
          <w:highlight w:val="cyan"/>
        </w:rPr>
        <w:t>windows</w:t>
      </w:r>
      <w:r w:rsidRPr="00256189">
        <w:rPr>
          <w:rStyle w:val="StyleUnderline"/>
          <w:highlight w:val="cyan"/>
        </w:rPr>
        <w:t xml:space="preserve"> of </w:t>
      </w:r>
      <w:r w:rsidRPr="00256189">
        <w:rPr>
          <w:rStyle w:val="Emphasis"/>
          <w:highlight w:val="cyan"/>
        </w:rPr>
        <w:t>opportunity</w:t>
      </w:r>
      <w:r w:rsidRPr="00763119">
        <w:rPr>
          <w:sz w:val="16"/>
        </w:rPr>
        <w:t xml:space="preserve"> for unaffected states while </w:t>
      </w:r>
      <w:r w:rsidRPr="0018779E">
        <w:rPr>
          <w:rStyle w:val="StyleUnderline"/>
        </w:rPr>
        <w:t>leaving others weaker</w:t>
      </w:r>
      <w:r w:rsidRPr="00763119">
        <w:rPr>
          <w:sz w:val="16"/>
        </w:rPr>
        <w:t xml:space="preserve"> and therefore vulnerable. Instead, </w:t>
      </w:r>
      <w:r w:rsidRPr="00256189">
        <w:rPr>
          <w:rStyle w:val="StyleUnderline"/>
          <w:highlight w:val="cyan"/>
        </w:rPr>
        <w:t>it is</w:t>
      </w:r>
      <w:r w:rsidRPr="0018779E">
        <w:rPr>
          <w:rStyle w:val="StyleUnderline"/>
        </w:rPr>
        <w:t xml:space="preserve"> </w:t>
      </w:r>
      <w:r w:rsidRPr="00256189">
        <w:rPr>
          <w:rStyle w:val="Emphasis"/>
          <w:highlight w:val="cyan"/>
        </w:rPr>
        <w:t>making</w:t>
      </w:r>
      <w:r w:rsidRPr="0018779E">
        <w:rPr>
          <w:rStyle w:val="StyleUnderline"/>
        </w:rPr>
        <w:t xml:space="preserve"> all </w:t>
      </w:r>
      <w:r w:rsidRPr="00256189">
        <w:rPr>
          <w:rStyle w:val="Emphasis"/>
          <w:highlight w:val="cyan"/>
        </w:rPr>
        <w:t>governments</w:t>
      </w:r>
      <w:r w:rsidRPr="0018779E">
        <w:rPr>
          <w:rStyle w:val="StyleUnderline"/>
        </w:rPr>
        <w:t xml:space="preserve"> more </w:t>
      </w:r>
      <w:r w:rsidRPr="00256189">
        <w:rPr>
          <w:rStyle w:val="Emphasis"/>
          <w:highlight w:val="cyan"/>
        </w:rPr>
        <w:t>pessimistic</w:t>
      </w:r>
      <w:r w:rsidRPr="00763119">
        <w:rPr>
          <w:sz w:val="16"/>
        </w:rPr>
        <w:t xml:space="preserve"> about their short- to medium-term prospects. </w:t>
      </w:r>
      <w:r w:rsidRPr="0018779E">
        <w:rPr>
          <w:rStyle w:val="StyleUnderline"/>
        </w:rPr>
        <w:t xml:space="preserve">Because states </w:t>
      </w:r>
      <w:r w:rsidRPr="00763119">
        <w:rPr>
          <w:sz w:val="16"/>
        </w:rPr>
        <w:t xml:space="preserve">often </w:t>
      </w:r>
      <w:r w:rsidRPr="0018779E">
        <w:rPr>
          <w:rStyle w:val="StyleUnderline"/>
        </w:rPr>
        <w:t>go to war out of</w:t>
      </w:r>
      <w:r w:rsidRPr="00763119">
        <w:rPr>
          <w:sz w:val="16"/>
        </w:rPr>
        <w:t xml:space="preserve"> sense of </w:t>
      </w:r>
      <w:r w:rsidRPr="0018779E">
        <w:rPr>
          <w:rStyle w:val="StyleUnderline"/>
        </w:rPr>
        <w:t>overconfidence</w:t>
      </w:r>
      <w:r w:rsidRPr="00763119">
        <w:rPr>
          <w:sz w:val="16"/>
        </w:rPr>
        <w:t xml:space="preserve"> (however misplaced it sometimes turns out to be), </w:t>
      </w:r>
      <w:r w:rsidRPr="00763119">
        <w:rPr>
          <w:rStyle w:val="Emphasis"/>
        </w:rPr>
        <w:t>pandemic</w:t>
      </w:r>
      <w:r w:rsidRPr="0018779E">
        <w:rPr>
          <w:rStyle w:val="StyleUnderline"/>
        </w:rPr>
        <w:t xml:space="preserve">-induced </w:t>
      </w:r>
      <w:r w:rsidRPr="00763119">
        <w:rPr>
          <w:rStyle w:val="Emphasis"/>
        </w:rPr>
        <w:t>pessimism</w:t>
      </w:r>
      <w:r w:rsidRPr="0018779E">
        <w:rPr>
          <w:rStyle w:val="StyleUnderline"/>
        </w:rPr>
        <w:t xml:space="preserve"> should be </w:t>
      </w:r>
      <w:r w:rsidRPr="00256189">
        <w:rPr>
          <w:rStyle w:val="Emphasis"/>
          <w:highlight w:val="cyan"/>
        </w:rPr>
        <w:t>conducive to peace</w:t>
      </w:r>
      <w:r w:rsidRPr="00763119">
        <w:rPr>
          <w:sz w:val="16"/>
        </w:rPr>
        <w:t>.</w:t>
      </w:r>
    </w:p>
    <w:p w14:paraId="1AB5A2F4" w14:textId="77777777" w:rsidR="00456038" w:rsidRPr="00763119" w:rsidRDefault="00456038" w:rsidP="00456038">
      <w:pPr>
        <w:rPr>
          <w:sz w:val="16"/>
        </w:rPr>
      </w:pPr>
      <w:r w:rsidRPr="00763119">
        <w:rPr>
          <w:sz w:val="16"/>
        </w:rPr>
        <w:t xml:space="preserve">Moreover, by its very nature </w:t>
      </w:r>
      <w:r w:rsidRPr="00763119">
        <w:rPr>
          <w:rStyle w:val="Emphasis"/>
        </w:rPr>
        <w:t>war requires</w:t>
      </w:r>
      <w:r w:rsidRPr="00763119">
        <w:rPr>
          <w:rStyle w:val="StyleUnderline"/>
        </w:rPr>
        <w:t xml:space="preserve"> states to assemble lots of </w:t>
      </w:r>
      <w:r w:rsidRPr="00763119">
        <w:rPr>
          <w:rStyle w:val="Emphasis"/>
        </w:rPr>
        <w:t>people in close proximity</w:t>
      </w:r>
      <w:r w:rsidRPr="00763119">
        <w:rPr>
          <w:sz w:val="16"/>
        </w:rPr>
        <w:t xml:space="preserve">—at </w:t>
      </w:r>
      <w:r w:rsidRPr="00763119">
        <w:rPr>
          <w:rStyle w:val="StyleUnderline"/>
        </w:rPr>
        <w:t>training camps, military bases, mobilization areas</w:t>
      </w:r>
      <w:r w:rsidRPr="00763119">
        <w:rPr>
          <w:sz w:val="16"/>
        </w:rPr>
        <w:t xml:space="preserve">, ships at sea, etc.—and </w:t>
      </w:r>
      <w:r w:rsidRPr="00763119">
        <w:rPr>
          <w:rStyle w:val="StyleUnderline"/>
        </w:rPr>
        <w:t>that’s not something</w:t>
      </w:r>
      <w:r w:rsidRPr="00763119">
        <w:rPr>
          <w:sz w:val="16"/>
        </w:rPr>
        <w:t xml:space="preserve"> you want </w:t>
      </w:r>
      <w:r w:rsidRPr="00763119">
        <w:rPr>
          <w:rStyle w:val="StyleUnderline"/>
        </w:rPr>
        <w:t>to do in the middle of a pandemic</w:t>
      </w:r>
      <w:r w:rsidRPr="00763119">
        <w:rPr>
          <w:sz w:val="16"/>
        </w:rPr>
        <w:t xml:space="preserve">. For the moment at least, beleaguered governments of all types are focusing on convincing their citizens they are doing everything in their power to protect the public from the disease. Taken together, </w:t>
      </w:r>
      <w:r w:rsidRPr="00763119">
        <w:rPr>
          <w:rStyle w:val="StyleUnderline"/>
        </w:rPr>
        <w:t>these considerations</w:t>
      </w:r>
      <w:r w:rsidRPr="00763119">
        <w:rPr>
          <w:sz w:val="16"/>
        </w:rPr>
        <w:t xml:space="preserve"> might </w:t>
      </w:r>
      <w:r w:rsidRPr="00256189">
        <w:rPr>
          <w:rStyle w:val="StyleUnderline"/>
          <w:highlight w:val="cyan"/>
        </w:rPr>
        <w:t>explain why</w:t>
      </w:r>
      <w:r w:rsidRPr="00763119">
        <w:rPr>
          <w:rStyle w:val="StyleUnderline"/>
        </w:rPr>
        <w:t xml:space="preserve"> even</w:t>
      </w:r>
      <w:r w:rsidRPr="00763119">
        <w:rPr>
          <w:sz w:val="16"/>
        </w:rPr>
        <w:t xml:space="preserve"> an impulsive and headstrong warmaker like Saudi Arabia’s </w:t>
      </w:r>
      <w:r w:rsidRPr="00256189">
        <w:rPr>
          <w:rStyle w:val="Emphasis"/>
          <w:highlight w:val="cyan"/>
        </w:rPr>
        <w:t>M</w:t>
      </w:r>
      <w:r w:rsidRPr="00763119">
        <w:rPr>
          <w:rStyle w:val="StyleUnderline"/>
        </w:rPr>
        <w:t xml:space="preserve">ohammed </w:t>
      </w:r>
      <w:r w:rsidRPr="00256189">
        <w:rPr>
          <w:rStyle w:val="Emphasis"/>
          <w:highlight w:val="cyan"/>
        </w:rPr>
        <w:t>b</w:t>
      </w:r>
      <w:r w:rsidRPr="00763119">
        <w:rPr>
          <w:rStyle w:val="StyleUnderline"/>
        </w:rPr>
        <w:t xml:space="preserve">in </w:t>
      </w:r>
      <w:r w:rsidRPr="00256189">
        <w:rPr>
          <w:rStyle w:val="Emphasis"/>
          <w:highlight w:val="cyan"/>
        </w:rPr>
        <w:t>S</w:t>
      </w:r>
      <w:r w:rsidRPr="00763119">
        <w:rPr>
          <w:rStyle w:val="StyleUnderline"/>
        </w:rPr>
        <w:t>alman has gotten more interested in </w:t>
      </w:r>
      <w:r w:rsidRPr="00256189">
        <w:rPr>
          <w:rStyle w:val="Emphasis"/>
          <w:highlight w:val="cyan"/>
        </w:rPr>
        <w:t>winding down</w:t>
      </w:r>
      <w:r w:rsidRPr="00763119">
        <w:rPr>
          <w:rStyle w:val="StyleUnderline"/>
        </w:rPr>
        <w:t xml:space="preserve"> </w:t>
      </w:r>
      <w:r w:rsidRPr="00763119">
        <w:rPr>
          <w:sz w:val="16"/>
        </w:rPr>
        <w:t>his brutal and unsuccessful</w:t>
      </w:r>
      <w:r w:rsidRPr="00763119">
        <w:rPr>
          <w:rStyle w:val="StyleUnderline"/>
        </w:rPr>
        <w:t xml:space="preserve"> </w:t>
      </w:r>
      <w:r w:rsidRPr="00763119">
        <w:rPr>
          <w:rStyle w:val="Emphasis"/>
        </w:rPr>
        <w:t xml:space="preserve">military </w:t>
      </w:r>
      <w:r w:rsidRPr="00256189">
        <w:rPr>
          <w:rStyle w:val="Emphasis"/>
        </w:rPr>
        <w:t>campaign</w:t>
      </w:r>
      <w:r w:rsidRPr="00763119">
        <w:rPr>
          <w:rStyle w:val="StyleUnderline"/>
        </w:rPr>
        <w:t xml:space="preserve"> in </w:t>
      </w:r>
      <w:r w:rsidRPr="00256189">
        <w:rPr>
          <w:rStyle w:val="StyleUnderline"/>
          <w:highlight w:val="cyan"/>
        </w:rPr>
        <w:t>Yemen</w:t>
      </w:r>
      <w:r w:rsidRPr="00763119">
        <w:rPr>
          <w:sz w:val="16"/>
        </w:rPr>
        <w:t>.</w:t>
      </w:r>
    </w:p>
    <w:p w14:paraId="45393B6A" w14:textId="77777777" w:rsidR="00456038" w:rsidRPr="00763119" w:rsidRDefault="00456038" w:rsidP="00456038">
      <w:pPr>
        <w:rPr>
          <w:sz w:val="16"/>
        </w:rPr>
      </w:pPr>
      <w:r w:rsidRPr="00763119">
        <w:rPr>
          <w:sz w:val="16"/>
        </w:rPr>
        <w:t xml:space="preserve">Posen adds that </w:t>
      </w:r>
      <w:r w:rsidRPr="00256189">
        <w:rPr>
          <w:rStyle w:val="StyleUnderline"/>
          <w:highlight w:val="cyan"/>
        </w:rPr>
        <w:t>COVID</w:t>
      </w:r>
      <w:r w:rsidRPr="00763119">
        <w:rPr>
          <w:rStyle w:val="StyleUnderline"/>
        </w:rPr>
        <w:t xml:space="preserve">-19 is also likely to </w:t>
      </w:r>
      <w:r w:rsidRPr="00256189">
        <w:rPr>
          <w:rStyle w:val="Emphasis"/>
          <w:highlight w:val="cyan"/>
        </w:rPr>
        <w:t>reduce</w:t>
      </w:r>
      <w:r w:rsidRPr="00763119">
        <w:rPr>
          <w:rStyle w:val="Emphasis"/>
        </w:rPr>
        <w:t xml:space="preserve"> international</w:t>
      </w:r>
      <w:r w:rsidRPr="00763119">
        <w:rPr>
          <w:rStyle w:val="StyleUnderline"/>
        </w:rPr>
        <w:t xml:space="preserve"> </w:t>
      </w:r>
      <w:r w:rsidRPr="00256189">
        <w:rPr>
          <w:rStyle w:val="Emphasis"/>
          <w:highlight w:val="cyan"/>
        </w:rPr>
        <w:t>trade</w:t>
      </w:r>
      <w:r w:rsidRPr="00763119">
        <w:rPr>
          <w:sz w:val="16"/>
        </w:rPr>
        <w:t xml:space="preserve"> in the short to medium term. </w:t>
      </w:r>
      <w:r w:rsidRPr="00763119">
        <w:rPr>
          <w:rStyle w:val="StyleUnderline"/>
        </w:rPr>
        <w:t>Those who</w:t>
      </w:r>
      <w:r w:rsidRPr="00763119">
        <w:rPr>
          <w:sz w:val="16"/>
        </w:rPr>
        <w:t xml:space="preserve"> </w:t>
      </w:r>
      <w:r w:rsidRPr="00763119">
        <w:rPr>
          <w:rStyle w:val="StyleUnderline"/>
        </w:rPr>
        <w:t>believe economic interdependence is a</w:t>
      </w:r>
      <w:r w:rsidRPr="00763119">
        <w:rPr>
          <w:sz w:val="16"/>
        </w:rPr>
        <w:t xml:space="preserve"> powerful </w:t>
      </w:r>
      <w:r w:rsidRPr="00763119">
        <w:rPr>
          <w:rStyle w:val="StyleUnderline"/>
        </w:rPr>
        <w:t>barrier to war might be alarmed</w:t>
      </w:r>
      <w:r w:rsidRPr="00763119">
        <w:rPr>
          <w:sz w:val="16"/>
        </w:rPr>
        <w:t xml:space="preserve"> by this development, </w:t>
      </w:r>
      <w:r w:rsidRPr="00763119">
        <w:rPr>
          <w:rStyle w:val="StyleUnderline"/>
        </w:rPr>
        <w:t>but</w:t>
      </w:r>
      <w:r w:rsidRPr="00763119">
        <w:rPr>
          <w:sz w:val="16"/>
        </w:rPr>
        <w:t xml:space="preserve"> he points out that </w:t>
      </w:r>
      <w:r w:rsidRPr="00763119">
        <w:rPr>
          <w:rStyle w:val="StyleUnderline"/>
        </w:rPr>
        <w:t xml:space="preserve">trade issues have been a source of </w:t>
      </w:r>
      <w:r w:rsidRPr="00763119">
        <w:rPr>
          <w:sz w:val="16"/>
        </w:rPr>
        <w:t xml:space="preserve">considerable </w:t>
      </w:r>
      <w:r w:rsidRPr="00763119">
        <w:rPr>
          <w:rStyle w:val="StyleUnderline"/>
        </w:rPr>
        <w:t>friction</w:t>
      </w:r>
      <w:r w:rsidRPr="00763119">
        <w:rPr>
          <w:sz w:val="16"/>
        </w:rPr>
        <w:t xml:space="preserve"> in recent years—</w:t>
      </w:r>
      <w:r w:rsidRPr="00763119">
        <w:rPr>
          <w:rStyle w:val="StyleUnderline"/>
        </w:rPr>
        <w:t>especially between the United States and China</w:t>
      </w:r>
      <w:r w:rsidRPr="00763119">
        <w:rPr>
          <w:sz w:val="16"/>
        </w:rPr>
        <w:t>—</w:t>
      </w:r>
      <w:r w:rsidRPr="00763119">
        <w:rPr>
          <w:rStyle w:val="StyleUnderline"/>
        </w:rPr>
        <w:t xml:space="preserve">and </w:t>
      </w:r>
      <w:r w:rsidRPr="00763119">
        <w:rPr>
          <w:rStyle w:val="Emphasis"/>
        </w:rPr>
        <w:t xml:space="preserve">a degree of </w:t>
      </w:r>
      <w:r w:rsidRPr="00256189">
        <w:rPr>
          <w:rStyle w:val="Emphasis"/>
          <w:highlight w:val="cyan"/>
        </w:rPr>
        <w:t>decoupling</w:t>
      </w:r>
      <w:r w:rsidRPr="00763119">
        <w:rPr>
          <w:rStyle w:val="StyleUnderline"/>
        </w:rPr>
        <w:t xml:space="preserve"> might </w:t>
      </w:r>
      <w:r w:rsidRPr="00256189">
        <w:rPr>
          <w:rStyle w:val="Emphasis"/>
          <w:highlight w:val="cyan"/>
        </w:rPr>
        <w:t>reduce tensions</w:t>
      </w:r>
      <w:r w:rsidRPr="00763119">
        <w:rPr>
          <w:rStyle w:val="StyleUnderline"/>
        </w:rPr>
        <w:t xml:space="preserve"> </w:t>
      </w:r>
      <w:r w:rsidRPr="00763119">
        <w:rPr>
          <w:sz w:val="16"/>
        </w:rPr>
        <w:t xml:space="preserve">somewhat and </w:t>
      </w:r>
      <w:r w:rsidRPr="00256189">
        <w:rPr>
          <w:rStyle w:val="StyleUnderline"/>
          <w:highlight w:val="cyan"/>
        </w:rPr>
        <w:t>cause</w:t>
      </w:r>
      <w:r w:rsidRPr="00763119">
        <w:rPr>
          <w:rStyle w:val="StyleUnderline"/>
        </w:rPr>
        <w:t xml:space="preserve"> the </w:t>
      </w:r>
      <w:r w:rsidRPr="00763119">
        <w:rPr>
          <w:rStyle w:val="Emphasis"/>
        </w:rPr>
        <w:t xml:space="preserve">odds of </w:t>
      </w:r>
      <w:r w:rsidRPr="00256189">
        <w:rPr>
          <w:rStyle w:val="Emphasis"/>
          <w:highlight w:val="cyan"/>
        </w:rPr>
        <w:t>war to recede</w:t>
      </w:r>
      <w:r w:rsidRPr="00763119">
        <w:rPr>
          <w:sz w:val="16"/>
        </w:rPr>
        <w:t>.</w:t>
      </w:r>
    </w:p>
    <w:p w14:paraId="3FA92401" w14:textId="77777777" w:rsidR="00456038" w:rsidRPr="00763119" w:rsidRDefault="00456038" w:rsidP="00456038">
      <w:pPr>
        <w:rPr>
          <w:sz w:val="16"/>
        </w:rPr>
      </w:pPr>
      <w:r w:rsidRPr="00763119">
        <w:rPr>
          <w:sz w:val="16"/>
        </w:rPr>
        <w:t xml:space="preserve">For these reasons, </w:t>
      </w:r>
      <w:r w:rsidRPr="00256189">
        <w:rPr>
          <w:rStyle w:val="StyleUnderline"/>
          <w:highlight w:val="cyan"/>
        </w:rPr>
        <w:t>the pandemic</w:t>
      </w:r>
      <w:r w:rsidRPr="00763119">
        <w:rPr>
          <w:sz w:val="16"/>
        </w:rPr>
        <w:t xml:space="preserve"> </w:t>
      </w:r>
      <w:r w:rsidRPr="00763119">
        <w:rPr>
          <w:rStyle w:val="StyleUnderline"/>
        </w:rPr>
        <w:t xml:space="preserve">itself </w:t>
      </w:r>
      <w:r w:rsidRPr="00256189">
        <w:rPr>
          <w:rStyle w:val="StyleUnderline"/>
        </w:rPr>
        <w:t xml:space="preserve">may be </w:t>
      </w:r>
      <w:r w:rsidRPr="00256189">
        <w:rPr>
          <w:rStyle w:val="StyleUnderline"/>
          <w:highlight w:val="cyan"/>
        </w:rPr>
        <w:t>conducive to peace</w:t>
      </w:r>
      <w:r w:rsidRPr="00763119">
        <w:rPr>
          <w:sz w:val="16"/>
        </w:rPr>
        <w:t xml:space="preserve">. But </w:t>
      </w:r>
      <w:r w:rsidRPr="00256189">
        <w:rPr>
          <w:rStyle w:val="Emphasis"/>
          <w:highlight w:val="cyan"/>
        </w:rPr>
        <w:t>what about</w:t>
      </w:r>
      <w:r w:rsidRPr="00763119">
        <w:rPr>
          <w:rStyle w:val="Emphasis"/>
        </w:rPr>
        <w:t xml:space="preserve"> </w:t>
      </w:r>
      <w:r w:rsidRPr="00763119">
        <w:rPr>
          <w:rStyle w:val="StyleUnderline"/>
        </w:rPr>
        <w:t xml:space="preserve">the relationship between </w:t>
      </w:r>
      <w:r w:rsidRPr="00256189">
        <w:rPr>
          <w:rStyle w:val="Emphasis"/>
          <w:highlight w:val="cyan"/>
        </w:rPr>
        <w:t>broader economic conditions</w:t>
      </w:r>
      <w:r w:rsidRPr="00256189">
        <w:rPr>
          <w:rStyle w:val="StyleUnderline"/>
          <w:highlight w:val="cyan"/>
        </w:rPr>
        <w:t xml:space="preserve"> and</w:t>
      </w:r>
      <w:r w:rsidRPr="00763119">
        <w:rPr>
          <w:rStyle w:val="StyleUnderline"/>
        </w:rPr>
        <w:t xml:space="preserve"> the likelihood </w:t>
      </w:r>
      <w:r w:rsidRPr="00763119">
        <w:rPr>
          <w:rStyle w:val="Emphasis"/>
        </w:rPr>
        <w:t xml:space="preserve">of </w:t>
      </w:r>
      <w:r w:rsidRPr="00256189">
        <w:rPr>
          <w:rStyle w:val="Emphasis"/>
          <w:highlight w:val="cyan"/>
        </w:rPr>
        <w:t>war?</w:t>
      </w:r>
      <w:r w:rsidRPr="00763119">
        <w:rPr>
          <w:sz w:val="16"/>
        </w:rPr>
        <w:t xml:space="preserve"> </w:t>
      </w:r>
      <w:r w:rsidRPr="00763119">
        <w:rPr>
          <w:rStyle w:val="StyleUnderline"/>
        </w:rPr>
        <w:t>Might</w:t>
      </w:r>
      <w:r w:rsidRPr="00763119">
        <w:rPr>
          <w:sz w:val="16"/>
        </w:rPr>
        <w:t xml:space="preserve"> a few </w:t>
      </w:r>
      <w:r w:rsidRPr="00763119">
        <w:rPr>
          <w:rStyle w:val="StyleUnderline"/>
        </w:rPr>
        <w:t>leaders still convince themselves</w:t>
      </w:r>
      <w:r w:rsidRPr="00763119">
        <w:rPr>
          <w:sz w:val="16"/>
        </w:rPr>
        <w:t xml:space="preserve"> that </w:t>
      </w:r>
      <w:r w:rsidRPr="00763119">
        <w:rPr>
          <w:rStyle w:val="StyleUnderline"/>
        </w:rPr>
        <w:t>provoking a crisis</w:t>
      </w:r>
      <w:r w:rsidRPr="00763119">
        <w:rPr>
          <w:sz w:val="16"/>
        </w:rPr>
        <w:t xml:space="preserve"> and going to war </w:t>
      </w:r>
      <w:r w:rsidRPr="00763119">
        <w:rPr>
          <w:rStyle w:val="StyleUnderline"/>
        </w:rPr>
        <w:t>could</w:t>
      </w:r>
      <w:r w:rsidRPr="00763119">
        <w:rPr>
          <w:sz w:val="16"/>
        </w:rPr>
        <w:t xml:space="preserve"> still </w:t>
      </w:r>
      <w:r w:rsidRPr="00763119">
        <w:rPr>
          <w:rStyle w:val="StyleUnderline"/>
        </w:rPr>
        <w:t>advance</w:t>
      </w:r>
      <w:r w:rsidRPr="00763119">
        <w:rPr>
          <w:sz w:val="16"/>
        </w:rPr>
        <w:t xml:space="preserve"> either </w:t>
      </w:r>
      <w:r w:rsidRPr="00763119">
        <w:rPr>
          <w:rStyle w:val="StyleUnderline"/>
        </w:rPr>
        <w:t>long-term</w:t>
      </w:r>
      <w:r w:rsidRPr="00763119">
        <w:rPr>
          <w:sz w:val="16"/>
        </w:rPr>
        <w:t xml:space="preserve"> national </w:t>
      </w:r>
      <w:r w:rsidRPr="00763119">
        <w:rPr>
          <w:rStyle w:val="StyleUnderline"/>
        </w:rPr>
        <w:t>interests</w:t>
      </w:r>
      <w:r w:rsidRPr="00763119">
        <w:rPr>
          <w:sz w:val="16"/>
        </w:rPr>
        <w:t xml:space="preserve"> or their own political fortunes</w:t>
      </w:r>
      <w:r w:rsidRPr="00763119">
        <w:rPr>
          <w:rStyle w:val="StyleUnderline"/>
        </w:rPr>
        <w:t>?</w:t>
      </w:r>
      <w:r w:rsidRPr="00763119">
        <w:rPr>
          <w:sz w:val="16"/>
        </w:rPr>
        <w:t xml:space="preserve"> Are the other paths by which a deep and sustained economic downturn might make serious global conflict more likely?</w:t>
      </w:r>
    </w:p>
    <w:p w14:paraId="56D713AD" w14:textId="77777777" w:rsidR="00456038" w:rsidRPr="00763119" w:rsidRDefault="00456038" w:rsidP="00456038">
      <w:pPr>
        <w:rPr>
          <w:sz w:val="16"/>
        </w:rPr>
      </w:pPr>
      <w:r w:rsidRPr="00256189">
        <w:rPr>
          <w:rStyle w:val="StyleUnderline"/>
          <w:highlight w:val="cyan"/>
        </w:rPr>
        <w:t>One</w:t>
      </w:r>
      <w:r w:rsidRPr="00763119">
        <w:rPr>
          <w:sz w:val="16"/>
        </w:rPr>
        <w:t xml:space="preserve"> familiar </w:t>
      </w:r>
      <w:r w:rsidRPr="00256189">
        <w:rPr>
          <w:rStyle w:val="StyleUnderline"/>
          <w:highlight w:val="cyan"/>
        </w:rPr>
        <w:t>argument is</w:t>
      </w:r>
      <w:r w:rsidRPr="00763119">
        <w:rPr>
          <w:rStyle w:val="StyleUnderline"/>
        </w:rPr>
        <w:t xml:space="preserve"> the so-called </w:t>
      </w:r>
      <w:r w:rsidRPr="00256189">
        <w:rPr>
          <w:rStyle w:val="Emphasis"/>
          <w:highlight w:val="cyan"/>
        </w:rPr>
        <w:t>diversion</w:t>
      </w:r>
      <w:r w:rsidRPr="00256189">
        <w:rPr>
          <w:rStyle w:val="Emphasis"/>
        </w:rPr>
        <w:t>ary</w:t>
      </w:r>
      <w:r w:rsidRPr="00763119">
        <w:rPr>
          <w:sz w:val="16"/>
        </w:rPr>
        <w:t xml:space="preserve"> (or “scapegoat”) </w:t>
      </w:r>
      <w:r w:rsidRPr="00763119">
        <w:rPr>
          <w:rStyle w:val="StyleUnderline"/>
        </w:rPr>
        <w:t xml:space="preserve">theory of </w:t>
      </w:r>
      <w:r w:rsidRPr="00256189">
        <w:rPr>
          <w:rStyle w:val="Emphasis"/>
        </w:rPr>
        <w:t>war</w:t>
      </w:r>
      <w:r w:rsidRPr="00763119">
        <w:rPr>
          <w:sz w:val="16"/>
        </w:rPr>
        <w:t>. It suggests that leaders who are worried about their popularity at home will try to divert attention from their failures by provoking a crisis with a foreign power and maybe even using force against it. Drawing on this logic, </w:t>
      </w:r>
      <w:r w:rsidRPr="00763119">
        <w:rPr>
          <w:rStyle w:val="StyleUnderline"/>
        </w:rPr>
        <w:t>some Americans</w:t>
      </w:r>
      <w:r w:rsidRPr="00763119">
        <w:rPr>
          <w:sz w:val="16"/>
        </w:rPr>
        <w:t xml:space="preserve"> now </w:t>
      </w:r>
      <w:r w:rsidRPr="00763119">
        <w:rPr>
          <w:rStyle w:val="StyleUnderline"/>
        </w:rPr>
        <w:t>worry</w:t>
      </w:r>
      <w:r w:rsidRPr="00763119">
        <w:rPr>
          <w:sz w:val="16"/>
        </w:rPr>
        <w:t xml:space="preserve"> that President Donald </w:t>
      </w:r>
      <w:r w:rsidRPr="00763119">
        <w:rPr>
          <w:rStyle w:val="Emphasis"/>
        </w:rPr>
        <w:t>Trump will</w:t>
      </w:r>
      <w:r w:rsidRPr="00763119">
        <w:rPr>
          <w:rStyle w:val="StyleUnderline"/>
        </w:rPr>
        <w:t xml:space="preserve"> decide to </w:t>
      </w:r>
      <w:r w:rsidRPr="00763119">
        <w:rPr>
          <w:rStyle w:val="Emphasis"/>
        </w:rPr>
        <w:t>attack</w:t>
      </w:r>
      <w:r w:rsidRPr="00763119">
        <w:rPr>
          <w:rStyle w:val="StyleUnderline"/>
        </w:rPr>
        <w:t xml:space="preserve"> a </w:t>
      </w:r>
      <w:r w:rsidRPr="00763119">
        <w:rPr>
          <w:rStyle w:val="Emphasis"/>
        </w:rPr>
        <w:t>country</w:t>
      </w:r>
      <w:r w:rsidRPr="00763119">
        <w:rPr>
          <w:rStyle w:val="StyleUnderline"/>
        </w:rPr>
        <w:t xml:space="preserve"> like Iran or Venezuela</w:t>
      </w:r>
      <w:r w:rsidRPr="00763119">
        <w:rPr>
          <w:sz w:val="16"/>
        </w:rPr>
        <w:t xml:space="preserve"> in the run-up to the presidential election and especially if he thinks he’s likely to lose.</w:t>
      </w:r>
    </w:p>
    <w:p w14:paraId="141AC179" w14:textId="77777777" w:rsidR="00456038" w:rsidRPr="00763119" w:rsidRDefault="00456038" w:rsidP="00456038">
      <w:pPr>
        <w:rPr>
          <w:sz w:val="16"/>
        </w:rPr>
      </w:pPr>
      <w:r w:rsidRPr="00256189">
        <w:rPr>
          <w:rStyle w:val="StyleUnderline"/>
          <w:highlight w:val="cyan"/>
        </w:rPr>
        <w:t>This</w:t>
      </w:r>
      <w:r w:rsidRPr="00763119">
        <w:rPr>
          <w:sz w:val="16"/>
        </w:rPr>
        <w:t xml:space="preserve"> outcome </w:t>
      </w:r>
      <w:r w:rsidRPr="00256189">
        <w:rPr>
          <w:rStyle w:val="StyleUnderline"/>
          <w:highlight w:val="cyan"/>
        </w:rPr>
        <w:t xml:space="preserve">strikes me as </w:t>
      </w:r>
      <w:r w:rsidRPr="00256189">
        <w:rPr>
          <w:rStyle w:val="Emphasis"/>
          <w:highlight w:val="cyan"/>
        </w:rPr>
        <w:t>unlikely</w:t>
      </w:r>
      <w:r w:rsidRPr="00763119">
        <w:rPr>
          <w:sz w:val="16"/>
        </w:rPr>
        <w:t xml:space="preserve">, </w:t>
      </w:r>
      <w:r w:rsidRPr="00256189">
        <w:rPr>
          <w:rStyle w:val="StyleUnderline"/>
          <w:highlight w:val="cyan"/>
        </w:rPr>
        <w:t>even if one ignores</w:t>
      </w:r>
      <w:r w:rsidRPr="00763119">
        <w:rPr>
          <w:rStyle w:val="StyleUnderline"/>
        </w:rPr>
        <w:t xml:space="preserve"> the </w:t>
      </w:r>
      <w:r w:rsidRPr="00763119">
        <w:rPr>
          <w:rStyle w:val="Emphasis"/>
        </w:rPr>
        <w:t xml:space="preserve">logical and </w:t>
      </w:r>
      <w:r w:rsidRPr="00256189">
        <w:rPr>
          <w:rStyle w:val="Emphasis"/>
          <w:highlight w:val="cyan"/>
        </w:rPr>
        <w:t>empirical flaws in the theory</w:t>
      </w:r>
      <w:r w:rsidRPr="00763119">
        <w:rPr>
          <w:rStyle w:val="StyleUnderline"/>
        </w:rPr>
        <w:t xml:space="preserve"> itself</w:t>
      </w:r>
      <w:r w:rsidRPr="00763119">
        <w:rPr>
          <w:sz w:val="16"/>
        </w:rPr>
        <w:t xml:space="preserve">. War is always a gamble, and should things go badly—even a little bit—it would hammer the last nail in the coffin of Trump’s declining fortunes.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w:t>
      </w:r>
      <w:r w:rsidRPr="00763119">
        <w:rPr>
          <w:rStyle w:val="StyleUnderline"/>
        </w:rPr>
        <w:t xml:space="preserve">Even </w:t>
      </w:r>
      <w:r w:rsidRPr="00256189">
        <w:rPr>
          <w:rStyle w:val="StyleUnderline"/>
        </w:rPr>
        <w:t>a</w:t>
      </w:r>
      <w:r w:rsidRPr="00763119">
        <w:rPr>
          <w:rStyle w:val="StyleUnderline"/>
        </w:rPr>
        <w:t xml:space="preserve"> successful </w:t>
      </w:r>
      <w:r w:rsidRPr="00256189">
        <w:rPr>
          <w:rStyle w:val="Emphasis"/>
          <w:highlight w:val="cyan"/>
        </w:rPr>
        <w:t>military action won’t put Americans back to work</w:t>
      </w:r>
      <w:r w:rsidRPr="00763119">
        <w:rPr>
          <w:sz w:val="16"/>
        </w:rPr>
        <w:t xml:space="preserve">, create the sort of testing-and-tracing regime that competent governments around the world have been able to implement already, or hasten the development of a vaccine. </w:t>
      </w:r>
      <w:r w:rsidRPr="00256189">
        <w:rPr>
          <w:rStyle w:val="Emphasis"/>
          <w:highlight w:val="cyan"/>
        </w:rPr>
        <w:t>The same logic</w:t>
      </w:r>
      <w:r w:rsidRPr="00763119">
        <w:rPr>
          <w:rStyle w:val="StyleUnderline"/>
        </w:rPr>
        <w:t xml:space="preserve"> is likely to </w:t>
      </w:r>
      <w:r w:rsidRPr="00256189">
        <w:rPr>
          <w:rStyle w:val="Emphasis"/>
          <w:highlight w:val="cyan"/>
        </w:rPr>
        <w:t>guide</w:t>
      </w:r>
      <w:r w:rsidRPr="00763119">
        <w:rPr>
          <w:rStyle w:val="StyleUnderline"/>
        </w:rPr>
        <w:t xml:space="preserve"> the decisions of </w:t>
      </w:r>
      <w:r w:rsidRPr="00763119">
        <w:rPr>
          <w:rStyle w:val="Emphasis"/>
        </w:rPr>
        <w:t xml:space="preserve">other </w:t>
      </w:r>
      <w:r w:rsidRPr="00256189">
        <w:rPr>
          <w:rStyle w:val="Emphasis"/>
          <w:highlight w:val="cyan"/>
        </w:rPr>
        <w:t>world leaders</w:t>
      </w:r>
      <w:r w:rsidRPr="00763119">
        <w:rPr>
          <w:rStyle w:val="StyleUnderline"/>
        </w:rPr>
        <w:t xml:space="preserve"> too</w:t>
      </w:r>
      <w:r w:rsidRPr="00763119">
        <w:rPr>
          <w:sz w:val="16"/>
        </w:rPr>
        <w:t>.</w:t>
      </w:r>
    </w:p>
    <w:p w14:paraId="617CE877" w14:textId="77777777" w:rsidR="00456038" w:rsidRPr="00763119" w:rsidRDefault="00456038" w:rsidP="00456038">
      <w:pPr>
        <w:rPr>
          <w:sz w:val="16"/>
        </w:rPr>
      </w:pPr>
      <w:r w:rsidRPr="00256189">
        <w:rPr>
          <w:rStyle w:val="StyleUnderline"/>
          <w:highlight w:val="cyan"/>
        </w:rPr>
        <w:t>Another</w:t>
      </w:r>
      <w:r w:rsidRPr="00763119">
        <w:rPr>
          <w:sz w:val="16"/>
        </w:rPr>
        <w:t xml:space="preserve"> familiar </w:t>
      </w:r>
      <w:r w:rsidRPr="00256189">
        <w:rPr>
          <w:rStyle w:val="StyleUnderline"/>
          <w:highlight w:val="cyan"/>
        </w:rPr>
        <w:t>folk theory is</w:t>
      </w:r>
      <w:r w:rsidRPr="00763119">
        <w:rPr>
          <w:rStyle w:val="StyleUnderline"/>
        </w:rPr>
        <w:t xml:space="preserve"> “</w:t>
      </w:r>
      <w:r w:rsidRPr="00256189">
        <w:rPr>
          <w:rStyle w:val="StyleUnderline"/>
          <w:highlight w:val="cyan"/>
        </w:rPr>
        <w:t>military Keynesianism</w:t>
      </w:r>
      <w:r w:rsidRPr="00763119">
        <w:rPr>
          <w:rStyle w:val="StyleUnderline"/>
        </w:rPr>
        <w:t>.”</w:t>
      </w:r>
      <w:r w:rsidRPr="00763119">
        <w:rPr>
          <w:sz w:val="16"/>
        </w:rPr>
        <w:t xml:space="preserve"> </w:t>
      </w:r>
      <w:r w:rsidRPr="00763119">
        <w:rPr>
          <w:rStyle w:val="Emphasis"/>
        </w:rPr>
        <w:t>War generates a lot of economic demand</w:t>
      </w:r>
      <w:r w:rsidRPr="00763119">
        <w:rPr>
          <w:sz w:val="16"/>
        </w:rPr>
        <w:t xml:space="preserve">, </w:t>
      </w:r>
      <w:r w:rsidRPr="00763119">
        <w:rPr>
          <w:rStyle w:val="StyleUnderline"/>
        </w:rPr>
        <w:t>and it can sometimes lift depressed economies out of the doldrums</w:t>
      </w:r>
      <w:r w:rsidRPr="00763119">
        <w:rPr>
          <w:sz w:val="16"/>
        </w:rPr>
        <w:t xml:space="preserve">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FEF0F33" w14:textId="77777777" w:rsidR="00456038" w:rsidRPr="00763119" w:rsidRDefault="00456038" w:rsidP="00456038">
      <w:pPr>
        <w:rPr>
          <w:sz w:val="16"/>
        </w:rPr>
      </w:pPr>
      <w:r w:rsidRPr="00763119">
        <w:rPr>
          <w:rStyle w:val="StyleUnderline"/>
        </w:rPr>
        <w:t>I doubt it</w:t>
      </w:r>
      <w:r w:rsidRPr="00763119">
        <w:rPr>
          <w:sz w:val="16"/>
        </w:rPr>
        <w:t xml:space="preserve">. </w:t>
      </w:r>
      <w:r w:rsidRPr="00256189">
        <w:rPr>
          <w:rStyle w:val="StyleUnderline"/>
          <w:highlight w:val="cyan"/>
        </w:rPr>
        <w:t xml:space="preserve">It </w:t>
      </w:r>
      <w:r w:rsidRPr="00256189">
        <w:rPr>
          <w:rStyle w:val="Emphasis"/>
          <w:highlight w:val="cyan"/>
        </w:rPr>
        <w:t>takes a</w:t>
      </w:r>
      <w:r w:rsidRPr="00763119">
        <w:rPr>
          <w:rStyle w:val="Emphasis"/>
        </w:rPr>
        <w:t xml:space="preserve"> really </w:t>
      </w:r>
      <w:r w:rsidRPr="00256189">
        <w:rPr>
          <w:rStyle w:val="Emphasis"/>
          <w:highlight w:val="cyan"/>
        </w:rPr>
        <w:t>big war</w:t>
      </w:r>
      <w:r w:rsidRPr="00256189">
        <w:rPr>
          <w:rStyle w:val="StyleUnderline"/>
          <w:highlight w:val="cyan"/>
        </w:rPr>
        <w:t xml:space="preserve"> to generate</w:t>
      </w:r>
      <w:r w:rsidRPr="00763119">
        <w:rPr>
          <w:sz w:val="16"/>
        </w:rPr>
        <w:t xml:space="preserve"> a </w:t>
      </w:r>
      <w:r w:rsidRPr="00763119">
        <w:rPr>
          <w:rStyle w:val="StyleUnderline"/>
        </w:rPr>
        <w:t xml:space="preserve">significant </w:t>
      </w:r>
      <w:r w:rsidRPr="00256189">
        <w:rPr>
          <w:rStyle w:val="StyleUnderline"/>
          <w:highlight w:val="cyan"/>
        </w:rPr>
        <w:t>stimulus</w:t>
      </w:r>
      <w:r w:rsidRPr="00763119">
        <w:rPr>
          <w:rStyle w:val="StyleUnderline"/>
        </w:rPr>
        <w:t xml:space="preserve">, and it is </w:t>
      </w:r>
      <w:r w:rsidRPr="00256189">
        <w:rPr>
          <w:rStyle w:val="Emphasis"/>
          <w:highlight w:val="cyan"/>
        </w:rPr>
        <w:t>hard to imagine</w:t>
      </w:r>
      <w:r w:rsidRPr="00763119">
        <w:rPr>
          <w:rStyle w:val="StyleUnderline"/>
        </w:rPr>
        <w:t xml:space="preserve"> any country launching </w:t>
      </w:r>
      <w:r w:rsidRPr="00256189">
        <w:rPr>
          <w:rStyle w:val="Emphasis"/>
        </w:rPr>
        <w:t xml:space="preserve">a large-scale </w:t>
      </w:r>
      <w:r w:rsidRPr="00256189">
        <w:rPr>
          <w:rStyle w:val="Emphasis"/>
          <w:highlight w:val="cyan"/>
        </w:rPr>
        <w:t>war</w:t>
      </w:r>
      <w:r w:rsidRPr="00763119">
        <w:rPr>
          <w:sz w:val="16"/>
        </w:rPr>
        <w:t>—with all its attendant risks—</w:t>
      </w:r>
      <w:r w:rsidRPr="00763119">
        <w:rPr>
          <w:rStyle w:val="StyleUnderline"/>
        </w:rPr>
        <w:t xml:space="preserve">at a moment </w:t>
      </w:r>
      <w:r w:rsidRPr="00256189">
        <w:rPr>
          <w:rStyle w:val="StyleUnderline"/>
          <w:highlight w:val="cyan"/>
        </w:rPr>
        <w:t xml:space="preserve">when </w:t>
      </w:r>
      <w:r w:rsidRPr="00256189">
        <w:rPr>
          <w:rStyle w:val="Emphasis"/>
          <w:highlight w:val="cyan"/>
        </w:rPr>
        <w:t>debt levels</w:t>
      </w:r>
      <w:r w:rsidRPr="00256189">
        <w:rPr>
          <w:rStyle w:val="StyleUnderline"/>
          <w:highlight w:val="cyan"/>
        </w:rPr>
        <w:t xml:space="preserve"> are</w:t>
      </w:r>
      <w:r w:rsidRPr="00763119">
        <w:rPr>
          <w:rStyle w:val="StyleUnderline"/>
        </w:rPr>
        <w:t xml:space="preserve"> already </w:t>
      </w:r>
      <w:r w:rsidRPr="00256189">
        <w:rPr>
          <w:rStyle w:val="Emphasis"/>
          <w:highlight w:val="cyan"/>
        </w:rPr>
        <w:t>soaring</w:t>
      </w:r>
      <w:r w:rsidRPr="00763119">
        <w:rPr>
          <w:rStyle w:val="StyleUnderline"/>
        </w:rPr>
        <w:t xml:space="preserve">. </w:t>
      </w:r>
      <w:r w:rsidRPr="00763119">
        <w:rPr>
          <w:sz w:val="16"/>
        </w:rPr>
        <w:t xml:space="preserve">More importantly, </w:t>
      </w:r>
      <w:r w:rsidRPr="00763119">
        <w:rPr>
          <w:rStyle w:val="StyleUnderline"/>
        </w:rPr>
        <w:t>there are</w:t>
      </w:r>
      <w:r w:rsidRPr="00763119">
        <w:rPr>
          <w:sz w:val="16"/>
        </w:rPr>
        <w:t xml:space="preserve"> lots of </w:t>
      </w:r>
      <w:r w:rsidRPr="00763119">
        <w:rPr>
          <w:rStyle w:val="StyleUnderline"/>
        </w:rPr>
        <w:t>easier</w:t>
      </w:r>
      <w:r w:rsidRPr="00763119">
        <w:rPr>
          <w:sz w:val="16"/>
        </w:rPr>
        <w:t xml:space="preserve"> and more direct </w:t>
      </w:r>
      <w:r w:rsidRPr="00763119">
        <w:rPr>
          <w:rStyle w:val="StyleUnderline"/>
        </w:rPr>
        <w:t>ways to stimulate the economy</w:t>
      </w:r>
      <w:r w:rsidRPr="00763119">
        <w:rPr>
          <w:sz w:val="16"/>
        </w:rPr>
        <w:t>—</w:t>
      </w:r>
      <w:r w:rsidRPr="00763119">
        <w:rPr>
          <w:rStyle w:val="StyleUnderline"/>
        </w:rPr>
        <w:t xml:space="preserve">infrastructure </w:t>
      </w:r>
      <w:r w:rsidRPr="00763119">
        <w:rPr>
          <w:rStyle w:val="Emphasis"/>
        </w:rPr>
        <w:t>spending</w:t>
      </w:r>
      <w:r w:rsidRPr="00763119">
        <w:rPr>
          <w:rStyle w:val="StyleUnderline"/>
        </w:rPr>
        <w:t xml:space="preserve">, </w:t>
      </w:r>
      <w:r w:rsidRPr="00763119">
        <w:rPr>
          <w:rStyle w:val="Emphasis"/>
        </w:rPr>
        <w:t>unemployment insurance</w:t>
      </w:r>
      <w:r w:rsidRPr="00763119">
        <w:rPr>
          <w:sz w:val="16"/>
        </w:rPr>
        <w:t xml:space="preserve">, even “helicopter payments”—and </w:t>
      </w:r>
      <w:r w:rsidRPr="00763119">
        <w:rPr>
          <w:rStyle w:val="StyleUnderline"/>
        </w:rPr>
        <w:t xml:space="preserve">launching a </w:t>
      </w:r>
      <w:r w:rsidRPr="00256189">
        <w:rPr>
          <w:rStyle w:val="Emphasis"/>
        </w:rPr>
        <w:t>war</w:t>
      </w:r>
      <w:r w:rsidRPr="00763119">
        <w:rPr>
          <w:rStyle w:val="StyleUnderline"/>
        </w:rPr>
        <w:t xml:space="preserve"> has to be one of the </w:t>
      </w:r>
      <w:r w:rsidRPr="00256189">
        <w:rPr>
          <w:rStyle w:val="Emphasis"/>
        </w:rPr>
        <w:t>least efficient methods</w:t>
      </w:r>
      <w:r w:rsidRPr="00763119">
        <w:rPr>
          <w:rStyle w:val="StyleUnderline"/>
        </w:rPr>
        <w:t xml:space="preserve"> available</w:t>
      </w:r>
      <w:r w:rsidRPr="00763119">
        <w:rPr>
          <w:sz w:val="16"/>
        </w:rPr>
        <w:t xml:space="preserve">. The </w:t>
      </w:r>
      <w:r w:rsidRPr="00763119">
        <w:rPr>
          <w:rStyle w:val="StyleUnderline"/>
        </w:rPr>
        <w:t xml:space="preserve">threat of </w:t>
      </w:r>
      <w:r w:rsidRPr="00256189">
        <w:rPr>
          <w:rStyle w:val="Emphasis"/>
        </w:rPr>
        <w:t>war</w:t>
      </w:r>
      <w:r w:rsidRPr="00763119">
        <w:rPr>
          <w:rStyle w:val="StyleUnderline"/>
        </w:rPr>
        <w:t xml:space="preserve"> usually </w:t>
      </w:r>
      <w:r w:rsidRPr="00256189">
        <w:rPr>
          <w:rStyle w:val="Emphasis"/>
        </w:rPr>
        <w:t>spooks investors</w:t>
      </w:r>
      <w:r w:rsidRPr="00763119">
        <w:rPr>
          <w:sz w:val="16"/>
        </w:rPr>
        <w:t xml:space="preserve"> too, </w:t>
      </w:r>
      <w:r w:rsidRPr="00763119">
        <w:rPr>
          <w:rStyle w:val="StyleUnderline"/>
        </w:rPr>
        <w:t xml:space="preserve">which </w:t>
      </w:r>
      <w:r w:rsidRPr="00256189">
        <w:rPr>
          <w:rStyle w:val="Emphasis"/>
          <w:highlight w:val="cyan"/>
        </w:rPr>
        <w:t>any politician with</w:t>
      </w:r>
      <w:r w:rsidRPr="00763119">
        <w:rPr>
          <w:rStyle w:val="StyleUnderline"/>
        </w:rPr>
        <w:t xml:space="preserve"> their </w:t>
      </w:r>
      <w:r w:rsidRPr="00256189">
        <w:rPr>
          <w:rStyle w:val="Emphasis"/>
          <w:highlight w:val="cyan"/>
        </w:rPr>
        <w:t>eye on the</w:t>
      </w:r>
      <w:r w:rsidRPr="00763119">
        <w:rPr>
          <w:rStyle w:val="StyleUnderline"/>
        </w:rPr>
        <w:t xml:space="preserve"> stock </w:t>
      </w:r>
      <w:r w:rsidRPr="00256189">
        <w:rPr>
          <w:rStyle w:val="Emphasis"/>
          <w:highlight w:val="cyan"/>
        </w:rPr>
        <w:t>market</w:t>
      </w:r>
      <w:r w:rsidRPr="00763119">
        <w:rPr>
          <w:rStyle w:val="StyleUnderline"/>
        </w:rPr>
        <w:t xml:space="preserve"> </w:t>
      </w:r>
      <w:r w:rsidRPr="00256189">
        <w:rPr>
          <w:rStyle w:val="StyleUnderline"/>
          <w:highlight w:val="cyan"/>
        </w:rPr>
        <w:t>would</w:t>
      </w:r>
      <w:r w:rsidRPr="00763119">
        <w:rPr>
          <w:rStyle w:val="StyleUnderline"/>
        </w:rPr>
        <w:t xml:space="preserve"> be </w:t>
      </w:r>
      <w:r w:rsidRPr="00256189">
        <w:rPr>
          <w:rStyle w:val="Emphasis"/>
          <w:highlight w:val="cyan"/>
        </w:rPr>
        <w:t>loath to do</w:t>
      </w:r>
      <w:r w:rsidRPr="00763119">
        <w:rPr>
          <w:rStyle w:val="StyleUnderline"/>
        </w:rPr>
        <w:t>.</w:t>
      </w:r>
    </w:p>
    <w:p w14:paraId="6126D591" w14:textId="77777777" w:rsidR="00456038" w:rsidRPr="00763119" w:rsidRDefault="00456038" w:rsidP="00456038">
      <w:pPr>
        <w:rPr>
          <w:sz w:val="16"/>
          <w:szCs w:val="16"/>
        </w:rPr>
      </w:pPr>
      <w:r w:rsidRPr="00763119">
        <w:rPr>
          <w:sz w:val="16"/>
          <w:szCs w:val="16"/>
        </w:rPr>
        <w:t>Economic downturns can encourage war in some special circumstances, especially when a war would enable a country facing severe hardships to capture something of immediate and significant value. Saddam Hussein’s decision to seize Kuwait in 1990 </w:t>
      </w:r>
      <w:hyperlink r:id="rId271" w:history="1">
        <w:r w:rsidRPr="00763119">
          <w:rPr>
            <w:rStyle w:val="Hyperlink"/>
            <w:sz w:val="16"/>
            <w:szCs w:val="16"/>
          </w:rPr>
          <w:t>fits this model perfectly</w:t>
        </w:r>
      </w:hyperlink>
      <w:r w:rsidRPr="00763119">
        <w:rPr>
          <w:sz w:val="16"/>
          <w:szCs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9DC04CD" w14:textId="77777777" w:rsidR="00456038" w:rsidRPr="00763119" w:rsidRDefault="00456038" w:rsidP="00456038">
      <w:pPr>
        <w:rPr>
          <w:sz w:val="16"/>
        </w:rPr>
      </w:pPr>
      <w:r w:rsidRPr="00763119">
        <w:rPr>
          <w:sz w:val="16"/>
        </w:rPr>
        <w:t xml:space="preserve">Yet </w:t>
      </w:r>
      <w:r w:rsidRPr="00763119">
        <w:rPr>
          <w:rStyle w:val="StyleUnderline"/>
        </w:rPr>
        <w:t xml:space="preserve">I </w:t>
      </w:r>
      <w:r w:rsidRPr="00763119">
        <w:rPr>
          <w:rStyle w:val="Emphasis"/>
        </w:rPr>
        <w:t>cannot think of any</w:t>
      </w:r>
      <w:r w:rsidRPr="00763119">
        <w:rPr>
          <w:rStyle w:val="StyleUnderline"/>
        </w:rPr>
        <w:t xml:space="preserve"> country in similar </w:t>
      </w:r>
      <w:r w:rsidRPr="00763119">
        <w:rPr>
          <w:rStyle w:val="Emphasis"/>
        </w:rPr>
        <w:t>circumstances</w:t>
      </w:r>
      <w:r w:rsidRPr="00763119">
        <w:rPr>
          <w:sz w:val="16"/>
        </w:rPr>
        <w:t xml:space="preserve"> today. </w:t>
      </w:r>
      <w:r w:rsidRPr="00763119">
        <w:rPr>
          <w:rStyle w:val="StyleUnderline"/>
        </w:rPr>
        <w:t xml:space="preserve">Now is </w:t>
      </w:r>
      <w:r w:rsidRPr="00763119">
        <w:rPr>
          <w:rStyle w:val="Emphasis"/>
        </w:rPr>
        <w:t>hardly the time for</w:t>
      </w:r>
      <w:r w:rsidRPr="00763119">
        <w:rPr>
          <w:rStyle w:val="StyleUnderline"/>
        </w:rPr>
        <w:t xml:space="preserve"> Russia to</w:t>
      </w:r>
      <w:r w:rsidRPr="00763119">
        <w:rPr>
          <w:sz w:val="16"/>
        </w:rPr>
        <w:t xml:space="preserve"> try to </w:t>
      </w:r>
      <w:r w:rsidRPr="00763119">
        <w:rPr>
          <w:rStyle w:val="StyleUnderline"/>
        </w:rPr>
        <w:t>grab</w:t>
      </w:r>
      <w:r w:rsidRPr="00763119">
        <w:rPr>
          <w:sz w:val="16"/>
        </w:rPr>
        <w:t xml:space="preserve"> more of </w:t>
      </w:r>
      <w:r w:rsidRPr="00763119">
        <w:rPr>
          <w:rStyle w:val="Emphasis"/>
        </w:rPr>
        <w:t>Ukraine</w:t>
      </w:r>
      <w:r w:rsidRPr="00763119">
        <w:rPr>
          <w:sz w:val="16"/>
        </w:rPr>
        <w:t>—if it even wanted to—</w:t>
      </w:r>
      <w:r w:rsidRPr="00763119">
        <w:rPr>
          <w:rStyle w:val="Emphasis"/>
        </w:rPr>
        <w:t>or</w:t>
      </w:r>
      <w:r w:rsidRPr="00763119">
        <w:rPr>
          <w:rStyle w:val="StyleUnderline"/>
        </w:rPr>
        <w:t xml:space="preserve"> for China to make a play for </w:t>
      </w:r>
      <w:r w:rsidRPr="00763119">
        <w:rPr>
          <w:rStyle w:val="Emphasis"/>
        </w:rPr>
        <w:t>Taiwan</w:t>
      </w:r>
      <w:r w:rsidRPr="00763119">
        <w:rPr>
          <w:sz w:val="16"/>
        </w:rPr>
        <w:t xml:space="preserve">, because </w:t>
      </w:r>
      <w:r w:rsidRPr="00763119">
        <w:rPr>
          <w:rStyle w:val="StyleUnderline"/>
        </w:rPr>
        <w:t>the costs</w:t>
      </w:r>
      <w:r w:rsidRPr="00763119">
        <w:rPr>
          <w:sz w:val="16"/>
        </w:rPr>
        <w:t xml:space="preserve"> of doing so </w:t>
      </w:r>
      <w:r w:rsidRPr="00763119">
        <w:rPr>
          <w:rStyle w:val="StyleUnderline"/>
        </w:rPr>
        <w:t>would clearly outweigh</w:t>
      </w:r>
      <w:r w:rsidRPr="00763119">
        <w:rPr>
          <w:sz w:val="16"/>
        </w:rPr>
        <w:t xml:space="preserve"> the </w:t>
      </w:r>
      <w:r w:rsidRPr="00763119">
        <w:rPr>
          <w:rStyle w:val="StyleUnderline"/>
        </w:rPr>
        <w:t>economic benefits</w:t>
      </w:r>
      <w:r w:rsidRPr="00763119">
        <w:rPr>
          <w:sz w:val="16"/>
        </w:rPr>
        <w:t>. Even conquering an oil-rich country—the sort of greedy acquisitiveness that </w:t>
      </w:r>
      <w:hyperlink r:id="rId272" w:history="1">
        <w:r w:rsidRPr="00763119">
          <w:rPr>
            <w:rStyle w:val="Hyperlink"/>
            <w:sz w:val="16"/>
          </w:rPr>
          <w:t>Trump occasionally hints at</w:t>
        </w:r>
      </w:hyperlink>
      <w:r w:rsidRPr="00763119">
        <w:rPr>
          <w:sz w:val="16"/>
        </w:rPr>
        <w:t>—doesn’t look attractive when there’s a vast glut on the market. I might be worried if some weak and defenseless country somehow came to possess the entire global stock of a successful coronavirus vaccine, but that scenario is not even remotely possible.</w:t>
      </w:r>
    </w:p>
    <w:p w14:paraId="78B1003D" w14:textId="77777777" w:rsidR="00456038" w:rsidRPr="00763119" w:rsidRDefault="00456038" w:rsidP="00456038">
      <w:pPr>
        <w:rPr>
          <w:sz w:val="16"/>
        </w:rPr>
      </w:pPr>
      <w:r w:rsidRPr="00763119">
        <w:rPr>
          <w:sz w:val="16"/>
        </w:rPr>
        <w:t xml:space="preserve">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w:t>
      </w:r>
      <w:r w:rsidRPr="00763119">
        <w:rPr>
          <w:rStyle w:val="StyleUnderline"/>
        </w:rPr>
        <w:t xml:space="preserve">Nationalism, xenophobia, and </w:t>
      </w:r>
      <w:r w:rsidRPr="00763119">
        <w:rPr>
          <w:rStyle w:val="Emphasis"/>
        </w:rPr>
        <w:t>authoritarian rule</w:t>
      </w:r>
      <w:r w:rsidRPr="00763119">
        <w:rPr>
          <w:rStyle w:val="StyleUnderline"/>
        </w:rPr>
        <w:t xml:space="preserve"> were </w:t>
      </w:r>
      <w:r w:rsidRPr="00763119">
        <w:rPr>
          <w:rStyle w:val="Emphasis"/>
        </w:rPr>
        <w:t>making a comeback well before COVID</w:t>
      </w:r>
      <w:r w:rsidRPr="00763119">
        <w:rPr>
          <w:rStyle w:val="StyleUnderline"/>
        </w:rPr>
        <w:t>-19 struck</w:t>
      </w:r>
      <w:r w:rsidRPr="00763119">
        <w:rPr>
          <w:sz w:val="16"/>
        </w:rPr>
        <w:t>, but the economic misery now occurring in every corner of the world could intensify these trends and leave us in a more war-prone condition when fear of the virus has diminished.</w:t>
      </w:r>
    </w:p>
    <w:p w14:paraId="39632736" w14:textId="77777777" w:rsidR="00456038" w:rsidRPr="00763119" w:rsidRDefault="00456038" w:rsidP="00456038">
      <w:pPr>
        <w:rPr>
          <w:sz w:val="16"/>
        </w:rPr>
      </w:pPr>
      <w:r w:rsidRPr="00763119">
        <w:rPr>
          <w:sz w:val="16"/>
        </w:rPr>
        <w:t xml:space="preserve">On balance, however, </w:t>
      </w:r>
      <w:r w:rsidRPr="00256189">
        <w:rPr>
          <w:rStyle w:val="StyleUnderline"/>
          <w:highlight w:val="cyan"/>
        </w:rPr>
        <w:t>I do not think</w:t>
      </w:r>
      <w:r w:rsidRPr="00763119">
        <w:rPr>
          <w:rStyle w:val="StyleUnderline"/>
        </w:rPr>
        <w:t xml:space="preserve"> that </w:t>
      </w:r>
      <w:r w:rsidRPr="00256189">
        <w:rPr>
          <w:rStyle w:val="Emphasis"/>
          <w:highlight w:val="cyan"/>
        </w:rPr>
        <w:t>even</w:t>
      </w:r>
      <w:r w:rsidRPr="00763119">
        <w:rPr>
          <w:rStyle w:val="StyleUnderline"/>
        </w:rPr>
        <w:t xml:space="preserve"> the </w:t>
      </w:r>
      <w:r w:rsidRPr="00256189">
        <w:rPr>
          <w:rStyle w:val="Emphasis"/>
          <w:highlight w:val="cyan"/>
        </w:rPr>
        <w:t>extraordinary</w:t>
      </w:r>
      <w:r w:rsidRPr="00256189">
        <w:rPr>
          <w:rStyle w:val="Emphasis"/>
        </w:rPr>
        <w:t xml:space="preserve"> economic </w:t>
      </w:r>
      <w:r w:rsidRPr="00256189">
        <w:rPr>
          <w:rStyle w:val="Emphasis"/>
          <w:highlight w:val="cyan"/>
        </w:rPr>
        <w:t>conditions</w:t>
      </w:r>
      <w:r w:rsidRPr="00763119">
        <w:rPr>
          <w:rStyle w:val="StyleUnderline"/>
        </w:rPr>
        <w:t xml:space="preserve"> we are witnessing today </w:t>
      </w:r>
      <w:r w:rsidRPr="00256189">
        <w:rPr>
          <w:rStyle w:val="StyleUnderline"/>
          <w:highlight w:val="cyan"/>
        </w:rPr>
        <w:t xml:space="preserve">are going to </w:t>
      </w:r>
      <w:r w:rsidRPr="00256189">
        <w:rPr>
          <w:rStyle w:val="Emphasis"/>
          <w:highlight w:val="cyan"/>
        </w:rPr>
        <w:t>have</w:t>
      </w:r>
      <w:r w:rsidRPr="00763119">
        <w:rPr>
          <w:rStyle w:val="StyleUnderline"/>
        </w:rPr>
        <w:t xml:space="preserve"> much </w:t>
      </w:r>
      <w:r w:rsidRPr="00256189">
        <w:rPr>
          <w:rStyle w:val="Emphasis"/>
          <w:highlight w:val="cyan"/>
        </w:rPr>
        <w:t>impact on</w:t>
      </w:r>
      <w:r w:rsidRPr="00256189">
        <w:rPr>
          <w:rStyle w:val="Emphasis"/>
        </w:rPr>
        <w:t xml:space="preserve"> the </w:t>
      </w:r>
      <w:r w:rsidRPr="00256189">
        <w:rPr>
          <w:rStyle w:val="Emphasis"/>
          <w:highlight w:val="cyan"/>
        </w:rPr>
        <w:t>likelihood of war</w:t>
      </w:r>
      <w:r w:rsidRPr="00763119">
        <w:rPr>
          <w:sz w:val="16"/>
        </w:rPr>
        <w:t xml:space="preserve">. Why? First of all, </w:t>
      </w:r>
      <w:r w:rsidRPr="00763119">
        <w:rPr>
          <w:rStyle w:val="StyleUnderline"/>
        </w:rPr>
        <w:t>if depressions were a powerful cause of war, there would be a lot more</w:t>
      </w:r>
      <w:r w:rsidRPr="00763119">
        <w:rPr>
          <w:sz w:val="16"/>
        </w:rPr>
        <w:t xml:space="preserve"> of the latter. To take one example, </w:t>
      </w:r>
      <w:r w:rsidRPr="00763119">
        <w:rPr>
          <w:rStyle w:val="StyleUnderline"/>
        </w:rPr>
        <w:t xml:space="preserve">the </w:t>
      </w:r>
      <w:r w:rsidRPr="00256189">
        <w:rPr>
          <w:rStyle w:val="Emphasis"/>
          <w:highlight w:val="cyan"/>
        </w:rPr>
        <w:t>U</w:t>
      </w:r>
      <w:r w:rsidRPr="00763119">
        <w:rPr>
          <w:rStyle w:val="StyleUnderline"/>
        </w:rPr>
        <w:t xml:space="preserve">nited </w:t>
      </w:r>
      <w:r w:rsidRPr="00256189">
        <w:rPr>
          <w:rStyle w:val="Emphasis"/>
          <w:highlight w:val="cyan"/>
        </w:rPr>
        <w:t>S</w:t>
      </w:r>
      <w:r w:rsidRPr="00763119">
        <w:rPr>
          <w:rStyle w:val="StyleUnderline"/>
        </w:rPr>
        <w:t xml:space="preserve">tates has </w:t>
      </w:r>
      <w:r w:rsidRPr="00256189">
        <w:rPr>
          <w:rStyle w:val="Emphasis"/>
          <w:highlight w:val="cyan"/>
        </w:rPr>
        <w:t>suffered 40</w:t>
      </w:r>
      <w:r w:rsidRPr="00763119">
        <w:rPr>
          <w:sz w:val="16"/>
        </w:rPr>
        <w:t xml:space="preserve"> or more </w:t>
      </w:r>
      <w:r w:rsidRPr="00256189">
        <w:rPr>
          <w:rStyle w:val="Emphasis"/>
          <w:highlight w:val="cyan"/>
        </w:rPr>
        <w:t>recessions</w:t>
      </w:r>
      <w:r w:rsidRPr="00763119">
        <w:rPr>
          <w:rStyle w:val="StyleUnderline"/>
        </w:rPr>
        <w:t xml:space="preserve"> since the country was founded</w:t>
      </w:r>
      <w:r w:rsidRPr="00763119">
        <w:rPr>
          <w:sz w:val="16"/>
        </w:rPr>
        <w:t xml:space="preserve">, </w:t>
      </w:r>
      <w:r w:rsidRPr="00256189">
        <w:rPr>
          <w:rStyle w:val="Emphasis"/>
          <w:highlight w:val="cyan"/>
        </w:rPr>
        <w:t>yet</w:t>
      </w:r>
      <w:r w:rsidRPr="00763119">
        <w:rPr>
          <w:rStyle w:val="StyleUnderline"/>
        </w:rPr>
        <w:t xml:space="preserve"> it has fought</w:t>
      </w:r>
      <w:r w:rsidRPr="00763119">
        <w:rPr>
          <w:sz w:val="16"/>
        </w:rPr>
        <w:t xml:space="preserve"> perhaps </w:t>
      </w:r>
      <w:r w:rsidRPr="00256189">
        <w:rPr>
          <w:rStyle w:val="Emphasis"/>
          <w:highlight w:val="cyan"/>
        </w:rPr>
        <w:t>20</w:t>
      </w:r>
      <w:r w:rsidRPr="00256189">
        <w:rPr>
          <w:rStyle w:val="Emphasis"/>
        </w:rPr>
        <w:t xml:space="preserve"> interstate </w:t>
      </w:r>
      <w:r w:rsidRPr="00256189">
        <w:rPr>
          <w:rStyle w:val="Emphasis"/>
          <w:highlight w:val="cyan"/>
        </w:rPr>
        <w:t>wars</w:t>
      </w:r>
      <w:r w:rsidRPr="00763119">
        <w:rPr>
          <w:sz w:val="16"/>
        </w:rPr>
        <w:t xml:space="preserve">, </w:t>
      </w:r>
      <w:r w:rsidRPr="00256189">
        <w:rPr>
          <w:rStyle w:val="Emphasis"/>
          <w:highlight w:val="cyan"/>
        </w:rPr>
        <w:t>most</w:t>
      </w:r>
      <w:r w:rsidRPr="00763119">
        <w:rPr>
          <w:rStyle w:val="StyleUnderline"/>
        </w:rPr>
        <w:t xml:space="preserve"> of them </w:t>
      </w:r>
      <w:r w:rsidRPr="00256189">
        <w:rPr>
          <w:rStyle w:val="Emphasis"/>
          <w:highlight w:val="cyan"/>
        </w:rPr>
        <w:t>unrelated to</w:t>
      </w:r>
      <w:r w:rsidRPr="00256189">
        <w:rPr>
          <w:rStyle w:val="StyleUnderline"/>
          <w:highlight w:val="cyan"/>
        </w:rPr>
        <w:t xml:space="preserve"> the</w:t>
      </w:r>
      <w:r w:rsidRPr="00763119">
        <w:rPr>
          <w:sz w:val="16"/>
        </w:rPr>
        <w:t xml:space="preserve"> state of the </w:t>
      </w:r>
      <w:r w:rsidRPr="00256189">
        <w:rPr>
          <w:rStyle w:val="Emphasis"/>
          <w:highlight w:val="cyan"/>
        </w:rPr>
        <w:t>economy</w:t>
      </w:r>
      <w:r w:rsidRPr="00763119">
        <w:rPr>
          <w:sz w:val="16"/>
        </w:rPr>
        <w:t>. To paraphrase the economist </w:t>
      </w:r>
      <w:hyperlink r:id="rId273" w:anchor="308e13d74089" w:history="1">
        <w:r w:rsidRPr="00763119">
          <w:rPr>
            <w:rStyle w:val="Hyperlink"/>
            <w:sz w:val="16"/>
          </w:rPr>
          <w:t>Paul Samuelson’s famous quip about the stock market</w:t>
        </w:r>
      </w:hyperlink>
      <w:r w:rsidRPr="00763119">
        <w:rPr>
          <w:sz w:val="16"/>
        </w:rPr>
        <w:t>, if recessions were a powerful cause of war, they would have predicted “nine out of the last five (or fewer).”</w:t>
      </w:r>
    </w:p>
    <w:p w14:paraId="2BE4109E" w14:textId="77777777" w:rsidR="00456038" w:rsidRPr="00256189" w:rsidRDefault="00456038" w:rsidP="00456038">
      <w:pPr>
        <w:rPr>
          <w:sz w:val="16"/>
        </w:rPr>
      </w:pPr>
      <w:r w:rsidRPr="00256189">
        <w:rPr>
          <w:sz w:val="16"/>
        </w:rPr>
        <w:t xml:space="preserve">Second, </w:t>
      </w:r>
      <w:r w:rsidRPr="00256189">
        <w:rPr>
          <w:rStyle w:val="StyleUnderline"/>
        </w:rPr>
        <w:t>states do not start wars unless they believe they will win</w:t>
      </w:r>
      <w:r w:rsidRPr="00256189">
        <w:rPr>
          <w:sz w:val="16"/>
        </w:rPr>
        <w:t xml:space="preserve"> a quick and relatively cheap victory. As John </w:t>
      </w:r>
      <w:r w:rsidRPr="00256189">
        <w:rPr>
          <w:rStyle w:val="Emphasis"/>
        </w:rPr>
        <w:t>Mearsheimer</w:t>
      </w:r>
      <w:r w:rsidRPr="00256189">
        <w:rPr>
          <w:sz w:val="16"/>
        </w:rPr>
        <w:t xml:space="preserve"> </w:t>
      </w:r>
      <w:r w:rsidRPr="00256189">
        <w:rPr>
          <w:rStyle w:val="StyleUnderline"/>
        </w:rPr>
        <w:t>showed</w:t>
      </w:r>
      <w:r w:rsidRPr="00256189">
        <w:rPr>
          <w:sz w:val="16"/>
        </w:rPr>
        <w:t xml:space="preserve"> in his classic book </w:t>
      </w:r>
      <w:hyperlink r:id="rId274" w:history="1">
        <w:r w:rsidRPr="00256189">
          <w:rPr>
            <w:rStyle w:val="Hyperlink"/>
            <w:sz w:val="16"/>
          </w:rPr>
          <w:t>Conventional Deterrence</w:t>
        </w:r>
      </w:hyperlink>
      <w:r w:rsidRPr="00256189">
        <w:rPr>
          <w:sz w:val="16"/>
        </w:rPr>
        <w:t xml:space="preserve">, </w:t>
      </w:r>
      <w:r w:rsidRPr="00256189">
        <w:rPr>
          <w:rStyle w:val="StyleUnderline"/>
        </w:rPr>
        <w:t xml:space="preserve">national </w:t>
      </w:r>
      <w:r w:rsidRPr="00256189">
        <w:rPr>
          <w:rStyle w:val="Emphasis"/>
          <w:highlight w:val="cyan"/>
        </w:rPr>
        <w:t>leaders</w:t>
      </w:r>
      <w:r w:rsidRPr="00256189">
        <w:rPr>
          <w:rStyle w:val="StyleUnderline"/>
          <w:highlight w:val="cyan"/>
        </w:rPr>
        <w:t xml:space="preserve"> </w:t>
      </w:r>
      <w:r w:rsidRPr="00256189">
        <w:rPr>
          <w:rStyle w:val="Emphasis"/>
          <w:highlight w:val="cyan"/>
        </w:rPr>
        <w:t>avoid war</w:t>
      </w:r>
      <w:r w:rsidRPr="00256189">
        <w:rPr>
          <w:rStyle w:val="StyleUnderline"/>
          <w:highlight w:val="cyan"/>
        </w:rPr>
        <w:t xml:space="preserve"> when </w:t>
      </w:r>
      <w:r w:rsidRPr="00256189">
        <w:rPr>
          <w:rStyle w:val="Emphasis"/>
          <w:highlight w:val="cyan"/>
        </w:rPr>
        <w:t>they are convinced it will be long</w:t>
      </w:r>
      <w:r w:rsidRPr="00256189">
        <w:rPr>
          <w:rStyle w:val="StyleUnderline"/>
        </w:rPr>
        <w:t>, bloody, costly, and uncertain</w:t>
      </w:r>
      <w:r w:rsidRPr="00256189">
        <w:rPr>
          <w:sz w:val="16"/>
        </w:rPr>
        <w:t xml:space="preserve">. To choose war, political </w:t>
      </w:r>
      <w:r w:rsidRPr="00256189">
        <w:rPr>
          <w:rStyle w:val="StyleUnderline"/>
        </w:rPr>
        <w:t>leaders have to convince themselves they can</w:t>
      </w:r>
      <w:r w:rsidRPr="00256189">
        <w:rPr>
          <w:sz w:val="16"/>
        </w:rPr>
        <w:t xml:space="preserve"> either </w:t>
      </w:r>
      <w:r w:rsidRPr="00256189">
        <w:rPr>
          <w:rStyle w:val="StyleUnderline"/>
        </w:rPr>
        <w:t>win a quick, cheap, and decisive victory o</w:t>
      </w:r>
      <w:r w:rsidRPr="00256189">
        <w:rPr>
          <w:sz w:val="16"/>
        </w:rPr>
        <w:t xml:space="preserve">r achieve some limited objective at low cost. </w:t>
      </w:r>
      <w:r w:rsidRPr="00256189">
        <w:rPr>
          <w:rStyle w:val="StyleUnderline"/>
        </w:rPr>
        <w:t>Europe went to war in 1914</w:t>
      </w:r>
      <w:r w:rsidRPr="00256189">
        <w:rPr>
          <w:sz w:val="16"/>
        </w:rPr>
        <w:t xml:space="preserve">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w:t>
      </w:r>
      <w:r w:rsidRPr="00256189">
        <w:rPr>
          <w:rStyle w:val="StyleUnderline"/>
        </w:rPr>
        <w:t>Bush invaded Iraq in 2003 convinced the war would be short</w:t>
      </w:r>
      <w:r w:rsidRPr="00256189">
        <w:rPr>
          <w:sz w:val="16"/>
        </w:rPr>
        <w:t>, successful, and pay for itself.</w:t>
      </w:r>
    </w:p>
    <w:p w14:paraId="675E5A9B" w14:textId="77777777" w:rsidR="00456038" w:rsidRPr="00256189" w:rsidRDefault="00456038" w:rsidP="00456038">
      <w:pPr>
        <w:rPr>
          <w:sz w:val="16"/>
        </w:rPr>
      </w:pPr>
      <w:r w:rsidRPr="00256189">
        <w:rPr>
          <w:sz w:val="16"/>
        </w:rPr>
        <w:t xml:space="preserve">The fact that each of these leaders miscalculated badly does not alter the main point: </w:t>
      </w:r>
      <w:r w:rsidRPr="00256189">
        <w:rPr>
          <w:rStyle w:val="Emphasis"/>
        </w:rPr>
        <w:t>No matter</w:t>
      </w:r>
      <w:r w:rsidRPr="00256189">
        <w:rPr>
          <w:rStyle w:val="StyleUnderline"/>
        </w:rPr>
        <w:t xml:space="preserve"> what a country’s </w:t>
      </w:r>
      <w:r w:rsidRPr="00256189">
        <w:rPr>
          <w:rStyle w:val="Emphasis"/>
        </w:rPr>
        <w:t>economic condition</w:t>
      </w:r>
      <w:r w:rsidRPr="00256189">
        <w:rPr>
          <w:rStyle w:val="StyleUnderline"/>
        </w:rPr>
        <w:t xml:space="preserve"> might be</w:t>
      </w:r>
      <w:r w:rsidRPr="00256189">
        <w:rPr>
          <w:sz w:val="16"/>
        </w:rPr>
        <w:t xml:space="preserve">, its </w:t>
      </w:r>
      <w:r w:rsidRPr="00256189">
        <w:rPr>
          <w:rStyle w:val="Emphasis"/>
        </w:rPr>
        <w:t>leaders will not go to war unless</w:t>
      </w:r>
      <w:r w:rsidRPr="00256189">
        <w:rPr>
          <w:rStyle w:val="StyleUnderline"/>
        </w:rPr>
        <w:t xml:space="preserve"> they think </w:t>
      </w:r>
      <w:r w:rsidRPr="00256189">
        <w:rPr>
          <w:rStyle w:val="Emphasis"/>
        </w:rPr>
        <w:t>they can</w:t>
      </w:r>
      <w:r w:rsidRPr="00256189">
        <w:rPr>
          <w:rStyle w:val="StyleUnderline"/>
        </w:rPr>
        <w:t xml:space="preserve"> do so </w:t>
      </w:r>
      <w:r w:rsidRPr="00256189">
        <w:rPr>
          <w:rStyle w:val="Emphasis"/>
        </w:rPr>
        <w:t>quickly</w:t>
      </w:r>
      <w:r w:rsidRPr="00256189">
        <w:rPr>
          <w:sz w:val="16"/>
        </w:rPr>
        <w:t>, cheaply, and with a reasonable probability of success.</w:t>
      </w:r>
    </w:p>
    <w:p w14:paraId="29C6EB04" w14:textId="77777777" w:rsidR="00456038" w:rsidRPr="00256189" w:rsidRDefault="00456038" w:rsidP="00456038">
      <w:pPr>
        <w:rPr>
          <w:sz w:val="16"/>
        </w:rPr>
      </w:pPr>
      <w:r w:rsidRPr="00256189">
        <w:rPr>
          <w:sz w:val="16"/>
        </w:rPr>
        <w:t xml:space="preserve">Third, and most important, </w:t>
      </w:r>
      <w:r w:rsidRPr="00256189">
        <w:rPr>
          <w:rStyle w:val="StyleUnderline"/>
        </w:rPr>
        <w:t>the</w:t>
      </w:r>
      <w:r w:rsidRPr="00256189">
        <w:rPr>
          <w:sz w:val="16"/>
        </w:rPr>
        <w:t xml:space="preserve"> primary </w:t>
      </w:r>
      <w:r w:rsidRPr="00256189">
        <w:rPr>
          <w:rStyle w:val="StyleUnderline"/>
        </w:rPr>
        <w:t>motivation for most wars is the desire for security, not economic gain</w:t>
      </w:r>
      <w:r w:rsidRPr="00256189">
        <w:rPr>
          <w:sz w:val="16"/>
        </w:rPr>
        <w:t xml:space="preserve">. For this reason, </w:t>
      </w:r>
      <w:r w:rsidRPr="00256189">
        <w:rPr>
          <w:rStyle w:val="StyleUnderline"/>
        </w:rPr>
        <w:t>the odds of war increase when states believe the long-term balance of power may be shifting against them</w:t>
      </w:r>
      <w:r w:rsidRPr="00256189">
        <w:rPr>
          <w:sz w:val="16"/>
        </w:rPr>
        <w:t xml:space="preserve">, when they are convinced that adversaries are unalterably hostile and cannot be accommodated, and when they are confident they can reverse the unfavorable trends and establish a secure position if they act now. The </w:t>
      </w:r>
      <w:r w:rsidRPr="00256189">
        <w:rPr>
          <w:rStyle w:val="StyleUnderline"/>
        </w:rPr>
        <w:t>historian</w:t>
      </w:r>
      <w:r w:rsidRPr="00256189">
        <w:rPr>
          <w:sz w:val="16"/>
        </w:rPr>
        <w:t xml:space="preserve"> A.J.P. </w:t>
      </w:r>
      <w:r w:rsidRPr="00256189">
        <w:rPr>
          <w:rStyle w:val="StyleUnderline"/>
        </w:rPr>
        <w:t>Taylor</w:t>
      </w:r>
      <w:r w:rsidRPr="00256189">
        <w:rPr>
          <w:sz w:val="16"/>
        </w:rPr>
        <w:t xml:space="preserve"> once </w:t>
      </w:r>
      <w:r w:rsidRPr="00256189">
        <w:rPr>
          <w:rStyle w:val="StyleUnderline"/>
        </w:rPr>
        <w:t>observed that “every war between Great Powers</w:t>
      </w:r>
      <w:r w:rsidRPr="00256189">
        <w:rPr>
          <w:sz w:val="16"/>
        </w:rPr>
        <w:t xml:space="preserve"> [between 1848 and 1918] … </w:t>
      </w:r>
      <w:r w:rsidRPr="00256189">
        <w:rPr>
          <w:rStyle w:val="StyleUnderline"/>
        </w:rPr>
        <w:t>started as a preventive war, not as a war of conquest</w:t>
      </w:r>
      <w:r w:rsidRPr="00256189">
        <w:rPr>
          <w:sz w:val="16"/>
        </w:rPr>
        <w:t xml:space="preserve">,” and </w:t>
      </w:r>
      <w:r w:rsidRPr="00256189">
        <w:rPr>
          <w:rStyle w:val="Emphasis"/>
        </w:rPr>
        <w:t>that remains true</w:t>
      </w:r>
      <w:r w:rsidRPr="00256189">
        <w:rPr>
          <w:sz w:val="16"/>
        </w:rPr>
        <w:t xml:space="preserve"> of most wars fought since then.</w:t>
      </w:r>
    </w:p>
    <w:p w14:paraId="4F32B1D9" w14:textId="77777777" w:rsidR="00456038" w:rsidRPr="00256189" w:rsidRDefault="00456038" w:rsidP="00456038">
      <w:pPr>
        <w:rPr>
          <w:sz w:val="16"/>
        </w:rPr>
      </w:pPr>
      <w:r w:rsidRPr="00256189">
        <w:rPr>
          <w:sz w:val="16"/>
        </w:rPr>
        <w:t xml:space="preserve">The bottom line: </w:t>
      </w:r>
      <w:r w:rsidRPr="00256189">
        <w:rPr>
          <w:rStyle w:val="Emphasis"/>
          <w:highlight w:val="cyan"/>
        </w:rPr>
        <w:t>Economic conditions</w:t>
      </w:r>
      <w:r w:rsidRPr="00256189">
        <w:rPr>
          <w:rStyle w:val="StyleUnderline"/>
        </w:rPr>
        <w:t xml:space="preserve"> (i.e., a depression) </w:t>
      </w:r>
      <w:r w:rsidRPr="00256189">
        <w:rPr>
          <w:rStyle w:val="StyleUnderline"/>
          <w:highlight w:val="cyan"/>
        </w:rPr>
        <w:t>may affect</w:t>
      </w:r>
      <w:r w:rsidRPr="00256189">
        <w:rPr>
          <w:rStyle w:val="StyleUnderline"/>
        </w:rPr>
        <w:t xml:space="preserve"> the </w:t>
      </w:r>
      <w:r w:rsidRPr="00256189">
        <w:rPr>
          <w:sz w:val="16"/>
        </w:rPr>
        <w:t xml:space="preserve">broader </w:t>
      </w:r>
      <w:r w:rsidRPr="00256189">
        <w:rPr>
          <w:rStyle w:val="StyleUnderline"/>
          <w:highlight w:val="cyan"/>
        </w:rPr>
        <w:t>political environment</w:t>
      </w:r>
      <w:r w:rsidRPr="00256189">
        <w:rPr>
          <w:sz w:val="16"/>
        </w:rPr>
        <w:t xml:space="preserve"> in which decisions for war or peace are made, </w:t>
      </w:r>
      <w:r w:rsidRPr="00256189">
        <w:rPr>
          <w:rStyle w:val="StyleUnderline"/>
          <w:highlight w:val="cyan"/>
        </w:rPr>
        <w:t>but</w:t>
      </w:r>
      <w:r w:rsidRPr="00256189">
        <w:rPr>
          <w:rStyle w:val="StyleUnderline"/>
        </w:rPr>
        <w:t xml:space="preserve"> they </w:t>
      </w:r>
      <w:r w:rsidRPr="00256189">
        <w:rPr>
          <w:rStyle w:val="Emphasis"/>
          <w:highlight w:val="cyan"/>
        </w:rPr>
        <w:t>are only one factor</w:t>
      </w:r>
      <w:r w:rsidRPr="00256189">
        <w:rPr>
          <w:sz w:val="16"/>
        </w:rPr>
        <w:t xml:space="preserve"> among many </w:t>
      </w:r>
      <w:r w:rsidRPr="00256189">
        <w:rPr>
          <w:rStyle w:val="Emphasis"/>
          <w:highlight w:val="cyan"/>
        </w:rPr>
        <w:t>and rarely the most significant</w:t>
      </w:r>
      <w:r w:rsidRPr="00256189">
        <w:rPr>
          <w:sz w:val="16"/>
        </w:rPr>
        <w:t xml:space="preserve">. </w:t>
      </w:r>
      <w:r w:rsidRPr="00256189">
        <w:rPr>
          <w:rStyle w:val="StyleUnderline"/>
          <w:highlight w:val="cyan"/>
        </w:rPr>
        <w:t>Even if</w:t>
      </w:r>
      <w:r w:rsidRPr="00256189">
        <w:rPr>
          <w:sz w:val="16"/>
        </w:rPr>
        <w:t xml:space="preserve"> the </w:t>
      </w:r>
      <w:r w:rsidRPr="00256189">
        <w:rPr>
          <w:rStyle w:val="Emphasis"/>
          <w:highlight w:val="cyan"/>
        </w:rPr>
        <w:t>COVID</w:t>
      </w:r>
      <w:r w:rsidRPr="00256189">
        <w:rPr>
          <w:sz w:val="16"/>
        </w:rPr>
        <w:t xml:space="preserve">-19 pandemic </w:t>
      </w:r>
      <w:r w:rsidRPr="00256189">
        <w:rPr>
          <w:rStyle w:val="StyleUnderline"/>
          <w:highlight w:val="cyan"/>
        </w:rPr>
        <w:t>has</w:t>
      </w:r>
      <w:r w:rsidRPr="00256189">
        <w:rPr>
          <w:sz w:val="16"/>
        </w:rPr>
        <w:t xml:space="preserve"> large, </w:t>
      </w:r>
      <w:r w:rsidRPr="00256189">
        <w:rPr>
          <w:rStyle w:val="StyleUnderline"/>
          <w:highlight w:val="cyan"/>
        </w:rPr>
        <w:t>lasting</w:t>
      </w:r>
      <w:r w:rsidRPr="00256189">
        <w:rPr>
          <w:sz w:val="16"/>
        </w:rPr>
        <w:t xml:space="preserve">, and </w:t>
      </w:r>
      <w:r w:rsidRPr="00256189">
        <w:rPr>
          <w:rStyle w:val="StyleUnderline"/>
        </w:rPr>
        <w:t xml:space="preserve">negative </w:t>
      </w:r>
      <w:r w:rsidRPr="00256189">
        <w:rPr>
          <w:rStyle w:val="Emphasis"/>
          <w:highlight w:val="cyan"/>
        </w:rPr>
        <w:t>effects</w:t>
      </w:r>
      <w:r w:rsidRPr="00256189">
        <w:rPr>
          <w:rStyle w:val="StyleUnderline"/>
        </w:rPr>
        <w:t xml:space="preserve"> on the world economy</w:t>
      </w:r>
      <w:r w:rsidRPr="00256189">
        <w:rPr>
          <w:sz w:val="16"/>
        </w:rPr>
        <w:t>—as seems quite likely—</w:t>
      </w:r>
      <w:r w:rsidRPr="00256189">
        <w:rPr>
          <w:rStyle w:val="StyleUnderline"/>
          <w:highlight w:val="cyan"/>
        </w:rPr>
        <w:t xml:space="preserve">it is </w:t>
      </w:r>
      <w:r w:rsidRPr="00256189">
        <w:rPr>
          <w:rStyle w:val="Emphasis"/>
          <w:highlight w:val="cyan"/>
        </w:rPr>
        <w:t>not likely to affect</w:t>
      </w:r>
      <w:r w:rsidRPr="00256189">
        <w:rPr>
          <w:rStyle w:val="StyleUnderline"/>
          <w:highlight w:val="cyan"/>
        </w:rPr>
        <w:t xml:space="preserve"> the probability of </w:t>
      </w:r>
      <w:r w:rsidRPr="00256189">
        <w:rPr>
          <w:rStyle w:val="Emphasis"/>
          <w:highlight w:val="cyan"/>
        </w:rPr>
        <w:t>war</w:t>
      </w:r>
      <w:r w:rsidRPr="00256189">
        <w:rPr>
          <w:sz w:val="16"/>
        </w:rPr>
        <w:t xml:space="preserve"> very much, </w:t>
      </w:r>
      <w:r w:rsidRPr="00256189">
        <w:rPr>
          <w:rStyle w:val="Emphasis"/>
        </w:rPr>
        <w:t>especially in the short term</w:t>
      </w:r>
      <w:r w:rsidRPr="00256189">
        <w:rPr>
          <w:sz w:val="16"/>
        </w:rPr>
        <w:t>.</w:t>
      </w:r>
    </w:p>
    <w:p w14:paraId="3473F733" w14:textId="1571A80B" w:rsidR="004E2D89" w:rsidRDefault="004E2D89" w:rsidP="00456038">
      <w:pPr>
        <w:pStyle w:val="Heading3"/>
      </w:pPr>
      <w:r>
        <w:t>2NC – AT: Econ Decline War</w:t>
      </w:r>
    </w:p>
    <w:p w14:paraId="361AF7BC" w14:textId="77777777" w:rsidR="004E2D89" w:rsidRDefault="004E2D89" w:rsidP="004E2D89">
      <w:pPr>
        <w:pStyle w:val="Heading4"/>
      </w:pPr>
      <w:r>
        <w:t>Economic wars are impossible to predict.</w:t>
      </w:r>
    </w:p>
    <w:p w14:paraId="439EA710" w14:textId="77777777" w:rsidR="004E2D89" w:rsidRPr="005C0AFD" w:rsidRDefault="004E2D89" w:rsidP="004E2D89">
      <w:r w:rsidRPr="005C0AFD">
        <w:rPr>
          <w:rStyle w:val="Style13ptBold"/>
        </w:rPr>
        <w:t>Laio 19</w:t>
      </w:r>
      <w:r>
        <w:t xml:space="preserve"> </w:t>
      </w:r>
      <w:r w:rsidRPr="005C0AFD">
        <w:t>Jianan Liao, Shenzhen Nanshan Foreign Language School</w:t>
      </w:r>
      <w:r>
        <w:t>. [Business Cycle and War: A Literature Review and Evaluation, Advances in Economics, Business and Management Research, Volume 68, International Symposium on Social Science and Management Innovation, https://download.atlantis-press.com/article/55913122.pdf]//BPS</w:t>
      </w:r>
    </w:p>
    <w:p w14:paraId="387BDA65" w14:textId="77777777" w:rsidR="004E2D89" w:rsidRPr="00451A6A" w:rsidRDefault="004E2D89" w:rsidP="004E2D89">
      <w:pPr>
        <w:rPr>
          <w:sz w:val="16"/>
        </w:rPr>
      </w:pPr>
      <w:r w:rsidRPr="00451A6A">
        <w:rPr>
          <w:sz w:val="16"/>
        </w:rPr>
        <w:t xml:space="preserve">Through the comparison of the two views, it can be found that </w:t>
      </w:r>
      <w:r w:rsidRPr="00451A6A">
        <w:rPr>
          <w:rStyle w:val="StyleUnderline"/>
        </w:rPr>
        <w:t xml:space="preserve">both sides are </w:t>
      </w:r>
      <w:r w:rsidRPr="00451A6A">
        <w:rPr>
          <w:rStyle w:val="Emphasis"/>
        </w:rPr>
        <w:t>too vague</w:t>
      </w:r>
      <w:r w:rsidRPr="00451A6A">
        <w:rPr>
          <w:sz w:val="16"/>
        </w:rPr>
        <w:t xml:space="preserve"> in the description of the concept of business cycle. According to economists such as Joseph Schumpeter, the </w:t>
      </w:r>
      <w:r w:rsidRPr="00451A6A">
        <w:rPr>
          <w:rStyle w:val="StyleUnderline"/>
        </w:rPr>
        <w:t>business cycle is divided into four phases: expansion, crisis, recession, recovery</w:t>
      </w:r>
      <w:r w:rsidRPr="00451A6A">
        <w:rPr>
          <w:sz w:val="16"/>
        </w:rPr>
        <w:t xml:space="preserve">. [12] Although there are discords in the division and naming of business cycle, it is certain that </w:t>
      </w:r>
      <w:r w:rsidRPr="00451A6A">
        <w:rPr>
          <w:rStyle w:val="StyleUnderline"/>
        </w:rPr>
        <w:t xml:space="preserve">they are not </w:t>
      </w:r>
      <w:r w:rsidRPr="00451A6A">
        <w:rPr>
          <w:rStyle w:val="Emphasis"/>
        </w:rPr>
        <w:t>simply divided</w:t>
      </w:r>
      <w:r w:rsidRPr="00451A6A">
        <w:rPr>
          <w:rStyle w:val="StyleUnderline"/>
        </w:rPr>
        <w:t xml:space="preserve"> into</w:t>
      </w:r>
      <w:r w:rsidRPr="00451A6A">
        <w:rPr>
          <w:sz w:val="16"/>
        </w:rPr>
        <w:t xml:space="preserve"> two stages of </w:t>
      </w:r>
      <w:r w:rsidRPr="00451A6A">
        <w:rPr>
          <w:rStyle w:val="StyleUnderline"/>
        </w:rPr>
        <w:t>rise and recession</w:t>
      </w:r>
      <w:r w:rsidRPr="00451A6A">
        <w:rPr>
          <w:sz w:val="16"/>
        </w:rPr>
        <w:t xml:space="preserve">. However, as mentioned above, </w:t>
      </w:r>
      <w:r w:rsidRPr="004011D2">
        <w:rPr>
          <w:rStyle w:val="StyleUnderline"/>
          <w:highlight w:val="cyan"/>
        </w:rPr>
        <w:t>scholars who discussed</w:t>
      </w:r>
      <w:r>
        <w:rPr>
          <w:rStyle w:val="StyleUnderline"/>
        </w:rPr>
        <w:t xml:space="preserve"> </w:t>
      </w:r>
      <w:r w:rsidRPr="00451A6A">
        <w:rPr>
          <w:sz w:val="16"/>
        </w:rPr>
        <w:t xml:space="preserve">the </w:t>
      </w:r>
      <w:r w:rsidRPr="004011D2">
        <w:rPr>
          <w:rStyle w:val="StyleUnderline"/>
          <w:highlight w:val="cyan"/>
        </w:rPr>
        <w:t>relationship between</w:t>
      </w:r>
      <w:r w:rsidRPr="00901A4F">
        <w:rPr>
          <w:rStyle w:val="StyleUnderline"/>
        </w:rPr>
        <w:t xml:space="preserve"> business </w:t>
      </w:r>
      <w:r w:rsidRPr="004011D2">
        <w:rPr>
          <w:rStyle w:val="StyleUnderline"/>
          <w:highlight w:val="cyan"/>
        </w:rPr>
        <w:t>cycle and war</w:t>
      </w:r>
      <w:r w:rsidRPr="00451A6A">
        <w:rPr>
          <w:sz w:val="16"/>
        </w:rPr>
        <w:t xml:space="preserve"> often </w:t>
      </w:r>
      <w:r w:rsidRPr="004011D2">
        <w:rPr>
          <w:rStyle w:val="Emphasis"/>
          <w:highlight w:val="cyan"/>
        </w:rPr>
        <w:t>failed to divide</w:t>
      </w:r>
      <w:r w:rsidRPr="00901A4F">
        <w:rPr>
          <w:rStyle w:val="StyleUnderline"/>
        </w:rPr>
        <w:t xml:space="preserve"> the business cycle into </w:t>
      </w:r>
      <w:r w:rsidRPr="004011D2">
        <w:rPr>
          <w:rStyle w:val="StyleUnderline"/>
          <w:highlight w:val="cyan"/>
        </w:rPr>
        <w:t>four stages</w:t>
      </w:r>
      <w:r w:rsidRPr="00451A6A">
        <w:rPr>
          <w:sz w:val="16"/>
        </w:rPr>
        <w:t xml:space="preserve"> in detail to analyze the relationship.</w:t>
      </w:r>
    </w:p>
    <w:p w14:paraId="02761668" w14:textId="77777777" w:rsidR="004E2D89" w:rsidRPr="00596FD2" w:rsidRDefault="004E2D89" w:rsidP="004E2D89">
      <w:pPr>
        <w:rPr>
          <w:rStyle w:val="StyleUnderline"/>
        </w:rPr>
      </w:pPr>
      <w:r w:rsidRPr="00451A6A">
        <w:rPr>
          <w:sz w:val="16"/>
        </w:rPr>
        <w:t xml:space="preserve">First, </w:t>
      </w:r>
      <w:r w:rsidRPr="004011D2">
        <w:rPr>
          <w:rStyle w:val="StyleUnderline"/>
          <w:highlight w:val="cyan"/>
        </w:rPr>
        <w:t xml:space="preserve">war can occur at </w:t>
      </w:r>
      <w:r w:rsidRPr="004011D2">
        <w:rPr>
          <w:rStyle w:val="Emphasis"/>
          <w:highlight w:val="cyan"/>
        </w:rPr>
        <w:t>any</w:t>
      </w:r>
      <w:r w:rsidRPr="00B34593">
        <w:rPr>
          <w:rStyle w:val="Emphasis"/>
        </w:rPr>
        <w:t xml:space="preserve"> stage</w:t>
      </w:r>
      <w:r w:rsidRPr="00B34593">
        <w:rPr>
          <w:rStyle w:val="StyleUnderline"/>
        </w:rPr>
        <w:t xml:space="preserve"> </w:t>
      </w:r>
      <w:r w:rsidRPr="004011D2">
        <w:rPr>
          <w:rStyle w:val="StyleUnderline"/>
          <w:highlight w:val="cyan"/>
        </w:rPr>
        <w:t xml:space="preserve">of expansion, crisis, recession, recovery, so it is </w:t>
      </w:r>
      <w:r w:rsidRPr="004011D2">
        <w:rPr>
          <w:rStyle w:val="Emphasis"/>
          <w:highlight w:val="cyan"/>
        </w:rPr>
        <w:t>unrealistic</w:t>
      </w:r>
      <w:r w:rsidRPr="004011D2">
        <w:rPr>
          <w:rStyle w:val="StyleUnderline"/>
          <w:highlight w:val="cyan"/>
        </w:rPr>
        <w:t xml:space="preserve"> to assume</w:t>
      </w:r>
      <w:r w:rsidRPr="00451A6A">
        <w:rPr>
          <w:sz w:val="16"/>
        </w:rPr>
        <w:t xml:space="preserve"> that </w:t>
      </w:r>
      <w:r w:rsidRPr="004011D2">
        <w:rPr>
          <w:rStyle w:val="StyleUnderline"/>
          <w:highlight w:val="cyan"/>
        </w:rPr>
        <w:t>wars</w:t>
      </w:r>
      <w:r w:rsidRPr="00451A6A">
        <w:rPr>
          <w:rStyle w:val="StyleUnderline"/>
        </w:rPr>
        <w:t xml:space="preserve"> occur </w:t>
      </w:r>
      <w:r w:rsidRPr="004011D2">
        <w:rPr>
          <w:rStyle w:val="StyleUnderline"/>
          <w:highlight w:val="cyan"/>
        </w:rPr>
        <w:t xml:space="preserve">at </w:t>
      </w:r>
      <w:r w:rsidRPr="004011D2">
        <w:rPr>
          <w:rStyle w:val="Emphasis"/>
          <w:highlight w:val="cyan"/>
        </w:rPr>
        <w:t>any</w:t>
      </w:r>
      <w:r w:rsidRPr="00B34593">
        <w:rPr>
          <w:rStyle w:val="Emphasis"/>
        </w:rPr>
        <w:t xml:space="preserve"> particular </w:t>
      </w:r>
      <w:r w:rsidRPr="004011D2">
        <w:rPr>
          <w:rStyle w:val="Emphasis"/>
          <w:highlight w:val="cyan"/>
        </w:rPr>
        <w:t>stage</w:t>
      </w:r>
      <w:r w:rsidRPr="00B34593">
        <w:rPr>
          <w:rStyle w:val="StyleUnderline"/>
        </w:rPr>
        <w:t xml:space="preserve"> of the business cycle</w:t>
      </w:r>
      <w:r w:rsidRPr="00451A6A">
        <w:rPr>
          <w:sz w:val="16"/>
        </w:rPr>
        <w:t xml:space="preserve">. On the one hand, although the </w:t>
      </w:r>
      <w:r w:rsidRPr="00B34593">
        <w:rPr>
          <w:rStyle w:val="StyleUnderline"/>
        </w:rPr>
        <w:t>domestic economic problems</w:t>
      </w:r>
      <w:r w:rsidRPr="00451A6A">
        <w:rPr>
          <w:sz w:val="16"/>
        </w:rPr>
        <w:t xml:space="preserve"> in the crisis/recession/depression period </w:t>
      </w:r>
      <w:r w:rsidRPr="00B34593">
        <w:rPr>
          <w:rStyle w:val="StyleUnderline"/>
        </w:rPr>
        <w:t>break out</w:t>
      </w:r>
      <w:r w:rsidRPr="00451A6A">
        <w:rPr>
          <w:sz w:val="16"/>
        </w:rPr>
        <w:t xml:space="preserve"> and become prominent </w:t>
      </w:r>
      <w:r w:rsidRPr="00B34593">
        <w:rPr>
          <w:rStyle w:val="StyleUnderline"/>
        </w:rPr>
        <w:t>in a short time</w:t>
      </w:r>
      <w:r w:rsidRPr="00451A6A">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451A6A">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decision to wage wars depends largely on the consideration of the gain and loss of wars.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4011D2">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4011D2">
        <w:rPr>
          <w:rStyle w:val="StyleUnderline"/>
          <w:highlight w:val="cyan"/>
        </w:rPr>
        <w:t>reasons</w:t>
      </w:r>
      <w:r w:rsidRPr="00596FD2">
        <w:rPr>
          <w:rStyle w:val="StyleUnderline"/>
        </w:rPr>
        <w:t xml:space="preserve"> for its outbreak </w:t>
      </w:r>
      <w:r w:rsidRPr="004011D2">
        <w:rPr>
          <w:rStyle w:val="StyleUnderline"/>
          <w:highlight w:val="cyan"/>
        </w:rPr>
        <w:t xml:space="preserve">in </w:t>
      </w:r>
      <w:r w:rsidRPr="004011D2">
        <w:rPr>
          <w:rStyle w:val="Emphasis"/>
          <w:highlight w:val="cyan"/>
        </w:rPr>
        <w:t>all stages</w:t>
      </w:r>
      <w:r w:rsidRPr="00596FD2">
        <w:rPr>
          <w:rStyle w:val="Emphasis"/>
        </w:rPr>
        <w:t xml:space="preserve"> of the business cycle</w:t>
      </w:r>
      <w:r w:rsidRPr="00596FD2">
        <w:rPr>
          <w:rStyle w:val="StyleUnderline"/>
        </w:rPr>
        <w:t>.</w:t>
      </w:r>
    </w:p>
    <w:p w14:paraId="456E5E0D" w14:textId="1B5E30A9" w:rsidR="004E2D89" w:rsidRDefault="004E2D89" w:rsidP="004E2D89">
      <w:pPr>
        <w:rPr>
          <w:sz w:val="16"/>
        </w:rPr>
      </w:pPr>
      <w:r w:rsidRPr="00451A6A">
        <w:rPr>
          <w:sz w:val="16"/>
        </w:rPr>
        <w:t xml:space="preserve">Second, </w:t>
      </w:r>
      <w:r w:rsidRPr="00596FD2">
        <w:rPr>
          <w:rStyle w:val="Emphasis"/>
        </w:rPr>
        <w:t xml:space="preserve">the economic </w:t>
      </w:r>
      <w:r w:rsidRPr="004011D2">
        <w:rPr>
          <w:rStyle w:val="Emphasis"/>
          <w:highlight w:val="cyan"/>
        </w:rPr>
        <w:t>origin</w:t>
      </w:r>
      <w:r w:rsidRPr="00596FD2">
        <w:rPr>
          <w:rStyle w:val="StyleUnderline"/>
        </w:rPr>
        <w:t xml:space="preserve"> for</w:t>
      </w:r>
      <w:r w:rsidRPr="00451A6A">
        <w:rPr>
          <w:sz w:val="16"/>
        </w:rPr>
        <w:t xml:space="preserve"> the outbreak of </w:t>
      </w:r>
      <w:r w:rsidRPr="00596FD2">
        <w:rPr>
          <w:rStyle w:val="StyleUnderline"/>
        </w:rPr>
        <w:t xml:space="preserve">war </w:t>
      </w:r>
      <w:r w:rsidRPr="004011D2">
        <w:rPr>
          <w:rStyle w:val="StyleUnderline"/>
          <w:highlight w:val="cyan"/>
        </w:rPr>
        <w:t xml:space="preserve">is </w:t>
      </w:r>
      <w:r w:rsidRPr="004011D2">
        <w:rPr>
          <w:rStyle w:val="Emphasis"/>
          <w:highlight w:val="cyan"/>
        </w:rPr>
        <w:t>downward pressure</w:t>
      </w:r>
      <w:r w:rsidRPr="00596FD2">
        <w:rPr>
          <w:rStyle w:val="Emphasis"/>
        </w:rPr>
        <w:t xml:space="preserve"> on the economy</w:t>
      </w:r>
      <w:r w:rsidRPr="00596FD2">
        <w:rPr>
          <w:rStyle w:val="StyleUnderline"/>
        </w:rPr>
        <w:t xml:space="preserve"> rather</w:t>
      </w:r>
      <w:r>
        <w:rPr>
          <w:rStyle w:val="StyleUnderline"/>
        </w:rPr>
        <w:t xml:space="preserve"> </w:t>
      </w:r>
      <w:r w:rsidRPr="00596FD2">
        <w:rPr>
          <w:rStyle w:val="StyleUnderline"/>
        </w:rPr>
        <w:t xml:space="preserve">than optimism or competition for monopoly </w:t>
      </w:r>
      <w:r w:rsidRPr="00D44595">
        <w:rPr>
          <w:rStyle w:val="StyleUnderline"/>
        </w:rPr>
        <w:t>capital, which may exist during</w:t>
      </w:r>
      <w:r w:rsidRPr="00D44595">
        <w:rPr>
          <w:sz w:val="16"/>
        </w:rPr>
        <w:t xml:space="preserve"> economic recession or economic </w:t>
      </w:r>
      <w:r w:rsidRPr="00D44595">
        <w:rPr>
          <w:rStyle w:val="Emphasis"/>
        </w:rPr>
        <w:t>prosperity</w:t>
      </w:r>
      <w:r w:rsidRPr="00D44595">
        <w:rPr>
          <w:sz w:val="16"/>
        </w:rPr>
        <w:t>. This is d</w:t>
      </w:r>
      <w:r w:rsidRPr="00451A6A">
        <w:rPr>
          <w:sz w:val="16"/>
        </w:rPr>
        <w:t xml:space="preserve">ue to a fact that </w:t>
      </w:r>
      <w:r w:rsidRPr="00596FD2">
        <w:rPr>
          <w:rStyle w:val="StyleUnderline"/>
        </w:rPr>
        <w:t>during economic prosperity, people are</w:t>
      </w:r>
      <w:r w:rsidRPr="00451A6A">
        <w:rPr>
          <w:sz w:val="16"/>
        </w:rPr>
        <w:t xml:space="preserve"> also </w:t>
      </w:r>
      <w:r w:rsidRPr="00596FD2">
        <w:rPr>
          <w:rStyle w:val="StyleUnderline"/>
        </w:rPr>
        <w:t>worried</w:t>
      </w:r>
      <w:r>
        <w:rPr>
          <w:rStyle w:val="StyleUnderline"/>
        </w:rPr>
        <w:t xml:space="preserve"> </w:t>
      </w:r>
      <w:r w:rsidRPr="00596FD2">
        <w:rPr>
          <w:rStyle w:val="StyleUnderline"/>
        </w:rPr>
        <w:t xml:space="preserve">about </w:t>
      </w:r>
      <w:r w:rsidRPr="00596FD2">
        <w:rPr>
          <w:rStyle w:val="Emphasis"/>
        </w:rPr>
        <w:t>a potential economic recession</w:t>
      </w:r>
      <w:r w:rsidRPr="00451A6A">
        <w:rPr>
          <w:sz w:val="16"/>
        </w:rPr>
        <w:t xml:space="preserve">. Blainey pointed out that </w:t>
      </w:r>
      <w:r w:rsidRPr="004011D2">
        <w:rPr>
          <w:rStyle w:val="StyleUnderline"/>
          <w:highlight w:val="cyan"/>
        </w:rPr>
        <w:t>wars</w:t>
      </w:r>
      <w:r w:rsidRPr="00596FD2">
        <w:rPr>
          <w:rStyle w:val="StyleUnderline"/>
        </w:rPr>
        <w:t xml:space="preserve"> </w:t>
      </w:r>
      <w:r w:rsidRPr="00596FD2">
        <w:rPr>
          <w:rStyle w:val="Emphasis"/>
        </w:rPr>
        <w:t xml:space="preserve">often </w:t>
      </w:r>
      <w:r w:rsidRPr="004011D2">
        <w:rPr>
          <w:rStyle w:val="Emphasis"/>
          <w:highlight w:val="cyan"/>
        </w:rPr>
        <w:t>occur</w:t>
      </w:r>
      <w:r w:rsidRPr="004011D2">
        <w:rPr>
          <w:rStyle w:val="StyleUnderline"/>
          <w:highlight w:val="cyan"/>
        </w:rPr>
        <w:t xml:space="preserve"> in</w:t>
      </w:r>
      <w:r w:rsidRPr="00596FD2">
        <w:rPr>
          <w:rStyle w:val="StyleUnderline"/>
        </w:rPr>
        <w:t xml:space="preserve"> </w:t>
      </w:r>
      <w:r w:rsidRPr="00596FD2">
        <w:rPr>
          <w:rStyle w:val="Emphasis"/>
        </w:rPr>
        <w:t>the economic</w:t>
      </w:r>
      <w:r>
        <w:rPr>
          <w:rStyle w:val="Emphasis"/>
        </w:rPr>
        <w:t xml:space="preserve"> </w:t>
      </w:r>
      <w:r w:rsidRPr="004011D2">
        <w:rPr>
          <w:rStyle w:val="Emphasis"/>
          <w:highlight w:val="cyan"/>
        </w:rPr>
        <w:t>upturn</w:t>
      </w:r>
      <w:r w:rsidRPr="00451A6A">
        <w:rPr>
          <w:sz w:val="16"/>
        </w:rPr>
        <w:t xml:space="preserve">, which is </w:t>
      </w:r>
      <w:r w:rsidRPr="004011D2">
        <w:rPr>
          <w:rStyle w:val="StyleUnderline"/>
          <w:highlight w:val="cyan"/>
        </w:rPr>
        <w:t>caused by</w:t>
      </w:r>
      <w:r w:rsidRPr="00596FD2">
        <w:rPr>
          <w:rStyle w:val="StyleUnderline"/>
        </w:rPr>
        <w:t xml:space="preserve"> the </w:t>
      </w:r>
      <w:r w:rsidRPr="004011D2">
        <w:rPr>
          <w:rStyle w:val="StyleUnderline"/>
          <w:highlight w:val="cyan"/>
        </w:rPr>
        <w:t>optimism</w:t>
      </w:r>
      <w:r w:rsidRPr="00596FD2">
        <w:rPr>
          <w:rStyle w:val="StyleUnderline"/>
        </w:rPr>
        <w:t xml:space="preserve"> in people's mind</w:t>
      </w:r>
      <w:r w:rsidRPr="00451A6A">
        <w:rPr>
          <w:sz w:val="16"/>
        </w:rPr>
        <w:t xml:space="preserve"> [14], </w:t>
      </w:r>
      <w:r w:rsidRPr="00596FD2">
        <w:rPr>
          <w:rStyle w:val="StyleUnderline"/>
        </w:rPr>
        <w:t xml:space="preserve">that is, the </w:t>
      </w:r>
      <w:r w:rsidRPr="00596FD2">
        <w:rPr>
          <w:rStyle w:val="Emphasis"/>
        </w:rPr>
        <w:t xml:space="preserve">confidence </w:t>
      </w:r>
      <w:r w:rsidRPr="004011D2">
        <w:rPr>
          <w:rStyle w:val="Emphasis"/>
          <w:highlight w:val="cyan"/>
        </w:rPr>
        <w:t>to prevail</w:t>
      </w:r>
      <w:r w:rsidRPr="00451A6A">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596FD2">
        <w:rPr>
          <w:rStyle w:val="StyleUnderline"/>
        </w:rPr>
        <w:t>Optimism</w:t>
      </w:r>
      <w:r w:rsidRPr="00451A6A">
        <w:rPr>
          <w:sz w:val="16"/>
        </w:rPr>
        <w:t xml:space="preserve"> is not a major factor leading to war, but </w:t>
      </w:r>
      <w:r w:rsidRPr="00596FD2">
        <w:rPr>
          <w:rStyle w:val="StyleUnderline"/>
        </w:rPr>
        <w:t>may</w:t>
      </w:r>
      <w:r w:rsidRPr="00451A6A">
        <w:rPr>
          <w:sz w:val="16"/>
        </w:rPr>
        <w:t xml:space="preserve"> somewhat </w:t>
      </w:r>
      <w:r w:rsidRPr="00596FD2">
        <w:rPr>
          <w:rStyle w:val="StyleUnderline"/>
        </w:rPr>
        <w:t xml:space="preserve">serve as </w:t>
      </w:r>
      <w:r w:rsidRPr="00596FD2">
        <w:rPr>
          <w:rStyle w:val="Emphasis"/>
        </w:rPr>
        <w:t>stimulation</w:t>
      </w:r>
      <w:r w:rsidRPr="00451A6A">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77EF0503" w14:textId="77777777" w:rsidR="004E2D89" w:rsidRPr="006936C7" w:rsidRDefault="004E2D89" w:rsidP="004E2D89">
      <w:pPr>
        <w:pStyle w:val="Heading4"/>
        <w:rPr>
          <w:rFonts w:asciiTheme="minorHAnsi" w:hAnsiTheme="minorHAnsi" w:cstheme="minorHAnsi"/>
        </w:rPr>
      </w:pPr>
      <w:r w:rsidRPr="006936C7">
        <w:rPr>
          <w:rFonts w:asciiTheme="minorHAnsi" w:hAnsiTheme="minorHAnsi" w:cstheme="minorHAnsi"/>
        </w:rPr>
        <w:t>No econ wars.</w:t>
      </w:r>
    </w:p>
    <w:p w14:paraId="27A02D97" w14:textId="77777777" w:rsidR="004E2D89" w:rsidRPr="006936C7" w:rsidRDefault="004E2D89" w:rsidP="004E2D89">
      <w:pPr>
        <w:rPr>
          <w:rFonts w:asciiTheme="minorHAnsi" w:hAnsiTheme="minorHAnsi" w:cstheme="minorHAnsi"/>
        </w:rPr>
      </w:pPr>
      <w:r w:rsidRPr="006936C7">
        <w:rPr>
          <w:rStyle w:val="Style13ptBold"/>
          <w:rFonts w:asciiTheme="minorHAnsi" w:hAnsiTheme="minorHAnsi" w:cstheme="minorHAnsi"/>
        </w:rPr>
        <w:t>Drezner 16</w:t>
      </w:r>
      <w:r w:rsidRPr="006936C7">
        <w:rPr>
          <w:rFonts w:asciiTheme="minorHAnsi" w:hAnsiTheme="minorHAnsi" w:cstheme="minorHAnsi"/>
        </w:rPr>
        <w:t xml:space="preserve"> Daniel W. Drezner, International Politics Professor at Tufts University. [The System Worked: How the World Stopped Another Great Depression, Oxford University Press, Reprint Edition (2016), Chapter 3: Why the Misperception?]//BPS</w:t>
      </w:r>
    </w:p>
    <w:p w14:paraId="077D95F8" w14:textId="2AB335E4" w:rsidR="004E2D89" w:rsidRPr="004E2D89" w:rsidRDefault="004E2D89" w:rsidP="004E2D89">
      <w:pPr>
        <w:rPr>
          <w:rFonts w:asciiTheme="minorHAnsi" w:hAnsiTheme="minorHAnsi" w:cstheme="minorHAnsi"/>
          <w:sz w:val="16"/>
        </w:rPr>
      </w:pPr>
      <w:r w:rsidRPr="006936C7">
        <w:rPr>
          <w:rFonts w:asciiTheme="minorHAnsi" w:hAnsiTheme="minorHAnsi" w:cstheme="minorHAnsi"/>
          <w:sz w:val="16"/>
        </w:rPr>
        <w:t xml:space="preserve">Finally, the Great </w:t>
      </w:r>
      <w:r w:rsidRPr="004011D2">
        <w:rPr>
          <w:rStyle w:val="StyleUnderline"/>
          <w:rFonts w:asciiTheme="minorHAnsi" w:hAnsiTheme="minorHAnsi" w:cstheme="minorHAnsi"/>
          <w:highlight w:val="cyan"/>
        </w:rPr>
        <w:t>Recession did not lead</w:t>
      </w:r>
      <w:r w:rsidRPr="006936C7">
        <w:rPr>
          <w:rStyle w:val="StyleUnderline"/>
          <w:rFonts w:asciiTheme="minorHAnsi" w:hAnsiTheme="minorHAnsi" w:cstheme="minorHAnsi"/>
        </w:rPr>
        <w:t xml:space="preserve"> to a </w:t>
      </w:r>
      <w:r w:rsidRPr="004011D2">
        <w:rPr>
          <w:rStyle w:val="StyleUnderline"/>
          <w:rFonts w:asciiTheme="minorHAnsi" w:hAnsiTheme="minorHAnsi" w:cstheme="minorHAnsi"/>
          <w:highlight w:val="cyan"/>
        </w:rPr>
        <w:t>deterioration</w:t>
      </w:r>
      <w:r w:rsidRPr="006936C7">
        <w:rPr>
          <w:rStyle w:val="StyleUnderline"/>
          <w:rFonts w:asciiTheme="minorHAnsi" w:hAnsiTheme="minorHAnsi" w:cstheme="minorHAnsi"/>
        </w:rPr>
        <w:t xml:space="preserve"> in international security.</w:t>
      </w:r>
      <w:r w:rsidRPr="006936C7">
        <w:rPr>
          <w:rFonts w:asciiTheme="minorHAnsi" w:hAnsiTheme="minorHAnsi" w:cstheme="minorHAnsi"/>
          <w:sz w:val="16"/>
        </w:rPr>
        <w:t xml:space="preserve"> Because political instabil¬ity and violence can impinge on cross-border flows, in¬creases in international conflict can dampen cross-bor¬der trade and exchange. During the initial stages of the crisis, multiple analysts asserted that the Great Reces¬sion would lead states to increase the use of political viol¬ence as a tool to stay in power.44They voiced genuine concerns that the global economic downturn would lead to an increase in conflict—whether through greater in¬ternal repression, diversionary wars, arms races, or a ratcheting up of great-power rivalries. Violence in the Middle East, piracy on the high seas, border disputes in the South China Sea, riots in European cities, and even the disruptions of the Occupy movement fueled impres-sions of a global surge in public disorder. As fiscal aus¬terity in the developed economies curtailed social spend¬ing, economists predicted an explosion of unrest.45 Initially, there was some evidence of deterioration. Following the 2008 financial crisis, there was a spike in global piracy, particularly off the Horn of Africa. The In¬ternational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2008.46 72/452 </w:t>
      </w:r>
      <w:r w:rsidRPr="006936C7">
        <w:rPr>
          <w:rStyle w:val="StyleUnderline"/>
          <w:rFonts w:asciiTheme="minorHAnsi" w:hAnsiTheme="minorHAnsi" w:cstheme="minorHAnsi"/>
        </w:rPr>
        <w:t>A close</w:t>
      </w:r>
      <w:r w:rsidRPr="006936C7">
        <w:rPr>
          <w:rFonts w:asciiTheme="minorHAnsi" w:hAnsiTheme="minorHAnsi" w:cstheme="minorHAnsi"/>
          <w:sz w:val="16"/>
        </w:rPr>
        <w:t>r look at the</w:t>
      </w:r>
      <w:r w:rsidRPr="006936C7">
        <w:rPr>
          <w:rStyle w:val="StyleUnderline"/>
          <w:rFonts w:asciiTheme="minorHAnsi" w:hAnsiTheme="minorHAnsi" w:cstheme="minorHAnsi"/>
        </w:rPr>
        <w:t xml:space="preserve"> numbers</w:t>
      </w:r>
      <w:r w:rsidRPr="006936C7">
        <w:rPr>
          <w:rFonts w:asciiTheme="minorHAnsi" w:hAnsiTheme="minorHAnsi" w:cstheme="minorHAnsi"/>
          <w:sz w:val="16"/>
        </w:rPr>
        <w:t xml:space="preserve">, however, </w:t>
      </w:r>
      <w:r w:rsidRPr="006936C7">
        <w:rPr>
          <w:rStyle w:val="StyleUnderline"/>
          <w:rFonts w:asciiTheme="minorHAnsi" w:hAnsiTheme="minorHAnsi" w:cstheme="minorHAnsi"/>
        </w:rPr>
        <w:t>reveals more encouraging findings.</w:t>
      </w:r>
      <w:r w:rsidRPr="006936C7">
        <w:rPr>
          <w:rFonts w:asciiTheme="minorHAnsi" w:hAnsiTheme="minorHAnsi" w:cstheme="minorHAnsi"/>
          <w:sz w:val="16"/>
        </w:rPr>
        <w:t xml:space="preserve"> What seemed to be an inexorable increase in piracy, for example, turned out to be a blip. By September 2013, the total numbers of </w:t>
      </w:r>
      <w:r w:rsidRPr="006936C7">
        <w:rPr>
          <w:rStyle w:val="StyleUnderline"/>
          <w:rFonts w:asciiTheme="minorHAnsi" w:hAnsiTheme="minorHAnsi" w:cstheme="minorHAnsi"/>
        </w:rPr>
        <w:t>piracy</w:t>
      </w:r>
      <w:r w:rsidRPr="006936C7">
        <w:rPr>
          <w:rFonts w:asciiTheme="minorHAnsi" w:hAnsiTheme="minorHAnsi" w:cstheme="minorHAnsi"/>
          <w:sz w:val="16"/>
        </w:rPr>
        <w:t xml:space="preserve"> attacks </w:t>
      </w:r>
      <w:r w:rsidRPr="006936C7">
        <w:rPr>
          <w:rStyle w:val="StyleUnderline"/>
          <w:rFonts w:asciiTheme="minorHAnsi" w:hAnsiTheme="minorHAnsi" w:cstheme="minorHAnsi"/>
        </w:rPr>
        <w:t>had fallen</w:t>
      </w:r>
      <w:r w:rsidRPr="006936C7">
        <w:rPr>
          <w:rFonts w:asciiTheme="minorHAnsi" w:hAnsiTheme="minorHAnsi" w:cstheme="minorHAnsi"/>
          <w:sz w:val="16"/>
        </w:rPr>
        <w:t xml:space="preserve"> to their lowest levels in seven years. Attacks near Somalia, in particular, declined substantially; the total number of attacks fell by 70 percent in 2012 and an additional 86 percent in the first nine months of 2013. Actual hijackings were down 43 percent compared to 2008/9 levels.47 The US Navy's figures reveal similar de¬clines in the number and success rate of pirate attacks.48 </w:t>
      </w:r>
      <w:r w:rsidRPr="004011D2">
        <w:rPr>
          <w:rStyle w:val="StyleUnderline"/>
          <w:rFonts w:asciiTheme="minorHAnsi" w:hAnsiTheme="minorHAnsi" w:cstheme="minorHAnsi"/>
          <w:highlight w:val="cyan"/>
        </w:rPr>
        <w:t xml:space="preserve">Security </w:t>
      </w:r>
      <w:r w:rsidRPr="006936C7">
        <w:rPr>
          <w:rStyle w:val="StyleUnderline"/>
          <w:rFonts w:asciiTheme="minorHAnsi" w:hAnsiTheme="minorHAnsi" w:cstheme="minorHAnsi"/>
        </w:rPr>
        <w:t xml:space="preserve">concerns have </w:t>
      </w:r>
      <w:r w:rsidRPr="004011D2">
        <w:rPr>
          <w:rStyle w:val="StyleUnderline"/>
          <w:rFonts w:asciiTheme="minorHAnsi" w:hAnsiTheme="minorHAnsi" w:cstheme="minorHAnsi"/>
          <w:highlight w:val="cyan"/>
        </w:rPr>
        <w:t>not</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dented</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the opening of the global </w:t>
      </w:r>
      <w:r w:rsidRPr="004011D2">
        <w:rPr>
          <w:rStyle w:val="StyleUnderline"/>
          <w:rFonts w:asciiTheme="minorHAnsi" w:hAnsiTheme="minorHAnsi" w:cstheme="minorHAnsi"/>
          <w:highlight w:val="cyan"/>
        </w:rPr>
        <w:t>econ</w:t>
      </w:r>
      <w:r w:rsidRPr="006936C7">
        <w:rPr>
          <w:rStyle w:val="StyleUnderline"/>
          <w:rFonts w:asciiTheme="minorHAnsi" w:hAnsiTheme="minorHAnsi" w:cstheme="minorHAnsi"/>
        </w:rPr>
        <w:t>omy</w:t>
      </w:r>
      <w:r w:rsidRPr="006936C7">
        <w:rPr>
          <w:rFonts w:asciiTheme="minorHAnsi" w:hAnsiTheme="minorHAnsi" w:cstheme="minorHAnsi"/>
          <w:sz w:val="16"/>
        </w:rPr>
        <w:t xml:space="preserve">. </w:t>
      </w:r>
      <w:r w:rsidRPr="006936C7">
        <w:rPr>
          <w:rStyle w:val="StyleUnderline"/>
          <w:rFonts w:asciiTheme="minorHAnsi" w:hAnsiTheme="minorHAnsi" w:cstheme="minorHAnsi"/>
        </w:rPr>
        <w:t>As for</w:t>
      </w:r>
      <w:r w:rsidRPr="006936C7">
        <w:rPr>
          <w:rFonts w:asciiTheme="minorHAnsi" w:hAnsiTheme="minorHAnsi" w:cstheme="minorHAnsi"/>
          <w:sz w:val="16"/>
        </w:rPr>
        <w:t xml:space="preserve"> the effect of the Great Recession on </w:t>
      </w:r>
      <w:r w:rsidRPr="006936C7">
        <w:rPr>
          <w:rStyle w:val="StyleUnderline"/>
          <w:rFonts w:asciiTheme="minorHAnsi" w:hAnsiTheme="minorHAnsi" w:cstheme="minorHAnsi"/>
        </w:rPr>
        <w:t xml:space="preserve">political </w:t>
      </w:r>
      <w:r w:rsidRPr="004011D2">
        <w:rPr>
          <w:rStyle w:val="StyleUnderline"/>
          <w:rFonts w:asciiTheme="minorHAnsi" w:hAnsiTheme="minorHAnsi" w:cstheme="minorHAnsi"/>
          <w:highlight w:val="cyan"/>
        </w:rPr>
        <w:t>conflict</w:t>
      </w:r>
      <w:r w:rsidRPr="006936C7">
        <w:rPr>
          <w:rStyle w:val="StyleUnderline"/>
          <w:rFonts w:asciiTheme="minorHAnsi" w:hAnsiTheme="minorHAnsi" w:cstheme="minorHAnsi"/>
        </w:rPr>
        <w:t xml:space="preserve">, the </w:t>
      </w:r>
      <w:r w:rsidRPr="006936C7">
        <w:rPr>
          <w:rStyle w:val="Emphasis"/>
          <w:rFonts w:asciiTheme="minorHAnsi" w:hAnsiTheme="minorHAnsi" w:cstheme="minorHAnsi"/>
        </w:rPr>
        <w:t xml:space="preserve">aggregate </w:t>
      </w:r>
      <w:r w:rsidRPr="004011D2">
        <w:rPr>
          <w:rStyle w:val="Emphasis"/>
          <w:rFonts w:asciiTheme="minorHAnsi" w:hAnsiTheme="minorHAnsi" w:cstheme="minorHAnsi"/>
          <w:highlight w:val="cyan"/>
        </w:rPr>
        <w:t>effects</w:t>
      </w:r>
      <w:r w:rsidRPr="006936C7">
        <w:rPr>
          <w:rStyle w:val="Emphasis"/>
          <w:rFonts w:asciiTheme="minorHAnsi" w:hAnsiTheme="minorHAnsi" w:cstheme="minorHAnsi"/>
        </w:rPr>
        <w:t xml:space="preserve"> were</w:t>
      </w:r>
      <w:r w:rsidRPr="006936C7">
        <w:rPr>
          <w:rFonts w:asciiTheme="minorHAnsi" w:hAnsiTheme="minorHAnsi" w:cstheme="minorHAnsi"/>
          <w:sz w:val="16"/>
        </w:rPr>
        <w:t xml:space="preserve"> surprisingly </w:t>
      </w:r>
      <w:r w:rsidRPr="004011D2">
        <w:rPr>
          <w:rStyle w:val="Emphasis"/>
          <w:rFonts w:asciiTheme="minorHAnsi" w:hAnsiTheme="minorHAnsi" w:cstheme="minorHAnsi"/>
          <w:highlight w:val="cyan"/>
        </w:rPr>
        <w:t>modest</w:t>
      </w:r>
      <w:r w:rsidRPr="006936C7">
        <w:rPr>
          <w:rFonts w:asciiTheme="minorHAnsi" w:hAnsiTheme="minorHAnsi" w:cstheme="minorHAnsi"/>
          <w:sz w:val="16"/>
        </w:rPr>
        <w:t xml:space="preserve">. A key conclusion of </w:t>
      </w:r>
      <w:r w:rsidRPr="006936C7">
        <w:rPr>
          <w:rStyle w:val="StyleUnderline"/>
          <w:rFonts w:asciiTheme="minorHAnsi" w:hAnsiTheme="minorHAnsi" w:cstheme="minorHAnsi"/>
        </w:rPr>
        <w:t xml:space="preserve">the </w:t>
      </w:r>
      <w:r w:rsidRPr="004011D2">
        <w:rPr>
          <w:rStyle w:val="Emphasis"/>
          <w:rFonts w:asciiTheme="minorHAnsi" w:hAnsiTheme="minorHAnsi" w:cstheme="minorHAnsi"/>
          <w:highlight w:val="cyan"/>
        </w:rPr>
        <w:t>I</w:t>
      </w:r>
      <w:r w:rsidRPr="006936C7">
        <w:rPr>
          <w:rStyle w:val="StyleUnderline"/>
          <w:rFonts w:asciiTheme="minorHAnsi" w:hAnsiTheme="minorHAnsi" w:cstheme="minorHAnsi"/>
        </w:rPr>
        <w:t xml:space="preserve">nstitute for </w:t>
      </w:r>
      <w:r w:rsidRPr="004011D2">
        <w:rPr>
          <w:rStyle w:val="Emphasis"/>
          <w:rFonts w:asciiTheme="minorHAnsi" w:hAnsiTheme="minorHAnsi" w:cstheme="minorHAnsi"/>
          <w:highlight w:val="cyan"/>
        </w:rPr>
        <w:t>E</w:t>
      </w:r>
      <w:r w:rsidRPr="006936C7">
        <w:rPr>
          <w:rStyle w:val="StyleUnderline"/>
          <w:rFonts w:asciiTheme="minorHAnsi" w:hAnsiTheme="minorHAnsi" w:cstheme="minorHAnsi"/>
        </w:rPr>
        <w:t xml:space="preserve">conomics and </w:t>
      </w:r>
      <w:r w:rsidRPr="004011D2">
        <w:rPr>
          <w:rStyle w:val="Emphasis"/>
          <w:rFonts w:asciiTheme="minorHAnsi" w:hAnsiTheme="minorHAnsi" w:cstheme="minorHAnsi"/>
          <w:highlight w:val="cyan"/>
        </w:rPr>
        <w:t>P</w:t>
      </w:r>
      <w:r w:rsidRPr="006936C7">
        <w:rPr>
          <w:rStyle w:val="StyleUnderline"/>
          <w:rFonts w:asciiTheme="minorHAnsi" w:hAnsiTheme="minorHAnsi" w:cstheme="minorHAnsi"/>
        </w:rPr>
        <w:t>eace</w:t>
      </w:r>
      <w:r w:rsidRPr="006936C7">
        <w:rPr>
          <w:rFonts w:asciiTheme="minorHAnsi" w:hAnsiTheme="minorHAnsi" w:cstheme="minorHAnsi"/>
          <w:sz w:val="16"/>
        </w:rPr>
        <w:t xml:space="preserve"> in its 2012 </w:t>
      </w:r>
      <w:r w:rsidRPr="004011D2">
        <w:rPr>
          <w:rStyle w:val="StyleUnderline"/>
          <w:rFonts w:asciiTheme="minorHAnsi" w:hAnsiTheme="minorHAnsi" w:cstheme="minorHAnsi"/>
          <w:highlight w:val="cyan"/>
        </w:rPr>
        <w:t>report</w:t>
      </w:r>
      <w:r w:rsidRPr="006936C7">
        <w:rPr>
          <w:rFonts w:asciiTheme="minorHAnsi" w:hAnsiTheme="minorHAnsi" w:cstheme="minorHAnsi"/>
          <w:sz w:val="16"/>
        </w:rPr>
        <w:t xml:space="preserve"> was that </w:t>
      </w:r>
      <w:r w:rsidRPr="004011D2">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average level of </w:t>
      </w:r>
      <w:r w:rsidRPr="004011D2">
        <w:rPr>
          <w:rStyle w:val="StyleUnderline"/>
          <w:rFonts w:asciiTheme="minorHAnsi" w:hAnsiTheme="minorHAnsi" w:cstheme="minorHAnsi"/>
          <w:highlight w:val="cyan"/>
        </w:rPr>
        <w:t>peace</w:t>
      </w:r>
      <w:r w:rsidRPr="006936C7">
        <w:rPr>
          <w:rStyle w:val="StyleUnderline"/>
          <w:rFonts w:asciiTheme="minorHAnsi" w:hAnsiTheme="minorHAnsi" w:cstheme="minorHAnsi"/>
        </w:rPr>
        <w:t xml:space="preserve">fulness </w:t>
      </w:r>
      <w:r w:rsidRPr="004011D2">
        <w:rPr>
          <w:rStyle w:val="StyleUnderline"/>
          <w:rFonts w:asciiTheme="minorHAnsi" w:hAnsiTheme="minorHAnsi" w:cstheme="minorHAnsi"/>
          <w:highlight w:val="cyan"/>
        </w:rPr>
        <w:t>in 2012 is</w:t>
      </w:r>
      <w:r w:rsidRPr="006936C7">
        <w:rPr>
          <w:rStyle w:val="StyleUnderline"/>
          <w:rFonts w:asciiTheme="minorHAnsi" w:hAnsiTheme="minorHAnsi" w:cstheme="minorHAnsi"/>
        </w:rPr>
        <w:t xml:space="preserve"> approximately </w:t>
      </w:r>
      <w:r w:rsidRPr="004011D2">
        <w:rPr>
          <w:rStyle w:val="StyleUnderline"/>
          <w:rFonts w:asciiTheme="minorHAnsi" w:hAnsiTheme="minorHAnsi" w:cstheme="minorHAnsi"/>
          <w:highlight w:val="cyan"/>
        </w:rPr>
        <w:t>the same as</w:t>
      </w:r>
      <w:r w:rsidRPr="006936C7">
        <w:rPr>
          <w:rStyle w:val="StyleUnderline"/>
          <w:rFonts w:asciiTheme="minorHAnsi" w:hAnsiTheme="minorHAnsi" w:cstheme="minorHAnsi"/>
        </w:rPr>
        <w:t xml:space="preserve"> it was in 20</w:t>
      </w:r>
      <w:r w:rsidRPr="004011D2">
        <w:rPr>
          <w:rStyle w:val="StyleUnderline"/>
          <w:rFonts w:asciiTheme="minorHAnsi" w:hAnsiTheme="minorHAnsi" w:cstheme="minorHAnsi"/>
          <w:highlight w:val="cyan"/>
        </w:rPr>
        <w:t>07."</w:t>
      </w:r>
      <w:r w:rsidRPr="006936C7">
        <w:rPr>
          <w:rFonts w:asciiTheme="minorHAnsi" w:hAnsiTheme="minorHAnsi" w:cstheme="minorHAnsi"/>
          <w:sz w:val="16"/>
        </w:rPr>
        <w:t xml:space="preserve">49 The institute's concern in its 2013 report about a decline in peace was grounded primarily in the increase in homicide rates—a source of concern, to be sure, but not exactly the province of global governance. </w:t>
      </w:r>
      <w:r w:rsidRPr="006936C7">
        <w:rPr>
          <w:rStyle w:val="StyleUnderline"/>
          <w:rFonts w:asciiTheme="minorHAnsi" w:hAnsiTheme="minorHAnsi" w:cstheme="minorHAnsi"/>
        </w:rPr>
        <w:t>Both</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interstate </w:t>
      </w:r>
      <w:r w:rsidRPr="004011D2">
        <w:rPr>
          <w:rStyle w:val="Emphasis"/>
          <w:rFonts w:asciiTheme="minorHAnsi" w:hAnsiTheme="minorHAnsi" w:cstheme="minorHAnsi"/>
          <w:highlight w:val="cyan"/>
        </w:rPr>
        <w:t>violence</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and</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global </w:t>
      </w:r>
      <w:r w:rsidRPr="004011D2">
        <w:rPr>
          <w:rStyle w:val="Emphasis"/>
          <w:rFonts w:asciiTheme="minorHAnsi" w:hAnsiTheme="minorHAnsi" w:cstheme="minorHAnsi"/>
          <w:highlight w:val="cyan"/>
        </w:rPr>
        <w:t>military expenditures</w:t>
      </w:r>
      <w:r w:rsidRPr="006936C7">
        <w:rPr>
          <w:rFonts w:asciiTheme="minorHAnsi" w:hAnsiTheme="minorHAnsi" w:cstheme="minorHAnsi"/>
          <w:sz w:val="16"/>
        </w:rPr>
        <w:t xml:space="preserve"> have </w:t>
      </w:r>
      <w:r w:rsidRPr="004011D2">
        <w:rPr>
          <w:rStyle w:val="StyleUnderline"/>
          <w:rFonts w:asciiTheme="minorHAnsi" w:hAnsiTheme="minorHAnsi" w:cstheme="minorHAnsi"/>
          <w:highlight w:val="cyan"/>
        </w:rPr>
        <w:t>declined</w:t>
      </w:r>
      <w:r w:rsidRPr="006936C7">
        <w:rPr>
          <w:rFonts w:asciiTheme="minorHAnsi" w:hAnsiTheme="minorHAnsi" w:cstheme="minorHAnsi"/>
          <w:sz w:val="16"/>
        </w:rPr>
        <w:t xml:space="preserve"> since the start of the financial crisis. </w:t>
      </w:r>
      <w:r w:rsidRPr="006936C7">
        <w:rPr>
          <w:rStyle w:val="StyleUnderline"/>
          <w:rFonts w:asciiTheme="minorHAnsi" w:hAnsiTheme="minorHAnsi" w:cstheme="minorHAnsi"/>
        </w:rPr>
        <w:t xml:space="preserve">Other </w:t>
      </w:r>
      <w:r w:rsidRPr="004011D2">
        <w:rPr>
          <w:rStyle w:val="StyleUnderline"/>
          <w:rFonts w:asciiTheme="minorHAnsi" w:hAnsiTheme="minorHAnsi" w:cstheme="minorHAnsi"/>
          <w:highlight w:val="cyan"/>
        </w:rPr>
        <w:t>studies confirm</w:t>
      </w:r>
      <w:r w:rsidRPr="006936C7">
        <w:rPr>
          <w:rFonts w:asciiTheme="minorHAnsi" w:hAnsiTheme="minorHAnsi" w:cstheme="minorHAnsi"/>
          <w:sz w:val="16"/>
        </w:rPr>
        <w:t xml:space="preserve"> that the Great </w:t>
      </w:r>
      <w:r w:rsidRPr="004011D2">
        <w:rPr>
          <w:rStyle w:val="StyleUnderline"/>
          <w:rFonts w:asciiTheme="minorHAnsi" w:hAnsiTheme="minorHAnsi" w:cstheme="minorHAnsi"/>
          <w:highlight w:val="cyan"/>
        </w:rPr>
        <w:t>Recession has not triggered</w:t>
      </w:r>
      <w:r w:rsidRPr="006936C7">
        <w:rPr>
          <w:rFonts w:asciiTheme="minorHAnsi" w:hAnsiTheme="minorHAnsi" w:cstheme="minorHAnsi"/>
          <w:sz w:val="16"/>
        </w:rPr>
        <w:t xml:space="preserve"> any increase in violent </w:t>
      </w:r>
      <w:r w:rsidRPr="004011D2">
        <w:rPr>
          <w:rStyle w:val="StyleUnderline"/>
          <w:rFonts w:asciiTheme="minorHAnsi" w:hAnsiTheme="minorHAnsi" w:cstheme="minorHAnsi"/>
          <w:highlight w:val="cyan"/>
        </w:rPr>
        <w:t>conflict</w:t>
      </w:r>
      <w:r w:rsidRPr="006936C7">
        <w:rPr>
          <w:rFonts w:asciiTheme="minorHAnsi" w:hAnsiTheme="minorHAnsi" w:cstheme="minorHAnsi"/>
          <w:sz w:val="16"/>
        </w:rPr>
        <w:t>. Looking at the post-crisis years, Lotta Themner and Peter Wallensteen conclude, "</w:t>
      </w: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pattern is</w:t>
      </w:r>
      <w:r w:rsidRPr="006936C7">
        <w:rPr>
          <w:rFonts w:asciiTheme="minorHAnsi" w:hAnsiTheme="minorHAnsi" w:cstheme="minorHAnsi"/>
          <w:sz w:val="16"/>
        </w:rPr>
        <w:t xml:space="preserve"> one of relative </w:t>
      </w:r>
      <w:r w:rsidRPr="004011D2">
        <w:rPr>
          <w:rStyle w:val="Emphasis"/>
          <w:rFonts w:asciiTheme="minorHAnsi" w:hAnsiTheme="minorHAnsi" w:cstheme="minorHAnsi"/>
          <w:highlight w:val="cyan"/>
        </w:rPr>
        <w:t>stability</w:t>
      </w:r>
      <w:r w:rsidRPr="006936C7">
        <w:rPr>
          <w:rFonts w:asciiTheme="minorHAnsi" w:hAnsiTheme="minorHAnsi" w:cstheme="minorHAnsi"/>
          <w:sz w:val="16"/>
        </w:rPr>
        <w:t xml:space="preserve"> when we consider the trend for the past five years."50 The de-cline in secular violence that started with the end of the Cold War has not been reversed. Rogers Brubaker 73/452 observes that "the </w:t>
      </w:r>
      <w:r w:rsidRPr="004011D2">
        <w:rPr>
          <w:rStyle w:val="StyleUnderline"/>
          <w:rFonts w:asciiTheme="minorHAnsi" w:hAnsiTheme="minorHAnsi" w:cstheme="minorHAnsi"/>
          <w:highlight w:val="cyan"/>
        </w:rPr>
        <w:t>cri</w:t>
      </w:r>
      <w:r w:rsidRPr="004011D2">
        <w:rPr>
          <w:rStyle w:val="StyleUnderline"/>
          <w:highlight w:val="cyan"/>
        </w:rPr>
        <w:t xml:space="preserve">sis </w:t>
      </w:r>
      <w:r w:rsidRPr="004011D2">
        <w:rPr>
          <w:rStyle w:val="Emphasis"/>
          <w:rFonts w:asciiTheme="minorHAnsi" w:hAnsiTheme="minorHAnsi" w:cstheme="minorHAnsi"/>
          <w:highlight w:val="cyan"/>
        </w:rPr>
        <w:t>has not</w:t>
      </w:r>
      <w:r w:rsidRPr="006936C7">
        <w:rPr>
          <w:rFonts w:asciiTheme="minorHAnsi" w:hAnsiTheme="minorHAnsi" w:cstheme="minorHAnsi"/>
          <w:sz w:val="16"/>
        </w:rPr>
        <w:t xml:space="preserve"> to date </w:t>
      </w:r>
      <w:r w:rsidRPr="004011D2">
        <w:rPr>
          <w:rStyle w:val="StyleUnderline"/>
          <w:rFonts w:asciiTheme="minorHAnsi" w:hAnsiTheme="minorHAnsi" w:cstheme="minorHAnsi"/>
          <w:highlight w:val="cyan"/>
        </w:rPr>
        <w:t>generated</w:t>
      </w:r>
      <w:r w:rsidRPr="006936C7">
        <w:rPr>
          <w:rFonts w:asciiTheme="minorHAnsi" w:hAnsiTheme="minorHAnsi" w:cstheme="minorHAnsi"/>
          <w:sz w:val="16"/>
        </w:rPr>
        <w:t xml:space="preserve"> the surge in </w:t>
      </w:r>
      <w:r w:rsidRPr="004011D2">
        <w:rPr>
          <w:rStyle w:val="StyleUnderline"/>
          <w:rFonts w:asciiTheme="minorHAnsi" w:hAnsiTheme="minorHAnsi" w:cstheme="minorHAnsi"/>
          <w:highlight w:val="cyan"/>
        </w:rPr>
        <w:t>protectionist nationalism</w:t>
      </w:r>
      <w:r w:rsidRPr="006936C7">
        <w:rPr>
          <w:rStyle w:val="StyleUnderline"/>
          <w:rFonts w:asciiTheme="minorHAnsi" w:hAnsiTheme="minorHAnsi" w:cstheme="minorHAnsi"/>
        </w:rPr>
        <w:t xml:space="preserve"> or ethnic exclusion</w:t>
      </w:r>
      <w:r w:rsidRPr="006936C7">
        <w:rPr>
          <w:rFonts w:asciiTheme="minorHAnsi" w:hAnsiTheme="minorHAnsi" w:cstheme="minorHAnsi"/>
          <w:sz w:val="16"/>
        </w:rPr>
        <w:t xml:space="preserve"> that might have been expected."51</w:t>
      </w:r>
    </w:p>
    <w:p w14:paraId="7A32CB6F" w14:textId="5586EE62" w:rsidR="00456038" w:rsidRDefault="00456038" w:rsidP="00456038">
      <w:pPr>
        <w:pStyle w:val="Heading3"/>
      </w:pPr>
      <w:r>
        <w:t>1NC – Slow Growth</w:t>
      </w:r>
    </w:p>
    <w:p w14:paraId="3D6A2EFF" w14:textId="77777777" w:rsidR="00456038" w:rsidRPr="006936C7" w:rsidRDefault="00456038" w:rsidP="00456038">
      <w:pPr>
        <w:pStyle w:val="Heading4"/>
        <w:rPr>
          <w:rFonts w:asciiTheme="minorHAnsi" w:hAnsiTheme="minorHAnsi" w:cstheme="minorHAnsi"/>
        </w:rPr>
      </w:pPr>
      <w:r w:rsidRPr="006936C7">
        <w:rPr>
          <w:rFonts w:asciiTheme="minorHAnsi" w:hAnsiTheme="minorHAnsi" w:cstheme="minorHAnsi"/>
        </w:rPr>
        <w:t>Slow growth is okay.</w:t>
      </w:r>
    </w:p>
    <w:p w14:paraId="2D99C521" w14:textId="77777777" w:rsidR="00456038" w:rsidRPr="006936C7" w:rsidRDefault="00456038" w:rsidP="00456038">
      <w:pPr>
        <w:rPr>
          <w:rFonts w:asciiTheme="minorHAnsi" w:hAnsiTheme="minorHAnsi" w:cstheme="minorHAnsi"/>
        </w:rPr>
      </w:pPr>
      <w:r w:rsidRPr="006936C7">
        <w:rPr>
          <w:rStyle w:val="Style13ptBold"/>
          <w:rFonts w:asciiTheme="minorHAnsi" w:hAnsiTheme="minorHAnsi" w:cstheme="minorHAnsi"/>
        </w:rPr>
        <w:t>Posen 16</w:t>
      </w:r>
      <w:r w:rsidRPr="006936C7">
        <w:rPr>
          <w:rFonts w:asciiTheme="minorHAnsi" w:hAnsiTheme="minorHAnsi" w:cstheme="minorHAnsi"/>
        </w:rPr>
        <w:t xml:space="preserve"> Adam S. Posen, Government and Economics PhD from Harvard, economic advisor to the Congressional Budget Office, faculty of the World Economic Forum, consultant for the International Monetary Fund and the United States government. [Why We Need A Reality Check, Reality Check for the Global Economy, Peterson Institute for International Economics Briefing 16-3]//BPS</w:t>
      </w:r>
    </w:p>
    <w:p w14:paraId="7F2C4A51" w14:textId="77777777" w:rsidR="00456038" w:rsidRPr="004E3A9B" w:rsidRDefault="00456038" w:rsidP="00456038">
      <w:pPr>
        <w:rPr>
          <w:sz w:val="16"/>
        </w:rPr>
      </w:pPr>
      <w:r w:rsidRPr="006936C7">
        <w:rPr>
          <w:rStyle w:val="Emphasis"/>
          <w:rFonts w:asciiTheme="minorHAnsi" w:hAnsiTheme="minorHAnsi" w:cstheme="minorHAnsi"/>
        </w:rPr>
        <w:t xml:space="preserve">Greater </w:t>
      </w:r>
      <w:r w:rsidRPr="004011D2">
        <w:rPr>
          <w:rStyle w:val="Emphasis"/>
          <w:rFonts w:asciiTheme="minorHAnsi" w:hAnsiTheme="minorHAnsi" w:cstheme="minorHAnsi"/>
          <w:highlight w:val="cyan"/>
        </w:rPr>
        <w:t>confidence</w:t>
      </w:r>
      <w:r w:rsidRPr="004E3A9B">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in</w:t>
      </w:r>
      <w:r w:rsidRPr="004E3A9B">
        <w:rPr>
          <w:rFonts w:asciiTheme="minorHAnsi" w:hAnsiTheme="minorHAnsi" w:cstheme="minorHAnsi"/>
          <w:sz w:val="16"/>
        </w:rPr>
        <w:t xml:space="preserve"> the </w:t>
      </w:r>
      <w:r w:rsidRPr="006936C7">
        <w:rPr>
          <w:rStyle w:val="StyleUnderline"/>
          <w:rFonts w:asciiTheme="minorHAnsi" w:hAnsiTheme="minorHAnsi" w:cstheme="minorHAnsi"/>
        </w:rPr>
        <w:t xml:space="preserve">world economy’s </w:t>
      </w:r>
      <w:r w:rsidRPr="004011D2">
        <w:rPr>
          <w:rStyle w:val="Emphasis"/>
          <w:rFonts w:asciiTheme="minorHAnsi" w:hAnsiTheme="minorHAnsi" w:cstheme="minorHAnsi"/>
          <w:highlight w:val="cyan"/>
        </w:rPr>
        <w:t>resilience</w:t>
      </w:r>
      <w:r w:rsidRPr="004E3A9B">
        <w:rPr>
          <w:rFonts w:asciiTheme="minorHAnsi" w:hAnsiTheme="minorHAnsi" w:cstheme="minorHAnsi"/>
          <w:sz w:val="16"/>
        </w:rPr>
        <w:t xml:space="preserve"> and near-term prospects </w:t>
      </w:r>
      <w:r w:rsidRPr="004011D2">
        <w:rPr>
          <w:rStyle w:val="StyleUnderline"/>
          <w:rFonts w:asciiTheme="minorHAnsi" w:hAnsiTheme="minorHAnsi" w:cstheme="minorHAnsi"/>
          <w:highlight w:val="cyan"/>
        </w:rPr>
        <w:t>is</w:t>
      </w:r>
      <w:r w:rsidRPr="004E3A9B">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justified</w:t>
      </w:r>
      <w:r w:rsidRPr="004011D2">
        <w:rPr>
          <w:rStyle w:val="StyleUnderline"/>
          <w:rFonts w:asciiTheme="minorHAnsi" w:hAnsiTheme="minorHAnsi" w:cstheme="minorHAnsi"/>
          <w:highlight w:val="cyan"/>
        </w:rPr>
        <w:t>.</w:t>
      </w:r>
      <w:r w:rsidRPr="006936C7">
        <w:rPr>
          <w:rStyle w:val="StyleUnderline"/>
          <w:rFonts w:asciiTheme="minorHAnsi" w:hAnsiTheme="minorHAnsi" w:cstheme="minorHAnsi"/>
        </w:rPr>
        <w:t xml:space="preserve"> Market </w:t>
      </w:r>
      <w:r w:rsidRPr="004011D2">
        <w:rPr>
          <w:rStyle w:val="StyleUnderline"/>
          <w:rFonts w:asciiTheme="minorHAnsi" w:hAnsiTheme="minorHAnsi" w:cstheme="minorHAnsi"/>
          <w:highlight w:val="cyan"/>
        </w:rPr>
        <w:t>fears</w:t>
      </w:r>
      <w:r w:rsidRPr="004E3A9B">
        <w:rPr>
          <w:rFonts w:asciiTheme="minorHAnsi" w:hAnsiTheme="minorHAnsi" w:cstheme="minorHAnsi"/>
          <w:sz w:val="16"/>
        </w:rPr>
        <w:t xml:space="preserve"> about the ability of policy to stabilize growth and promote inflation, if understandable, </w:t>
      </w:r>
      <w:r w:rsidRPr="004011D2">
        <w:rPr>
          <w:rStyle w:val="StyleUnderline"/>
          <w:rFonts w:asciiTheme="minorHAnsi" w:hAnsiTheme="minorHAnsi" w:cstheme="minorHAnsi"/>
          <w:highlight w:val="cyan"/>
        </w:rPr>
        <w:t>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exaggerated</w:t>
      </w:r>
      <w:r w:rsidRPr="004E3A9B">
        <w:rPr>
          <w:rFonts w:asciiTheme="minorHAnsi" w:hAnsiTheme="minorHAnsi" w:cstheme="minorHAnsi"/>
          <w:sz w:val="16"/>
        </w:rPr>
        <w:t xml:space="preserve"> </w:t>
      </w:r>
      <w:r w:rsidRPr="006936C7">
        <w:rPr>
          <w:rStyle w:val="StyleUnderline"/>
          <w:rFonts w:asciiTheme="minorHAnsi" w:hAnsiTheme="minorHAnsi" w:cstheme="minorHAnsi"/>
        </w:rPr>
        <w:t>or</w:t>
      </w:r>
      <w:r w:rsidRPr="004E3A9B">
        <w:rPr>
          <w:rFonts w:asciiTheme="minorHAnsi" w:hAnsiTheme="minorHAnsi" w:cstheme="minorHAnsi"/>
          <w:sz w:val="16"/>
        </w:rPr>
        <w:t xml:space="preserve"> in some cases </w:t>
      </w:r>
      <w:r w:rsidRPr="004011D2">
        <w:rPr>
          <w:rStyle w:val="Emphasis"/>
          <w:rFonts w:asciiTheme="minorHAnsi" w:hAnsiTheme="minorHAnsi" w:cstheme="minorHAnsi"/>
          <w:highlight w:val="cyan"/>
        </w:rPr>
        <w:t>unfounded</w:t>
      </w:r>
      <w:r w:rsidRPr="004E3A9B">
        <w:rPr>
          <w:rFonts w:asciiTheme="minorHAnsi" w:hAnsiTheme="minorHAnsi" w:cstheme="minorHAnsi"/>
          <w:sz w:val="16"/>
        </w:rPr>
        <w:t xml:space="preserve">. All the more reason then not to allow ourselves to be distracted by a financial market tail wagging the macroeconomic dog. At a fundamental level, </w:t>
      </w:r>
      <w:r w:rsidRPr="006936C7">
        <w:rPr>
          <w:rStyle w:val="StyleUnderline"/>
          <w:rFonts w:asciiTheme="minorHAnsi" w:hAnsiTheme="minorHAnsi" w:cstheme="minorHAnsi"/>
        </w:rPr>
        <w:t>most</w:t>
      </w:r>
      <w:r w:rsidRPr="004E3A9B">
        <w:rPr>
          <w:rFonts w:asciiTheme="minorHAnsi" w:hAnsiTheme="minorHAnsi" w:cstheme="minorHAnsi"/>
          <w:sz w:val="16"/>
        </w:rPr>
        <w:t xml:space="preserve"> of the </w:t>
      </w:r>
      <w:r w:rsidRPr="006936C7">
        <w:rPr>
          <w:rStyle w:val="StyleUnderline"/>
          <w:rFonts w:asciiTheme="minorHAnsi" w:hAnsiTheme="minorHAnsi" w:cstheme="minorHAnsi"/>
        </w:rPr>
        <w:t xml:space="preserve">major </w:t>
      </w:r>
      <w:r w:rsidRPr="004011D2">
        <w:rPr>
          <w:rStyle w:val="StyleUnderline"/>
          <w:rFonts w:asciiTheme="minorHAnsi" w:hAnsiTheme="minorHAnsi" w:cstheme="minorHAnsi"/>
          <w:highlight w:val="cyan"/>
        </w:rPr>
        <w:t xml:space="preserve">economies, </w:t>
      </w:r>
      <w:r w:rsidRPr="006936C7">
        <w:rPr>
          <w:rStyle w:val="StyleUnderline"/>
          <w:rFonts w:asciiTheme="minorHAnsi" w:hAnsiTheme="minorHAnsi" w:cstheme="minorHAnsi"/>
        </w:rPr>
        <w:t xml:space="preserve">starting with </w:t>
      </w:r>
      <w:r w:rsidRPr="004011D2">
        <w:rPr>
          <w:rStyle w:val="StyleUnderline"/>
          <w:rFonts w:asciiTheme="minorHAnsi" w:hAnsiTheme="minorHAnsi" w:cstheme="minorHAnsi"/>
          <w:highlight w:val="cyan"/>
        </w:rPr>
        <w:t>China and</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U</w:t>
      </w:r>
      <w:r w:rsidRPr="004E3A9B">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4E3A9B">
        <w:rPr>
          <w:rFonts w:asciiTheme="minorHAnsi" w:hAnsiTheme="minorHAnsi" w:cstheme="minorHAnsi"/>
          <w:sz w:val="16"/>
        </w:rPr>
        <w:t xml:space="preserve">tates, </w:t>
      </w:r>
      <w:r w:rsidRPr="006936C7">
        <w:rPr>
          <w:rStyle w:val="StyleUnderline"/>
          <w:rFonts w:asciiTheme="minorHAnsi" w:hAnsiTheme="minorHAnsi" w:cstheme="minorHAnsi"/>
        </w:rPr>
        <w:t xml:space="preserve">are </w:t>
      </w:r>
      <w:r w:rsidRPr="004011D2">
        <w:rPr>
          <w:rStyle w:val="StyleUnderline"/>
          <w:rFonts w:asciiTheme="minorHAnsi" w:hAnsiTheme="minorHAnsi" w:cstheme="minorHAnsi"/>
          <w:highlight w:val="cyan"/>
        </w:rPr>
        <w:t>grow</w:t>
      </w:r>
      <w:r w:rsidRPr="006936C7">
        <w:rPr>
          <w:rStyle w:val="StyleUnderline"/>
          <w:rFonts w:asciiTheme="minorHAnsi" w:hAnsiTheme="minorHAnsi" w:cstheme="minorHAnsi"/>
        </w:rPr>
        <w:t xml:space="preserve">ing </w:t>
      </w:r>
      <w:r w:rsidRPr="004011D2">
        <w:rPr>
          <w:rStyle w:val="Emphasis"/>
          <w:rFonts w:asciiTheme="minorHAnsi" w:hAnsiTheme="minorHAnsi" w:cstheme="minorHAnsi"/>
          <w:highlight w:val="cyan"/>
        </w:rPr>
        <w:t>more sustainably now</w:t>
      </w:r>
      <w:r w:rsidRPr="004E3A9B">
        <w:rPr>
          <w:rFonts w:asciiTheme="minorHAnsi" w:hAnsiTheme="minorHAnsi" w:cstheme="minorHAnsi"/>
          <w:sz w:val="16"/>
        </w:rPr>
        <w:t xml:space="preserve"> than a decade ago, </w:t>
      </w:r>
      <w:r w:rsidRPr="004011D2">
        <w:rPr>
          <w:rStyle w:val="StyleUnderline"/>
          <w:rFonts w:asciiTheme="minorHAnsi" w:hAnsiTheme="minorHAnsi" w:cstheme="minorHAnsi"/>
          <w:highlight w:val="cyan"/>
        </w:rPr>
        <w:t>at</w:t>
      </w:r>
      <w:r w:rsidRPr="006936C7">
        <w:rPr>
          <w:rStyle w:val="StyleUnderline"/>
          <w:rFonts w:asciiTheme="minorHAnsi" w:hAnsiTheme="minorHAnsi" w:cstheme="minorHAnsi"/>
        </w:rPr>
        <w:t xml:space="preserve"> their </w:t>
      </w:r>
      <w:r w:rsidRPr="004011D2">
        <w:rPr>
          <w:rStyle w:val="StyleUnderline"/>
          <w:rFonts w:asciiTheme="minorHAnsi" w:hAnsiTheme="minorHAnsi" w:cstheme="minorHAnsi"/>
          <w:highlight w:val="cyan"/>
        </w:rPr>
        <w:t>slow</w:t>
      </w:r>
      <w:r w:rsidRPr="006936C7">
        <w:rPr>
          <w:rStyle w:val="StyleUnderline"/>
          <w:rFonts w:asciiTheme="minorHAnsi" w:hAnsiTheme="minorHAnsi" w:cstheme="minorHAnsi"/>
        </w:rPr>
        <w:t xml:space="preserve">er </w:t>
      </w:r>
      <w:r w:rsidRPr="004011D2">
        <w:rPr>
          <w:rStyle w:val="StyleUnderline"/>
          <w:rFonts w:asciiTheme="minorHAnsi" w:hAnsiTheme="minorHAnsi" w:cstheme="minorHAnsi"/>
          <w:highlight w:val="cyan"/>
        </w:rPr>
        <w:t>rates. That</w:t>
      </w:r>
      <w:r w:rsidRPr="006936C7">
        <w:rPr>
          <w:rStyle w:val="StyleUnderline"/>
          <w:rFonts w:asciiTheme="minorHAnsi" w:hAnsiTheme="minorHAnsi" w:cstheme="minorHAnsi"/>
        </w:rPr>
        <w:t xml:space="preserve"> growth </w:t>
      </w:r>
      <w:r w:rsidRPr="004011D2">
        <w:rPr>
          <w:rStyle w:val="StyleUnderline"/>
          <w:rFonts w:asciiTheme="minorHAnsi" w:hAnsiTheme="minorHAnsi" w:cstheme="minorHAnsi"/>
          <w:highlight w:val="cyan"/>
        </w:rPr>
        <w:t xml:space="preserve">is </w:t>
      </w:r>
      <w:r w:rsidRPr="004011D2">
        <w:rPr>
          <w:rStyle w:val="Emphasis"/>
          <w:rFonts w:asciiTheme="minorHAnsi" w:hAnsiTheme="minorHAnsi" w:cstheme="minorHAnsi"/>
          <w:highlight w:val="cyan"/>
        </w:rPr>
        <w:t>not built</w:t>
      </w:r>
      <w:r w:rsidRPr="004011D2">
        <w:rPr>
          <w:rStyle w:val="StyleUnderline"/>
          <w:rFonts w:asciiTheme="minorHAnsi" w:hAnsiTheme="minorHAnsi" w:cstheme="minorHAnsi"/>
          <w:highlight w:val="cyan"/>
        </w:rPr>
        <w:t xml:space="preserve"> on rising</w:t>
      </w:r>
      <w:r w:rsidRPr="006936C7">
        <w:rPr>
          <w:rStyle w:val="StyleUnderline"/>
          <w:rFonts w:asciiTheme="minorHAnsi" w:hAnsiTheme="minorHAnsi" w:cstheme="minorHAnsi"/>
        </w:rPr>
        <w:t xml:space="preserve"> private or public </w:t>
      </w:r>
      <w:r w:rsidRPr="004011D2">
        <w:rPr>
          <w:rStyle w:val="StyleUnderline"/>
          <w:rFonts w:asciiTheme="minorHAnsi" w:hAnsiTheme="minorHAnsi" w:cstheme="minorHAnsi"/>
          <w:highlight w:val="cyan"/>
        </w:rPr>
        <w:t>leverage</w:t>
      </w:r>
      <w:r w:rsidRPr="004E3A9B">
        <w:rPr>
          <w:rFonts w:asciiTheme="minorHAnsi" w:hAnsiTheme="minorHAnsi" w:cstheme="minorHAnsi"/>
          <w:sz w:val="16"/>
        </w:rPr>
        <w:t xml:space="preserve">, with the notable exception of China—and even in China some restructuring is under way with ample savings to cushion the process. Even where the situation is not so rosy, many in the </w:t>
      </w:r>
      <w:r w:rsidRPr="004011D2">
        <w:rPr>
          <w:rStyle w:val="StyleUnderline"/>
          <w:rFonts w:asciiTheme="minorHAnsi" w:hAnsiTheme="minorHAnsi" w:cstheme="minorHAnsi"/>
          <w:highlight w:val="cyan"/>
        </w:rPr>
        <w:t>markets seem</w:t>
      </w:r>
      <w:r w:rsidRPr="006936C7">
        <w:rPr>
          <w:rStyle w:val="StyleUnderline"/>
          <w:rFonts w:asciiTheme="minorHAnsi" w:hAnsiTheme="minorHAnsi" w:cstheme="minorHAnsi"/>
        </w:rPr>
        <w:t xml:space="preserve"> to be </w:t>
      </w:r>
      <w:r w:rsidRPr="004011D2">
        <w:rPr>
          <w:rStyle w:val="StyleUnderline"/>
          <w:rFonts w:asciiTheme="minorHAnsi" w:hAnsiTheme="minorHAnsi" w:cstheme="minorHAnsi"/>
          <w:highlight w:val="cyan"/>
        </w:rPr>
        <w:t>confusing strains</w:t>
      </w:r>
      <w:r w:rsidRPr="006936C7">
        <w:rPr>
          <w:rStyle w:val="StyleUnderline"/>
          <w:rFonts w:asciiTheme="minorHAnsi" w:hAnsiTheme="minorHAnsi" w:cstheme="minorHAnsi"/>
        </w:rPr>
        <w:t xml:space="preserve"> and suboptimal situations </w:t>
      </w:r>
      <w:r w:rsidRPr="004011D2">
        <w:rPr>
          <w:rStyle w:val="StyleUnderline"/>
          <w:rFonts w:asciiTheme="minorHAnsi" w:hAnsiTheme="minorHAnsi" w:cstheme="minorHAnsi"/>
          <w:highlight w:val="cyan"/>
        </w:rPr>
        <w:t>with</w:t>
      </w:r>
      <w:r w:rsidRPr="006936C7">
        <w:rPr>
          <w:rStyle w:val="StyleUnderline"/>
          <w:rFonts w:asciiTheme="minorHAnsi" w:hAnsiTheme="minorHAnsi" w:cstheme="minorHAnsi"/>
        </w:rPr>
        <w:t xml:space="preserve"> acute </w:t>
      </w:r>
      <w:r w:rsidRPr="004011D2">
        <w:rPr>
          <w:rStyle w:val="StyleUnderline"/>
          <w:rFonts w:asciiTheme="minorHAnsi" w:hAnsiTheme="minorHAnsi" w:cstheme="minorHAnsi"/>
          <w:highlight w:val="cyan"/>
        </w:rPr>
        <w:t>instability</w:t>
      </w:r>
      <w:r w:rsidRPr="004E3A9B">
        <w:rPr>
          <w:rFonts w:asciiTheme="minorHAnsi" w:hAnsiTheme="minorHAnsi" w:cstheme="minorHAnsi"/>
          <w:sz w:val="16"/>
        </w:rPr>
        <w:t xml:space="preserve">, not just for Italian banks and for Brazilian budgets but also for Latin America more generally or for trends in global trade. </w:t>
      </w:r>
      <w:r w:rsidRPr="006936C7">
        <w:rPr>
          <w:rStyle w:val="StyleUnderline"/>
          <w:rFonts w:asciiTheme="minorHAnsi" w:hAnsiTheme="minorHAnsi" w:cstheme="minorHAnsi"/>
        </w:rPr>
        <w:t xml:space="preserve">A </w:t>
      </w:r>
      <w:r w:rsidRPr="006936C7">
        <w:rPr>
          <w:rStyle w:val="Emphasis"/>
          <w:rFonts w:asciiTheme="minorHAnsi" w:hAnsiTheme="minorHAnsi" w:cstheme="minorHAnsi"/>
        </w:rPr>
        <w:t xml:space="preserve">more </w:t>
      </w:r>
      <w:r w:rsidRPr="004011D2">
        <w:rPr>
          <w:rStyle w:val="Emphasis"/>
          <w:rFonts w:asciiTheme="minorHAnsi" w:hAnsiTheme="minorHAnsi" w:cstheme="minorHAnsi"/>
          <w:highlight w:val="cyan"/>
        </w:rPr>
        <w:t>normal muddling</w:t>
      </w:r>
      <w:r w:rsidRPr="006936C7">
        <w:rPr>
          <w:rStyle w:val="StyleUnderline"/>
          <w:rFonts w:asciiTheme="minorHAnsi" w:hAnsiTheme="minorHAnsi" w:cstheme="minorHAnsi"/>
        </w:rPr>
        <w:t xml:space="preserve"> through </w:t>
      </w:r>
      <w:r w:rsidRPr="004011D2">
        <w:rPr>
          <w:rStyle w:val="StyleUnderline"/>
          <w:rFonts w:asciiTheme="minorHAnsi" w:hAnsiTheme="minorHAnsi" w:cstheme="minorHAnsi"/>
          <w:highlight w:val="cyan"/>
        </w:rPr>
        <w:t xml:space="preserve">with </w:t>
      </w:r>
      <w:r w:rsidRPr="004011D2">
        <w:rPr>
          <w:rStyle w:val="Emphasis"/>
          <w:rFonts w:asciiTheme="minorHAnsi" w:hAnsiTheme="minorHAnsi" w:cstheme="minorHAnsi"/>
          <w:highlight w:val="cyan"/>
        </w:rPr>
        <w:t>poor but stable</w:t>
      </w:r>
      <w:r w:rsidRPr="004011D2">
        <w:rPr>
          <w:rStyle w:val="StyleUnderline"/>
          <w:rFonts w:asciiTheme="minorHAnsi" w:hAnsiTheme="minorHAnsi" w:cstheme="minorHAnsi"/>
          <w:highlight w:val="cyan"/>
        </w:rPr>
        <w:t xml:space="preserve"> conditions is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far </w:t>
      </w:r>
      <w:r w:rsidRPr="004011D2">
        <w:rPr>
          <w:rStyle w:val="Emphasis"/>
          <w:rFonts w:asciiTheme="minorHAnsi" w:hAnsiTheme="minorHAnsi" w:cstheme="minorHAnsi"/>
          <w:highlight w:val="cyan"/>
        </w:rPr>
        <w:t>better bet</w:t>
      </w:r>
      <w:r w:rsidRPr="004E3A9B">
        <w:rPr>
          <w:rFonts w:asciiTheme="minorHAnsi" w:hAnsiTheme="minorHAnsi" w:cstheme="minorHAnsi"/>
          <w:sz w:val="16"/>
        </w:rPr>
        <w:t xml:space="preserve">. And where some </w:t>
      </w:r>
      <w:r w:rsidRPr="004011D2">
        <w:rPr>
          <w:rStyle w:val="StyleUnderline"/>
          <w:rFonts w:asciiTheme="minorHAnsi" w:hAnsiTheme="minorHAnsi" w:cstheme="minorHAnsi"/>
          <w:highlight w:val="cyan"/>
        </w:rPr>
        <w:t>in</w:t>
      </w:r>
      <w:r w:rsidRPr="004E3A9B">
        <w:rPr>
          <w:rFonts w:asciiTheme="minorHAnsi" w:hAnsiTheme="minorHAnsi" w:cstheme="minorHAnsi"/>
          <w:sz w:val="16"/>
        </w:rPr>
        <w:t xml:space="preserve"> the </w:t>
      </w:r>
      <w:r w:rsidRPr="004011D2">
        <w:rPr>
          <w:rStyle w:val="Emphasis"/>
          <w:rFonts w:asciiTheme="minorHAnsi" w:hAnsiTheme="minorHAnsi" w:cstheme="minorHAnsi"/>
          <w:highlight w:val="cyan"/>
        </w:rPr>
        <w:t>markets</w:t>
      </w:r>
      <w:r w:rsidRPr="006936C7">
        <w:rPr>
          <w:rStyle w:val="Emphasis"/>
          <w:rFonts w:asciiTheme="minorHAnsi" w:hAnsiTheme="minorHAnsi" w:cstheme="minorHAnsi"/>
        </w:rPr>
        <w:t xml:space="preserve"> moving prices </w:t>
      </w:r>
      <w:r w:rsidRPr="004011D2">
        <w:rPr>
          <w:rStyle w:val="Emphasis"/>
          <w:rFonts w:asciiTheme="minorHAnsi" w:hAnsiTheme="minorHAnsi" w:cstheme="minorHAnsi"/>
          <w:highlight w:val="cyan"/>
        </w:rPr>
        <w:t>fear</w:t>
      </w:r>
      <w:r w:rsidRPr="006936C7">
        <w:rPr>
          <w:rStyle w:val="StyleUnderline"/>
          <w:rFonts w:asciiTheme="minorHAnsi" w:hAnsiTheme="minorHAnsi" w:cstheme="minorHAnsi"/>
        </w:rPr>
        <w:t xml:space="preserve"> that normal </w:t>
      </w:r>
      <w:r w:rsidRPr="004011D2">
        <w:rPr>
          <w:rStyle w:val="StyleUnderline"/>
          <w:rFonts w:asciiTheme="minorHAnsi" w:hAnsiTheme="minorHAnsi" w:cstheme="minorHAnsi"/>
          <w:highlight w:val="cyan"/>
        </w:rPr>
        <w:t>economic laws</w:t>
      </w:r>
      <w:r w:rsidRPr="006936C7">
        <w:rPr>
          <w:rStyle w:val="StyleUnderline"/>
          <w:rFonts w:asciiTheme="minorHAnsi" w:hAnsiTheme="minorHAnsi" w:cstheme="minorHAnsi"/>
        </w:rPr>
        <w:t xml:space="preserve"> have been </w:t>
      </w:r>
      <w:r w:rsidRPr="004011D2">
        <w:rPr>
          <w:rStyle w:val="StyleUnderline"/>
          <w:rFonts w:asciiTheme="minorHAnsi" w:hAnsiTheme="minorHAnsi" w:cstheme="minorHAnsi"/>
          <w:highlight w:val="cyan"/>
        </w:rPr>
        <w:t>reversed</w:t>
      </w:r>
      <w:r w:rsidRPr="004E3A9B">
        <w:rPr>
          <w:rFonts w:asciiTheme="minorHAnsi" w:hAnsiTheme="minorHAnsi" w:cstheme="minorHAnsi"/>
          <w:sz w:val="16"/>
        </w:rPr>
        <w:t>—that monetary policy is ineffective or that low oil prices are on net harmful—</w:t>
      </w:r>
      <w:r w:rsidRPr="004011D2">
        <w:rPr>
          <w:rStyle w:val="StyleUnderline"/>
          <w:rFonts w:asciiTheme="minorHAnsi" w:hAnsiTheme="minorHAnsi" w:cstheme="minorHAnsi"/>
          <w:highlight w:val="cyan"/>
        </w:rPr>
        <w:t>they 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likely to be </w:t>
      </w:r>
      <w:r w:rsidRPr="004011D2">
        <w:rPr>
          <w:rStyle w:val="Emphasis"/>
          <w:rFonts w:asciiTheme="minorHAnsi" w:hAnsiTheme="minorHAnsi" w:cstheme="minorHAnsi"/>
          <w:highlight w:val="cyan"/>
        </w:rPr>
        <w:t>proven</w:t>
      </w:r>
      <w:r w:rsidRPr="006936C7">
        <w:rPr>
          <w:rStyle w:val="StyleUnderline"/>
          <w:rFonts w:asciiTheme="minorHAnsi" w:hAnsiTheme="minorHAnsi" w:cstheme="minorHAnsi"/>
        </w:rPr>
        <w:t xml:space="preserve"> clearly </w:t>
      </w:r>
      <w:r w:rsidRPr="004011D2">
        <w:rPr>
          <w:rStyle w:val="StyleUnderline"/>
          <w:rFonts w:asciiTheme="minorHAnsi" w:hAnsiTheme="minorHAnsi" w:cstheme="minorHAnsi"/>
          <w:highlight w:val="cyan"/>
        </w:rPr>
        <w:t>wrong</w:t>
      </w:r>
      <w:r w:rsidRPr="004E3A9B">
        <w:rPr>
          <w:sz w:val="16"/>
        </w:rPr>
        <w:t>,</w:t>
      </w:r>
      <w:r w:rsidRPr="004E3A9B">
        <w:rPr>
          <w:rFonts w:asciiTheme="minorHAnsi" w:hAnsiTheme="minorHAnsi" w:cstheme="minorHAnsi"/>
          <w:sz w:val="16"/>
        </w:rPr>
        <w:t xml:space="preserve"> as they were previously on inflation and commodity prices. </w:t>
      </w:r>
      <w:r w:rsidRPr="006936C7">
        <w:rPr>
          <w:rStyle w:val="StyleUnderline"/>
          <w:rFonts w:asciiTheme="minorHAnsi" w:hAnsiTheme="minorHAnsi" w:cstheme="minorHAnsi"/>
        </w:rPr>
        <w:t>Having</w:t>
      </w:r>
      <w:r w:rsidRPr="004E3A9B">
        <w:rPr>
          <w:rFonts w:asciiTheme="minorHAnsi" w:hAnsiTheme="minorHAnsi" w:cstheme="minorHAnsi"/>
          <w:sz w:val="16"/>
        </w:rPr>
        <w:t xml:space="preserve"> some </w:t>
      </w:r>
      <w:r w:rsidRPr="004011D2">
        <w:rPr>
          <w:rStyle w:val="StyleUnderline"/>
          <w:rFonts w:asciiTheme="minorHAnsi" w:hAnsiTheme="minorHAnsi" w:cstheme="minorHAnsi"/>
          <w:highlight w:val="cyan"/>
        </w:rPr>
        <w:t>clarity to distinguish</w:t>
      </w:r>
      <w:r w:rsidRPr="006936C7">
        <w:rPr>
          <w:rStyle w:val="StyleUnderline"/>
          <w:rFonts w:asciiTheme="minorHAnsi" w:hAnsiTheme="minorHAnsi" w:cstheme="minorHAnsi"/>
        </w:rPr>
        <w:t xml:space="preserve"> between</w:t>
      </w:r>
      <w:r w:rsidRPr="004E3A9B">
        <w:rPr>
          <w:rFonts w:asciiTheme="minorHAnsi" w:hAnsiTheme="minorHAnsi" w:cstheme="minorHAnsi"/>
          <w:sz w:val="16"/>
        </w:rPr>
        <w:t xml:space="preserve"> the more </w:t>
      </w:r>
      <w:r w:rsidRPr="004011D2">
        <w:rPr>
          <w:rStyle w:val="StyleUnderline"/>
          <w:rFonts w:asciiTheme="minorHAnsi" w:hAnsiTheme="minorHAnsi" w:cstheme="minorHAnsi"/>
          <w:highlight w:val="cyan"/>
        </w:rPr>
        <w:t>solid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underlying economic </w:t>
      </w:r>
      <w:r w:rsidRPr="004011D2">
        <w:rPr>
          <w:rStyle w:val="Emphasis"/>
          <w:rFonts w:asciiTheme="minorHAnsi" w:hAnsiTheme="minorHAnsi" w:cstheme="minorHAnsi"/>
          <w:highlight w:val="cyan"/>
        </w:rPr>
        <w:t>outlook</w:t>
      </w:r>
      <w:r w:rsidRPr="004011D2">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the </w:t>
      </w:r>
      <w:r w:rsidRPr="004011D2">
        <w:rPr>
          <w:rStyle w:val="Emphasis"/>
          <w:rFonts w:asciiTheme="minorHAnsi" w:hAnsiTheme="minorHAnsi" w:cstheme="minorHAnsi"/>
          <w:highlight w:val="cyan"/>
        </w:rPr>
        <w:t>shadows thrown by</w:t>
      </w:r>
      <w:r w:rsidRPr="006936C7">
        <w:rPr>
          <w:rStyle w:val="Emphasis"/>
          <w:rFonts w:asciiTheme="minorHAnsi" w:hAnsiTheme="minorHAnsi" w:cstheme="minorHAnsi"/>
        </w:rPr>
        <w:t xml:space="preserve"> financial </w:t>
      </w:r>
      <w:r w:rsidRPr="004011D2">
        <w:rPr>
          <w:rStyle w:val="Emphasis"/>
          <w:rFonts w:asciiTheme="minorHAnsi" w:hAnsiTheme="minorHAnsi" w:cstheme="minorHAnsi"/>
          <w:highlight w:val="cyan"/>
        </w:rPr>
        <w:t>puppetry</w:t>
      </w:r>
      <w:r w:rsidRPr="004E3A9B">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is</w:t>
      </w:r>
      <w:r w:rsidRPr="004E3A9B">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critical</w:t>
      </w:r>
      <w:r w:rsidRPr="004E3A9B">
        <w:rPr>
          <w:rFonts w:asciiTheme="minorHAnsi" w:hAnsiTheme="minorHAnsi" w:cstheme="minorHAnsi"/>
          <w:sz w:val="16"/>
        </w:rPr>
        <w:t xml:space="preserve"> to making the right policy decisions </w:t>
      </w:r>
      <w:r w:rsidRPr="004011D2">
        <w:rPr>
          <w:rStyle w:val="StyleUnderline"/>
          <w:rFonts w:asciiTheme="minorHAnsi" w:hAnsiTheme="minorHAnsi" w:cstheme="minorHAnsi"/>
          <w:highlight w:val="cyan"/>
        </w:rPr>
        <w:t>to avoid</w:t>
      </w:r>
      <w:r w:rsidRPr="006936C7">
        <w:rPr>
          <w:rStyle w:val="StyleUnderline"/>
          <w:rFonts w:asciiTheme="minorHAnsi" w:hAnsiTheme="minorHAnsi" w:cstheme="minorHAnsi"/>
        </w:rPr>
        <w:t xml:space="preserve"> an </w:t>
      </w:r>
      <w:r w:rsidRPr="004011D2">
        <w:rPr>
          <w:rStyle w:val="Emphasis"/>
          <w:rFonts w:asciiTheme="minorHAnsi" w:hAnsiTheme="minorHAnsi" w:cstheme="minorHAnsi"/>
          <w:highlight w:val="cyan"/>
        </w:rPr>
        <w:t>unnecessary recession</w:t>
      </w:r>
      <w:r w:rsidRPr="004E3A9B">
        <w:rPr>
          <w:sz w:val="16"/>
        </w:rPr>
        <w:t>.</w:t>
      </w:r>
    </w:p>
    <w:p w14:paraId="45E6AC3B" w14:textId="535E34C5" w:rsidR="00456038" w:rsidRDefault="00456038" w:rsidP="00456038">
      <w:pPr>
        <w:rPr>
          <w:rFonts w:asciiTheme="minorHAnsi" w:hAnsiTheme="minorHAnsi" w:cstheme="minorHAnsi"/>
          <w:sz w:val="16"/>
        </w:rPr>
      </w:pPr>
      <w:r w:rsidRPr="004E3A9B">
        <w:rPr>
          <w:rStyle w:val="StyleUnderline"/>
        </w:rPr>
        <w:t>A combination 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public </w:t>
      </w:r>
      <w:r w:rsidRPr="004011D2">
        <w:rPr>
          <w:rStyle w:val="Emphasis"/>
          <w:rFonts w:asciiTheme="minorHAnsi" w:hAnsiTheme="minorHAnsi" w:cstheme="minorHAnsi"/>
          <w:highlight w:val="cyan"/>
        </w:rPr>
        <w:t>policies</w:t>
      </w:r>
      <w:r w:rsidRPr="004011D2">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w:t>
      </w:r>
      <w:r w:rsidRPr="004011D2">
        <w:rPr>
          <w:rStyle w:val="Emphasis"/>
          <w:rFonts w:asciiTheme="minorHAnsi" w:hAnsiTheme="minorHAnsi" w:cstheme="minorHAnsi"/>
          <w:highlight w:val="cyan"/>
        </w:rPr>
        <w:t>decentralized</w:t>
      </w:r>
      <w:r w:rsidRPr="006936C7">
        <w:rPr>
          <w:rStyle w:val="Emphasis"/>
          <w:rFonts w:asciiTheme="minorHAnsi" w:hAnsiTheme="minorHAnsi" w:cstheme="minorHAnsi"/>
        </w:rPr>
        <w:t xml:space="preserve"> private-sector </w:t>
      </w:r>
      <w:r w:rsidRPr="004011D2">
        <w:rPr>
          <w:rStyle w:val="Emphasis"/>
          <w:rFonts w:asciiTheme="minorHAnsi" w:hAnsiTheme="minorHAnsi" w:cstheme="minorHAnsi"/>
          <w:highlight w:val="cyan"/>
        </w:rPr>
        <w:t>responses</w:t>
      </w:r>
      <w:r w:rsidRPr="006936C7">
        <w:rPr>
          <w:rStyle w:val="StyleUnderline"/>
          <w:rFonts w:asciiTheme="minorHAnsi" w:hAnsiTheme="minorHAnsi" w:cstheme="minorHAnsi"/>
        </w:rPr>
        <w:t xml:space="preserve"> to the crisis have </w:t>
      </w:r>
      <w:r w:rsidRPr="004011D2">
        <w:rPr>
          <w:rStyle w:val="Emphasis"/>
          <w:rFonts w:asciiTheme="minorHAnsi" w:hAnsiTheme="minorHAnsi" w:cstheme="minorHAnsi"/>
          <w:highlight w:val="cyan"/>
        </w:rPr>
        <w:t>increased</w:t>
      </w:r>
      <w:r w:rsidRPr="006936C7">
        <w:rPr>
          <w:rStyle w:val="Emphasis"/>
          <w:rFonts w:asciiTheme="minorHAnsi" w:hAnsiTheme="minorHAnsi" w:cstheme="minorHAnsi"/>
        </w:rPr>
        <w:t xml:space="preserve"> our economic </w:t>
      </w:r>
      <w:r w:rsidRPr="004011D2">
        <w:rPr>
          <w:rStyle w:val="Emphasis"/>
          <w:rFonts w:asciiTheme="minorHAnsi" w:hAnsiTheme="minorHAnsi" w:cstheme="minorHAnsi"/>
          <w:highlight w:val="cyan"/>
        </w:rPr>
        <w:t>resilience</w:t>
      </w:r>
      <w:r w:rsidRPr="004011D2">
        <w:rPr>
          <w:rStyle w:val="StyleUnderline"/>
          <w:rFonts w:asciiTheme="minorHAnsi" w:hAnsiTheme="minorHAnsi" w:cstheme="minorHAnsi"/>
          <w:highlight w:val="cyan"/>
        </w:rPr>
        <w:t>,</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diminished</w:t>
      </w:r>
      <w:r w:rsidRPr="006936C7">
        <w:rPr>
          <w:rStyle w:val="StyleUnderline"/>
          <w:rFonts w:asciiTheme="minorHAnsi" w:hAnsiTheme="minorHAnsi" w:cstheme="minorHAnsi"/>
        </w:rPr>
        <w:t xml:space="preserve"> the </w:t>
      </w:r>
      <w:r w:rsidRPr="006936C7">
        <w:rPr>
          <w:rStyle w:val="Emphasis"/>
          <w:rFonts w:asciiTheme="minorHAnsi" w:hAnsiTheme="minorHAnsi" w:cstheme="minorHAnsi"/>
        </w:rPr>
        <w:t xml:space="preserve">systemic </w:t>
      </w:r>
      <w:r w:rsidRPr="004011D2">
        <w:rPr>
          <w:rStyle w:val="Emphasis"/>
          <w:rFonts w:asciiTheme="minorHAnsi" w:hAnsiTheme="minorHAnsi" w:cstheme="minorHAnsi"/>
          <w:highlight w:val="cyan"/>
        </w:rPr>
        <w:t>spillovers</w:t>
      </w:r>
      <w:r w:rsidRPr="006936C7">
        <w:rPr>
          <w:rStyle w:val="StyleUnderline"/>
          <w:rFonts w:asciiTheme="minorHAnsi" w:hAnsiTheme="minorHAnsi" w:cstheme="minorHAnsi"/>
        </w:rPr>
        <w:t xml:space="preserve"> between economies, </w:t>
      </w:r>
      <w:r w:rsidRPr="004011D2">
        <w:rPr>
          <w:rStyle w:val="StyleUnderline"/>
          <w:rFonts w:asciiTheme="minorHAnsi" w:hAnsiTheme="minorHAnsi" w:cstheme="minorHAnsi"/>
          <w:highlight w:val="cyan"/>
        </w:rPr>
        <w:t>and</w:t>
      </w:r>
      <w:r w:rsidRPr="006936C7">
        <w:rPr>
          <w:rFonts w:asciiTheme="minorHAnsi" w:hAnsiTheme="minorHAnsi" w:cstheme="minorHAnsi"/>
          <w:sz w:val="16"/>
        </w:rPr>
        <w:t xml:space="preserve"> even </w:t>
      </w:r>
      <w:r w:rsidRPr="004011D2">
        <w:rPr>
          <w:rStyle w:val="StyleUnderline"/>
          <w:rFonts w:asciiTheme="minorHAnsi" w:hAnsiTheme="minorHAnsi" w:cstheme="minorHAnsi"/>
          <w:highlight w:val="cyan"/>
        </w:rPr>
        <w:t>created</w:t>
      </w:r>
      <w:r w:rsidRPr="006936C7">
        <w:rPr>
          <w:rFonts w:asciiTheme="minorHAnsi" w:hAnsiTheme="minorHAnsi" w:cstheme="minorHAnsi"/>
          <w:sz w:val="16"/>
        </w:rPr>
        <w:t xml:space="preserve"> some </w:t>
      </w:r>
      <w:r w:rsidRPr="004011D2">
        <w:rPr>
          <w:rStyle w:val="Emphasis"/>
          <w:rFonts w:asciiTheme="minorHAnsi" w:hAnsiTheme="minorHAnsi" w:cstheme="minorHAnsi"/>
          <w:highlight w:val="cyan"/>
        </w:rPr>
        <w:t>room for</w:t>
      </w:r>
      <w:r w:rsidRPr="006936C7">
        <w:rPr>
          <w:rStyle w:val="Emphasis"/>
          <w:rFonts w:asciiTheme="minorHAnsi" w:hAnsiTheme="minorHAnsi" w:cstheme="minorHAnsi"/>
        </w:rPr>
        <w:t xml:space="preserve"> additional </w:t>
      </w:r>
      <w:r w:rsidRPr="004011D2">
        <w:rPr>
          <w:rStyle w:val="Emphasis"/>
          <w:rFonts w:asciiTheme="minorHAnsi" w:hAnsiTheme="minorHAnsi" w:cstheme="minorHAnsi"/>
          <w:highlight w:val="cyan"/>
        </w:rPr>
        <w:t>stimulus</w:t>
      </w:r>
      <w:r w:rsidRPr="006936C7">
        <w:rPr>
          <w:rStyle w:val="StyleUnderline"/>
          <w:rFonts w:asciiTheme="minorHAnsi" w:hAnsiTheme="minorHAnsi" w:cstheme="minorHAnsi"/>
        </w:rPr>
        <w:t xml:space="preserve"> if needed.</w:t>
      </w:r>
      <w:r w:rsidRPr="006936C7">
        <w:rPr>
          <w:rFonts w:asciiTheme="minorHAnsi" w:hAnsiTheme="minorHAnsi" w:cstheme="minorHAnsi"/>
          <w:sz w:val="16"/>
        </w:rPr>
        <w:t xml:space="preserve"> Large parts of </w:t>
      </w:r>
      <w:r w:rsidRPr="006936C7">
        <w:rPr>
          <w:rStyle w:val="StyleUnderline"/>
          <w:rFonts w:asciiTheme="minorHAnsi" w:hAnsiTheme="minorHAnsi" w:cstheme="minorHAnsi"/>
        </w:rPr>
        <w:t xml:space="preserve">the </w:t>
      </w:r>
      <w:r w:rsidRPr="006936C7">
        <w:rPr>
          <w:rStyle w:val="Emphasis"/>
          <w:rFonts w:asciiTheme="minorHAnsi" w:hAnsiTheme="minorHAnsi" w:cstheme="minorHAnsi"/>
        </w:rPr>
        <w:t>global financial system</w:t>
      </w:r>
      <w:r w:rsidRPr="006936C7">
        <w:rPr>
          <w:rStyle w:val="StyleUnderline"/>
          <w:rFonts w:asciiTheme="minorHAnsi" w:hAnsiTheme="minorHAnsi" w:cstheme="minorHAnsi"/>
        </w:rPr>
        <w:t xml:space="preserve"> are </w:t>
      </w:r>
      <w:r w:rsidRPr="004011D2">
        <w:rPr>
          <w:rStyle w:val="StyleUnderline"/>
          <w:rFonts w:asciiTheme="minorHAnsi" w:hAnsiTheme="minorHAnsi" w:cstheme="minorHAnsi"/>
          <w:highlight w:val="cyan"/>
        </w:rPr>
        <w:t xml:space="preserve">better </w:t>
      </w:r>
      <w:r w:rsidRPr="004011D2">
        <w:rPr>
          <w:rStyle w:val="Emphasis"/>
          <w:rFonts w:asciiTheme="minorHAnsi" w:hAnsiTheme="minorHAnsi" w:cstheme="minorHAnsi"/>
          <w:highlight w:val="cyan"/>
        </w:rPr>
        <w:t>capitalized</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monitored</w:t>
      </w:r>
      <w:r w:rsidRPr="004011D2">
        <w:rPr>
          <w:rStyle w:val="StyleUnderline"/>
          <w:rFonts w:asciiTheme="minorHAnsi" w:hAnsiTheme="minorHAnsi" w:cstheme="minorHAnsi"/>
          <w:highlight w:val="cyan"/>
        </w:rPr>
        <w:t>, and</w:t>
      </w:r>
      <w:r w:rsidRPr="006936C7">
        <w:rPr>
          <w:rFonts w:asciiTheme="minorHAnsi" w:hAnsiTheme="minorHAnsi" w:cstheme="minorHAnsi"/>
          <w:sz w:val="16"/>
        </w:rPr>
        <w:t xml:space="preserve"> frankly </w:t>
      </w:r>
      <w:r w:rsidRPr="004011D2">
        <w:rPr>
          <w:rStyle w:val="Emphasis"/>
          <w:rFonts w:asciiTheme="minorHAnsi" w:hAnsiTheme="minorHAnsi" w:cstheme="minorHAnsi"/>
          <w:highlight w:val="cyan"/>
        </w:rPr>
        <w:t>more risk averse</w:t>
      </w:r>
      <w:r w:rsidRPr="006936C7">
        <w:rPr>
          <w:rFonts w:asciiTheme="minorHAnsi" w:hAnsiTheme="minorHAnsi" w:cstheme="minorHAnsi"/>
          <w:sz w:val="16"/>
        </w:rPr>
        <w:t xml:space="preserve"> </w:t>
      </w:r>
      <w:r w:rsidRPr="006936C7">
        <w:rPr>
          <w:rStyle w:val="StyleUnderline"/>
          <w:rFonts w:asciiTheme="minorHAnsi" w:hAnsiTheme="minorHAnsi" w:cstheme="minorHAnsi"/>
        </w:rPr>
        <w:t>than</w:t>
      </w:r>
      <w:r w:rsidRPr="006936C7">
        <w:rPr>
          <w:rFonts w:asciiTheme="minorHAnsi" w:hAnsiTheme="minorHAnsi" w:cstheme="minorHAnsi"/>
          <w:sz w:val="16"/>
        </w:rPr>
        <w:t xml:space="preserve"> they were </w:t>
      </w:r>
      <w:r w:rsidRPr="006936C7">
        <w:rPr>
          <w:rStyle w:val="StyleUnderline"/>
          <w:rFonts w:asciiTheme="minorHAnsi" w:hAnsiTheme="minorHAnsi" w:cstheme="minorHAnsi"/>
        </w:rPr>
        <w:t>a decade ago</w:t>
      </w:r>
      <w:r w:rsidRPr="006936C7">
        <w:rPr>
          <w:rFonts w:asciiTheme="minorHAnsi" w:hAnsiTheme="minorHAnsi" w:cstheme="minorHAnsi"/>
          <w:sz w:val="16"/>
        </w:rPr>
        <w:t xml:space="preserve">, </w:t>
      </w:r>
      <w:r w:rsidRPr="006936C7">
        <w:rPr>
          <w:rStyle w:val="StyleUnderline"/>
          <w:rFonts w:asciiTheme="minorHAnsi" w:hAnsiTheme="minorHAnsi" w:cstheme="minorHAnsi"/>
        </w:rPr>
        <w:t>with less leverage</w:t>
      </w:r>
      <w:r w:rsidRPr="004E3A9B">
        <w:t>.</w:t>
      </w:r>
      <w:r w:rsidRPr="006936C7">
        <w:rPr>
          <w:rFonts w:asciiTheme="minorHAnsi" w:hAnsiTheme="minorHAnsi" w:cstheme="minorHAnsi"/>
          <w:sz w:val="16"/>
        </w:rPr>
        <w:t xml:space="preserve"> The riskier parts of today’s global economy are less directly linked to the center’s growth and fi nancing than when the troubles were within the United States and most of Europe in 2008. Trade imbalances of many key economies are smaller, though growing, and thus accumulations of foreign debt vulnerabilities are also smaller than a decade ago. Most </w:t>
      </w:r>
      <w:r w:rsidRPr="006936C7">
        <w:rPr>
          <w:rStyle w:val="StyleUnderline"/>
          <w:rFonts w:asciiTheme="minorHAnsi" w:hAnsiTheme="minorHAnsi" w:cstheme="minorHAnsi"/>
        </w:rPr>
        <w:t>central banks are now</w:t>
      </w:r>
      <w:r w:rsidRPr="006936C7">
        <w:rPr>
          <w:rFonts w:asciiTheme="minorHAnsi" w:hAnsiTheme="minorHAnsi" w:cstheme="minorHAnsi"/>
          <w:sz w:val="16"/>
        </w:rPr>
        <w:t xml:space="preserve"> so </w:t>
      </w:r>
      <w:r w:rsidRPr="006936C7">
        <w:rPr>
          <w:rStyle w:val="StyleUnderline"/>
          <w:rFonts w:asciiTheme="minorHAnsi" w:hAnsiTheme="minorHAnsi" w:cstheme="minorHAnsi"/>
        </w:rPr>
        <w:t>committed to stabilization</w:t>
      </w:r>
      <w:r w:rsidRPr="006936C7">
        <w:rPr>
          <w:rFonts w:asciiTheme="minorHAnsi" w:hAnsiTheme="minorHAnsi" w:cstheme="minorHAnsi"/>
          <w:sz w:val="16"/>
        </w:rPr>
        <w:t xml:space="preserve"> that they are attacked for being too loose or supportive of markets, </w:t>
      </w:r>
      <w:r w:rsidRPr="006936C7">
        <w:rPr>
          <w:rStyle w:val="StyleUnderline"/>
          <w:rFonts w:asciiTheme="minorHAnsi" w:hAnsiTheme="minorHAnsi" w:cstheme="minorHAnsi"/>
        </w:rPr>
        <w:t>making them</w:t>
      </w:r>
      <w:r w:rsidRPr="006936C7">
        <w:rPr>
          <w:rFonts w:asciiTheme="minorHAnsi" w:hAnsiTheme="minorHAnsi" w:cstheme="minorHAnsi"/>
          <w:sz w:val="16"/>
        </w:rPr>
        <w:t xml:space="preserve"> at least </w:t>
      </w:r>
      <w:r w:rsidRPr="006936C7">
        <w:rPr>
          <w:rStyle w:val="StyleUnderline"/>
          <w:rFonts w:asciiTheme="minorHAnsi" w:hAnsiTheme="minorHAnsi" w:cstheme="minorHAnsi"/>
        </w:rPr>
        <w:t>unlikely to repeat some policy errors from 2007–10</w:t>
      </w:r>
      <w:r w:rsidRPr="006936C7">
        <w:rPr>
          <w:rFonts w:asciiTheme="minorHAnsi" w:hAnsiTheme="minorHAnsi" w:cstheme="minorHAnsi"/>
          <w:sz w:val="16"/>
        </w:rPr>
        <w:t xml:space="preserve">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601B40DB" w14:textId="1CE5F45E" w:rsidR="004E2D89" w:rsidRDefault="004E2D89" w:rsidP="004E2D89">
      <w:pPr>
        <w:pStyle w:val="Heading3"/>
      </w:pPr>
      <w:r>
        <w:t>2NC – Slow Growth</w:t>
      </w:r>
    </w:p>
    <w:p w14:paraId="737CB5B8" w14:textId="77777777" w:rsidR="004E2D89" w:rsidRPr="006936C7" w:rsidRDefault="004E2D89" w:rsidP="004E2D89">
      <w:pPr>
        <w:pStyle w:val="Heading4"/>
        <w:rPr>
          <w:rFonts w:asciiTheme="minorHAnsi" w:hAnsiTheme="minorHAnsi" w:cstheme="minorHAnsi"/>
        </w:rPr>
      </w:pPr>
      <w:r w:rsidRPr="006936C7">
        <w:rPr>
          <w:rFonts w:asciiTheme="minorHAnsi" w:hAnsiTheme="minorHAnsi" w:cstheme="minorHAnsi"/>
        </w:rPr>
        <w:t xml:space="preserve">‘08 proves </w:t>
      </w:r>
      <w:r w:rsidRPr="006936C7">
        <w:rPr>
          <w:rFonts w:asciiTheme="minorHAnsi" w:hAnsiTheme="minorHAnsi" w:cstheme="minorHAnsi"/>
          <w:u w:val="single"/>
        </w:rPr>
        <w:t>no impact</w:t>
      </w:r>
      <w:r w:rsidRPr="006936C7">
        <w:rPr>
          <w:rFonts w:asciiTheme="minorHAnsi" w:hAnsiTheme="minorHAnsi" w:cstheme="minorHAnsi"/>
        </w:rPr>
        <w:t xml:space="preserve"> to decline.</w:t>
      </w:r>
    </w:p>
    <w:p w14:paraId="12544FB4" w14:textId="77777777" w:rsidR="004E2D89" w:rsidRPr="006936C7" w:rsidRDefault="004E2D89" w:rsidP="004E2D89">
      <w:pPr>
        <w:rPr>
          <w:rFonts w:asciiTheme="minorHAnsi" w:hAnsiTheme="minorHAnsi" w:cstheme="minorHAnsi"/>
        </w:rPr>
      </w:pPr>
      <w:r w:rsidRPr="006936C7">
        <w:rPr>
          <w:rStyle w:val="Style13ptBold"/>
          <w:rFonts w:asciiTheme="minorHAnsi" w:hAnsiTheme="minorHAnsi" w:cstheme="minorHAnsi"/>
        </w:rPr>
        <w:t>Drezner 16</w:t>
      </w:r>
      <w:r w:rsidRPr="006936C7">
        <w:rPr>
          <w:rFonts w:asciiTheme="minorHAnsi" w:hAnsiTheme="minorHAnsi" w:cstheme="minorHAnsi"/>
        </w:rPr>
        <w:t xml:space="preserve"> Daniel W. Drezner, International Politics Professor at Tufts University. [The System Worked: How the World Stopped Another Great Depression, Oxford University Press, Reprint Edition (2016), Chapter 7: Where Do We Go from Here?]//BPS</w:t>
      </w:r>
    </w:p>
    <w:p w14:paraId="3CDC88E6" w14:textId="088E2142" w:rsidR="004E2D89" w:rsidRDefault="004E2D89" w:rsidP="004E2D89">
      <w:pPr>
        <w:rPr>
          <w:rFonts w:asciiTheme="minorHAnsi" w:hAnsiTheme="minorHAnsi" w:cstheme="minorHAnsi"/>
          <w:sz w:val="16"/>
        </w:rPr>
      </w:pPr>
      <w:r w:rsidRPr="006936C7">
        <w:rPr>
          <w:rFonts w:asciiTheme="minorHAnsi" w:hAnsiTheme="minorHAnsi" w:cstheme="minorHAnsi"/>
          <w:sz w:val="16"/>
        </w:rPr>
        <w:t xml:space="preserve">THE ARGUMENT REDUX </w:t>
      </w:r>
      <w:r w:rsidRPr="004011D2">
        <w:rPr>
          <w:rStyle w:val="StyleUnderline"/>
          <w:rFonts w:asciiTheme="minorHAnsi" w:hAnsiTheme="minorHAnsi" w:cstheme="minorHAnsi"/>
          <w:highlight w:val="cyan"/>
        </w:rPr>
        <w:t>In</w:t>
      </w:r>
      <w:r w:rsidRPr="006936C7">
        <w:rPr>
          <w:rFonts w:asciiTheme="minorHAnsi" w:hAnsiTheme="minorHAnsi" w:cstheme="minorHAnsi"/>
          <w:sz w:val="16"/>
        </w:rPr>
        <w:t xml:space="preserve"> the fall of </w:t>
      </w:r>
      <w:r w:rsidRPr="004011D2">
        <w:rPr>
          <w:rStyle w:val="StyleUnderline"/>
          <w:rFonts w:asciiTheme="minorHAnsi" w:hAnsiTheme="minorHAnsi" w:cstheme="minorHAnsi"/>
          <w:highlight w:val="cyan"/>
        </w:rPr>
        <w:t>2008</w:t>
      </w:r>
      <w:r w:rsidRPr="006936C7">
        <w:rPr>
          <w:rStyle w:val="StyleUnderline"/>
          <w:rFonts w:asciiTheme="minorHAnsi" w:hAnsiTheme="minorHAnsi" w:cstheme="minorHAnsi"/>
        </w:rPr>
        <w:t xml:space="preserve">, the global </w:t>
      </w:r>
      <w:r w:rsidRPr="004011D2">
        <w:rPr>
          <w:rStyle w:val="StyleUnderline"/>
          <w:rFonts w:asciiTheme="minorHAnsi" w:hAnsiTheme="minorHAnsi" w:cstheme="minorHAnsi"/>
          <w:highlight w:val="cyan"/>
        </w:rPr>
        <w:t>econ</w:t>
      </w:r>
      <w:r w:rsidRPr="006936C7">
        <w:rPr>
          <w:rStyle w:val="StyleUnderline"/>
          <w:rFonts w:asciiTheme="minorHAnsi" w:hAnsiTheme="minorHAnsi" w:cstheme="minorHAnsi"/>
        </w:rPr>
        <w:t xml:space="preserve">omy </w:t>
      </w:r>
      <w:r w:rsidRPr="004011D2">
        <w:rPr>
          <w:rStyle w:val="StyleUnderline"/>
          <w:rFonts w:asciiTheme="minorHAnsi" w:hAnsiTheme="minorHAnsi" w:cstheme="minorHAnsi"/>
          <w:highlight w:val="cyan"/>
        </w:rPr>
        <w:t>suffered</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a</w:t>
      </w:r>
      <w:r w:rsidRPr="006936C7">
        <w:rPr>
          <w:rStyle w:val="Emphasis"/>
          <w:rFonts w:asciiTheme="minorHAnsi" w:hAnsiTheme="minorHAnsi" w:cstheme="minorHAnsi"/>
        </w:rPr>
        <w:t xml:space="preserve"> bigger</w:t>
      </w:r>
      <w:r w:rsidRPr="006936C7">
        <w:rPr>
          <w:rFonts w:asciiTheme="minorHAnsi" w:hAnsiTheme="minorHAnsi" w:cstheme="minorHAnsi"/>
          <w:sz w:val="16"/>
        </w:rPr>
        <w:t xml:space="preserve"> </w:t>
      </w:r>
      <w:r w:rsidRPr="006936C7">
        <w:rPr>
          <w:rStyle w:val="StyleUnderline"/>
          <w:rFonts w:asciiTheme="minorHAnsi" w:hAnsiTheme="minorHAnsi" w:cstheme="minorHAnsi"/>
        </w:rPr>
        <w:t>and</w:t>
      </w:r>
      <w:r w:rsidRPr="006936C7">
        <w:rPr>
          <w:rFonts w:asciiTheme="minorHAnsi" w:hAnsiTheme="minorHAnsi" w:cstheme="minorHAnsi"/>
          <w:sz w:val="16"/>
        </w:rPr>
        <w:t xml:space="preserve"> </w:t>
      </w:r>
      <w:r w:rsidRPr="004011D2">
        <w:rPr>
          <w:rStyle w:val="Emphasis"/>
          <w:rFonts w:asciiTheme="minorHAnsi" w:hAnsiTheme="minorHAnsi" w:cstheme="minorHAnsi"/>
          <w:highlight w:val="cyan"/>
        </w:rPr>
        <w:t>deeper shock</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than</w:t>
      </w:r>
      <w:r w:rsidRPr="006936C7">
        <w:rPr>
          <w:rFonts w:asciiTheme="minorHAnsi" w:hAnsiTheme="minorHAnsi" w:cstheme="minorHAnsi"/>
          <w:sz w:val="16"/>
        </w:rPr>
        <w:t xml:space="preserve"> it did in the fall of </w:t>
      </w:r>
      <w:r w:rsidRPr="004011D2">
        <w:rPr>
          <w:rStyle w:val="StyleUnderline"/>
          <w:rFonts w:asciiTheme="minorHAnsi" w:hAnsiTheme="minorHAnsi" w:cstheme="minorHAnsi"/>
          <w:highlight w:val="cyan"/>
        </w:rPr>
        <w:t>1929</w:t>
      </w:r>
      <w:r w:rsidRPr="006936C7">
        <w:rPr>
          <w:rFonts w:asciiTheme="minorHAnsi" w:hAnsiTheme="minorHAnsi" w:cstheme="minorHAnsi"/>
          <w:sz w:val="16"/>
        </w:rPr>
        <w:t xml:space="preserve">. </w:t>
      </w:r>
      <w:r w:rsidRPr="006936C7">
        <w:rPr>
          <w:rStyle w:val="StyleUnderline"/>
          <w:rFonts w:asciiTheme="minorHAnsi" w:hAnsiTheme="minorHAnsi" w:cstheme="minorHAnsi"/>
        </w:rPr>
        <w:t>Despite</w:t>
      </w:r>
      <w:r w:rsidRPr="006936C7">
        <w:rPr>
          <w:rFonts w:asciiTheme="minorHAnsi" w:hAnsiTheme="minorHAnsi" w:cstheme="minorHAnsi"/>
          <w:sz w:val="16"/>
        </w:rPr>
        <w:t xml:space="preserve"> that </w:t>
      </w:r>
      <w:r w:rsidRPr="006936C7">
        <w:rPr>
          <w:rStyle w:val="StyleUnderline"/>
          <w:rFonts w:asciiTheme="minorHAnsi" w:hAnsiTheme="minorHAnsi" w:cstheme="minorHAnsi"/>
        </w:rPr>
        <w:t>shock</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the global economy </w:t>
      </w:r>
      <w:r w:rsidRPr="006936C7">
        <w:rPr>
          <w:rStyle w:val="Emphasis"/>
          <w:rFonts w:asciiTheme="minorHAnsi" w:hAnsiTheme="minorHAnsi" w:cstheme="minorHAnsi"/>
        </w:rPr>
        <w:t>rebounded</w:t>
      </w:r>
      <w:r w:rsidRPr="006936C7">
        <w:rPr>
          <w:rFonts w:asciiTheme="minorHAnsi" w:hAnsiTheme="minorHAnsi" w:cstheme="minorHAnsi"/>
          <w:sz w:val="16"/>
        </w:rPr>
        <w:t xml:space="preserve">. Given the depth of the financial damage, and given how the global economy had previously responded to similar shocks, the post-2008 </w:t>
      </w:r>
      <w:r w:rsidRPr="004011D2">
        <w:rPr>
          <w:rStyle w:val="StyleUnderline"/>
          <w:rFonts w:asciiTheme="minorHAnsi" w:hAnsiTheme="minorHAnsi" w:cstheme="minorHAnsi"/>
          <w:highlight w:val="cyan"/>
        </w:rPr>
        <w:t xml:space="preserve">performance was </w:t>
      </w:r>
      <w:r w:rsidRPr="004011D2">
        <w:rPr>
          <w:rStyle w:val="Emphasis"/>
          <w:rFonts w:asciiTheme="minorHAnsi" w:hAnsiTheme="minorHAnsi" w:cstheme="minorHAnsi"/>
          <w:highlight w:val="cyan"/>
        </w:rPr>
        <w:t>remarkable</w:t>
      </w:r>
      <w:r w:rsidRPr="004011D2">
        <w:rPr>
          <w:rStyle w:val="StyleUnderline"/>
          <w:rFonts w:asciiTheme="minorHAnsi" w:hAnsiTheme="minorHAnsi" w:cstheme="minorHAnsi"/>
          <w:highlight w:val="cyan"/>
        </w:rPr>
        <w:t>. Cross-border flows</w:t>
      </w:r>
      <w:r w:rsidRPr="006936C7">
        <w:rPr>
          <w:rFonts w:asciiTheme="minorHAnsi" w:hAnsiTheme="minorHAnsi" w:cstheme="minorHAnsi"/>
          <w:sz w:val="16"/>
        </w:rPr>
        <w:t xml:space="preserve"> in trade, FDI, and remittances suffered temporary downturns but </w:t>
      </w:r>
      <w:r w:rsidRPr="004011D2">
        <w:rPr>
          <w:rStyle w:val="Emphasis"/>
          <w:rFonts w:asciiTheme="minorHAnsi" w:hAnsiTheme="minorHAnsi" w:cstheme="minorHAnsi"/>
          <w:highlight w:val="cyan"/>
        </w:rPr>
        <w:t>soon exceeded</w:t>
      </w:r>
      <w:r w:rsidRPr="006936C7">
        <w:rPr>
          <w:rFonts w:asciiTheme="minorHAnsi" w:hAnsiTheme="minorHAnsi" w:cstheme="minorHAnsi"/>
          <w:sz w:val="16"/>
        </w:rPr>
        <w:t xml:space="preserve"> or approximated </w:t>
      </w:r>
      <w:r w:rsidRPr="004011D2">
        <w:rPr>
          <w:rStyle w:val="StyleUnderline"/>
          <w:rFonts w:asciiTheme="minorHAnsi" w:hAnsiTheme="minorHAnsi" w:cstheme="minorHAnsi"/>
          <w:highlight w:val="cyan"/>
        </w:rPr>
        <w:t>pre-crisis averages</w:t>
      </w:r>
      <w:r w:rsidRPr="006936C7">
        <w:rPr>
          <w:rFonts w:asciiTheme="minorHAnsi" w:hAnsiTheme="minorHAnsi" w:cstheme="minorHAnsi"/>
          <w:sz w:val="16"/>
        </w:rPr>
        <w:t xml:space="preserve">. Despite the biggest financial crash in seventy years and the ensuing sovereign debt crises in Europe, the global economy demonstrated remarkable resilience. How did the global economy recover so quickly? Glob¬al economic governance did what it had to do. During a systemic crisis, </w:t>
      </w:r>
      <w:r w:rsidRPr="004011D2">
        <w:rPr>
          <w:rStyle w:val="StyleUnderline"/>
          <w:rFonts w:asciiTheme="minorHAnsi" w:hAnsiTheme="minorHAnsi" w:cstheme="minorHAnsi"/>
          <w:highlight w:val="cyan"/>
        </w:rPr>
        <w:t>markets</w:t>
      </w:r>
      <w:r w:rsidRPr="006936C7">
        <w:rPr>
          <w:rFonts w:asciiTheme="minorHAnsi" w:hAnsiTheme="minorHAnsi" w:cstheme="minorHAnsi"/>
          <w:sz w:val="16"/>
        </w:rPr>
        <w:t xml:space="preserve"> need to </w:t>
      </w:r>
      <w:r w:rsidRPr="004011D2">
        <w:rPr>
          <w:rStyle w:val="StyleUnderline"/>
          <w:rFonts w:asciiTheme="minorHAnsi" w:hAnsiTheme="minorHAnsi" w:cstheme="minorHAnsi"/>
          <w:highlight w:val="cyan"/>
        </w:rPr>
        <w:t>stay</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open</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and</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liquidity</w:t>
      </w:r>
      <w:r w:rsidRPr="006936C7">
        <w:rPr>
          <w:rFonts w:asciiTheme="minorHAnsi" w:hAnsiTheme="minorHAnsi" w:cstheme="minorHAnsi"/>
          <w:sz w:val="16"/>
        </w:rPr>
        <w:t xml:space="preserve"> needs to be </w:t>
      </w:r>
      <w:r w:rsidRPr="004011D2">
        <w:rPr>
          <w:rStyle w:val="Emphasis"/>
          <w:rFonts w:asciiTheme="minorHAnsi" w:hAnsiTheme="minorHAnsi" w:cstheme="minorHAnsi"/>
          <w:highlight w:val="cyan"/>
        </w:rPr>
        <w:t>provided</w:t>
      </w:r>
      <w:r w:rsidRPr="006936C7">
        <w:rPr>
          <w:rFonts w:asciiTheme="minorHAnsi" w:hAnsiTheme="minorHAnsi" w:cstheme="minorHAnsi"/>
          <w:sz w:val="16"/>
        </w:rPr>
        <w:t xml:space="preserve">. </w:t>
      </w:r>
      <w:r w:rsidRPr="006936C7">
        <w:rPr>
          <w:rStyle w:val="StyleUnderline"/>
          <w:rFonts w:asciiTheme="minorHAnsi" w:hAnsiTheme="minorHAnsi" w:cstheme="minorHAnsi"/>
        </w:rPr>
        <w:t>International institutions, supported by the great powers, ensured</w:t>
      </w:r>
      <w:r w:rsidRPr="006936C7">
        <w:rPr>
          <w:rFonts w:asciiTheme="minorHAnsi" w:hAnsiTheme="minorHAnsi" w:cstheme="minorHAnsi"/>
          <w:sz w:val="16"/>
        </w:rPr>
        <w:t xml:space="preserve"> that </w:t>
      </w:r>
      <w:r w:rsidRPr="006936C7">
        <w:rPr>
          <w:rStyle w:val="StyleUnderline"/>
          <w:rFonts w:asciiTheme="minorHAnsi" w:hAnsiTheme="minorHAnsi" w:cstheme="minorHAnsi"/>
        </w:rPr>
        <w:t>this</w:t>
      </w:r>
      <w:r w:rsidRPr="006936C7">
        <w:rPr>
          <w:rFonts w:asciiTheme="minorHAnsi" w:hAnsiTheme="minorHAnsi" w:cstheme="minorHAnsi"/>
          <w:sz w:val="16"/>
        </w:rPr>
        <w:t xml:space="preserve"> happened. The data on trade restrictions show that although levels of </w:t>
      </w:r>
      <w:r w:rsidRPr="004011D2">
        <w:rPr>
          <w:rStyle w:val="StyleUnderline"/>
          <w:rFonts w:asciiTheme="minorHAnsi" w:hAnsiTheme="minorHAnsi" w:cstheme="minorHAnsi"/>
          <w:highlight w:val="cyan"/>
        </w:rPr>
        <w:t>protectionism</w:t>
      </w:r>
      <w:r w:rsidRPr="006936C7">
        <w:rPr>
          <w:rFonts w:asciiTheme="minorHAnsi" w:hAnsiTheme="minorHAnsi" w:cstheme="minorHAnsi"/>
          <w:sz w:val="16"/>
        </w:rPr>
        <w:t xml:space="preserve"> did increase after the crisis, those </w:t>
      </w:r>
      <w:r w:rsidRPr="004011D2">
        <w:rPr>
          <w:rStyle w:val="StyleUnderline"/>
          <w:rFonts w:asciiTheme="minorHAnsi" w:hAnsiTheme="minorHAnsi" w:cstheme="minorHAnsi"/>
          <w:highlight w:val="cyan"/>
        </w:rPr>
        <w:t>increases were</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small</w:t>
      </w:r>
      <w:r w:rsidRPr="006936C7">
        <w:rPr>
          <w:rFonts w:asciiTheme="minorHAnsi" w:hAnsiTheme="minorHAnsi" w:cstheme="minorHAnsi"/>
          <w:sz w:val="16"/>
        </w:rPr>
        <w:t xml:space="preserve">; the number of </w:t>
      </w:r>
      <w:r w:rsidRPr="004011D2">
        <w:rPr>
          <w:rStyle w:val="StyleUnderline"/>
          <w:rFonts w:asciiTheme="minorHAnsi" w:hAnsiTheme="minorHAnsi" w:cstheme="minorHAnsi"/>
          <w:highlight w:val="cyan"/>
        </w:rPr>
        <w:t>restrictions</w:t>
      </w:r>
      <w:r w:rsidRPr="006936C7">
        <w:rPr>
          <w:rFonts w:asciiTheme="minorHAnsi" w:hAnsiTheme="minorHAnsi" w:cstheme="minorHAnsi"/>
          <w:sz w:val="16"/>
        </w:rPr>
        <w:t xml:space="preserve"> eventually </w:t>
      </w:r>
      <w:r w:rsidRPr="004011D2">
        <w:rPr>
          <w:rStyle w:val="StyleUnderline"/>
          <w:rFonts w:asciiTheme="minorHAnsi" w:hAnsiTheme="minorHAnsi" w:cstheme="minorHAnsi"/>
          <w:highlight w:val="cyan"/>
        </w:rPr>
        <w:t>fell to</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historic </w:t>
      </w:r>
      <w:r w:rsidRPr="004011D2">
        <w:rPr>
          <w:rStyle w:val="Emphasis"/>
          <w:rFonts w:asciiTheme="minorHAnsi" w:hAnsiTheme="minorHAnsi" w:cstheme="minorHAnsi"/>
          <w:highlight w:val="cyan"/>
        </w:rPr>
        <w:t>lows</w:t>
      </w:r>
      <w:r w:rsidRPr="006936C7">
        <w:rPr>
          <w:rFonts w:asciiTheme="minorHAnsi" w:hAnsiTheme="minorHAnsi" w:cstheme="minorHAnsi"/>
          <w:sz w:val="16"/>
        </w:rPr>
        <w:t xml:space="preserve">. The United States, the European Union, and China adhered to their WTO obligations, en-suring that the rest of the world could export to them. Despite a lot of loose talk about </w:t>
      </w:r>
      <w:r w:rsidRPr="004011D2">
        <w:rPr>
          <w:rStyle w:val="StyleUnderline"/>
          <w:rFonts w:asciiTheme="minorHAnsi" w:hAnsiTheme="minorHAnsi" w:cstheme="minorHAnsi"/>
          <w:highlight w:val="cyan"/>
        </w:rPr>
        <w:t>currency wars</w:t>
      </w:r>
      <w:r w:rsidRPr="006936C7">
        <w:rPr>
          <w:rFonts w:asciiTheme="minorHAnsi" w:hAnsiTheme="minorHAnsi" w:cstheme="minorHAnsi"/>
          <w:sz w:val="16"/>
        </w:rPr>
        <w:t xml:space="preserve">, actual exchange-rate volatility subsided and </w:t>
      </w:r>
      <w:r w:rsidRPr="004011D2">
        <w:rPr>
          <w:rStyle w:val="StyleUnderline"/>
          <w:rFonts w:asciiTheme="minorHAnsi" w:hAnsiTheme="minorHAnsi" w:cstheme="minorHAnsi"/>
          <w:highlight w:val="cyan"/>
        </w:rPr>
        <w:t>was never</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a </w:t>
      </w:r>
      <w:r w:rsidRPr="004011D2">
        <w:rPr>
          <w:rStyle w:val="Emphasis"/>
          <w:rFonts w:asciiTheme="minorHAnsi" w:hAnsiTheme="minorHAnsi" w:cstheme="minorHAnsi"/>
          <w:highlight w:val="cyan"/>
        </w:rPr>
        <w:t>serious</w:t>
      </w:r>
      <w:r w:rsidRPr="006936C7">
        <w:rPr>
          <w:rStyle w:val="Emphasis"/>
          <w:rFonts w:asciiTheme="minorHAnsi" w:hAnsiTheme="minorHAnsi" w:cstheme="minorHAnsi"/>
        </w:rPr>
        <w:t xml:space="preserve"> concern</w:t>
      </w:r>
      <w:r w:rsidRPr="006936C7">
        <w:rPr>
          <w:rFonts w:asciiTheme="minorHAnsi" w:hAnsiTheme="minorHAnsi" w:cstheme="minorHAnsi"/>
          <w:sz w:val="16"/>
        </w:rPr>
        <w:t xml:space="preserve"> for business executives. The world's major </w:t>
      </w:r>
      <w:r w:rsidRPr="006936C7">
        <w:rPr>
          <w:rStyle w:val="StyleUnderline"/>
          <w:rFonts w:asciiTheme="minorHAnsi" w:hAnsiTheme="minorHAnsi" w:cstheme="minorHAnsi"/>
        </w:rPr>
        <w:t xml:space="preserve">central </w:t>
      </w:r>
      <w:r w:rsidRPr="004011D2">
        <w:rPr>
          <w:rStyle w:val="StyleUnderline"/>
          <w:rFonts w:asciiTheme="minorHAnsi" w:hAnsiTheme="minorHAnsi" w:cstheme="minorHAnsi"/>
          <w:highlight w:val="cyan"/>
        </w:rPr>
        <w:t>banks</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coordinated</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interest-rate</w:t>
      </w:r>
      <w:r w:rsidRPr="006936C7">
        <w:rPr>
          <w:rStyle w:val="StyleUnderline"/>
          <w:rFonts w:asciiTheme="minorHAnsi" w:hAnsiTheme="minorHAnsi" w:cstheme="minorHAnsi"/>
        </w:rPr>
        <w:t xml:space="preserve"> cuts </w:t>
      </w:r>
      <w:r w:rsidRPr="004011D2">
        <w:rPr>
          <w:rStyle w:val="StyleUnderline"/>
          <w:rFonts w:asciiTheme="minorHAnsi" w:hAnsiTheme="minorHAnsi" w:cstheme="minorHAnsi"/>
          <w:highlight w:val="cyan"/>
        </w:rPr>
        <w:t>and swap</w:t>
      </w:r>
      <w:r w:rsidRPr="006936C7">
        <w:rPr>
          <w:rStyle w:val="StyleUnderline"/>
          <w:rFonts w:asciiTheme="minorHAnsi" w:hAnsiTheme="minorHAnsi" w:cstheme="minorHAnsi"/>
        </w:rPr>
        <w:t xml:space="preserve"> lines </w:t>
      </w:r>
      <w:r w:rsidRPr="004011D2">
        <w:rPr>
          <w:rStyle w:val="StyleUnderline"/>
          <w:rFonts w:asciiTheme="minorHAnsi" w:hAnsiTheme="minorHAnsi" w:cstheme="minorHAnsi"/>
          <w:highlight w:val="cyan"/>
        </w:rPr>
        <w:t>to</w:t>
      </w:r>
      <w:r w:rsidRPr="006936C7">
        <w:rPr>
          <w:rStyle w:val="StyleUnderline"/>
          <w:rFonts w:asciiTheme="minorHAnsi" w:hAnsiTheme="minorHAnsi" w:cstheme="minorHAnsi"/>
        </w:rPr>
        <w:t xml:space="preserve"> revive the global economy and </w:t>
      </w:r>
      <w:r w:rsidRPr="004011D2">
        <w:rPr>
          <w:rStyle w:val="StyleUnderline"/>
          <w:rFonts w:asciiTheme="minorHAnsi" w:hAnsiTheme="minorHAnsi" w:cstheme="minorHAnsi"/>
          <w:highlight w:val="cyan"/>
        </w:rPr>
        <w:t>avert</w:t>
      </w:r>
      <w:r w:rsidRPr="006936C7">
        <w:rPr>
          <w:rStyle w:val="StyleUnderline"/>
          <w:rFonts w:asciiTheme="minorHAnsi" w:hAnsiTheme="minorHAnsi" w:cstheme="minorHAnsi"/>
        </w:rPr>
        <w:t xml:space="preserve"> a </w:t>
      </w:r>
      <w:r w:rsidRPr="004011D2">
        <w:rPr>
          <w:rStyle w:val="StyleUnderline"/>
          <w:rFonts w:asciiTheme="minorHAnsi" w:hAnsiTheme="minorHAnsi" w:cstheme="minorHAnsi"/>
          <w:highlight w:val="cyan"/>
        </w:rPr>
        <w:t>liquidity crisis</w:t>
      </w:r>
      <w:r w:rsidRPr="006936C7">
        <w:rPr>
          <w:rFonts w:asciiTheme="minorHAnsi" w:hAnsiTheme="minorHAnsi" w:cstheme="minorHAnsi"/>
          <w:sz w:val="16"/>
        </w:rPr>
        <w:t xml:space="preserve">. </w:t>
      </w:r>
      <w:r w:rsidRPr="004011D2">
        <w:rPr>
          <w:rStyle w:val="Emphasis"/>
          <w:rFonts w:asciiTheme="minorHAnsi" w:hAnsiTheme="minorHAnsi" w:cstheme="minorHAnsi"/>
          <w:highlight w:val="cyan"/>
        </w:rPr>
        <w:t>Quantitative easing</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and</w:t>
      </w:r>
      <w:r w:rsidRPr="006936C7">
        <w:rPr>
          <w:rFonts w:asciiTheme="minorHAnsi" w:hAnsiTheme="minorHAnsi" w:cstheme="minorHAnsi"/>
          <w:sz w:val="16"/>
        </w:rPr>
        <w:t xml:space="preserve"> other </w:t>
      </w:r>
      <w:r w:rsidRPr="004011D2">
        <w:rPr>
          <w:rStyle w:val="Emphasis"/>
          <w:rFonts w:asciiTheme="minorHAnsi" w:hAnsiTheme="minorHAnsi" w:cstheme="minorHAnsi"/>
          <w:highlight w:val="cyan"/>
        </w:rPr>
        <w:t>monetary policy</w:t>
      </w:r>
      <w:r w:rsidRPr="006936C7">
        <w:rPr>
          <w:rFonts w:asciiTheme="minorHAnsi" w:hAnsiTheme="minorHAnsi" w:cstheme="minorHAnsi"/>
          <w:sz w:val="16"/>
        </w:rPr>
        <w:t xml:space="preserve"> actions also </w:t>
      </w:r>
      <w:r w:rsidRPr="004011D2">
        <w:rPr>
          <w:rStyle w:val="StyleUnderline"/>
          <w:rFonts w:asciiTheme="minorHAnsi" w:hAnsiTheme="minorHAnsi" w:cstheme="minorHAnsi"/>
          <w:highlight w:val="cyan"/>
        </w:rPr>
        <w:t>helped</w:t>
      </w:r>
      <w:r w:rsidRPr="006936C7">
        <w:rPr>
          <w:rFonts w:asciiTheme="minorHAnsi" w:hAnsiTheme="minorHAnsi" w:cstheme="minorHAnsi"/>
          <w:sz w:val="16"/>
        </w:rPr>
        <w:t xml:space="preserve"> to </w:t>
      </w:r>
      <w:r w:rsidRPr="004011D2">
        <w:rPr>
          <w:rStyle w:val="Emphasis"/>
          <w:rFonts w:asciiTheme="minorHAnsi" w:hAnsiTheme="minorHAnsi" w:cstheme="minorHAnsi"/>
          <w:highlight w:val="cyan"/>
        </w:rPr>
        <w:t>avert</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the worst-case</w:t>
      </w:r>
      <w:r w:rsidRPr="006936C7">
        <w:rPr>
          <w:rStyle w:val="StyleUnderline"/>
          <w:rFonts w:asciiTheme="minorHAnsi" w:hAnsiTheme="minorHAnsi" w:cstheme="minorHAnsi"/>
        </w:rPr>
        <w:t xml:space="preserve"> scenario</w:t>
      </w:r>
      <w:r w:rsidRPr="006936C7">
        <w:rPr>
          <w:rFonts w:asciiTheme="minorHAnsi" w:hAnsiTheme="minorHAnsi" w:cstheme="minorHAnsi"/>
          <w:sz w:val="16"/>
        </w:rPr>
        <w:t xml:space="preserve">. Between 2008 and 2010, the </w:t>
      </w:r>
      <w:r w:rsidRPr="006936C7">
        <w:rPr>
          <w:rStyle w:val="StyleUnderline"/>
          <w:rFonts w:asciiTheme="minorHAnsi" w:hAnsiTheme="minorHAnsi" w:cstheme="minorHAnsi"/>
        </w:rPr>
        <w:t>G20 economies</w:t>
      </w:r>
      <w:r w:rsidRPr="006936C7">
        <w:rPr>
          <w:rFonts w:asciiTheme="minorHAnsi" w:hAnsiTheme="minorHAnsi" w:cstheme="minorHAnsi"/>
          <w:sz w:val="16"/>
        </w:rPr>
        <w:t xml:space="preserve"> also </w:t>
      </w:r>
      <w:r w:rsidRPr="006936C7">
        <w:rPr>
          <w:rStyle w:val="StyleUnderline"/>
          <w:rFonts w:asciiTheme="minorHAnsi" w:hAnsiTheme="minorHAnsi" w:cstheme="minorHAnsi"/>
        </w:rPr>
        <w:t>coordinated</w:t>
      </w:r>
      <w:r w:rsidRPr="006936C7">
        <w:rPr>
          <w:rFonts w:asciiTheme="minorHAnsi" w:hAnsiTheme="minorHAnsi" w:cstheme="minorHAnsi"/>
          <w:sz w:val="16"/>
        </w:rPr>
        <w:t xml:space="preserve"> </w:t>
      </w:r>
      <w:r w:rsidRPr="006936C7">
        <w:rPr>
          <w:rStyle w:val="Emphasis"/>
          <w:rFonts w:asciiTheme="minorHAnsi" w:hAnsiTheme="minorHAnsi" w:cstheme="minorHAnsi"/>
        </w:rPr>
        <w:t>expansionary fiscal policies</w:t>
      </w:r>
      <w:r w:rsidRPr="006936C7">
        <w:rPr>
          <w:rFonts w:asciiTheme="minorHAnsi" w:hAnsiTheme="minorHAnsi" w:cstheme="minorHAnsi"/>
          <w:sz w:val="16"/>
        </w:rPr>
        <w:t xml:space="preserve"> to make up for the shortfall in private-sector activity. These economies also </w:t>
      </w:r>
      <w:r w:rsidRPr="006936C7">
        <w:rPr>
          <w:rStyle w:val="StyleUnderline"/>
          <w:rFonts w:asciiTheme="minorHAnsi" w:hAnsiTheme="minorHAnsi" w:cstheme="minorHAnsi"/>
        </w:rPr>
        <w:t>bolstered</w:t>
      </w:r>
      <w:r w:rsidRPr="006936C7">
        <w:rPr>
          <w:rFonts w:asciiTheme="minorHAnsi" w:hAnsiTheme="minorHAnsi" w:cstheme="minorHAnsi"/>
          <w:sz w:val="16"/>
        </w:rPr>
        <w:t xml:space="preserve"> the ability of </w:t>
      </w:r>
      <w:r w:rsidRPr="006936C7">
        <w:rPr>
          <w:rStyle w:val="StyleUnderline"/>
          <w:rFonts w:asciiTheme="minorHAnsi" w:hAnsiTheme="minorHAnsi" w:cstheme="minorHAnsi"/>
        </w:rPr>
        <w:t>the World Bank and</w:t>
      </w:r>
      <w:r w:rsidRPr="006936C7">
        <w:rPr>
          <w:rFonts w:asciiTheme="minorHAnsi" w:hAnsiTheme="minorHAnsi" w:cstheme="minorHAnsi"/>
          <w:sz w:val="16"/>
        </w:rPr>
        <w:t xml:space="preserve"> the </w:t>
      </w:r>
      <w:r w:rsidRPr="006936C7">
        <w:rPr>
          <w:rStyle w:val="StyleUnderline"/>
          <w:rFonts w:asciiTheme="minorHAnsi" w:hAnsiTheme="minorHAnsi" w:cstheme="minorHAnsi"/>
        </w:rPr>
        <w:t>IMF to help</w:t>
      </w:r>
      <w:r w:rsidRPr="006936C7">
        <w:rPr>
          <w:rFonts w:asciiTheme="minorHAnsi" w:hAnsiTheme="minorHAnsi" w:cstheme="minorHAnsi"/>
          <w:sz w:val="16"/>
        </w:rPr>
        <w:t xml:space="preserve"> the smaller and </w:t>
      </w:r>
      <w:r w:rsidRPr="006936C7">
        <w:rPr>
          <w:rStyle w:val="StyleUnderline"/>
          <w:rFonts w:asciiTheme="minorHAnsi" w:hAnsiTheme="minorHAnsi" w:cstheme="minorHAnsi"/>
        </w:rPr>
        <w:t>less-developed economies</w:t>
      </w:r>
      <w:r w:rsidRPr="006936C7">
        <w:rPr>
          <w:rFonts w:asciiTheme="minorHAnsi" w:hAnsiTheme="minorHAnsi" w:cstheme="minorHAnsi"/>
          <w:sz w:val="16"/>
        </w:rPr>
        <w:t xml:space="preserve">. Global economic governance structures aided and abetted exactly the policies that Charles Kindleberger would have advocated to prevent a depression. The standard </w:t>
      </w:r>
      <w:r w:rsidRPr="004011D2">
        <w:rPr>
          <w:rStyle w:val="StyleUnderline"/>
          <w:rFonts w:asciiTheme="minorHAnsi" w:hAnsiTheme="minorHAnsi" w:cstheme="minorHAnsi"/>
          <w:highlight w:val="cyan"/>
        </w:rPr>
        <w:t>narrative</w:t>
      </w:r>
      <w:r w:rsidRPr="006936C7">
        <w:rPr>
          <w:rFonts w:asciiTheme="minorHAnsi" w:hAnsiTheme="minorHAnsi" w:cstheme="minorHAnsi"/>
          <w:sz w:val="16"/>
        </w:rPr>
        <w:t xml:space="preserve"> about post-2008 international institutions </w:t>
      </w:r>
      <w:r w:rsidRPr="004011D2">
        <w:rPr>
          <w:rStyle w:val="StyleUnderline"/>
          <w:rFonts w:asciiTheme="minorHAnsi" w:hAnsiTheme="minorHAnsi" w:cstheme="minorHAnsi"/>
          <w:highlight w:val="cyan"/>
        </w:rPr>
        <w:t>is</w:t>
      </w:r>
      <w:r w:rsidRPr="006936C7">
        <w:rPr>
          <w:rFonts w:asciiTheme="minorHAnsi" w:hAnsiTheme="minorHAnsi" w:cstheme="minorHAnsi"/>
          <w:sz w:val="16"/>
        </w:rPr>
        <w:t xml:space="preserve"> that though they might functioned acted during the depths of the crisis, </w:t>
      </w:r>
      <w:r w:rsidRPr="004011D2">
        <w:rPr>
          <w:rStyle w:val="StyleUnderline"/>
          <w:rFonts w:asciiTheme="minorHAnsi" w:hAnsiTheme="minorHAnsi" w:cstheme="minorHAnsi"/>
          <w:highlight w:val="cyan"/>
        </w:rPr>
        <w:t>sclerosis</w:t>
      </w:r>
      <w:r w:rsidRPr="006936C7">
        <w:rPr>
          <w:rFonts w:asciiTheme="minorHAnsi" w:hAnsiTheme="minorHAnsi" w:cstheme="minorHAnsi"/>
          <w:sz w:val="16"/>
        </w:rPr>
        <w:t xml:space="preserve"> soon set in. The </w:t>
      </w:r>
      <w:r w:rsidRPr="004011D2">
        <w:rPr>
          <w:rStyle w:val="StyleUnderline"/>
          <w:rFonts w:asciiTheme="minorHAnsi" w:hAnsiTheme="minorHAnsi" w:cstheme="minorHAnsi"/>
          <w:highlight w:val="cyan"/>
        </w:rPr>
        <w:t xml:space="preserve">evidence suggests </w:t>
      </w:r>
      <w:r w:rsidRPr="004011D2">
        <w:rPr>
          <w:rStyle w:val="Emphasis"/>
          <w:rFonts w:asciiTheme="minorHAnsi" w:hAnsiTheme="minorHAnsi" w:cstheme="minorHAnsi"/>
          <w:highlight w:val="cyan"/>
        </w:rPr>
        <w:t>otherwise</w:t>
      </w:r>
      <w:r w:rsidRPr="006936C7">
        <w:rPr>
          <w:rFonts w:asciiTheme="minorHAnsi" w:hAnsiTheme="minorHAnsi" w:cstheme="minorHAnsi"/>
          <w:sz w:val="16"/>
        </w:rPr>
        <w:t xml:space="preserve">. The </w:t>
      </w:r>
      <w:r w:rsidRPr="006936C7">
        <w:rPr>
          <w:rStyle w:val="StyleUnderline"/>
          <w:rFonts w:asciiTheme="minorHAnsi" w:hAnsiTheme="minorHAnsi" w:cstheme="minorHAnsi"/>
        </w:rPr>
        <w:t>IMF</w:t>
      </w:r>
      <w:r w:rsidRPr="006936C7">
        <w:rPr>
          <w:rFonts w:asciiTheme="minorHAnsi" w:hAnsiTheme="minorHAnsi" w:cstheme="minorHAnsi"/>
          <w:sz w:val="16"/>
        </w:rPr>
        <w:t xml:space="preserve"> orchestrated </w:t>
      </w:r>
      <w:r w:rsidRPr="004011D2">
        <w:rPr>
          <w:rStyle w:val="StyleUnderline"/>
          <w:rFonts w:asciiTheme="minorHAnsi" w:hAnsiTheme="minorHAnsi" w:cstheme="minorHAnsi"/>
          <w:highlight w:val="cyan"/>
        </w:rPr>
        <w:t>negotiations</w:t>
      </w:r>
      <w:r w:rsidRPr="006936C7">
        <w:rPr>
          <w:rFonts w:asciiTheme="minorHAnsi" w:hAnsiTheme="minorHAnsi" w:cstheme="minorHAnsi"/>
          <w:sz w:val="16"/>
        </w:rPr>
        <w:t xml:space="preserve"> between capital importers and exporters over a voluntary regime to govern sovereign wealth fund invest¬ments, which successfully </w:t>
      </w:r>
      <w:r w:rsidRPr="004011D2">
        <w:rPr>
          <w:rStyle w:val="Emphasis"/>
          <w:rFonts w:asciiTheme="minorHAnsi" w:hAnsiTheme="minorHAnsi" w:cstheme="minorHAnsi"/>
          <w:highlight w:val="cyan"/>
        </w:rPr>
        <w:t>defused</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brewing </w:t>
      </w:r>
      <w:r w:rsidRPr="004011D2">
        <w:rPr>
          <w:rStyle w:val="StyleUnderline"/>
          <w:rFonts w:asciiTheme="minorHAnsi" w:hAnsiTheme="minorHAnsi" w:cstheme="minorHAnsi"/>
          <w:highlight w:val="cyan"/>
        </w:rPr>
        <w:t>political firestorms</w:t>
      </w:r>
      <w:r w:rsidRPr="006936C7">
        <w:rPr>
          <w:rFonts w:asciiTheme="minorHAnsi" w:hAnsiTheme="minorHAnsi" w:cstheme="minorHAnsi"/>
          <w:sz w:val="16"/>
        </w:rPr>
        <w:t xml:space="preserve"> in the developed world. </w:t>
      </w:r>
      <w:r w:rsidRPr="006936C7">
        <w:rPr>
          <w:rStyle w:val="StyleUnderline"/>
          <w:rFonts w:asciiTheme="minorHAnsi" w:hAnsiTheme="minorHAnsi" w:cstheme="minorHAnsi"/>
        </w:rPr>
        <w:t>The</w:t>
      </w:r>
      <w:r w:rsidRPr="006936C7">
        <w:rPr>
          <w:rFonts w:asciiTheme="minorHAnsi" w:hAnsiTheme="minorHAnsi" w:cstheme="minorHAnsi"/>
          <w:sz w:val="16"/>
        </w:rPr>
        <w:t xml:space="preserve"> Basel </w:t>
      </w:r>
      <w:r w:rsidRPr="006936C7">
        <w:rPr>
          <w:rStyle w:val="StyleUnderline"/>
          <w:rFonts w:asciiTheme="minorHAnsi" w:hAnsiTheme="minorHAnsi" w:cstheme="minorHAnsi"/>
        </w:rPr>
        <w:t>Committee</w:t>
      </w:r>
      <w:r w:rsidRPr="006936C7">
        <w:rPr>
          <w:rFonts w:asciiTheme="minorHAnsi" w:hAnsiTheme="minorHAnsi" w:cstheme="minorHAnsi"/>
          <w:sz w:val="16"/>
        </w:rPr>
        <w:t xml:space="preserve"> 283/452 on Banking Supervision </w:t>
      </w:r>
      <w:r w:rsidRPr="006936C7">
        <w:rPr>
          <w:rStyle w:val="StyleUnderline"/>
          <w:rFonts w:asciiTheme="minorHAnsi" w:hAnsiTheme="minorHAnsi" w:cstheme="minorHAnsi"/>
        </w:rPr>
        <w:t xml:space="preserve">negotiated Basel III in </w:t>
      </w:r>
      <w:r w:rsidRPr="006936C7">
        <w:rPr>
          <w:rStyle w:val="Emphasis"/>
          <w:rFonts w:asciiTheme="minorHAnsi" w:hAnsiTheme="minorHAnsi" w:cstheme="minorHAnsi"/>
        </w:rPr>
        <w:t>two years</w:t>
      </w:r>
      <w:r w:rsidRPr="006936C7">
        <w:rPr>
          <w:rFonts w:asciiTheme="minorHAnsi" w:hAnsiTheme="minorHAnsi" w:cstheme="minorHAnsi"/>
          <w:sz w:val="16"/>
        </w:rPr>
        <w:t xml:space="preserve">—far more rapidly than it negotiated its prede¬cessor. In taking steps to comply with Basel III, the big banks in Europe and the United States have gone far in recapitalizing themselves. Even though the consensus on macroeconomic policy fell apart in the </w:t>
      </w:r>
      <w:r w:rsidRPr="006936C7">
        <w:rPr>
          <w:rStyle w:val="StyleUnderline"/>
          <w:rFonts w:asciiTheme="minorHAnsi" w:hAnsiTheme="minorHAnsi" w:cstheme="minorHAnsi"/>
        </w:rPr>
        <w:t>G20</w:t>
      </w:r>
      <w:r w:rsidRPr="006936C7">
        <w:rPr>
          <w:rFonts w:asciiTheme="minorHAnsi" w:hAnsiTheme="minorHAnsi" w:cstheme="minorHAnsi"/>
          <w:sz w:val="16"/>
        </w:rPr>
        <w:t xml:space="preserve">, that body still </w:t>
      </w:r>
      <w:r w:rsidRPr="006936C7">
        <w:rPr>
          <w:rStyle w:val="StyleUnderline"/>
          <w:rFonts w:asciiTheme="minorHAnsi" w:hAnsiTheme="minorHAnsi" w:cstheme="minorHAnsi"/>
        </w:rPr>
        <w:t>served</w:t>
      </w:r>
      <w:r w:rsidRPr="006936C7">
        <w:rPr>
          <w:rFonts w:asciiTheme="minorHAnsi" w:hAnsiTheme="minorHAnsi" w:cstheme="minorHAnsi"/>
          <w:sz w:val="16"/>
        </w:rPr>
        <w:t xml:space="preserve"> its purpose </w:t>
      </w:r>
      <w:r w:rsidRPr="006936C7">
        <w:rPr>
          <w:rStyle w:val="StyleUnderline"/>
          <w:rFonts w:asciiTheme="minorHAnsi" w:hAnsiTheme="minorHAnsi" w:cstheme="minorHAnsi"/>
        </w:rPr>
        <w:t>as a</w:t>
      </w:r>
      <w:r w:rsidRPr="006936C7">
        <w:rPr>
          <w:rFonts w:asciiTheme="minorHAnsi" w:hAnsiTheme="minorHAnsi" w:cstheme="minorHAnsi"/>
          <w:sz w:val="16"/>
        </w:rPr>
        <w:t xml:space="preserve"> </w:t>
      </w:r>
      <w:r w:rsidRPr="006936C7">
        <w:rPr>
          <w:rStyle w:val="Emphasis"/>
          <w:rFonts w:asciiTheme="minorHAnsi" w:hAnsiTheme="minorHAnsi" w:cstheme="minorHAnsi"/>
        </w:rPr>
        <w:t>focal point</w:t>
      </w:r>
      <w:r w:rsidRPr="006936C7">
        <w:rPr>
          <w:rFonts w:asciiTheme="minorHAnsi" w:hAnsiTheme="minorHAnsi" w:cstheme="minorHAnsi"/>
          <w:sz w:val="16"/>
        </w:rPr>
        <w:t xml:space="preserve"> </w:t>
      </w:r>
      <w:r w:rsidRPr="006936C7">
        <w:rPr>
          <w:rStyle w:val="StyleUnderline"/>
          <w:rFonts w:asciiTheme="minorHAnsi" w:hAnsiTheme="minorHAnsi" w:cstheme="minorHAnsi"/>
        </w:rPr>
        <w:t>for great-power negotiations</w:t>
      </w:r>
      <w:r w:rsidRPr="006936C7">
        <w:rPr>
          <w:rFonts w:asciiTheme="minorHAnsi" w:hAnsiTheme="minorHAnsi" w:cstheme="minorHAnsi"/>
          <w:sz w:val="16"/>
        </w:rPr>
        <w:t xml:space="preserve">. In response to a spike in piracy on the high seas, a coalition of states quickly adopted a successful an- tipiracy strategy. The WTO successfully completed a trade facilitation agreement and expanded its geographic scope to include Russia. G20 pressure nudged China to let its currency slowly appreciate after June 2010. All the major multilateral economic institutions—including the WTO, the IMF, and the OECD—stepped up their monit¬oring activities to notify G20 economies of incipient trends toward economic closure. Furthermore, recogniz¬ing shifts in the distribution of power, key global governance structures reformed their operations. The IMF and the World Bank reformed their quota allocations to reflect the growing economic clout of the developing world. The G20 supplanted the G8 as the premier eco¬nomic forum for the major economies. Other economic clubs, such as the Financial Stability Board and the Basel Committee on Banking Supervision, expanded their memberships to include the developing-country mem¬bers of the G20. To be sure, there are a lot of areas in which global governance failed to function as hoped. </w:t>
      </w:r>
      <w:r w:rsidRPr="006936C7">
        <w:rPr>
          <w:rStyle w:val="StyleUnderline"/>
          <w:rFonts w:asciiTheme="minorHAnsi" w:hAnsiTheme="minorHAnsi" w:cstheme="minorHAnsi"/>
        </w:rPr>
        <w:t>Against the odds,</w:t>
      </w:r>
      <w:r w:rsidRPr="006936C7">
        <w:rPr>
          <w:rFonts w:asciiTheme="minorHAnsi" w:hAnsiTheme="minorHAnsi" w:cstheme="minorHAnsi"/>
          <w:sz w:val="16"/>
        </w:rPr>
        <w:t xml:space="preserve"> however, </w:t>
      </w:r>
      <w:r w:rsidRPr="004011D2">
        <w:rPr>
          <w:rStyle w:val="StyleUnderline"/>
          <w:rFonts w:asciiTheme="minorHAnsi" w:hAnsiTheme="minorHAnsi" w:cstheme="minorHAnsi"/>
          <w:highlight w:val="cyan"/>
        </w:rPr>
        <w:t xml:space="preserve">the system </w:t>
      </w:r>
      <w:r w:rsidRPr="004011D2">
        <w:rPr>
          <w:rStyle w:val="Emphasis"/>
          <w:rFonts w:asciiTheme="minorHAnsi" w:hAnsiTheme="minorHAnsi" w:cstheme="minorHAnsi"/>
          <w:highlight w:val="cyan"/>
        </w:rPr>
        <w:t>worked</w:t>
      </w:r>
      <w:r w:rsidRPr="006936C7">
        <w:rPr>
          <w:rFonts w:asciiTheme="minorHAnsi" w:hAnsiTheme="minorHAnsi" w:cstheme="minorHAnsi"/>
          <w:sz w:val="16"/>
        </w:rPr>
        <w:t>.</w:t>
      </w:r>
    </w:p>
    <w:p w14:paraId="14CE33FE" w14:textId="77777777" w:rsidR="004E2D89" w:rsidRPr="006936C7" w:rsidRDefault="004E2D89" w:rsidP="004E2D89">
      <w:pPr>
        <w:pStyle w:val="Heading4"/>
        <w:rPr>
          <w:rFonts w:asciiTheme="minorHAnsi" w:hAnsiTheme="minorHAnsi" w:cstheme="minorHAnsi"/>
        </w:rPr>
      </w:pPr>
      <w:r w:rsidRPr="006936C7">
        <w:rPr>
          <w:rFonts w:asciiTheme="minorHAnsi" w:hAnsiTheme="minorHAnsi" w:cstheme="minorHAnsi"/>
        </w:rPr>
        <w:t xml:space="preserve">Decline will be </w:t>
      </w:r>
      <w:r w:rsidRPr="006936C7">
        <w:rPr>
          <w:rFonts w:asciiTheme="minorHAnsi" w:hAnsiTheme="minorHAnsi" w:cstheme="minorHAnsi"/>
          <w:u w:val="single"/>
        </w:rPr>
        <w:t>moderate</w:t>
      </w:r>
      <w:r w:rsidRPr="006936C7">
        <w:rPr>
          <w:rFonts w:asciiTheme="minorHAnsi" w:hAnsiTheme="minorHAnsi" w:cstheme="minorHAnsi"/>
        </w:rPr>
        <w:t>.</w:t>
      </w:r>
    </w:p>
    <w:p w14:paraId="45AD53AA" w14:textId="77777777" w:rsidR="004E2D89" w:rsidRPr="006936C7" w:rsidRDefault="004E2D89" w:rsidP="004E2D89">
      <w:pPr>
        <w:rPr>
          <w:rFonts w:asciiTheme="minorHAnsi" w:hAnsiTheme="minorHAnsi" w:cstheme="minorHAnsi"/>
        </w:rPr>
      </w:pPr>
      <w:r w:rsidRPr="006936C7">
        <w:rPr>
          <w:rStyle w:val="Style13ptBold"/>
          <w:rFonts w:asciiTheme="minorHAnsi" w:hAnsiTheme="minorHAnsi" w:cstheme="minorHAnsi"/>
        </w:rPr>
        <w:t>MacDonald &amp; Parent 18</w:t>
      </w:r>
      <w:r w:rsidRPr="006936C7">
        <w:rPr>
          <w:rFonts w:asciiTheme="minorHAnsi" w:hAnsiTheme="minorHAnsi" w:cstheme="minorHAnsi"/>
        </w:rPr>
        <w:t xml:space="preserve"> Paul K. MacDonald, Political Science Professor at Wellesley College, the Albright Institute, &amp; Joseph M. Parent, Political Science Professor at Notre Dame. [Conclusion: Retrenchment as Reloading, Twilight of the Titans: Great Power Decline and Retrenchment, Cornell University Press, Project Muse]//BPS</w:t>
      </w:r>
    </w:p>
    <w:p w14:paraId="4F9EA935" w14:textId="430F369D" w:rsidR="004E2D89" w:rsidRPr="004E2D89" w:rsidRDefault="004E2D89" w:rsidP="004E2D89">
      <w:pPr>
        <w:rPr>
          <w:rFonts w:asciiTheme="minorHAnsi" w:hAnsiTheme="minorHAnsi" w:cstheme="minorHAnsi"/>
          <w:sz w:val="16"/>
        </w:rPr>
      </w:pPr>
      <w:r w:rsidRPr="006936C7">
        <w:rPr>
          <w:rFonts w:asciiTheme="minorHAnsi" w:hAnsiTheme="minorHAnsi" w:cstheme="minorHAnsi"/>
          <w:sz w:val="16"/>
        </w:rPr>
        <w:t xml:space="preserve">There are many complex issues bound up in this debate. Scholars differ on what metrics to use, what timeframes to examine, and what compari¬sons to make. </w:t>
      </w:r>
      <w:r w:rsidRPr="006936C7">
        <w:rPr>
          <w:rStyle w:val="StyleUnderline"/>
          <w:rFonts w:asciiTheme="minorHAnsi" w:hAnsiTheme="minorHAnsi" w:cstheme="minorHAnsi"/>
        </w:rPr>
        <w:t>We follow the method that yielded the most commonsense cases</w:t>
      </w:r>
      <w:r w:rsidRPr="006936C7">
        <w:rPr>
          <w:rFonts w:asciiTheme="minorHAnsi" w:hAnsiTheme="minorHAnsi" w:cstheme="minorHAnsi"/>
          <w:sz w:val="16"/>
        </w:rPr>
        <w:t xml:space="preserve">: lasting ordinal transitions involving </w:t>
      </w:r>
      <w:r w:rsidRPr="004011D2">
        <w:rPr>
          <w:rStyle w:val="Emphasis"/>
          <w:rFonts w:asciiTheme="minorHAnsi" w:hAnsiTheme="minorHAnsi" w:cstheme="minorHAnsi"/>
          <w:highlight w:val="cyan"/>
        </w:rPr>
        <w:t>relative shares</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great power</w:t>
      </w:r>
      <w:r w:rsidRPr="006936C7">
        <w:rPr>
          <w:rFonts w:asciiTheme="minorHAnsi" w:hAnsiTheme="minorHAnsi" w:cstheme="minorHAnsi"/>
          <w:sz w:val="16"/>
        </w:rPr>
        <w:t xml:space="preserve"> gross domestic product (</w:t>
      </w:r>
      <w:r w:rsidRPr="004011D2">
        <w:rPr>
          <w:rStyle w:val="StyleUnderline"/>
          <w:rFonts w:asciiTheme="minorHAnsi" w:hAnsiTheme="minorHAnsi" w:cstheme="minorHAnsi"/>
          <w:highlight w:val="cyan"/>
        </w:rPr>
        <w:t>GDP</w:t>
      </w:r>
      <w:r w:rsidRPr="006936C7">
        <w:rPr>
          <w:rFonts w:asciiTheme="minorHAnsi" w:hAnsiTheme="minorHAnsi" w:cstheme="minorHAnsi"/>
          <w:sz w:val="16"/>
        </w:rPr>
        <w:t xml:space="preserve">). Using this approach, the United States is on pace to enter acute relative </w:t>
      </w:r>
      <w:r w:rsidRPr="004011D2">
        <w:rPr>
          <w:rStyle w:val="StyleUnderline"/>
          <w:rFonts w:asciiTheme="minorHAnsi" w:hAnsiTheme="minorHAnsi" w:cstheme="minorHAnsi"/>
          <w:highlight w:val="cyan"/>
        </w:rPr>
        <w:t>decline</w:t>
      </w:r>
      <w:r w:rsidRPr="006936C7">
        <w:rPr>
          <w:rFonts w:asciiTheme="minorHAnsi" w:hAnsiTheme="minorHAnsi" w:cstheme="minorHAnsi"/>
          <w:sz w:val="16"/>
        </w:rPr>
        <w:t xml:space="preserve"> sometime in the next decade.23 To be perfectly clear, this prediction </w:t>
      </w:r>
      <w:r w:rsidRPr="004011D2">
        <w:rPr>
          <w:rStyle w:val="StyleUnderline"/>
          <w:rFonts w:asciiTheme="minorHAnsi" w:hAnsiTheme="minorHAnsi" w:cstheme="minorHAnsi"/>
          <w:highlight w:val="cyan"/>
        </w:rPr>
        <w:t>depends on</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a number of </w:t>
      </w:r>
      <w:r w:rsidRPr="004011D2">
        <w:rPr>
          <w:rStyle w:val="StyleUnderline"/>
          <w:rFonts w:asciiTheme="minorHAnsi" w:hAnsiTheme="minorHAnsi" w:cstheme="minorHAnsi"/>
          <w:highlight w:val="cyan"/>
        </w:rPr>
        <w:t>factors that are hard to predict. Extrapolating</w:t>
      </w:r>
      <w:r w:rsidRPr="006936C7">
        <w:rPr>
          <w:rFonts w:asciiTheme="minorHAnsi" w:hAnsiTheme="minorHAnsi" w:cstheme="minorHAnsi"/>
          <w:sz w:val="16"/>
        </w:rPr>
        <w:t xml:space="preserve"> out </w:t>
      </w:r>
      <w:r w:rsidRPr="006936C7">
        <w:rPr>
          <w:rStyle w:val="StyleUnderline"/>
          <w:rFonts w:asciiTheme="minorHAnsi" w:hAnsiTheme="minorHAnsi" w:cstheme="minorHAnsi"/>
        </w:rPr>
        <w:t xml:space="preserve">from present trends </w:t>
      </w:r>
      <w:r w:rsidRPr="004011D2">
        <w:rPr>
          <w:rStyle w:val="StyleUnderline"/>
          <w:rFonts w:asciiTheme="minorHAnsi" w:hAnsiTheme="minorHAnsi" w:cstheme="minorHAnsi"/>
          <w:highlight w:val="cyan"/>
        </w:rPr>
        <w:t xml:space="preserve">is </w:t>
      </w:r>
      <w:r w:rsidRPr="004011D2">
        <w:rPr>
          <w:rStyle w:val="Emphasis"/>
          <w:rFonts w:asciiTheme="minorHAnsi" w:hAnsiTheme="minorHAnsi" w:cstheme="minorHAnsi"/>
          <w:highlight w:val="cyan"/>
        </w:rPr>
        <w:t>notoriously unreliable</w:t>
      </w:r>
      <w:r w:rsidRPr="006936C7">
        <w:rPr>
          <w:rFonts w:asciiTheme="minorHAnsi" w:hAnsiTheme="minorHAnsi" w:cstheme="minorHAnsi"/>
          <w:sz w:val="16"/>
        </w:rPr>
        <w:t xml:space="preserve">, and much depends on the baseline year one chooses to begin with. There will be shocks and surprises, and it is impossible to know their frequency, magnitude, or direction. Yet using our terminology, </w:t>
      </w:r>
      <w:r w:rsidRPr="004011D2">
        <w:rPr>
          <w:rStyle w:val="StyleUnderline"/>
          <w:rFonts w:asciiTheme="minorHAnsi" w:hAnsiTheme="minorHAnsi" w:cstheme="minorHAnsi"/>
          <w:highlight w:val="cyan"/>
        </w:rPr>
        <w:t>the 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4011D2">
        <w:rPr>
          <w:rStyle w:val="StyleUnderline"/>
          <w:rFonts w:asciiTheme="minorHAnsi" w:hAnsiTheme="minorHAnsi" w:cstheme="minorHAnsi"/>
          <w:highlight w:val="cyan"/>
        </w:rPr>
        <w:t xml:space="preserve">is likely to face a decline that is </w:t>
      </w:r>
      <w:r w:rsidRPr="004011D2">
        <w:rPr>
          <w:rStyle w:val="Emphasis"/>
          <w:rFonts w:asciiTheme="minorHAnsi" w:hAnsiTheme="minorHAnsi" w:cstheme="minorHAnsi"/>
          <w:highlight w:val="cyan"/>
        </w:rPr>
        <w:t>small</w:t>
      </w:r>
      <w:r w:rsidRPr="004011D2">
        <w:rPr>
          <w:rStyle w:val="StyleUnderline"/>
          <w:rFonts w:asciiTheme="minorHAnsi" w:hAnsiTheme="minorHAnsi" w:cstheme="minorHAnsi"/>
          <w:highlight w:val="cyan"/>
        </w:rPr>
        <w:t xml:space="preserve"> or </w:t>
      </w:r>
      <w:r w:rsidRPr="004011D2">
        <w:rPr>
          <w:rStyle w:val="Emphasis"/>
          <w:rFonts w:asciiTheme="minorHAnsi" w:hAnsiTheme="minorHAnsi" w:cstheme="minorHAnsi"/>
          <w:highlight w:val="cyan"/>
        </w:rPr>
        <w:t>medium</w:t>
      </w:r>
      <w:r w:rsidRPr="004011D2">
        <w:rPr>
          <w:rStyle w:val="StyleUnderline"/>
          <w:rFonts w:asciiTheme="minorHAnsi" w:hAnsiTheme="minorHAnsi" w:cstheme="minorHAnsi"/>
          <w:highlight w:val="cyan"/>
        </w:rPr>
        <w:t xml:space="preserve"> in magnitude</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This is </w:t>
      </w:r>
      <w:r w:rsidRPr="004011D2">
        <w:rPr>
          <w:rStyle w:val="Emphasis"/>
          <w:rFonts w:asciiTheme="minorHAnsi" w:hAnsiTheme="minorHAnsi" w:cstheme="minorHAnsi"/>
          <w:highlight w:val="cyan"/>
        </w:rPr>
        <w:t>good news</w:t>
      </w:r>
      <w:r w:rsidRPr="006936C7">
        <w:rPr>
          <w:rFonts w:asciiTheme="minorHAnsi" w:hAnsiTheme="minorHAnsi" w:cstheme="minorHAnsi"/>
          <w:sz w:val="16"/>
        </w:rPr>
        <w:t xml:space="preserve"> for the United States and for China, since </w:t>
      </w:r>
      <w:r w:rsidRPr="004011D2">
        <w:rPr>
          <w:rStyle w:val="StyleUnderline"/>
          <w:rFonts w:asciiTheme="minorHAnsi" w:hAnsiTheme="minorHAnsi" w:cstheme="minorHAnsi"/>
          <w:highlight w:val="cyan"/>
        </w:rPr>
        <w:t>it affords</w:t>
      </w:r>
      <w:r w:rsidRPr="006936C7">
        <w:rPr>
          <w:rStyle w:val="StyleUnderline"/>
          <w:rFonts w:asciiTheme="minorHAnsi" w:hAnsiTheme="minorHAnsi" w:cstheme="minorHAnsi"/>
        </w:rPr>
        <w:t xml:space="preserve"> both powers </w:t>
      </w:r>
      <w:r w:rsidRPr="004011D2">
        <w:rPr>
          <w:rStyle w:val="StyleUnderline"/>
          <w:rFonts w:asciiTheme="minorHAnsi" w:hAnsiTheme="minorHAnsi" w:cstheme="minorHAnsi"/>
          <w:highlight w:val="cyan"/>
        </w:rPr>
        <w:t xml:space="preserve">the </w:t>
      </w:r>
      <w:r w:rsidRPr="004011D2">
        <w:rPr>
          <w:rStyle w:val="Emphasis"/>
          <w:rFonts w:asciiTheme="minorHAnsi" w:hAnsiTheme="minorHAnsi" w:cstheme="minorHAnsi"/>
          <w:highlight w:val="cyan"/>
        </w:rPr>
        <w:t>time</w:t>
      </w:r>
      <w:r w:rsidRPr="004011D2">
        <w:rPr>
          <w:rStyle w:val="StyleUnderline"/>
          <w:rFonts w:asciiTheme="minorHAnsi" w:hAnsiTheme="minorHAnsi" w:cstheme="minorHAnsi"/>
          <w:highlight w:val="cyan"/>
        </w:rPr>
        <w:t xml:space="preserve"> and </w:t>
      </w:r>
      <w:r w:rsidRPr="004011D2">
        <w:rPr>
          <w:rStyle w:val="Emphasis"/>
          <w:rFonts w:asciiTheme="minorHAnsi" w:hAnsiTheme="minorHAnsi" w:cstheme="minorHAnsi"/>
          <w:highlight w:val="cyan"/>
        </w:rPr>
        <w:t>space</w:t>
      </w:r>
      <w:r w:rsidRPr="004011D2">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to</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 xml:space="preserve">manage the </w:t>
      </w:r>
      <w:r w:rsidRPr="006936C7">
        <w:rPr>
          <w:rStyle w:val="Emphasis"/>
          <w:rFonts w:asciiTheme="minorHAnsi" w:hAnsiTheme="minorHAnsi" w:cstheme="minorHAnsi"/>
        </w:rPr>
        <w:t xml:space="preserve">impending </w:t>
      </w:r>
      <w:r w:rsidRPr="004011D2">
        <w:rPr>
          <w:rStyle w:val="Emphasis"/>
          <w:rFonts w:asciiTheme="minorHAnsi" w:hAnsiTheme="minorHAnsi" w:cstheme="minorHAnsi"/>
          <w:highlight w:val="cyan"/>
        </w:rPr>
        <w:t>transition</w:t>
      </w:r>
      <w:r w:rsidRPr="006936C7">
        <w:rPr>
          <w:rFonts w:asciiTheme="minorHAnsi" w:hAnsiTheme="minorHAnsi" w:cstheme="minorHAnsi"/>
          <w:sz w:val="16"/>
        </w:rPr>
        <w:t xml:space="preserve">. It deserves emphasis that </w:t>
      </w:r>
      <w:r w:rsidRPr="004011D2">
        <w:rPr>
          <w:rStyle w:val="StyleUnderline"/>
          <w:rFonts w:asciiTheme="minorHAnsi" w:hAnsiTheme="minorHAnsi" w:cstheme="minorHAnsi"/>
          <w:highlight w:val="cyan"/>
        </w:rPr>
        <w:t>China is no world-beater, the U</w:t>
      </w:r>
      <w:r w:rsidRPr="006936C7">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6936C7">
        <w:rPr>
          <w:rStyle w:val="StyleUnderline"/>
          <w:rFonts w:asciiTheme="minorHAnsi" w:hAnsiTheme="minorHAnsi" w:cstheme="minorHAnsi"/>
        </w:rPr>
        <w:t xml:space="preserve">is </w:t>
      </w:r>
      <w:r w:rsidRPr="004011D2">
        <w:rPr>
          <w:rStyle w:val="StyleUnderline"/>
          <w:rFonts w:asciiTheme="minorHAnsi" w:hAnsiTheme="minorHAnsi" w:cstheme="minorHAnsi"/>
          <w:highlight w:val="cyan"/>
        </w:rPr>
        <w:t>no weakling, and</w:t>
      </w:r>
      <w:r w:rsidRPr="006936C7">
        <w:rPr>
          <w:rStyle w:val="StyleUnderline"/>
          <w:rFonts w:asciiTheme="minorHAnsi" w:hAnsiTheme="minorHAnsi" w:cstheme="minorHAnsi"/>
        </w:rPr>
        <w:t xml:space="preserve"> American </w:t>
      </w:r>
      <w:r w:rsidRPr="004011D2">
        <w:rPr>
          <w:rStyle w:val="StyleUnderline"/>
          <w:rFonts w:asciiTheme="minorHAnsi" w:hAnsiTheme="minorHAnsi" w:cstheme="minorHAnsi"/>
          <w:highlight w:val="cyan"/>
        </w:rPr>
        <w:t>decline</w:t>
      </w:r>
      <w:r w:rsidRPr="006936C7">
        <w:rPr>
          <w:rStyle w:val="StyleUnderline"/>
          <w:rFonts w:asciiTheme="minorHAnsi" w:hAnsiTheme="minorHAnsi" w:cstheme="minorHAnsi"/>
        </w:rPr>
        <w:t xml:space="preserve"> is </w:t>
      </w:r>
      <w:r w:rsidRPr="004011D2">
        <w:rPr>
          <w:rStyle w:val="Emphasis"/>
          <w:rFonts w:asciiTheme="minorHAnsi" w:hAnsiTheme="minorHAnsi" w:cstheme="minorHAnsi"/>
          <w:highlight w:val="cyan"/>
        </w:rPr>
        <w:t>likely modest</w:t>
      </w:r>
      <w:r w:rsidRPr="006936C7">
        <w:rPr>
          <w:rFonts w:asciiTheme="minorHAnsi" w:hAnsiTheme="minorHAnsi" w:cstheme="minorHAnsi"/>
          <w:sz w:val="16"/>
        </w:rPr>
        <w:t xml:space="preserve">. </w:t>
      </w:r>
    </w:p>
    <w:p w14:paraId="2EB95ABF" w14:textId="21411F41" w:rsidR="00516959" w:rsidRPr="00CA323B" w:rsidRDefault="00516959" w:rsidP="00516959">
      <w:pPr>
        <w:pStyle w:val="Heading2"/>
      </w:pPr>
      <w:r>
        <w:rPr>
          <w:i/>
          <w:iCs/>
        </w:rPr>
        <w:t>Chevron</w:t>
      </w:r>
      <w:r>
        <w:t xml:space="preserve"> DA</w:t>
      </w:r>
    </w:p>
    <w:p w14:paraId="17DB2D67" w14:textId="77777777" w:rsidR="00516959" w:rsidRDefault="00516959" w:rsidP="00516959">
      <w:pPr>
        <w:pStyle w:val="Heading3"/>
      </w:pPr>
      <w:r>
        <w:t xml:space="preserve">1NC – </w:t>
      </w:r>
      <w:r>
        <w:rPr>
          <w:i/>
          <w:iCs/>
        </w:rPr>
        <w:t>Chevron</w:t>
      </w:r>
      <w:r>
        <w:t xml:space="preserve"> DA</w:t>
      </w:r>
    </w:p>
    <w:p w14:paraId="4E697DFE" w14:textId="77777777" w:rsidR="00516959" w:rsidRPr="00C80CAB" w:rsidRDefault="00516959" w:rsidP="00516959">
      <w:pPr>
        <w:pStyle w:val="Heading4"/>
        <w:rPr>
          <w:szCs w:val="26"/>
        </w:rPr>
      </w:pPr>
      <w:r>
        <w:rPr>
          <w:szCs w:val="26"/>
        </w:rPr>
        <w:t>Chevron is strong now.</w:t>
      </w:r>
    </w:p>
    <w:p w14:paraId="40134E3E" w14:textId="77777777" w:rsidR="00516959" w:rsidRPr="00684BF3" w:rsidRDefault="00516959" w:rsidP="00516959">
      <w:r w:rsidRPr="00C80CAB">
        <w:rPr>
          <w:rStyle w:val="Heading4Char"/>
          <w:szCs w:val="26"/>
        </w:rPr>
        <w:t>Cruden &amp; Oakes 16</w:t>
      </w:r>
      <w:r w:rsidRPr="00684BF3">
        <w:t xml:space="preserve"> – (John C. Cruden, Assistant Attorney General, U.S. Department of Justice, Environment and Natural Resources Division; Matthew R. Oakes, Trial Attorney, U.S. Department of Justice, Environment and Natural Resources Division, Law and Policy Section, and Adjunct Professor, University of Maryland School of Law; “THE ENDURING NATURE OF THE CHEVRON DOCTRINE”; Harvard University Press; D.A. July 2</w:t>
      </w:r>
      <w:r w:rsidRPr="00684BF3">
        <w:rPr>
          <w:vertAlign w:val="superscript"/>
        </w:rPr>
        <w:t>nd</w:t>
      </w:r>
      <w:r w:rsidRPr="00684BF3">
        <w:t xml:space="preserve"> 2020, [Published 2016]; Harvard Environmental Law Review, Vol. 40, pg. 206-209; </w:t>
      </w:r>
      <w:hyperlink r:id="rId275" w:history="1">
        <w:r w:rsidRPr="00684BF3">
          <w:rPr>
            <w:rStyle w:val="Hyperlink"/>
          </w:rPr>
          <w:t>https://harvardelr.com/wp-content/uploads/sites/12/2015/11/Cruden-Oakes-40-HELR-189.pdf</w:t>
        </w:r>
      </w:hyperlink>
      <w:r w:rsidRPr="00684BF3">
        <w:t>) //LFS—JCM</w:t>
      </w:r>
    </w:p>
    <w:p w14:paraId="3FAD799D" w14:textId="77777777" w:rsidR="00516959" w:rsidRPr="009B0F77" w:rsidRDefault="00516959" w:rsidP="00516959">
      <w:pPr>
        <w:rPr>
          <w:sz w:val="16"/>
        </w:rPr>
      </w:pPr>
      <w:r w:rsidRPr="00456038">
        <w:rPr>
          <w:rStyle w:val="Emphasis"/>
          <w:highlight w:val="cyan"/>
        </w:rPr>
        <w:t>Chevron</w:t>
      </w:r>
      <w:r w:rsidRPr="00456038">
        <w:rPr>
          <w:rStyle w:val="StyleUnderline"/>
          <w:highlight w:val="cyan"/>
        </w:rPr>
        <w:t xml:space="preserve"> is </w:t>
      </w:r>
      <w:r w:rsidRPr="00456038">
        <w:rPr>
          <w:rStyle w:val="Emphasis"/>
          <w:highlight w:val="cyan"/>
        </w:rPr>
        <w:t>evolutionary</w:t>
      </w:r>
      <w:r w:rsidRPr="00684BF3">
        <w:rPr>
          <w:rStyle w:val="StyleUnderline"/>
        </w:rPr>
        <w:t>, not revolutionary</w:t>
      </w:r>
      <w:r w:rsidRPr="009B0F77">
        <w:rPr>
          <w:sz w:val="16"/>
        </w:rPr>
        <w:t xml:space="preserve">.101 </w:t>
      </w:r>
      <w:r w:rsidRPr="00684BF3">
        <w:rPr>
          <w:rStyle w:val="StyleUnderline"/>
        </w:rPr>
        <w:t>Chevron was not new law</w:t>
      </w:r>
      <w:r w:rsidRPr="009B0F77">
        <w:rPr>
          <w:sz w:val="16"/>
        </w:rPr>
        <w:t xml:space="preserve"> when it was decided, but rather </w:t>
      </w:r>
      <w:r w:rsidRPr="00684BF3">
        <w:rPr>
          <w:rStyle w:val="StyleUnderline"/>
        </w:rPr>
        <w:t>provided a reasoned rationale for court decisions</w:t>
      </w:r>
      <w:r w:rsidRPr="009B0F77">
        <w:rPr>
          <w:sz w:val="16"/>
        </w:rPr>
        <w:t xml:space="preserve"> already being made, and predictability for the future. Judge Leventhal recognized that while his “hard look” approach allowed a “thoroughgoing inquiry,” that searching and careful inquiry ultimately led to a narrow standard of review—</w:t>
      </w:r>
      <w:r w:rsidRPr="00684BF3">
        <w:rPr>
          <w:rStyle w:val="StyleUnderline"/>
        </w:rPr>
        <w:t xml:space="preserve">the </w:t>
      </w:r>
      <w:r w:rsidRPr="00684BF3">
        <w:rPr>
          <w:rStyle w:val="Emphasis"/>
        </w:rPr>
        <w:t>court is not empowered</w:t>
      </w:r>
      <w:r w:rsidRPr="00684BF3">
        <w:rPr>
          <w:rStyle w:val="StyleUnderline"/>
        </w:rPr>
        <w:t xml:space="preserve"> “</w:t>
      </w:r>
      <w:r w:rsidRPr="00684BF3">
        <w:rPr>
          <w:rStyle w:val="Emphasis"/>
        </w:rPr>
        <w:t>to substitute</w:t>
      </w:r>
      <w:r w:rsidRPr="00684BF3">
        <w:rPr>
          <w:rStyle w:val="StyleUnderline"/>
        </w:rPr>
        <w:t xml:space="preserve"> its </w:t>
      </w:r>
      <w:r w:rsidRPr="00684BF3">
        <w:rPr>
          <w:rStyle w:val="Emphasis"/>
        </w:rPr>
        <w:t>judgment</w:t>
      </w:r>
      <w:r w:rsidRPr="00684BF3">
        <w:rPr>
          <w:rStyle w:val="StyleUnderline"/>
        </w:rPr>
        <w:t xml:space="preserve"> for that of the agency</w:t>
      </w:r>
      <w:r w:rsidRPr="009B0F77">
        <w:rPr>
          <w:sz w:val="16"/>
        </w:rPr>
        <w:t xml:space="preserve">.”102 </w:t>
      </w:r>
      <w:r w:rsidRPr="00456038">
        <w:rPr>
          <w:rStyle w:val="Emphasis"/>
          <w:highlight w:val="cyan"/>
        </w:rPr>
        <w:t>The question</w:t>
      </w:r>
      <w:r w:rsidRPr="009B0F77">
        <w:rPr>
          <w:sz w:val="16"/>
        </w:rPr>
        <w:t xml:space="preserve"> of the day </w:t>
      </w:r>
      <w:r w:rsidRPr="00456038">
        <w:rPr>
          <w:rStyle w:val="StyleUnderline"/>
          <w:highlight w:val="cyan"/>
        </w:rPr>
        <w:t xml:space="preserve">is </w:t>
      </w:r>
      <w:r w:rsidRPr="00456038">
        <w:rPr>
          <w:rStyle w:val="Emphasis"/>
          <w:highlight w:val="cyan"/>
        </w:rPr>
        <w:t>whether</w:t>
      </w:r>
      <w:r w:rsidRPr="00456038">
        <w:rPr>
          <w:rStyle w:val="StyleUnderline"/>
          <w:highlight w:val="cyan"/>
        </w:rPr>
        <w:t xml:space="preserve"> the</w:t>
      </w:r>
      <w:r w:rsidRPr="009B0F77">
        <w:rPr>
          <w:sz w:val="16"/>
        </w:rPr>
        <w:t xml:space="preserve"> Supreme </w:t>
      </w:r>
      <w:r w:rsidRPr="00456038">
        <w:rPr>
          <w:rStyle w:val="Emphasis"/>
          <w:highlight w:val="cyan"/>
        </w:rPr>
        <w:t>Court is shifting</w:t>
      </w:r>
      <w:r w:rsidRPr="00456038">
        <w:rPr>
          <w:rStyle w:val="StyleUnderline"/>
          <w:highlight w:val="cyan"/>
        </w:rPr>
        <w:t xml:space="preserve"> away from</w:t>
      </w:r>
      <w:r w:rsidRPr="00684BF3">
        <w:rPr>
          <w:rStyle w:val="StyleUnderline"/>
        </w:rPr>
        <w:t xml:space="preserve"> the deferential </w:t>
      </w:r>
      <w:r w:rsidRPr="00456038">
        <w:rPr>
          <w:rStyle w:val="Emphasis"/>
          <w:highlight w:val="cyan"/>
        </w:rPr>
        <w:t>Chevron</w:t>
      </w:r>
      <w:r w:rsidRPr="00684BF3">
        <w:rPr>
          <w:rStyle w:val="StyleUnderline"/>
        </w:rPr>
        <w:t xml:space="preserve"> framework and </w:t>
      </w:r>
      <w:r w:rsidRPr="00456038">
        <w:rPr>
          <w:rStyle w:val="StyleUnderline"/>
          <w:highlight w:val="cyan"/>
        </w:rPr>
        <w:t>toward</w:t>
      </w:r>
      <w:r w:rsidRPr="009B0F77">
        <w:rPr>
          <w:sz w:val="16"/>
        </w:rPr>
        <w:t xml:space="preserve"> a paradigm of </w:t>
      </w:r>
      <w:r w:rsidRPr="00684BF3">
        <w:rPr>
          <w:rStyle w:val="StyleUnderline"/>
        </w:rPr>
        <w:t xml:space="preserve">administrative </w:t>
      </w:r>
      <w:r w:rsidRPr="00456038">
        <w:rPr>
          <w:rStyle w:val="StyleUnderline"/>
          <w:highlight w:val="cyan"/>
        </w:rPr>
        <w:t>review</w:t>
      </w:r>
      <w:r w:rsidRPr="00684BF3">
        <w:rPr>
          <w:rStyle w:val="StyleUnderline"/>
        </w:rPr>
        <w:t xml:space="preserve"> that</w:t>
      </w:r>
      <w:r w:rsidRPr="009B0F77">
        <w:rPr>
          <w:sz w:val="16"/>
        </w:rPr>
        <w:t xml:space="preserve"> increasingly </w:t>
      </w:r>
      <w:r w:rsidRPr="00456038">
        <w:rPr>
          <w:rStyle w:val="StyleUnderline"/>
          <w:highlight w:val="cyan"/>
        </w:rPr>
        <w:t>relies on the courts</w:t>
      </w:r>
      <w:r w:rsidRPr="00684BF3">
        <w:rPr>
          <w:rStyle w:val="StyleUnderline"/>
        </w:rPr>
        <w:t xml:space="preserve"> to determine statutory interpretation</w:t>
      </w:r>
      <w:r w:rsidRPr="009B0F77">
        <w:rPr>
          <w:sz w:val="16"/>
        </w:rPr>
        <w:t xml:space="preserve"> on a statute-by-statute basis. </w:t>
      </w:r>
      <w:r w:rsidRPr="00456038">
        <w:rPr>
          <w:rStyle w:val="Emphasis"/>
          <w:highlight w:val="cyan"/>
        </w:rPr>
        <w:t>The answer</w:t>
      </w:r>
      <w:r w:rsidRPr="009B0F77">
        <w:rPr>
          <w:sz w:val="16"/>
        </w:rPr>
        <w:t xml:space="preserve">, I believe, </w:t>
      </w:r>
      <w:r w:rsidRPr="00456038">
        <w:rPr>
          <w:rStyle w:val="Emphasis"/>
          <w:highlight w:val="cyan"/>
        </w:rPr>
        <w:t>is no</w:t>
      </w:r>
      <w:r w:rsidRPr="009B0F77">
        <w:rPr>
          <w:sz w:val="16"/>
        </w:rPr>
        <w:t>.</w:t>
      </w:r>
    </w:p>
    <w:p w14:paraId="7D1F54BF" w14:textId="77777777" w:rsidR="00516959" w:rsidRPr="00684BF3" w:rsidRDefault="00516959" w:rsidP="00516959">
      <w:pPr>
        <w:rPr>
          <w:sz w:val="16"/>
        </w:rPr>
      </w:pPr>
      <w:r w:rsidRPr="00684BF3">
        <w:rPr>
          <w:sz w:val="16"/>
        </w:rPr>
        <w:t xml:space="preserve">As I mentioned in my opening remarks, </w:t>
      </w:r>
      <w:r w:rsidRPr="00456038">
        <w:rPr>
          <w:rStyle w:val="StyleUnderline"/>
          <w:highlight w:val="cyan"/>
        </w:rPr>
        <w:t>every</w:t>
      </w:r>
      <w:r w:rsidRPr="00684BF3">
        <w:rPr>
          <w:rStyle w:val="StyleUnderline"/>
        </w:rPr>
        <w:t xml:space="preserve"> current</w:t>
      </w:r>
      <w:r w:rsidRPr="00684BF3">
        <w:rPr>
          <w:sz w:val="16"/>
        </w:rPr>
        <w:t xml:space="preserve"> Supreme Court </w:t>
      </w:r>
      <w:r w:rsidRPr="00456038">
        <w:rPr>
          <w:rStyle w:val="StyleUnderline"/>
          <w:highlight w:val="cyan"/>
        </w:rPr>
        <w:t>Justice has applied Chevron</w:t>
      </w:r>
      <w:r w:rsidRPr="00684BF3">
        <w:rPr>
          <w:sz w:val="16"/>
        </w:rPr>
        <w:t xml:space="preserve"> at some point </w:t>
      </w:r>
      <w:r w:rsidRPr="00684BF3">
        <w:rPr>
          <w:rStyle w:val="StyleUnderline"/>
        </w:rPr>
        <w:t>to justify their decision</w:t>
      </w:r>
      <w:r w:rsidRPr="00684BF3">
        <w:rPr>
          <w:sz w:val="16"/>
        </w:rPr>
        <w:t xml:space="preserve">. For example, Justice </w:t>
      </w:r>
      <w:r w:rsidRPr="00456038">
        <w:rPr>
          <w:rStyle w:val="Emphasis"/>
          <w:highlight w:val="cyan"/>
        </w:rPr>
        <w:t>Thomas</w:t>
      </w:r>
      <w:r w:rsidRPr="00684BF3">
        <w:rPr>
          <w:sz w:val="16"/>
        </w:rPr>
        <w:t xml:space="preserve">—currently </w:t>
      </w:r>
      <w:r w:rsidRPr="00456038">
        <w:rPr>
          <w:rStyle w:val="StyleUnderline"/>
          <w:highlight w:val="cyan"/>
        </w:rPr>
        <w:t>the most vocal critic</w:t>
      </w:r>
      <w:r w:rsidRPr="00684BF3">
        <w:rPr>
          <w:rStyle w:val="StyleUnderline"/>
        </w:rPr>
        <w:t xml:space="preserve"> of agency deference in general and Chevron</w:t>
      </w:r>
      <w:r w:rsidRPr="00684BF3">
        <w:rPr>
          <w:sz w:val="16"/>
        </w:rPr>
        <w:t xml:space="preserve"> in particular—</w:t>
      </w:r>
      <w:r w:rsidRPr="00456038">
        <w:rPr>
          <w:rStyle w:val="Emphasis"/>
          <w:highlight w:val="cyan"/>
        </w:rPr>
        <w:t>is also the author of</w:t>
      </w:r>
      <w:r w:rsidRPr="00684BF3">
        <w:rPr>
          <w:sz w:val="16"/>
        </w:rPr>
        <w:t xml:space="preserve"> National Cable &amp; Telecommunications Ass’n v. </w:t>
      </w:r>
      <w:r w:rsidRPr="00456038">
        <w:rPr>
          <w:rStyle w:val="Emphasis"/>
          <w:highlight w:val="cyan"/>
        </w:rPr>
        <w:t>Brand X</w:t>
      </w:r>
      <w:r w:rsidRPr="00684BF3">
        <w:rPr>
          <w:sz w:val="16"/>
        </w:rPr>
        <w:t xml:space="preserve"> Internet Services, </w:t>
      </w:r>
      <w:r w:rsidRPr="00684BF3">
        <w:rPr>
          <w:rStyle w:val="StyleUnderline"/>
        </w:rPr>
        <w:t>a major administrative law case</w:t>
      </w:r>
      <w:r w:rsidRPr="00684BF3">
        <w:rPr>
          <w:sz w:val="16"/>
        </w:rPr>
        <w:t xml:space="preserve"> that </w:t>
      </w:r>
      <w:r w:rsidRPr="00684BF3">
        <w:rPr>
          <w:rStyle w:val="StyleUnderline"/>
        </w:rPr>
        <w:t>stands for the proposition that an administrative agency</w:t>
      </w:r>
      <w:r w:rsidRPr="00684BF3">
        <w:rPr>
          <w:sz w:val="16"/>
        </w:rPr>
        <w:t xml:space="preserve"> can change its interpretation of ambiguous statutory law. In Brand X, Thomas, writing for the Court, stated that “[a]gency inconsistency is not a basis for declining to analyze the agency’s interpretation under the Chevron framework.”103</w:t>
      </w:r>
    </w:p>
    <w:p w14:paraId="360325FD" w14:textId="77777777" w:rsidR="00516959" w:rsidRPr="00684BF3" w:rsidRDefault="00516959" w:rsidP="00516959">
      <w:pPr>
        <w:rPr>
          <w:sz w:val="16"/>
        </w:rPr>
      </w:pPr>
      <w:r w:rsidRPr="00684BF3">
        <w:rPr>
          <w:sz w:val="16"/>
        </w:rPr>
        <w:t xml:space="preserve">Justice </w:t>
      </w:r>
      <w:r w:rsidRPr="00456038">
        <w:rPr>
          <w:rStyle w:val="Emphasis"/>
          <w:highlight w:val="cyan"/>
        </w:rPr>
        <w:t>Scalia</w:t>
      </w:r>
      <w:r w:rsidRPr="00456038">
        <w:rPr>
          <w:rStyle w:val="StyleUnderline"/>
          <w:highlight w:val="cyan"/>
        </w:rPr>
        <w:t xml:space="preserve"> championed</w:t>
      </w:r>
      <w:r w:rsidRPr="00684BF3">
        <w:rPr>
          <w:rStyle w:val="StyleUnderline"/>
        </w:rPr>
        <w:t xml:space="preserve"> Chevron</w:t>
      </w:r>
      <w:r w:rsidRPr="00684BF3">
        <w:rPr>
          <w:sz w:val="16"/>
        </w:rPr>
        <w:t xml:space="preserve"> </w:t>
      </w:r>
      <w:r w:rsidRPr="00684BF3">
        <w:rPr>
          <w:rStyle w:val="StyleUnderline"/>
        </w:rPr>
        <w:t>in</w:t>
      </w:r>
      <w:r w:rsidRPr="00684BF3">
        <w:rPr>
          <w:sz w:val="16"/>
        </w:rPr>
        <w:t xml:space="preserve"> City of </w:t>
      </w:r>
      <w:r w:rsidRPr="00456038">
        <w:rPr>
          <w:rStyle w:val="Emphasis"/>
          <w:highlight w:val="cyan"/>
        </w:rPr>
        <w:t>Arlington</w:t>
      </w:r>
      <w:r w:rsidRPr="00684BF3">
        <w:rPr>
          <w:sz w:val="16"/>
        </w:rPr>
        <w:t xml:space="preserve"> v. FCC. The City of Arlington case addresses whether Chevron deference applies to agencies’ interpretations of their own regulatory authority.104 Scalia points out that </w:t>
      </w:r>
      <w:r w:rsidRPr="00684BF3">
        <w:rPr>
          <w:rStyle w:val="StyleUnderline"/>
        </w:rPr>
        <w:t>the Supreme Court has “consistently held ‘that Chevron applies to cases in which an agency adopts a construction of a jurisdictional provision of a statute it administers</w:t>
      </w:r>
      <w:r w:rsidRPr="00684BF3">
        <w:rPr>
          <w:sz w:val="16"/>
        </w:rPr>
        <w:t xml:space="preserve">.’”105 Based on those consistent holdings, </w:t>
      </w:r>
      <w:r w:rsidRPr="00684BF3">
        <w:rPr>
          <w:rStyle w:val="StyleUnderline"/>
        </w:rPr>
        <w:t>the</w:t>
      </w:r>
      <w:r w:rsidRPr="00684BF3">
        <w:rPr>
          <w:sz w:val="16"/>
        </w:rPr>
        <w:t xml:space="preserve"> Supreme </w:t>
      </w:r>
      <w:r w:rsidRPr="00684BF3">
        <w:rPr>
          <w:rStyle w:val="StyleUnderline"/>
        </w:rPr>
        <w:t>Court found that “an agency’s interpretation of a statutory ambiguity</w:t>
      </w:r>
      <w:r w:rsidRPr="00684BF3">
        <w:rPr>
          <w:sz w:val="16"/>
        </w:rPr>
        <w:t xml:space="preserve"> that concerns the scope of its regulatory authority” </w:t>
      </w:r>
      <w:r w:rsidRPr="00684BF3">
        <w:rPr>
          <w:rStyle w:val="StyleUnderline"/>
        </w:rPr>
        <w:t>is entitled to deference</w:t>
      </w:r>
      <w:r w:rsidRPr="00684BF3">
        <w:rPr>
          <w:sz w:val="16"/>
        </w:rPr>
        <w:t>.106 It’s worth noting that even though Justice Scalia favors strong deference even to agency jurisdictional interpretations,107 in FDA v. Brown &amp; Williamson Tobacco Corp., 108 when he was faced with a case where a majority believed that a federal agency had construed its own jurisdiction too broadly, Justice Scalia voted to strike down a broad jurisdictional interpretation.109 As Justice Scalia has recognized:</w:t>
      </w:r>
    </w:p>
    <w:p w14:paraId="31D52577" w14:textId="77777777" w:rsidR="00516959" w:rsidRPr="00684BF3" w:rsidRDefault="00516959" w:rsidP="00516959">
      <w:pPr>
        <w:ind w:left="720"/>
        <w:rPr>
          <w:sz w:val="16"/>
        </w:rPr>
      </w:pPr>
      <w:r w:rsidRPr="00684BF3">
        <w:rPr>
          <w:rStyle w:val="StyleUnderline"/>
        </w:rPr>
        <w:t xml:space="preserve">Broad </w:t>
      </w:r>
      <w:r w:rsidRPr="00684BF3">
        <w:rPr>
          <w:rStyle w:val="Emphasis"/>
        </w:rPr>
        <w:t>delegation</w:t>
      </w:r>
      <w:r w:rsidRPr="00684BF3">
        <w:rPr>
          <w:rStyle w:val="StyleUnderline"/>
        </w:rPr>
        <w:t xml:space="preserve"> to the </w:t>
      </w:r>
      <w:r w:rsidRPr="00684BF3">
        <w:rPr>
          <w:rStyle w:val="Emphasis"/>
        </w:rPr>
        <w:t>Executive</w:t>
      </w:r>
      <w:r w:rsidRPr="00684BF3">
        <w:rPr>
          <w:rStyle w:val="StyleUnderline"/>
        </w:rPr>
        <w:t xml:space="preserve"> is the </w:t>
      </w:r>
      <w:r w:rsidRPr="00684BF3">
        <w:rPr>
          <w:rStyle w:val="Emphasis"/>
        </w:rPr>
        <w:t>hallmark of</w:t>
      </w:r>
      <w:r w:rsidRPr="00684BF3">
        <w:rPr>
          <w:rStyle w:val="StyleUnderline"/>
        </w:rPr>
        <w:t xml:space="preserve"> the</w:t>
      </w:r>
      <w:r w:rsidRPr="00684BF3">
        <w:rPr>
          <w:sz w:val="16"/>
        </w:rPr>
        <w:t xml:space="preserve"> modern </w:t>
      </w:r>
      <w:r w:rsidRPr="00684BF3">
        <w:rPr>
          <w:rStyle w:val="Emphasis"/>
        </w:rPr>
        <w:t>admin</w:t>
      </w:r>
      <w:r w:rsidRPr="00684BF3">
        <w:rPr>
          <w:rStyle w:val="StyleUnderline"/>
        </w:rPr>
        <w:t xml:space="preserve">istrative </w:t>
      </w:r>
      <w:r w:rsidRPr="00684BF3">
        <w:rPr>
          <w:rStyle w:val="Emphasis"/>
        </w:rPr>
        <w:t>state</w:t>
      </w:r>
      <w:r w:rsidRPr="00684BF3">
        <w:rPr>
          <w:sz w:val="16"/>
        </w:rPr>
        <w:t xml:space="preserve">; </w:t>
      </w:r>
      <w:r w:rsidRPr="00456038">
        <w:rPr>
          <w:rStyle w:val="Emphasis"/>
          <w:highlight w:val="cyan"/>
        </w:rPr>
        <w:t>agency rulemaking</w:t>
      </w:r>
      <w:r w:rsidRPr="00684BF3">
        <w:rPr>
          <w:rStyle w:val="StyleUnderline"/>
        </w:rPr>
        <w:t xml:space="preserve"> powers </w:t>
      </w:r>
      <w:r w:rsidRPr="00456038">
        <w:rPr>
          <w:rStyle w:val="Emphasis"/>
          <w:highlight w:val="cyan"/>
        </w:rPr>
        <w:t>are the rule rather than</w:t>
      </w:r>
      <w:r w:rsidRPr="00684BF3">
        <w:rPr>
          <w:sz w:val="16"/>
        </w:rPr>
        <w:t xml:space="preserve">, as they once were, </w:t>
      </w:r>
      <w:r w:rsidRPr="00456038">
        <w:rPr>
          <w:rStyle w:val="StyleUnderline"/>
          <w:highlight w:val="cyan"/>
        </w:rPr>
        <w:t xml:space="preserve">the </w:t>
      </w:r>
      <w:r w:rsidRPr="00456038">
        <w:rPr>
          <w:rStyle w:val="Emphasis"/>
          <w:highlight w:val="cyan"/>
        </w:rPr>
        <w:t>exception</w:t>
      </w:r>
      <w:r w:rsidRPr="00684BF3">
        <w:rPr>
          <w:sz w:val="16"/>
        </w:rPr>
        <w:t xml:space="preserve">; and as the </w:t>
      </w:r>
      <w:r w:rsidRPr="00684BF3">
        <w:rPr>
          <w:rStyle w:val="StyleUnderline"/>
        </w:rPr>
        <w:t>sheer number of modern departments and agencies suggest, we are awash in agency “expertise</w:t>
      </w:r>
      <w:r w:rsidRPr="00684BF3">
        <w:rPr>
          <w:sz w:val="16"/>
        </w:rPr>
        <w:t xml:space="preserve">.” If </w:t>
      </w:r>
      <w:r w:rsidRPr="00684BF3">
        <w:rPr>
          <w:rStyle w:val="Emphasis"/>
        </w:rPr>
        <w:t xml:space="preserve">the Chevron rule is </w:t>
      </w:r>
      <w:r w:rsidRPr="00684BF3">
        <w:rPr>
          <w:sz w:val="16"/>
        </w:rPr>
        <w:t xml:space="preserve">not </w:t>
      </w:r>
      <w:r w:rsidRPr="00684BF3">
        <w:rPr>
          <w:rStyle w:val="Emphasis"/>
        </w:rPr>
        <w:t>a 100% accurate estimation of</w:t>
      </w:r>
      <w:r w:rsidRPr="00684BF3">
        <w:rPr>
          <w:sz w:val="16"/>
        </w:rPr>
        <w:t xml:space="preserve"> modern </w:t>
      </w:r>
      <w:r w:rsidRPr="00684BF3">
        <w:rPr>
          <w:rStyle w:val="Emphasis"/>
        </w:rPr>
        <w:t>congressional intent</w:t>
      </w:r>
      <w:r w:rsidRPr="00684BF3">
        <w:rPr>
          <w:sz w:val="16"/>
        </w:rPr>
        <w:t>, the prior case-by-case evaluation was not so either—and was becoming less and less so, as the sheer volume of modern dockets make it less and less possible for the Supreme Court to police diverse application of an ineffable rule.110</w:t>
      </w:r>
    </w:p>
    <w:p w14:paraId="590B15CE" w14:textId="77777777" w:rsidR="00516959" w:rsidRPr="00684BF3" w:rsidRDefault="00516959" w:rsidP="00516959">
      <w:pPr>
        <w:rPr>
          <w:sz w:val="16"/>
        </w:rPr>
      </w:pPr>
      <w:r w:rsidRPr="00684BF3">
        <w:rPr>
          <w:sz w:val="16"/>
        </w:rPr>
        <w:t xml:space="preserve">Chief Justice </w:t>
      </w:r>
      <w:r w:rsidRPr="00684BF3">
        <w:rPr>
          <w:rStyle w:val="Emphasis"/>
        </w:rPr>
        <w:t>Roberts</w:t>
      </w:r>
      <w:r w:rsidRPr="00684BF3">
        <w:rPr>
          <w:rStyle w:val="StyleUnderline"/>
        </w:rPr>
        <w:t xml:space="preserve"> has</w:t>
      </w:r>
      <w:r w:rsidRPr="00684BF3">
        <w:rPr>
          <w:sz w:val="16"/>
        </w:rPr>
        <w:t xml:space="preserve"> previously </w:t>
      </w:r>
      <w:r w:rsidRPr="00684BF3">
        <w:rPr>
          <w:rStyle w:val="StyleUnderline"/>
        </w:rPr>
        <w:t>held that “the principles underlying our decision in Chevron apply with full force</w:t>
      </w:r>
      <w:r w:rsidRPr="00684BF3">
        <w:rPr>
          <w:sz w:val="16"/>
        </w:rPr>
        <w:t xml:space="preserve"> in the tax context.”111 </w:t>
      </w:r>
      <w:r w:rsidRPr="00684BF3">
        <w:rPr>
          <w:rStyle w:val="StyleUnderline"/>
        </w:rPr>
        <w:t>In</w:t>
      </w:r>
      <w:r w:rsidRPr="00684BF3">
        <w:rPr>
          <w:sz w:val="16"/>
        </w:rPr>
        <w:t xml:space="preserve"> National Ass’n of </w:t>
      </w:r>
      <w:r w:rsidRPr="00684BF3">
        <w:rPr>
          <w:rStyle w:val="Emphasis"/>
        </w:rPr>
        <w:t>Home Builders</w:t>
      </w:r>
      <w:r w:rsidRPr="00684BF3">
        <w:rPr>
          <w:sz w:val="16"/>
        </w:rPr>
        <w:t xml:space="preserve"> v. Defenders of Wildlife, Justice </w:t>
      </w:r>
      <w:r w:rsidRPr="00684BF3">
        <w:rPr>
          <w:rStyle w:val="Emphasis"/>
        </w:rPr>
        <w:t>Alito</w:t>
      </w:r>
      <w:r w:rsidRPr="00684BF3">
        <w:rPr>
          <w:sz w:val="16"/>
        </w:rPr>
        <w:t xml:space="preserve">, writing for the Court, </w:t>
      </w:r>
      <w:r w:rsidRPr="00684BF3">
        <w:rPr>
          <w:rStyle w:val="Emphasis"/>
        </w:rPr>
        <w:t>accorded Chevron</w:t>
      </w:r>
      <w:r w:rsidRPr="00684BF3">
        <w:rPr>
          <w:rStyle w:val="StyleUnderline"/>
        </w:rPr>
        <w:t xml:space="preserve"> deference to an agency interpretation that attempted to resolve</w:t>
      </w:r>
      <w:r w:rsidRPr="00684BF3">
        <w:rPr>
          <w:sz w:val="16"/>
        </w:rPr>
        <w:t xml:space="preserve"> potentially </w:t>
      </w:r>
      <w:r w:rsidRPr="00684BF3">
        <w:rPr>
          <w:rStyle w:val="StyleUnderline"/>
        </w:rPr>
        <w:t>conflicting statutory requirements</w:t>
      </w:r>
      <w:r w:rsidRPr="00684BF3">
        <w:rPr>
          <w:sz w:val="16"/>
        </w:rPr>
        <w:t xml:space="preserve"> of the Clean Water Act and the Endangered Species Act.112 In other words, </w:t>
      </w:r>
      <w:r w:rsidRPr="00684BF3">
        <w:rPr>
          <w:rStyle w:val="Emphasis"/>
        </w:rPr>
        <w:t>all of the Justices recognize the utility of Chevron</w:t>
      </w:r>
      <w:r w:rsidRPr="00684BF3">
        <w:rPr>
          <w:sz w:val="16"/>
        </w:rPr>
        <w:t xml:space="preserve"> </w:t>
      </w:r>
      <w:r w:rsidRPr="00684BF3">
        <w:rPr>
          <w:rStyle w:val="StyleUnderline"/>
        </w:rPr>
        <w:t>though</w:t>
      </w:r>
      <w:r w:rsidRPr="00684BF3">
        <w:rPr>
          <w:sz w:val="16"/>
        </w:rPr>
        <w:t xml:space="preserve">, for a wide range of reasons, </w:t>
      </w:r>
      <w:r w:rsidRPr="00684BF3">
        <w:rPr>
          <w:rStyle w:val="StyleUnderline"/>
        </w:rPr>
        <w:t>individual Justices continue to express concerns</w:t>
      </w:r>
      <w:r w:rsidRPr="00684BF3">
        <w:rPr>
          <w:sz w:val="16"/>
        </w:rPr>
        <w:t xml:space="preserve"> about the approach in particular factual situations.</w:t>
      </w:r>
    </w:p>
    <w:p w14:paraId="195055EE" w14:textId="77777777" w:rsidR="00516959" w:rsidRPr="00684BF3" w:rsidRDefault="00516959" w:rsidP="00516959">
      <w:pPr>
        <w:rPr>
          <w:sz w:val="16"/>
          <w:szCs w:val="16"/>
        </w:rPr>
      </w:pPr>
      <w:r w:rsidRPr="00684BF3">
        <w:rPr>
          <w:sz w:val="16"/>
          <w:szCs w:val="16"/>
        </w:rPr>
        <w:t>Cases like Brown &amp; Williamson, UARG, and King certainly indicate that the Supreme Court will take an especially hard look at statutory questions involving matters of great economic and regulatory consequence. Even in these rare situations the Court, at most, is applying the existing framework and boundaries of the Chevron framework in a more critical fashion, not abandoning Chevron. For example, Chevron deference, as a whole, has always been limited to statutory issues that Congress meant to delegate to a particular agency (the determinative Chevron issue in King), and even in the face of ambiguity, courts have only been bound to defer to “reasonable” or “permissible” agency interpretations.</w:t>
      </w:r>
    </w:p>
    <w:p w14:paraId="39FD59FD" w14:textId="77777777" w:rsidR="00516959" w:rsidRPr="00684BF3" w:rsidRDefault="00516959" w:rsidP="00516959">
      <w:pPr>
        <w:rPr>
          <w:sz w:val="16"/>
          <w:szCs w:val="16"/>
        </w:rPr>
      </w:pPr>
      <w:r w:rsidRPr="00684BF3">
        <w:rPr>
          <w:sz w:val="16"/>
          <w:szCs w:val="16"/>
        </w:rPr>
        <w:t>This is not to say that the courts have been entirely consistent in the degree of scrutiny they apply to the elements of Chevron. As Kenneth Starr noted back in 1986, because of the tension “between the judiciary’s law-declaring function and the need to defer to congressional delegation, application of the deference doctrine in the federal courts has been rather erratic.”113 This trend continues with King v. Burwell, and the continuing inconsistency supports yet another round of Chevron obituaries.</w:t>
      </w:r>
    </w:p>
    <w:p w14:paraId="4772002C" w14:textId="77777777" w:rsidR="00516959" w:rsidRPr="00684BF3" w:rsidRDefault="00516959" w:rsidP="00516959">
      <w:pPr>
        <w:rPr>
          <w:sz w:val="16"/>
        </w:rPr>
      </w:pPr>
      <w:r w:rsidRPr="00684BF3">
        <w:rPr>
          <w:sz w:val="16"/>
        </w:rPr>
        <w:t xml:space="preserve">My takeaway message is that </w:t>
      </w:r>
      <w:r w:rsidRPr="00456038">
        <w:rPr>
          <w:rStyle w:val="StyleUnderline"/>
          <w:highlight w:val="cyan"/>
        </w:rPr>
        <w:t>Chevron is not</w:t>
      </w:r>
      <w:r w:rsidRPr="00684BF3">
        <w:rPr>
          <w:sz w:val="16"/>
        </w:rPr>
        <w:t xml:space="preserve">, in environmental terms, </w:t>
      </w:r>
      <w:r w:rsidRPr="00684BF3">
        <w:rPr>
          <w:rStyle w:val="Emphasis"/>
        </w:rPr>
        <w:t xml:space="preserve">a </w:t>
      </w:r>
      <w:r w:rsidRPr="00456038">
        <w:rPr>
          <w:rStyle w:val="Emphasis"/>
          <w:highlight w:val="cyan"/>
        </w:rPr>
        <w:t>dead, dying</w:t>
      </w:r>
      <w:r w:rsidRPr="00684BF3">
        <w:rPr>
          <w:rStyle w:val="Emphasis"/>
        </w:rPr>
        <w:t xml:space="preserve">, </w:t>
      </w:r>
      <w:r w:rsidRPr="00456038">
        <w:rPr>
          <w:rStyle w:val="Emphasis"/>
          <w:highlight w:val="cyan"/>
        </w:rPr>
        <w:t>or threatened</w:t>
      </w:r>
      <w:r w:rsidRPr="00684BF3">
        <w:rPr>
          <w:rStyle w:val="Emphasis"/>
        </w:rPr>
        <w:t xml:space="preserve"> species</w:t>
      </w:r>
      <w:r w:rsidRPr="00684BF3">
        <w:rPr>
          <w:sz w:val="16"/>
        </w:rPr>
        <w:t xml:space="preserve">. </w:t>
      </w:r>
      <w:r w:rsidRPr="00456038">
        <w:rPr>
          <w:rStyle w:val="StyleUnderline"/>
          <w:highlight w:val="cyan"/>
        </w:rPr>
        <w:t>It remains the starting point for</w:t>
      </w:r>
      <w:r w:rsidRPr="00684BF3">
        <w:rPr>
          <w:rStyle w:val="StyleUnderline"/>
        </w:rPr>
        <w:t xml:space="preserve"> any </w:t>
      </w:r>
      <w:r w:rsidRPr="00456038">
        <w:rPr>
          <w:rStyle w:val="StyleUnderline"/>
          <w:highlight w:val="cyan"/>
        </w:rPr>
        <w:t>analysis of agency discretion</w:t>
      </w:r>
      <w:r w:rsidRPr="00684BF3">
        <w:rPr>
          <w:sz w:val="16"/>
        </w:rPr>
        <w:t xml:space="preserve">, and rightly so. </w:t>
      </w:r>
      <w:r w:rsidRPr="00684BF3">
        <w:rPr>
          <w:rStyle w:val="StyleUnderline"/>
        </w:rPr>
        <w:t>There are</w:t>
      </w:r>
      <w:r w:rsidRPr="00684BF3">
        <w:rPr>
          <w:sz w:val="16"/>
        </w:rPr>
        <w:t xml:space="preserve"> judicially created </w:t>
      </w:r>
      <w:r w:rsidRPr="00684BF3">
        <w:rPr>
          <w:rStyle w:val="StyleUnderline"/>
        </w:rPr>
        <w:t>deviations from the standard</w:t>
      </w:r>
      <w:r w:rsidRPr="00684BF3">
        <w:rPr>
          <w:sz w:val="16"/>
        </w:rPr>
        <w:t xml:space="preserve"> Chevron </w:t>
      </w:r>
      <w:r w:rsidRPr="00684BF3">
        <w:rPr>
          <w:rStyle w:val="StyleUnderline"/>
        </w:rPr>
        <w:t>analysis</w:t>
      </w:r>
      <w:r w:rsidRPr="00684BF3">
        <w:rPr>
          <w:sz w:val="16"/>
        </w:rPr>
        <w:t xml:space="preserve"> from time to time, and similar deviations have occurred for decades now without significant long-term consequences. At bottom, the </w:t>
      </w:r>
      <w:r w:rsidRPr="00456038">
        <w:rPr>
          <w:rStyle w:val="StyleUnderline"/>
          <w:highlight w:val="cyan"/>
        </w:rPr>
        <w:t>Chevron</w:t>
      </w:r>
      <w:r w:rsidRPr="00684BF3">
        <w:rPr>
          <w:rStyle w:val="StyleUnderline"/>
        </w:rPr>
        <w:t xml:space="preserve"> structure is </w:t>
      </w:r>
      <w:r w:rsidRPr="00684BF3">
        <w:rPr>
          <w:sz w:val="16"/>
        </w:rPr>
        <w:t xml:space="preserve">so </w:t>
      </w:r>
      <w:r w:rsidRPr="00684BF3">
        <w:rPr>
          <w:rStyle w:val="StyleUnderline"/>
        </w:rPr>
        <w:t>ingrained</w:t>
      </w:r>
      <w:r w:rsidRPr="00684BF3">
        <w:rPr>
          <w:sz w:val="16"/>
        </w:rPr>
        <w:t xml:space="preserve"> in our approach to administrative law, and in our approach to government, </w:t>
      </w:r>
      <w:r w:rsidRPr="00684BF3">
        <w:rPr>
          <w:rStyle w:val="Emphasis"/>
        </w:rPr>
        <w:t>that it</w:t>
      </w:r>
      <w:r w:rsidRPr="00684BF3">
        <w:rPr>
          <w:sz w:val="16"/>
        </w:rPr>
        <w:t xml:space="preserve"> will and </w:t>
      </w:r>
      <w:r w:rsidRPr="00456038">
        <w:rPr>
          <w:rStyle w:val="Emphasis"/>
          <w:highlight w:val="cyan"/>
        </w:rPr>
        <w:t>must endure</w:t>
      </w:r>
      <w:r w:rsidRPr="00684BF3">
        <w:rPr>
          <w:sz w:val="16"/>
        </w:rPr>
        <w:t>. As Justice Scalia concluded in his Chevron lecture:</w:t>
      </w:r>
    </w:p>
    <w:p w14:paraId="7B7D79D6" w14:textId="77777777" w:rsidR="00516959" w:rsidRPr="009B0F77" w:rsidRDefault="00516959" w:rsidP="00516959">
      <w:pPr>
        <w:ind w:left="720"/>
        <w:rPr>
          <w:sz w:val="16"/>
          <w:szCs w:val="16"/>
        </w:rPr>
      </w:pPr>
      <w:r w:rsidRPr="00684BF3">
        <w:rPr>
          <w:sz w:val="16"/>
          <w:szCs w:val="16"/>
        </w:rPr>
        <w:t>I tend to think, however, that in the long run Chevron will endure and be given its full scope—not so much because it represents a rule that is easier to follow and thus easier to predict (though that is true enough), but because it more accurately reflects the reality of government, and thus more adequately serves its needs.114</w:t>
      </w:r>
    </w:p>
    <w:p w14:paraId="17B80F7D" w14:textId="77777777" w:rsidR="00516959" w:rsidRPr="009B0F77" w:rsidRDefault="00516959" w:rsidP="00516959">
      <w:pPr>
        <w:pStyle w:val="Heading4"/>
        <w:rPr>
          <w:szCs w:val="26"/>
        </w:rPr>
      </w:pPr>
      <w:r>
        <w:rPr>
          <w:szCs w:val="26"/>
        </w:rPr>
        <w:t>Lenity wrecks it.</w:t>
      </w:r>
    </w:p>
    <w:p w14:paraId="0B36F4EC" w14:textId="77777777" w:rsidR="00516959" w:rsidRPr="00684BF3" w:rsidRDefault="00516959" w:rsidP="00516959">
      <w:r w:rsidRPr="00C80CAB">
        <w:rPr>
          <w:rStyle w:val="Heading4Char"/>
          <w:szCs w:val="26"/>
        </w:rPr>
        <w:t>Bednar 17</w:t>
      </w:r>
      <w:r w:rsidRPr="00684BF3">
        <w:t xml:space="preserve"> – (Nicholas R. Bednar, J.D., University of Minnesota Law School; B.A., University of Minnesota; “The Clear-Statement Chevron Canon”; DePaul University Press; D.A. June 26</w:t>
      </w:r>
      <w:r w:rsidRPr="00684BF3">
        <w:rPr>
          <w:vertAlign w:val="superscript"/>
        </w:rPr>
        <w:t>th</w:t>
      </w:r>
      <w:r w:rsidRPr="00684BF3">
        <w:t xml:space="preserve"> 2020, [Published Spring 2017]; DePaul Law Review, Vol. 66, Issue 3, pg. 861-867; </w:t>
      </w:r>
      <w:hyperlink r:id="rId276" w:history="1">
        <w:r w:rsidRPr="00684BF3">
          <w:rPr>
            <w:rStyle w:val="Hyperlink"/>
          </w:rPr>
          <w:t>https://via.library.depaul.edu/cgi/viewcontent.cgi?article=4028&amp;context=law-review</w:t>
        </w:r>
      </w:hyperlink>
      <w:r w:rsidRPr="00684BF3">
        <w:t>) //LFS—JCM</w:t>
      </w:r>
    </w:p>
    <w:p w14:paraId="565EB249" w14:textId="77777777" w:rsidR="00516959" w:rsidRPr="00684BF3" w:rsidRDefault="00516959" w:rsidP="00516959">
      <w:pPr>
        <w:rPr>
          <w:sz w:val="16"/>
          <w:szCs w:val="16"/>
        </w:rPr>
      </w:pPr>
      <w:r w:rsidRPr="00684BF3">
        <w:rPr>
          <w:sz w:val="16"/>
          <w:szCs w:val="16"/>
        </w:rPr>
        <w:t>While the Chevron Canon fits well between tiebreaking canons and clear-statement rules, the rule of lenity presents an additional quandary.266 Depending on her ideology, a judge may apply lenity as a tiebreaking canon or as a clear-statement rule.267 If lenity embodies a regulatory norm in the criminal law context, analogous to substantive canons in the tax or employment law contexts, then Chevron defeats lenity. If lenity embraces norms of legislative supremacy and fair notice, then lenity’s dual quasi-constitutional and regulatory characteristics complicate the Chevron analysis. Like Chevron, lenity succumbs to other clear-statement rules, such as the avoidance canon.268 Thus, Chevron and lenity occupy a similar space on the canon continuum.</w:t>
      </w:r>
    </w:p>
    <w:p w14:paraId="09EA8F56" w14:textId="77777777" w:rsidR="00516959" w:rsidRPr="00684BF3" w:rsidRDefault="00516959" w:rsidP="00516959">
      <w:pPr>
        <w:rPr>
          <w:b/>
          <w:bCs/>
        </w:rPr>
      </w:pPr>
      <w:r w:rsidRPr="00684BF3">
        <w:rPr>
          <w:b/>
          <w:bCs/>
        </w:rPr>
        <w:t>&lt;&lt;&lt;BEGIN FOOTNOTE 267&gt;&gt;&gt;</w:t>
      </w:r>
    </w:p>
    <w:p w14:paraId="0689908A" w14:textId="77777777" w:rsidR="00516959" w:rsidRPr="00684BF3" w:rsidRDefault="00516959" w:rsidP="00516959">
      <w:pPr>
        <w:rPr>
          <w:sz w:val="16"/>
        </w:rPr>
      </w:pPr>
      <w:r w:rsidRPr="00684BF3">
        <w:rPr>
          <w:sz w:val="16"/>
        </w:rPr>
        <w:t xml:space="preserve">267. See, e.g., Yates v. United States, 135 S. Ct. 1074, 1098–99 (2015) (Kagan, J., dissenting) (arguing that </w:t>
      </w:r>
      <w:r w:rsidRPr="00456038">
        <w:rPr>
          <w:rStyle w:val="Emphasis"/>
          <w:highlight w:val="cyan"/>
        </w:rPr>
        <w:t>lenity</w:t>
      </w:r>
      <w:r w:rsidRPr="00456038">
        <w:rPr>
          <w:rStyle w:val="StyleUnderline"/>
          <w:highlight w:val="cyan"/>
        </w:rPr>
        <w:t xml:space="preserve"> only </w:t>
      </w:r>
      <w:r w:rsidRPr="00456038">
        <w:rPr>
          <w:rStyle w:val="Emphasis"/>
          <w:highlight w:val="cyan"/>
        </w:rPr>
        <w:t>applies</w:t>
      </w:r>
      <w:r w:rsidRPr="00684BF3">
        <w:rPr>
          <w:sz w:val="16"/>
        </w:rPr>
        <w:t xml:space="preserve"> “</w:t>
      </w:r>
      <w:r w:rsidRPr="00456038">
        <w:rPr>
          <w:rStyle w:val="Emphasis"/>
          <w:highlight w:val="cyan"/>
        </w:rPr>
        <w:t>after all</w:t>
      </w:r>
      <w:r w:rsidRPr="00684BF3">
        <w:rPr>
          <w:rStyle w:val="StyleUnderline"/>
        </w:rPr>
        <w:t xml:space="preserve"> legitimate </w:t>
      </w:r>
      <w:r w:rsidRPr="00456038">
        <w:rPr>
          <w:rStyle w:val="Emphasis"/>
          <w:highlight w:val="cyan"/>
        </w:rPr>
        <w:t>tools</w:t>
      </w:r>
      <w:r w:rsidRPr="00456038">
        <w:rPr>
          <w:rStyle w:val="StyleUnderline"/>
          <w:highlight w:val="cyan"/>
        </w:rPr>
        <w:t xml:space="preserve"> of interpretation </w:t>
      </w:r>
      <w:r w:rsidRPr="00456038">
        <w:rPr>
          <w:rStyle w:val="Emphasis"/>
          <w:highlight w:val="cyan"/>
        </w:rPr>
        <w:t>have</w:t>
      </w:r>
      <w:r w:rsidRPr="00456038">
        <w:rPr>
          <w:rStyle w:val="StyleUnderline"/>
          <w:highlight w:val="cyan"/>
        </w:rPr>
        <w:t xml:space="preserve"> been </w:t>
      </w:r>
      <w:r w:rsidRPr="00456038">
        <w:rPr>
          <w:rStyle w:val="Emphasis"/>
          <w:highlight w:val="cyan"/>
        </w:rPr>
        <w:t>exhausted</w:t>
      </w:r>
      <w:r w:rsidRPr="00684BF3">
        <w:rPr>
          <w:sz w:val="16"/>
        </w:rPr>
        <w:t>, [</w:t>
      </w:r>
      <w:r w:rsidRPr="00456038">
        <w:rPr>
          <w:rStyle w:val="StyleUnderline"/>
          <w:highlight w:val="cyan"/>
        </w:rPr>
        <w:t>and</w:t>
      </w:r>
      <w:r w:rsidRPr="00684BF3">
        <w:rPr>
          <w:sz w:val="16"/>
        </w:rPr>
        <w:t xml:space="preserve">] ‘a </w:t>
      </w:r>
      <w:r w:rsidRPr="00684BF3">
        <w:rPr>
          <w:rStyle w:val="StyleUnderline"/>
        </w:rPr>
        <w:t xml:space="preserve">reasonable </w:t>
      </w:r>
      <w:r w:rsidRPr="00456038">
        <w:rPr>
          <w:rStyle w:val="Emphasis"/>
          <w:highlight w:val="cyan"/>
        </w:rPr>
        <w:t>doubt</w:t>
      </w:r>
      <w:r w:rsidRPr="00684BF3">
        <w:rPr>
          <w:rStyle w:val="Emphasis"/>
        </w:rPr>
        <w:t xml:space="preserve"> </w:t>
      </w:r>
      <w:r w:rsidRPr="00456038">
        <w:rPr>
          <w:rStyle w:val="Emphasis"/>
          <w:highlight w:val="cyan"/>
        </w:rPr>
        <w:t>persists’</w:t>
      </w:r>
      <w:r w:rsidRPr="00684BF3">
        <w:rPr>
          <w:sz w:val="16"/>
        </w:rPr>
        <w:t xml:space="preserve"> </w:t>
      </w:r>
      <w:r w:rsidRPr="00684BF3">
        <w:rPr>
          <w:rStyle w:val="StyleUnderline"/>
        </w:rPr>
        <w:t xml:space="preserve">regarding whether Congress has made the defendant’s conduct a </w:t>
      </w:r>
      <w:r w:rsidRPr="00684BF3">
        <w:rPr>
          <w:sz w:val="16"/>
        </w:rPr>
        <w:t xml:space="preserve">federal </w:t>
      </w:r>
      <w:r w:rsidRPr="00684BF3">
        <w:rPr>
          <w:rStyle w:val="StyleUnderline"/>
        </w:rPr>
        <w:t>crime</w:t>
      </w:r>
      <w:r w:rsidRPr="00684BF3">
        <w:rPr>
          <w:sz w:val="16"/>
        </w:rPr>
        <w:t>” (quoting Abramski v. United States, 134 S. Ct. 2259, 2218 (2014) (</w:t>
      </w:r>
      <w:r w:rsidRPr="00684BF3">
        <w:rPr>
          <w:rStyle w:val="StyleUnderline"/>
        </w:rPr>
        <w:t>Scalia</w:t>
      </w:r>
      <w:r w:rsidRPr="00684BF3">
        <w:rPr>
          <w:sz w:val="16"/>
        </w:rPr>
        <w:t>, J., dissenting))).</w:t>
      </w:r>
    </w:p>
    <w:p w14:paraId="667ABDBF" w14:textId="77777777" w:rsidR="00516959" w:rsidRPr="00684BF3" w:rsidRDefault="00516959" w:rsidP="00516959">
      <w:pPr>
        <w:rPr>
          <w:b/>
          <w:bCs/>
        </w:rPr>
      </w:pPr>
      <w:r w:rsidRPr="00684BF3">
        <w:rPr>
          <w:b/>
          <w:bCs/>
        </w:rPr>
        <w:t>&lt;&lt;&lt;END FOOTNOTE 267&gt;&gt;&gt;</w:t>
      </w:r>
    </w:p>
    <w:p w14:paraId="0DCE2A65" w14:textId="77777777" w:rsidR="00516959" w:rsidRPr="00684BF3" w:rsidRDefault="00516959" w:rsidP="00516959">
      <w:pPr>
        <w:rPr>
          <w:sz w:val="16"/>
        </w:rPr>
      </w:pPr>
      <w:r w:rsidRPr="00456038">
        <w:rPr>
          <w:rStyle w:val="StyleUnderline"/>
          <w:highlight w:val="cyan"/>
        </w:rPr>
        <w:t>In</w:t>
      </w:r>
      <w:r w:rsidRPr="00684BF3">
        <w:rPr>
          <w:sz w:val="16"/>
        </w:rPr>
        <w:t xml:space="preserve"> a footnote in </w:t>
      </w:r>
      <w:r w:rsidRPr="00456038">
        <w:rPr>
          <w:rStyle w:val="Emphasis"/>
          <w:highlight w:val="cyan"/>
        </w:rPr>
        <w:t>Babbitt</w:t>
      </w:r>
      <w:r w:rsidRPr="00684BF3">
        <w:rPr>
          <w:sz w:val="16"/>
        </w:rPr>
        <w:t xml:space="preserve"> v. Sweet Home, 269 </w:t>
      </w:r>
      <w:r w:rsidRPr="00456038">
        <w:rPr>
          <w:rStyle w:val="StyleUnderline"/>
          <w:highlight w:val="cyan"/>
        </w:rPr>
        <w:t>the</w:t>
      </w:r>
      <w:r w:rsidRPr="00684BF3">
        <w:rPr>
          <w:rStyle w:val="StyleUnderline"/>
        </w:rPr>
        <w:t xml:space="preserve"> Supreme </w:t>
      </w:r>
      <w:r w:rsidRPr="00456038">
        <w:rPr>
          <w:rStyle w:val="StyleUnderline"/>
          <w:highlight w:val="cyan"/>
        </w:rPr>
        <w:t>Court implied</w:t>
      </w:r>
      <w:r w:rsidRPr="00684BF3">
        <w:rPr>
          <w:rStyle w:val="StyleUnderline"/>
        </w:rPr>
        <w:t xml:space="preserve"> that </w:t>
      </w:r>
      <w:r w:rsidRPr="00456038">
        <w:rPr>
          <w:rStyle w:val="StyleUnderline"/>
          <w:highlight w:val="cyan"/>
        </w:rPr>
        <w:t>lenity does not foreclose deference</w:t>
      </w:r>
      <w:r w:rsidRPr="00684BF3">
        <w:rPr>
          <w:sz w:val="16"/>
        </w:rPr>
        <w:t xml:space="preserve">.270 </w:t>
      </w:r>
      <w:r w:rsidRPr="00456038">
        <w:rPr>
          <w:rStyle w:val="StyleUnderline"/>
          <w:highlight w:val="cyan"/>
        </w:rPr>
        <w:t>Yet</w:t>
      </w:r>
      <w:r w:rsidRPr="00684BF3">
        <w:rPr>
          <w:rStyle w:val="StyleUnderline"/>
        </w:rPr>
        <w:t xml:space="preserve"> circuit </w:t>
      </w:r>
      <w:r w:rsidRPr="00456038">
        <w:rPr>
          <w:rStyle w:val="StyleUnderline"/>
          <w:highlight w:val="cyan"/>
        </w:rPr>
        <w:t>courts continue to examine</w:t>
      </w:r>
      <w:r w:rsidRPr="00684BF3">
        <w:rPr>
          <w:rStyle w:val="StyleUnderline"/>
        </w:rPr>
        <w:t xml:space="preserve"> whether</w:t>
      </w:r>
      <w:r w:rsidRPr="00684BF3">
        <w:rPr>
          <w:sz w:val="16"/>
        </w:rPr>
        <w:t xml:space="preserve"> “</w:t>
      </w:r>
      <w:r w:rsidRPr="00456038">
        <w:rPr>
          <w:rStyle w:val="StyleUnderline"/>
          <w:highlight w:val="cyan"/>
        </w:rPr>
        <w:t>Chevron</w:t>
      </w:r>
      <w:r w:rsidRPr="00684BF3">
        <w:rPr>
          <w:sz w:val="16"/>
        </w:rPr>
        <w:t xml:space="preserve"> still </w:t>
      </w:r>
      <w:r w:rsidRPr="00684BF3">
        <w:rPr>
          <w:rStyle w:val="StyleUnderline"/>
        </w:rPr>
        <w:t>leaves</w:t>
      </w:r>
      <w:r w:rsidRPr="00684BF3">
        <w:rPr>
          <w:sz w:val="16"/>
        </w:rPr>
        <w:t xml:space="preserve"> some </w:t>
      </w:r>
      <w:r w:rsidRPr="00684BF3">
        <w:rPr>
          <w:rStyle w:val="StyleUnderline"/>
        </w:rPr>
        <w:t>place for the rule of lenity</w:t>
      </w:r>
      <w:r w:rsidRPr="00684BF3">
        <w:rPr>
          <w:sz w:val="16"/>
        </w:rPr>
        <w:t xml:space="preserve">.”271 </w:t>
      </w:r>
      <w:r w:rsidRPr="00456038">
        <w:rPr>
          <w:rStyle w:val="StyleUnderline"/>
          <w:highlight w:val="cyan"/>
        </w:rPr>
        <w:t>In</w:t>
      </w:r>
      <w:r w:rsidRPr="00684BF3">
        <w:rPr>
          <w:sz w:val="16"/>
        </w:rPr>
        <w:t xml:space="preserve"> his concurring opinion in </w:t>
      </w:r>
      <w:r w:rsidRPr="00684BF3">
        <w:rPr>
          <w:rStyle w:val="Emphasis"/>
        </w:rPr>
        <w:t>Carter</w:t>
      </w:r>
      <w:r w:rsidRPr="00684BF3">
        <w:rPr>
          <w:sz w:val="16"/>
        </w:rPr>
        <w:t xml:space="preserve"> </w:t>
      </w:r>
      <w:r w:rsidRPr="00684BF3">
        <w:rPr>
          <w:rStyle w:val="StyleUnderline"/>
        </w:rPr>
        <w:t xml:space="preserve">v. </w:t>
      </w:r>
      <w:r w:rsidRPr="00456038">
        <w:rPr>
          <w:rStyle w:val="StyleUnderline"/>
          <w:highlight w:val="cyan"/>
        </w:rPr>
        <w:t>Welles-Bowen</w:t>
      </w:r>
      <w:r w:rsidRPr="00684BF3">
        <w:rPr>
          <w:sz w:val="16"/>
        </w:rPr>
        <w:t xml:space="preserve"> Realty, Inc., 272 Sixth Circuit Judge Jeffrey </w:t>
      </w:r>
      <w:r w:rsidRPr="00456038">
        <w:rPr>
          <w:rStyle w:val="StyleUnderline"/>
          <w:highlight w:val="cyan"/>
        </w:rPr>
        <w:t>Sutton</w:t>
      </w:r>
      <w:r w:rsidRPr="00456038">
        <w:rPr>
          <w:sz w:val="16"/>
          <w:highlight w:val="cyan"/>
        </w:rPr>
        <w:t xml:space="preserve"> </w:t>
      </w:r>
      <w:r w:rsidRPr="00456038">
        <w:rPr>
          <w:rStyle w:val="StyleUnderline"/>
          <w:highlight w:val="cyan"/>
        </w:rPr>
        <w:t>argued</w:t>
      </w:r>
      <w:r w:rsidRPr="00684BF3">
        <w:rPr>
          <w:sz w:val="16"/>
        </w:rPr>
        <w:t xml:space="preserve"> that </w:t>
      </w:r>
      <w:r w:rsidRPr="00456038">
        <w:rPr>
          <w:rStyle w:val="StyleUnderline"/>
          <w:highlight w:val="cyan"/>
        </w:rPr>
        <w:t xml:space="preserve">a </w:t>
      </w:r>
      <w:r w:rsidRPr="00456038">
        <w:rPr>
          <w:rStyle w:val="Emphasis"/>
          <w:highlight w:val="cyan"/>
        </w:rPr>
        <w:t>court</w:t>
      </w:r>
      <w:r w:rsidRPr="00456038">
        <w:rPr>
          <w:rStyle w:val="StyleUnderline"/>
          <w:highlight w:val="cyan"/>
        </w:rPr>
        <w:t xml:space="preserve"> should </w:t>
      </w:r>
      <w:r w:rsidRPr="00456038">
        <w:rPr>
          <w:rStyle w:val="Emphasis"/>
          <w:highlight w:val="cyan"/>
        </w:rPr>
        <w:t>not</w:t>
      </w:r>
      <w:r w:rsidRPr="00456038">
        <w:rPr>
          <w:rStyle w:val="StyleUnderline"/>
          <w:highlight w:val="cyan"/>
        </w:rPr>
        <w:t xml:space="preserve"> “</w:t>
      </w:r>
      <w:r w:rsidRPr="00456038">
        <w:rPr>
          <w:rStyle w:val="Emphasis"/>
          <w:highlight w:val="cyan"/>
        </w:rPr>
        <w:t>defer</w:t>
      </w:r>
      <w:r w:rsidRPr="00684BF3">
        <w:rPr>
          <w:rStyle w:val="StyleUnderline"/>
        </w:rPr>
        <w:t xml:space="preserve"> </w:t>
      </w:r>
      <w:r w:rsidRPr="00456038">
        <w:rPr>
          <w:rStyle w:val="StyleUnderline"/>
          <w:highlight w:val="cyan"/>
        </w:rPr>
        <w:t>to</w:t>
      </w:r>
      <w:r w:rsidRPr="00684BF3">
        <w:rPr>
          <w:rStyle w:val="StyleUnderline"/>
        </w:rPr>
        <w:t xml:space="preserve"> an agency’s anti-defendant interpretation of a law backed by </w:t>
      </w:r>
      <w:r w:rsidRPr="00456038">
        <w:rPr>
          <w:rStyle w:val="Emphasis"/>
          <w:highlight w:val="cyan"/>
        </w:rPr>
        <w:t>criminal penalties</w:t>
      </w:r>
      <w:r w:rsidRPr="00684BF3">
        <w:rPr>
          <w:sz w:val="16"/>
        </w:rPr>
        <w:t xml:space="preserve">.”273 </w:t>
      </w:r>
      <w:r w:rsidRPr="00456038">
        <w:rPr>
          <w:rStyle w:val="StyleUnderline"/>
          <w:highlight w:val="cyan"/>
        </w:rPr>
        <w:t>According to</w:t>
      </w:r>
      <w:r w:rsidRPr="00684BF3">
        <w:rPr>
          <w:sz w:val="16"/>
        </w:rPr>
        <w:t xml:space="preserve"> Judge </w:t>
      </w:r>
      <w:r w:rsidRPr="00456038">
        <w:rPr>
          <w:rStyle w:val="StyleUnderline"/>
          <w:highlight w:val="cyan"/>
        </w:rPr>
        <w:t>Sutton</w:t>
      </w:r>
      <w:r w:rsidRPr="00684BF3">
        <w:rPr>
          <w:sz w:val="16"/>
        </w:rPr>
        <w:t>, “</w:t>
      </w:r>
      <w:r w:rsidRPr="00684BF3">
        <w:rPr>
          <w:rStyle w:val="StyleUnderline"/>
        </w:rPr>
        <w:t>Allowing agencies to fill gaps in criminal statutes</w:t>
      </w:r>
      <w:r w:rsidRPr="00684BF3">
        <w:rPr>
          <w:sz w:val="16"/>
        </w:rPr>
        <w:t xml:space="preserve"> would </w:t>
      </w:r>
      <w:r w:rsidRPr="00684BF3">
        <w:rPr>
          <w:rStyle w:val="StyleUnderline"/>
        </w:rPr>
        <w:t>impair the rule of lenity’s purposes.</w:t>
      </w:r>
      <w:r w:rsidRPr="00684BF3">
        <w:rPr>
          <w:sz w:val="16"/>
        </w:rPr>
        <w:t xml:space="preserve">”274 </w:t>
      </w:r>
      <w:r w:rsidRPr="00684BF3">
        <w:rPr>
          <w:rStyle w:val="StyleUnderline"/>
        </w:rPr>
        <w:t>In</w:t>
      </w:r>
      <w:r w:rsidRPr="00684BF3">
        <w:rPr>
          <w:sz w:val="16"/>
        </w:rPr>
        <w:t xml:space="preserve"> a memorandum accompanying the denial of certiorari of </w:t>
      </w:r>
      <w:r w:rsidRPr="00684BF3">
        <w:rPr>
          <w:rStyle w:val="Emphasis"/>
        </w:rPr>
        <w:t>Whitman</w:t>
      </w:r>
      <w:r w:rsidRPr="00684BF3">
        <w:rPr>
          <w:sz w:val="16"/>
        </w:rPr>
        <w:t xml:space="preserve"> v. United States, 275 Justice </w:t>
      </w:r>
      <w:r w:rsidRPr="00684BF3">
        <w:rPr>
          <w:rStyle w:val="StyleUnderline"/>
        </w:rPr>
        <w:t>Scalia</w:t>
      </w:r>
      <w:r w:rsidRPr="00684BF3">
        <w:rPr>
          <w:sz w:val="16"/>
        </w:rPr>
        <w:t xml:space="preserve"> </w:t>
      </w:r>
      <w:r w:rsidRPr="00684BF3">
        <w:rPr>
          <w:rStyle w:val="StyleUnderline"/>
        </w:rPr>
        <w:t xml:space="preserve">acknowledged the </w:t>
      </w:r>
      <w:r w:rsidRPr="00684BF3">
        <w:rPr>
          <w:rStyle w:val="Emphasis"/>
        </w:rPr>
        <w:t>conflict</w:t>
      </w:r>
      <w:r w:rsidRPr="00684BF3">
        <w:rPr>
          <w:rStyle w:val="StyleUnderline"/>
        </w:rPr>
        <w:t xml:space="preserve"> between </w:t>
      </w:r>
      <w:r w:rsidRPr="00684BF3">
        <w:rPr>
          <w:rStyle w:val="Emphasis"/>
        </w:rPr>
        <w:t>Chevron and</w:t>
      </w:r>
      <w:r w:rsidRPr="00684BF3">
        <w:rPr>
          <w:rStyle w:val="StyleUnderline"/>
        </w:rPr>
        <w:t xml:space="preserve"> the rule of </w:t>
      </w:r>
      <w:r w:rsidRPr="00684BF3">
        <w:rPr>
          <w:rStyle w:val="Emphasis"/>
        </w:rPr>
        <w:t>lenity</w:t>
      </w:r>
      <w:r w:rsidRPr="00684BF3">
        <w:rPr>
          <w:sz w:val="16"/>
        </w:rPr>
        <w:t xml:space="preserve">.276 </w:t>
      </w:r>
      <w:r w:rsidRPr="00684BF3">
        <w:rPr>
          <w:rStyle w:val="StyleUnderline"/>
        </w:rPr>
        <w:t>Citing</w:t>
      </w:r>
      <w:r w:rsidRPr="00684BF3">
        <w:rPr>
          <w:sz w:val="16"/>
        </w:rPr>
        <w:t xml:space="preserve"> Justice </w:t>
      </w:r>
      <w:r w:rsidRPr="00684BF3">
        <w:rPr>
          <w:rStyle w:val="StyleUnderline"/>
        </w:rPr>
        <w:t>Sutton</w:t>
      </w:r>
      <w:r w:rsidRPr="00684BF3">
        <w:rPr>
          <w:sz w:val="16"/>
        </w:rPr>
        <w:t xml:space="preserve">’s opinion in Welles-Bowen Realty, Justice </w:t>
      </w:r>
      <w:r w:rsidRPr="00684BF3">
        <w:rPr>
          <w:rStyle w:val="StyleUnderline"/>
        </w:rPr>
        <w:t>Scalia stated</w:t>
      </w:r>
      <w:r w:rsidRPr="00684BF3">
        <w:rPr>
          <w:sz w:val="16"/>
        </w:rPr>
        <w:t xml:space="preserve">, “Undoubtedly </w:t>
      </w:r>
      <w:r w:rsidRPr="00684BF3">
        <w:rPr>
          <w:rStyle w:val="StyleUnderline"/>
        </w:rPr>
        <w:t>Congress may make it a crime to violate a regulation</w:t>
      </w:r>
      <w:r w:rsidRPr="00684BF3">
        <w:rPr>
          <w:sz w:val="16"/>
        </w:rPr>
        <w:t xml:space="preserve"> . . . </w:t>
      </w:r>
      <w:r w:rsidRPr="00684BF3">
        <w:rPr>
          <w:rStyle w:val="StyleUnderline"/>
        </w:rPr>
        <w:t>but it is</w:t>
      </w:r>
      <w:r w:rsidRPr="00684BF3">
        <w:rPr>
          <w:sz w:val="16"/>
        </w:rPr>
        <w:t xml:space="preserve"> quite </w:t>
      </w:r>
      <w:r w:rsidRPr="00684BF3">
        <w:rPr>
          <w:rStyle w:val="StyleUnderline"/>
        </w:rPr>
        <w:t>a different matter for Congress to give agencies</w:t>
      </w:r>
      <w:r w:rsidRPr="00684BF3">
        <w:rPr>
          <w:sz w:val="16"/>
        </w:rPr>
        <w:t>—let alone for us to presume that Congress gave agencies—</w:t>
      </w:r>
      <w:r w:rsidRPr="00684BF3">
        <w:rPr>
          <w:rStyle w:val="StyleUnderline"/>
        </w:rPr>
        <w:t>power to resolve ambiguities</w:t>
      </w:r>
      <w:r w:rsidRPr="00684BF3">
        <w:rPr>
          <w:sz w:val="16"/>
        </w:rPr>
        <w:t xml:space="preserve"> in criminal legislation.”277</w:t>
      </w:r>
    </w:p>
    <w:p w14:paraId="393D2EA5" w14:textId="77777777" w:rsidR="00516959" w:rsidRPr="00684BF3" w:rsidRDefault="00516959" w:rsidP="00516959">
      <w:pPr>
        <w:rPr>
          <w:b/>
          <w:bCs/>
        </w:rPr>
      </w:pPr>
      <w:r w:rsidRPr="00684BF3">
        <w:rPr>
          <w:b/>
          <w:bCs/>
        </w:rPr>
        <w:t>&lt;&lt;&lt;BEGIN FOOTNOTE 273&gt;&gt;&gt;</w:t>
      </w:r>
    </w:p>
    <w:p w14:paraId="7B33547E" w14:textId="77777777" w:rsidR="00516959" w:rsidRPr="00684BF3" w:rsidRDefault="00516959" w:rsidP="00516959">
      <w:pPr>
        <w:rPr>
          <w:sz w:val="16"/>
        </w:rPr>
      </w:pPr>
      <w:r w:rsidRPr="00684BF3">
        <w:rPr>
          <w:sz w:val="16"/>
        </w:rPr>
        <w:t>273. Id. at 730 (</w:t>
      </w:r>
      <w:r w:rsidRPr="00684BF3">
        <w:rPr>
          <w:rStyle w:val="StyleUnderline"/>
        </w:rPr>
        <w:t>Sutton</w:t>
      </w:r>
      <w:r w:rsidRPr="00684BF3">
        <w:rPr>
          <w:sz w:val="16"/>
        </w:rPr>
        <w:t>, J., concurring) (“</w:t>
      </w:r>
      <w:r w:rsidRPr="00684BF3">
        <w:rPr>
          <w:rStyle w:val="StyleUnderline"/>
        </w:rPr>
        <w:t>[</w:t>
      </w:r>
      <w:r w:rsidRPr="00456038">
        <w:rPr>
          <w:rStyle w:val="StyleUnderline"/>
          <w:highlight w:val="cyan"/>
        </w:rPr>
        <w:t>T</w:t>
      </w:r>
      <w:r w:rsidRPr="00684BF3">
        <w:rPr>
          <w:rStyle w:val="StyleUnderline"/>
        </w:rPr>
        <w:t>]</w:t>
      </w:r>
      <w:r w:rsidRPr="00456038">
        <w:rPr>
          <w:rStyle w:val="StyleUnderline"/>
          <w:highlight w:val="cyan"/>
        </w:rPr>
        <w:t>he</w:t>
      </w:r>
      <w:r w:rsidRPr="00684BF3">
        <w:rPr>
          <w:rStyle w:val="StyleUnderline"/>
        </w:rPr>
        <w:t xml:space="preserve"> </w:t>
      </w:r>
      <w:r w:rsidRPr="00456038">
        <w:rPr>
          <w:rStyle w:val="StyleUnderline"/>
          <w:highlight w:val="cyan"/>
        </w:rPr>
        <w:t xml:space="preserve">rule of </w:t>
      </w:r>
      <w:r w:rsidRPr="00456038">
        <w:rPr>
          <w:rStyle w:val="Emphasis"/>
          <w:highlight w:val="cyan"/>
        </w:rPr>
        <w:t>lenity forbids deference</w:t>
      </w:r>
      <w:r w:rsidRPr="00684BF3">
        <w:rPr>
          <w:sz w:val="16"/>
        </w:rPr>
        <w:t xml:space="preserve"> </w:t>
      </w:r>
      <w:r w:rsidRPr="00684BF3">
        <w:rPr>
          <w:rStyle w:val="StyleUnderline"/>
        </w:rPr>
        <w:t>to the executive branch’s interpretation of a crime</w:t>
      </w:r>
      <w:r w:rsidRPr="00684BF3">
        <w:rPr>
          <w:sz w:val="16"/>
        </w:rPr>
        <w:t xml:space="preserve">-creating </w:t>
      </w:r>
      <w:r w:rsidRPr="00684BF3">
        <w:rPr>
          <w:rStyle w:val="StyleUnderline"/>
        </w:rPr>
        <w:t>law</w:t>
      </w:r>
      <w:r w:rsidRPr="00684BF3">
        <w:rPr>
          <w:sz w:val="16"/>
        </w:rPr>
        <w:t xml:space="preserve">. </w:t>
      </w:r>
      <w:r w:rsidRPr="00456038">
        <w:rPr>
          <w:rStyle w:val="StyleUnderline"/>
          <w:highlight w:val="cyan"/>
        </w:rPr>
        <w:t>If</w:t>
      </w:r>
      <w:r w:rsidRPr="00684BF3">
        <w:rPr>
          <w:sz w:val="16"/>
        </w:rPr>
        <w:t xml:space="preserve"> an ordinary </w:t>
      </w:r>
      <w:r w:rsidRPr="00684BF3">
        <w:rPr>
          <w:rStyle w:val="StyleUnderline"/>
        </w:rPr>
        <w:t xml:space="preserve">criminal </w:t>
      </w:r>
      <w:r w:rsidRPr="00456038">
        <w:rPr>
          <w:rStyle w:val="StyleUnderline"/>
          <w:highlight w:val="cyan"/>
        </w:rPr>
        <w:t>law contains</w:t>
      </w:r>
      <w:r w:rsidRPr="00684BF3">
        <w:rPr>
          <w:sz w:val="16"/>
        </w:rPr>
        <w:t xml:space="preserve"> an </w:t>
      </w:r>
      <w:r w:rsidRPr="00456038">
        <w:rPr>
          <w:rStyle w:val="StyleUnderline"/>
          <w:highlight w:val="cyan"/>
        </w:rPr>
        <w:t>uncertainty</w:t>
      </w:r>
      <w:r w:rsidRPr="00684BF3">
        <w:rPr>
          <w:rStyle w:val="StyleUnderline"/>
        </w:rPr>
        <w:t xml:space="preserve">, </w:t>
      </w:r>
      <w:r w:rsidRPr="00456038">
        <w:rPr>
          <w:rStyle w:val="Emphasis"/>
          <w:highlight w:val="cyan"/>
        </w:rPr>
        <w:t>every</w:t>
      </w:r>
      <w:r w:rsidRPr="00684BF3">
        <w:rPr>
          <w:rStyle w:val="Emphasis"/>
        </w:rPr>
        <w:t xml:space="preserve"> </w:t>
      </w:r>
      <w:r w:rsidRPr="00456038">
        <w:rPr>
          <w:rStyle w:val="Emphasis"/>
          <w:highlight w:val="cyan"/>
        </w:rPr>
        <w:t>court would agree</w:t>
      </w:r>
      <w:r w:rsidRPr="00456038">
        <w:rPr>
          <w:rStyle w:val="StyleUnderline"/>
          <w:highlight w:val="cyan"/>
        </w:rPr>
        <w:t xml:space="preserve"> that it must </w:t>
      </w:r>
      <w:r w:rsidRPr="00456038">
        <w:rPr>
          <w:rStyle w:val="Emphasis"/>
          <w:highlight w:val="cyan"/>
        </w:rPr>
        <w:t>resolve</w:t>
      </w:r>
      <w:r w:rsidRPr="00684BF3">
        <w:rPr>
          <w:sz w:val="16"/>
        </w:rPr>
        <w:t xml:space="preserve"> the </w:t>
      </w:r>
      <w:r w:rsidRPr="00684BF3">
        <w:rPr>
          <w:rStyle w:val="StyleUnderline"/>
        </w:rPr>
        <w:t xml:space="preserve">uncertainty </w:t>
      </w:r>
      <w:r w:rsidRPr="00456038">
        <w:rPr>
          <w:rStyle w:val="StyleUnderline"/>
          <w:highlight w:val="cyan"/>
        </w:rPr>
        <w:t xml:space="preserve">in the </w:t>
      </w:r>
      <w:r w:rsidRPr="00456038">
        <w:rPr>
          <w:rStyle w:val="Emphasis"/>
          <w:highlight w:val="cyan"/>
        </w:rPr>
        <w:t>defendant’s</w:t>
      </w:r>
      <w:r w:rsidRPr="00684BF3">
        <w:rPr>
          <w:rStyle w:val="StyleUnderline"/>
        </w:rPr>
        <w:t xml:space="preserve"> favor</w:t>
      </w:r>
      <w:r w:rsidRPr="00684BF3">
        <w:rPr>
          <w:sz w:val="16"/>
        </w:rPr>
        <w:t xml:space="preserve">. </w:t>
      </w:r>
      <w:r w:rsidRPr="00456038">
        <w:rPr>
          <w:rStyle w:val="Emphasis"/>
          <w:highlight w:val="cyan"/>
        </w:rPr>
        <w:t>No judge would</w:t>
      </w:r>
      <w:r w:rsidRPr="00684BF3">
        <w:rPr>
          <w:rStyle w:val="StyleUnderline"/>
        </w:rPr>
        <w:t xml:space="preserve"> think of </w:t>
      </w:r>
      <w:r w:rsidRPr="00456038">
        <w:rPr>
          <w:rStyle w:val="Emphasis"/>
          <w:highlight w:val="cyan"/>
        </w:rPr>
        <w:t>defer</w:t>
      </w:r>
      <w:r w:rsidRPr="00684BF3">
        <w:rPr>
          <w:rStyle w:val="StyleUnderline"/>
        </w:rPr>
        <w:t>ring</w:t>
      </w:r>
      <w:r w:rsidRPr="00684BF3">
        <w:rPr>
          <w:sz w:val="16"/>
        </w:rPr>
        <w:t xml:space="preserve"> to the Department of Justice.”).</w:t>
      </w:r>
    </w:p>
    <w:p w14:paraId="7B3D5CD5" w14:textId="77777777" w:rsidR="00516959" w:rsidRPr="00684BF3" w:rsidRDefault="00516959" w:rsidP="00516959">
      <w:pPr>
        <w:rPr>
          <w:b/>
          <w:bCs/>
        </w:rPr>
      </w:pPr>
      <w:r w:rsidRPr="00684BF3">
        <w:rPr>
          <w:b/>
          <w:bCs/>
        </w:rPr>
        <w:t>&lt;&lt;&lt;END FOOTNOTE 273&gt;&gt;&gt;</w:t>
      </w:r>
    </w:p>
    <w:p w14:paraId="7C1F4957" w14:textId="77777777" w:rsidR="00516959" w:rsidRPr="00684BF3" w:rsidRDefault="00516959" w:rsidP="00516959">
      <w:pPr>
        <w:rPr>
          <w:sz w:val="16"/>
        </w:rPr>
      </w:pPr>
      <w:r w:rsidRPr="00684BF3">
        <w:rPr>
          <w:rStyle w:val="StyleUnderline"/>
        </w:rPr>
        <w:t xml:space="preserve">The rule of </w:t>
      </w:r>
      <w:r w:rsidRPr="00456038">
        <w:rPr>
          <w:rStyle w:val="StyleUnderline"/>
          <w:highlight w:val="cyan"/>
        </w:rPr>
        <w:t>lenity</w:t>
      </w:r>
      <w:r w:rsidRPr="00684BF3">
        <w:rPr>
          <w:sz w:val="16"/>
        </w:rPr>
        <w:t xml:space="preserve"> also </w:t>
      </w:r>
      <w:r w:rsidRPr="00456038">
        <w:rPr>
          <w:rStyle w:val="StyleUnderline"/>
          <w:highlight w:val="cyan"/>
        </w:rPr>
        <w:t>extends to</w:t>
      </w:r>
      <w:r w:rsidRPr="00684BF3">
        <w:rPr>
          <w:rStyle w:val="StyleUnderline"/>
        </w:rPr>
        <w:t xml:space="preserve"> civil penalties in </w:t>
      </w:r>
      <w:r w:rsidRPr="00456038">
        <w:rPr>
          <w:rStyle w:val="Emphasis"/>
          <w:highlight w:val="cyan"/>
        </w:rPr>
        <w:t>hybrid</w:t>
      </w:r>
      <w:r w:rsidRPr="00684BF3">
        <w:rPr>
          <w:rStyle w:val="Emphasis"/>
        </w:rPr>
        <w:t xml:space="preserve"> criminal/ civil </w:t>
      </w:r>
      <w:r w:rsidRPr="00456038">
        <w:rPr>
          <w:rStyle w:val="Emphasis"/>
          <w:highlight w:val="cyan"/>
        </w:rPr>
        <w:t>statutes</w:t>
      </w:r>
      <w:r w:rsidRPr="00684BF3">
        <w:rPr>
          <w:sz w:val="16"/>
        </w:rPr>
        <w:t xml:space="preserve">. </w:t>
      </w:r>
      <w:r w:rsidRPr="00684BF3">
        <w:rPr>
          <w:rStyle w:val="StyleUnderline"/>
        </w:rPr>
        <w:t xml:space="preserve">In </w:t>
      </w:r>
      <w:r w:rsidRPr="00684BF3">
        <w:rPr>
          <w:rStyle w:val="Emphasis"/>
        </w:rPr>
        <w:t>Esquivel-Quintana</w:t>
      </w:r>
      <w:r w:rsidRPr="00684BF3">
        <w:rPr>
          <w:sz w:val="16"/>
        </w:rPr>
        <w:t xml:space="preserve"> v. Lynch, 278 Judge </w:t>
      </w:r>
      <w:r w:rsidRPr="00684BF3">
        <w:rPr>
          <w:rStyle w:val="StyleUnderline"/>
        </w:rPr>
        <w:t>Sutton revived his argument</w:t>
      </w:r>
      <w:r w:rsidRPr="00684BF3">
        <w:rPr>
          <w:sz w:val="16"/>
        </w:rPr>
        <w:t xml:space="preserve"> in the deportation context because </w:t>
      </w:r>
      <w:r w:rsidRPr="00684BF3">
        <w:rPr>
          <w:rStyle w:val="StyleUnderline"/>
        </w:rPr>
        <w:t>deportation results in the civil consequence of removal</w:t>
      </w:r>
      <w:r w:rsidRPr="00684BF3">
        <w:rPr>
          <w:sz w:val="16"/>
        </w:rPr>
        <w:t xml:space="preserve"> from the country and possible criminal consequences if the offender attempts to reenter the United States illegally.279 Similarly, </w:t>
      </w:r>
      <w:r w:rsidRPr="00684BF3">
        <w:rPr>
          <w:rStyle w:val="StyleUnderline"/>
        </w:rPr>
        <w:t xml:space="preserve">in </w:t>
      </w:r>
      <w:r w:rsidRPr="00684BF3">
        <w:rPr>
          <w:sz w:val="16"/>
        </w:rPr>
        <w:t xml:space="preserve">United States v. </w:t>
      </w:r>
      <w:r w:rsidRPr="00684BF3">
        <w:rPr>
          <w:rStyle w:val="Emphasis"/>
        </w:rPr>
        <w:t>Thompson/Center Arms</w:t>
      </w:r>
      <w:r w:rsidRPr="00684BF3">
        <w:rPr>
          <w:sz w:val="16"/>
        </w:rPr>
        <w:t xml:space="preserve"> Co., 280 </w:t>
      </w:r>
      <w:r w:rsidRPr="00684BF3">
        <w:rPr>
          <w:rStyle w:val="StyleUnderline"/>
        </w:rPr>
        <w:t>the Supreme Court applied</w:t>
      </w:r>
      <w:r w:rsidRPr="00684BF3">
        <w:rPr>
          <w:sz w:val="16"/>
        </w:rPr>
        <w:t xml:space="preserve"> the rule of </w:t>
      </w:r>
      <w:r w:rsidRPr="00684BF3">
        <w:rPr>
          <w:rStyle w:val="StyleUnderline"/>
        </w:rPr>
        <w:t>lenity</w:t>
      </w:r>
      <w:r w:rsidRPr="00684BF3">
        <w:rPr>
          <w:sz w:val="16"/>
        </w:rPr>
        <w:t xml:space="preserve"> in the tax context </w:t>
      </w:r>
      <w:r w:rsidRPr="00684BF3">
        <w:rPr>
          <w:rStyle w:val="StyleUnderline"/>
        </w:rPr>
        <w:t xml:space="preserve">because the law included both a </w:t>
      </w:r>
      <w:r w:rsidRPr="00684BF3">
        <w:rPr>
          <w:rStyle w:val="Emphasis"/>
        </w:rPr>
        <w:t>civil</w:t>
      </w:r>
      <w:r w:rsidRPr="00684BF3">
        <w:rPr>
          <w:sz w:val="16"/>
        </w:rPr>
        <w:t xml:space="preserve"> tax </w:t>
      </w:r>
      <w:r w:rsidRPr="00684BF3">
        <w:rPr>
          <w:rStyle w:val="StyleUnderline"/>
        </w:rPr>
        <w:t xml:space="preserve">penalty </w:t>
      </w:r>
      <w:r w:rsidRPr="00684BF3">
        <w:rPr>
          <w:rStyle w:val="Emphasis"/>
        </w:rPr>
        <w:t>and a criminal penalty</w:t>
      </w:r>
      <w:r w:rsidRPr="00684BF3">
        <w:rPr>
          <w:sz w:val="16"/>
        </w:rPr>
        <w:t xml:space="preserve">.281 </w:t>
      </w:r>
      <w:r w:rsidRPr="00684BF3">
        <w:rPr>
          <w:rStyle w:val="StyleUnderline"/>
        </w:rPr>
        <w:t>Many regulatory statutes impose civil fines</w:t>
      </w:r>
      <w:r w:rsidRPr="00684BF3">
        <w:rPr>
          <w:sz w:val="16"/>
        </w:rPr>
        <w:t xml:space="preserve"> or sanctions </w:t>
      </w:r>
      <w:r w:rsidRPr="00684BF3">
        <w:rPr>
          <w:rStyle w:val="StyleUnderline"/>
        </w:rPr>
        <w:t>in addition to criminal penalties</w:t>
      </w:r>
      <w:r w:rsidRPr="00684BF3">
        <w:rPr>
          <w:sz w:val="16"/>
        </w:rPr>
        <w:t xml:space="preserve">. Applying </w:t>
      </w:r>
      <w:r w:rsidRPr="00684BF3">
        <w:rPr>
          <w:rStyle w:val="StyleUnderline"/>
        </w:rPr>
        <w:t xml:space="preserve">lenity over Chevron </w:t>
      </w:r>
      <w:r w:rsidRPr="00684BF3">
        <w:rPr>
          <w:rStyle w:val="Emphasis"/>
        </w:rPr>
        <w:t>precludes</w:t>
      </w:r>
      <w:r w:rsidRPr="00684BF3">
        <w:rPr>
          <w:sz w:val="16"/>
        </w:rPr>
        <w:t xml:space="preserve"> certain </w:t>
      </w:r>
      <w:r w:rsidRPr="00684BF3">
        <w:rPr>
          <w:rStyle w:val="Emphasis"/>
        </w:rPr>
        <w:t>agencies from interpreting statutes</w:t>
      </w:r>
      <w:r w:rsidRPr="00684BF3">
        <w:rPr>
          <w:sz w:val="16"/>
        </w:rPr>
        <w:t xml:space="preserve"> against the offender. In the deportation context, the Second Circuit has rebutted that “it cannot be the case . . . that the doctrine of lenity must be applied whenever there is an ambiguity in an immigration statute because, if that were true, it would supplant the application of Chevron in the immigration context.”282</w:t>
      </w:r>
    </w:p>
    <w:p w14:paraId="574D9972" w14:textId="77777777" w:rsidR="00516959" w:rsidRPr="00684BF3" w:rsidRDefault="00516959" w:rsidP="00516959">
      <w:pPr>
        <w:rPr>
          <w:sz w:val="16"/>
        </w:rPr>
      </w:pPr>
      <w:r w:rsidRPr="00456038">
        <w:rPr>
          <w:rStyle w:val="StyleUnderline"/>
          <w:highlight w:val="cyan"/>
        </w:rPr>
        <w:t>In</w:t>
      </w:r>
      <w:r w:rsidRPr="00684BF3">
        <w:rPr>
          <w:sz w:val="16"/>
        </w:rPr>
        <w:t xml:space="preserve"> the case of </w:t>
      </w:r>
      <w:r w:rsidRPr="00456038">
        <w:rPr>
          <w:rStyle w:val="Emphasis"/>
          <w:highlight w:val="cyan"/>
        </w:rPr>
        <w:t>hybrid statutes</w:t>
      </w:r>
      <w:r w:rsidRPr="00684BF3">
        <w:rPr>
          <w:sz w:val="16"/>
        </w:rPr>
        <w:t xml:space="preserve">, </w:t>
      </w:r>
      <w:r w:rsidRPr="00684BF3">
        <w:rPr>
          <w:rStyle w:val="StyleUnderline"/>
        </w:rPr>
        <w:t xml:space="preserve">courts </w:t>
      </w:r>
      <w:r w:rsidRPr="00684BF3">
        <w:rPr>
          <w:rStyle w:val="Emphasis"/>
        </w:rPr>
        <w:t>cannot divide</w:t>
      </w:r>
      <w:r w:rsidRPr="00684BF3">
        <w:rPr>
          <w:rStyle w:val="StyleUnderline"/>
        </w:rPr>
        <w:t xml:space="preserve"> the </w:t>
      </w:r>
      <w:r w:rsidRPr="00684BF3">
        <w:rPr>
          <w:rStyle w:val="Emphasis"/>
        </w:rPr>
        <w:t>criminal</w:t>
      </w:r>
      <w:r w:rsidRPr="00684BF3">
        <w:rPr>
          <w:rStyle w:val="StyleUnderline"/>
        </w:rPr>
        <w:t xml:space="preserve"> consequences </w:t>
      </w:r>
      <w:r w:rsidRPr="00684BF3">
        <w:rPr>
          <w:rStyle w:val="Emphasis"/>
        </w:rPr>
        <w:t>from</w:t>
      </w:r>
      <w:r w:rsidRPr="00684BF3">
        <w:rPr>
          <w:rStyle w:val="StyleUnderline"/>
        </w:rPr>
        <w:t xml:space="preserve"> the </w:t>
      </w:r>
      <w:r w:rsidRPr="00684BF3">
        <w:rPr>
          <w:rStyle w:val="Emphasis"/>
        </w:rPr>
        <w:t>civil</w:t>
      </w:r>
      <w:r w:rsidRPr="00684BF3">
        <w:rPr>
          <w:rStyle w:val="StyleUnderline"/>
        </w:rPr>
        <w:t xml:space="preserve"> consequences</w:t>
      </w:r>
      <w:r w:rsidRPr="00684BF3">
        <w:rPr>
          <w:sz w:val="16"/>
        </w:rPr>
        <w:t xml:space="preserve">.283 A statute’s meaning cannot change from case to case.284 </w:t>
      </w:r>
      <w:r w:rsidRPr="00684BF3">
        <w:rPr>
          <w:rStyle w:val="StyleUnderline"/>
        </w:rPr>
        <w:t>Resolving this conflict requires</w:t>
      </w:r>
      <w:r w:rsidRPr="00684BF3">
        <w:rPr>
          <w:sz w:val="16"/>
        </w:rPr>
        <w:t xml:space="preserve"> comparing </w:t>
      </w:r>
      <w:r w:rsidRPr="00684BF3">
        <w:rPr>
          <w:rStyle w:val="StyleUnderline"/>
        </w:rPr>
        <w:t xml:space="preserve">both </w:t>
      </w:r>
      <w:r w:rsidRPr="00684BF3">
        <w:rPr>
          <w:rStyle w:val="Emphasis"/>
        </w:rPr>
        <w:t>Chevron and lenity</w:t>
      </w:r>
      <w:r w:rsidRPr="00684BF3">
        <w:rPr>
          <w:sz w:val="16"/>
        </w:rPr>
        <w:t xml:space="preserve">’s goals.285 </w:t>
      </w:r>
      <w:r w:rsidRPr="00456038">
        <w:rPr>
          <w:rStyle w:val="StyleUnderline"/>
          <w:highlight w:val="cyan"/>
        </w:rPr>
        <w:t>I conclude</w:t>
      </w:r>
      <w:r w:rsidRPr="00684BF3">
        <w:rPr>
          <w:sz w:val="16"/>
        </w:rPr>
        <w:t xml:space="preserve"> that </w:t>
      </w:r>
      <w:r w:rsidRPr="00456038">
        <w:rPr>
          <w:rStyle w:val="Emphasis"/>
          <w:highlight w:val="cyan"/>
        </w:rPr>
        <w:t>lenity does not preclude deference</w:t>
      </w:r>
      <w:r w:rsidRPr="00684BF3">
        <w:rPr>
          <w:sz w:val="16"/>
        </w:rPr>
        <w:t xml:space="preserve"> but concede that Chevron requires limiting in the criminal context.</w:t>
      </w:r>
    </w:p>
    <w:p w14:paraId="57049A95" w14:textId="77777777" w:rsidR="00516959" w:rsidRPr="00684BF3" w:rsidRDefault="00516959" w:rsidP="00516959">
      <w:pPr>
        <w:rPr>
          <w:b/>
          <w:bCs/>
        </w:rPr>
      </w:pPr>
      <w:r w:rsidRPr="00684BF3">
        <w:rPr>
          <w:b/>
          <w:bCs/>
        </w:rPr>
        <w:t>&lt;&lt;&lt;BEGIN FOOTNOTE 285&gt;&gt;</w:t>
      </w:r>
    </w:p>
    <w:p w14:paraId="66AB1CBE" w14:textId="77777777" w:rsidR="00516959" w:rsidRPr="00684BF3" w:rsidRDefault="00516959" w:rsidP="00516959">
      <w:pPr>
        <w:rPr>
          <w:sz w:val="16"/>
        </w:rPr>
      </w:pPr>
      <w:r w:rsidRPr="00684BF3">
        <w:rPr>
          <w:sz w:val="16"/>
        </w:rPr>
        <w:t xml:space="preserve">285. </w:t>
      </w:r>
      <w:r w:rsidRPr="00684BF3">
        <w:rPr>
          <w:rStyle w:val="StyleUnderline"/>
        </w:rPr>
        <w:t>Many of Sutton’s arguments stem from his conception of</w:t>
      </w:r>
      <w:r w:rsidRPr="00684BF3">
        <w:rPr>
          <w:sz w:val="16"/>
        </w:rPr>
        <w:t xml:space="preserve"> a less-deferential </w:t>
      </w:r>
      <w:r w:rsidRPr="00684BF3">
        <w:rPr>
          <w:rStyle w:val="StyleUnderline"/>
        </w:rPr>
        <w:t>Chevron</w:t>
      </w:r>
      <w:r w:rsidRPr="00684BF3">
        <w:rPr>
          <w:sz w:val="16"/>
        </w:rPr>
        <w:t xml:space="preserve">. </w:t>
      </w:r>
      <w:r w:rsidRPr="00456038">
        <w:rPr>
          <w:rStyle w:val="Emphasis"/>
          <w:highlight w:val="cyan"/>
        </w:rPr>
        <w:t>According to Sutton</w:t>
      </w:r>
      <w:r w:rsidRPr="00684BF3">
        <w:rPr>
          <w:sz w:val="16"/>
        </w:rPr>
        <w:t xml:space="preserve">, </w:t>
      </w:r>
      <w:r w:rsidRPr="00456038">
        <w:rPr>
          <w:rStyle w:val="StyleUnderline"/>
          <w:highlight w:val="cyan"/>
        </w:rPr>
        <w:t>Chevron applies only after</w:t>
      </w:r>
      <w:r w:rsidRPr="00684BF3">
        <w:rPr>
          <w:sz w:val="16"/>
        </w:rPr>
        <w:t xml:space="preserve"> “</w:t>
      </w:r>
      <w:r w:rsidRPr="00456038">
        <w:rPr>
          <w:rStyle w:val="StyleUnderline"/>
          <w:highlight w:val="cyan"/>
        </w:rPr>
        <w:t>deployment of</w:t>
      </w:r>
      <w:r w:rsidRPr="00684BF3">
        <w:rPr>
          <w:rStyle w:val="StyleUnderline"/>
        </w:rPr>
        <w:t xml:space="preserve"> </w:t>
      </w:r>
      <w:r w:rsidRPr="00456038">
        <w:rPr>
          <w:rStyle w:val="StyleUnderline"/>
          <w:highlight w:val="cyan"/>
        </w:rPr>
        <w:t>all</w:t>
      </w:r>
      <w:r w:rsidRPr="00684BF3">
        <w:rPr>
          <w:sz w:val="16"/>
        </w:rPr>
        <w:t xml:space="preserve"> pertinent interpretive </w:t>
      </w:r>
      <w:r w:rsidRPr="00456038">
        <w:rPr>
          <w:rStyle w:val="StyleUnderline"/>
          <w:highlight w:val="cyan"/>
        </w:rPr>
        <w:t>principles</w:t>
      </w:r>
      <w:r w:rsidRPr="00684BF3">
        <w:rPr>
          <w:sz w:val="16"/>
        </w:rPr>
        <w:t xml:space="preserve">.” Welles-Bowen Realty, Inc., 736 F.3d at 731. </w:t>
      </w:r>
      <w:r w:rsidRPr="00684BF3">
        <w:rPr>
          <w:rStyle w:val="StyleUnderline"/>
        </w:rPr>
        <w:t>In Sutton’s view</w:t>
      </w:r>
      <w:r w:rsidRPr="00684BF3">
        <w:rPr>
          <w:sz w:val="16"/>
        </w:rPr>
        <w:t xml:space="preserve">, </w:t>
      </w:r>
      <w:r w:rsidRPr="00684BF3">
        <w:rPr>
          <w:rStyle w:val="StyleUnderline"/>
        </w:rPr>
        <w:t xml:space="preserve">Supreme Court precedent has decided that </w:t>
      </w:r>
      <w:r w:rsidRPr="00684BF3">
        <w:rPr>
          <w:rStyle w:val="Emphasis"/>
        </w:rPr>
        <w:t>all</w:t>
      </w:r>
      <w:r w:rsidRPr="00684BF3">
        <w:rPr>
          <w:sz w:val="16"/>
        </w:rPr>
        <w:t xml:space="preserve"> substantive </w:t>
      </w:r>
      <w:r w:rsidRPr="00684BF3">
        <w:rPr>
          <w:rStyle w:val="Emphasis"/>
        </w:rPr>
        <w:t>canons supersede Chevron</w:t>
      </w:r>
      <w:r w:rsidRPr="00684BF3">
        <w:rPr>
          <w:sz w:val="16"/>
        </w:rPr>
        <w:t xml:space="preserve">. See id. (“All manners of presumptions, substantive canons and clear-statement rules take precedence over conflicting agency views . . . . </w:t>
      </w:r>
      <w:r w:rsidRPr="00684BF3">
        <w:rPr>
          <w:rStyle w:val="StyleUnderline"/>
        </w:rPr>
        <w:t>[The Court] has confirmed that Chevron does not permit an agency to trump</w:t>
      </w:r>
      <w:r w:rsidRPr="00684BF3">
        <w:rPr>
          <w:sz w:val="16"/>
        </w:rPr>
        <w:t xml:space="preserve"> other </w:t>
      </w:r>
      <w:r w:rsidRPr="00684BF3">
        <w:rPr>
          <w:rStyle w:val="StyleUnderline"/>
        </w:rPr>
        <w:t>rules of interpretation</w:t>
      </w:r>
      <w:r w:rsidRPr="00684BF3">
        <w:rPr>
          <w:sz w:val="16"/>
        </w:rPr>
        <w:t xml:space="preserve">.”). Curiously, </w:t>
      </w:r>
      <w:r w:rsidRPr="00456038">
        <w:rPr>
          <w:rStyle w:val="Emphasis"/>
          <w:highlight w:val="cyan"/>
        </w:rPr>
        <w:t>the Court failed to deliver this message</w:t>
      </w:r>
      <w:r w:rsidRPr="00684BF3">
        <w:rPr>
          <w:sz w:val="16"/>
        </w:rPr>
        <w:t xml:space="preserve"> </w:t>
      </w:r>
      <w:r w:rsidRPr="00684BF3">
        <w:rPr>
          <w:rStyle w:val="StyleUnderline"/>
        </w:rPr>
        <w:t>to the other circuits</w:t>
      </w:r>
      <w:r w:rsidRPr="00684BF3">
        <w:rPr>
          <w:sz w:val="16"/>
        </w:rPr>
        <w:t xml:space="preserve">. See generally </w:t>
      </w:r>
      <w:r w:rsidRPr="00456038">
        <w:rPr>
          <w:rStyle w:val="Emphasis"/>
          <w:highlight w:val="cyan"/>
        </w:rPr>
        <w:t>Olmos</w:t>
      </w:r>
      <w:r w:rsidRPr="00684BF3">
        <w:rPr>
          <w:rStyle w:val="Emphasis"/>
        </w:rPr>
        <w:t xml:space="preserve"> v. Holder</w:t>
      </w:r>
      <w:r w:rsidRPr="00684BF3">
        <w:rPr>
          <w:sz w:val="16"/>
        </w:rPr>
        <w:t>, 780 F.3d 1313 (10th Cir. 2015) (</w:t>
      </w:r>
      <w:r w:rsidRPr="00456038">
        <w:rPr>
          <w:rStyle w:val="Emphasis"/>
          <w:highlight w:val="cyan"/>
        </w:rPr>
        <w:t>applying Chevron over lenity</w:t>
      </w:r>
      <w:r w:rsidRPr="00684BF3">
        <w:rPr>
          <w:rStyle w:val="Emphasis"/>
        </w:rPr>
        <w:t xml:space="preserve"> </w:t>
      </w:r>
      <w:r w:rsidRPr="00684BF3">
        <w:rPr>
          <w:sz w:val="16"/>
        </w:rPr>
        <w:t xml:space="preserve">and the avoidance canon); </w:t>
      </w:r>
      <w:r w:rsidRPr="00456038">
        <w:rPr>
          <w:rStyle w:val="Emphasis"/>
          <w:highlight w:val="cyan"/>
        </w:rPr>
        <w:t>Florez</w:t>
      </w:r>
      <w:r w:rsidRPr="00684BF3">
        <w:rPr>
          <w:sz w:val="16"/>
        </w:rPr>
        <w:t>, 779 F.3d at 207 (</w:t>
      </w:r>
      <w:r w:rsidRPr="00456038">
        <w:rPr>
          <w:rStyle w:val="Emphasis"/>
          <w:highlight w:val="cyan"/>
        </w:rPr>
        <w:t>arguing lenity does not trump Chevron</w:t>
      </w:r>
      <w:r w:rsidRPr="00684BF3">
        <w:rPr>
          <w:sz w:val="16"/>
        </w:rPr>
        <w:t xml:space="preserve">); </w:t>
      </w:r>
      <w:r w:rsidRPr="00684BF3">
        <w:rPr>
          <w:rStyle w:val="Emphasis"/>
        </w:rPr>
        <w:t>Morales-Izquierdo</w:t>
      </w:r>
      <w:r w:rsidRPr="00684BF3">
        <w:rPr>
          <w:sz w:val="16"/>
        </w:rPr>
        <w:t xml:space="preserve"> </w:t>
      </w:r>
      <w:r w:rsidRPr="00684BF3">
        <w:rPr>
          <w:rStyle w:val="StyleUnderline"/>
        </w:rPr>
        <w:t>v. Gonzales</w:t>
      </w:r>
      <w:r w:rsidRPr="00684BF3">
        <w:rPr>
          <w:sz w:val="16"/>
        </w:rPr>
        <w:t xml:space="preserve">, 486 F.3d 484 (9th Cir. 2007) (en banc). </w:t>
      </w:r>
      <w:r w:rsidRPr="00684BF3">
        <w:rPr>
          <w:sz w:val="16"/>
          <w:szCs w:val="16"/>
        </w:rPr>
        <w:t>Sutton also proposes that a number of other non-interpretive facts apply in determining Chevron’s application. See Welles-Bowen Realty, Inc., 736 F.3d at 732 (quoting Barnhart v. Walton, 535 U.S. 212, 222 (2002)). If Chevron requires application of a multi-factor test, then fair notice is unachievable because no affected individual can predict how a court will weigh these factors.</w:t>
      </w:r>
    </w:p>
    <w:p w14:paraId="4D7AA453" w14:textId="77777777" w:rsidR="00516959" w:rsidRPr="00684BF3" w:rsidRDefault="00516959" w:rsidP="00516959">
      <w:pPr>
        <w:rPr>
          <w:sz w:val="16"/>
        </w:rPr>
      </w:pPr>
      <w:r w:rsidRPr="00456038">
        <w:rPr>
          <w:rStyle w:val="Emphasis"/>
          <w:highlight w:val="cyan"/>
        </w:rPr>
        <w:t>Sutton’s Chevron</w:t>
      </w:r>
      <w:r w:rsidRPr="00456038">
        <w:rPr>
          <w:rStyle w:val="StyleUnderline"/>
          <w:highlight w:val="cyan"/>
        </w:rPr>
        <w:t xml:space="preserve"> looks like</w:t>
      </w:r>
      <w:r w:rsidRPr="00684BF3">
        <w:rPr>
          <w:rStyle w:val="StyleUnderline"/>
        </w:rPr>
        <w:t xml:space="preserve"> Justice </w:t>
      </w:r>
      <w:r w:rsidRPr="00456038">
        <w:rPr>
          <w:rStyle w:val="StyleUnderline"/>
          <w:highlight w:val="cyan"/>
        </w:rPr>
        <w:t>Breyer’s</w:t>
      </w:r>
      <w:r w:rsidRPr="00684BF3">
        <w:rPr>
          <w:rStyle w:val="StyleUnderline"/>
        </w:rPr>
        <w:t xml:space="preserve"> “</w:t>
      </w:r>
      <w:r w:rsidRPr="00456038">
        <w:rPr>
          <w:rStyle w:val="Emphasis"/>
          <w:highlight w:val="cyan"/>
        </w:rPr>
        <w:t>word cloud</w:t>
      </w:r>
      <w:r w:rsidRPr="00684BF3">
        <w:rPr>
          <w:rStyle w:val="StyleUnderline"/>
        </w:rPr>
        <w:t>.”</w:t>
      </w:r>
      <w:r w:rsidRPr="00684BF3">
        <w:rPr>
          <w:sz w:val="16"/>
        </w:rPr>
        <w:t xml:space="preserve"> </w:t>
      </w:r>
      <w:r w:rsidRPr="00684BF3">
        <w:rPr>
          <w:rStyle w:val="StyleUnderline"/>
        </w:rPr>
        <w:t>See</w:t>
      </w:r>
      <w:r w:rsidRPr="00684BF3">
        <w:rPr>
          <w:sz w:val="16"/>
        </w:rPr>
        <w:t xml:space="preserve"> </w:t>
      </w:r>
      <w:r w:rsidRPr="00684BF3">
        <w:rPr>
          <w:rStyle w:val="Emphasis"/>
        </w:rPr>
        <w:t>Hickman</w:t>
      </w:r>
      <w:r w:rsidRPr="00684BF3">
        <w:rPr>
          <w:sz w:val="16"/>
        </w:rPr>
        <w:t xml:space="preserve">, supra note 74, at R 541–42 (2014). </w:t>
      </w:r>
      <w:r w:rsidRPr="00456038">
        <w:rPr>
          <w:rStyle w:val="StyleUnderline"/>
          <w:highlight w:val="cyan"/>
        </w:rPr>
        <w:t xml:space="preserve">This </w:t>
      </w:r>
      <w:r w:rsidRPr="00456038">
        <w:rPr>
          <w:rStyle w:val="Emphasis"/>
          <w:highlight w:val="cyan"/>
        </w:rPr>
        <w:t>weak</w:t>
      </w:r>
      <w:r w:rsidRPr="00684BF3">
        <w:rPr>
          <w:rStyle w:val="StyleUnderline"/>
        </w:rPr>
        <w:t xml:space="preserve">, multi-factor </w:t>
      </w:r>
      <w:r w:rsidRPr="00456038">
        <w:rPr>
          <w:rStyle w:val="Emphasis"/>
          <w:highlight w:val="cyan"/>
        </w:rPr>
        <w:t>conception of Chevron</w:t>
      </w:r>
      <w:r w:rsidRPr="00456038">
        <w:rPr>
          <w:rStyle w:val="StyleUnderline"/>
          <w:highlight w:val="cyan"/>
        </w:rPr>
        <w:t xml:space="preserve"> appears too much like</w:t>
      </w:r>
      <w:r w:rsidRPr="00684BF3">
        <w:rPr>
          <w:rStyle w:val="StyleUnderline"/>
        </w:rPr>
        <w:t xml:space="preserve"> “</w:t>
      </w:r>
      <w:r w:rsidRPr="00456038">
        <w:rPr>
          <w:rStyle w:val="Emphasis"/>
          <w:highlight w:val="cyan"/>
        </w:rPr>
        <w:t>th’ol’ ‘totality of the circumstances’ test’</w:t>
      </w:r>
      <w:r w:rsidRPr="00684BF3">
        <w:rPr>
          <w:rStyle w:val="Emphasis"/>
        </w:rPr>
        <w:t xml:space="preserve">” </w:t>
      </w:r>
      <w:r w:rsidRPr="00456038">
        <w:rPr>
          <w:rStyle w:val="Emphasis"/>
          <w:highlight w:val="cyan"/>
        </w:rPr>
        <w:t>of yore</w:t>
      </w:r>
      <w:r w:rsidRPr="00684BF3">
        <w:rPr>
          <w:sz w:val="16"/>
        </w:rPr>
        <w:t xml:space="preserve">. United States v. Mead, 533 U.S. 218, 241 (2001) (Scalia, J., dissenting). </w:t>
      </w:r>
      <w:r w:rsidRPr="00684BF3">
        <w:rPr>
          <w:rStyle w:val="StyleUnderline"/>
        </w:rPr>
        <w:t>The Supreme Court</w:t>
      </w:r>
      <w:r w:rsidRPr="00684BF3">
        <w:rPr>
          <w:sz w:val="16"/>
        </w:rPr>
        <w:t xml:space="preserve">—aside from Breyer—rejected this conception when it held that Chevron and Skidmore operate as different standards. </w:t>
      </w:r>
      <w:r w:rsidRPr="00684BF3">
        <w:rPr>
          <w:rStyle w:val="StyleUnderline"/>
        </w:rPr>
        <w:t>If courts</w:t>
      </w:r>
      <w:r w:rsidRPr="00684BF3">
        <w:rPr>
          <w:sz w:val="16"/>
        </w:rPr>
        <w:t xml:space="preserve"> should </w:t>
      </w:r>
      <w:r w:rsidRPr="00684BF3">
        <w:rPr>
          <w:rStyle w:val="StyleUnderline"/>
        </w:rPr>
        <w:t>apply every</w:t>
      </w:r>
      <w:r w:rsidRPr="00684BF3">
        <w:rPr>
          <w:sz w:val="16"/>
        </w:rPr>
        <w:t xml:space="preserve"> conceivable </w:t>
      </w:r>
      <w:r w:rsidRPr="00684BF3">
        <w:rPr>
          <w:rStyle w:val="StyleUnderline"/>
        </w:rPr>
        <w:t>interpretive tool</w:t>
      </w:r>
      <w:r w:rsidRPr="00684BF3">
        <w:rPr>
          <w:sz w:val="16"/>
        </w:rPr>
        <w:t xml:space="preserve">, as well as a host of extraneous factors, </w:t>
      </w:r>
      <w:r w:rsidRPr="00684BF3">
        <w:rPr>
          <w:rStyle w:val="StyleUnderline"/>
        </w:rPr>
        <w:t>before considering Chevron</w:t>
      </w:r>
      <w:r w:rsidRPr="00684BF3">
        <w:rPr>
          <w:sz w:val="16"/>
        </w:rPr>
        <w:t xml:space="preserve">, </w:t>
      </w:r>
      <w:r w:rsidRPr="00684BF3">
        <w:rPr>
          <w:rStyle w:val="StyleUnderline"/>
        </w:rPr>
        <w:t>then what distinction exists between Skidmore and Chevron?</w:t>
      </w:r>
      <w:r w:rsidRPr="00684BF3">
        <w:rPr>
          <w:sz w:val="16"/>
        </w:rPr>
        <w:t xml:space="preserve"> The Chevron Canon reinforces Chevron as the stronger of the two deference standards. </w:t>
      </w:r>
      <w:r w:rsidRPr="00684BF3">
        <w:rPr>
          <w:rStyle w:val="StyleUnderline"/>
        </w:rPr>
        <w:t>Sutton’s argument that all substantive canons displace deference ignores the advantage of dividing canons</w:t>
      </w:r>
      <w:r w:rsidRPr="00684BF3">
        <w:rPr>
          <w:sz w:val="16"/>
        </w:rPr>
        <w:t xml:space="preserve"> by their imbued policy goals (as I have done) </w:t>
      </w:r>
      <w:r w:rsidRPr="00684BF3">
        <w:rPr>
          <w:rStyle w:val="StyleUnderline"/>
        </w:rPr>
        <w:t>to protect both Congress’s delegation powers</w:t>
      </w:r>
      <w:r w:rsidRPr="00684BF3">
        <w:rPr>
          <w:sz w:val="16"/>
        </w:rPr>
        <w:t xml:space="preserve"> and other quasiconstitutional norms. This, however, is not an argument for applying Chevron over lenity. One can adopt the Chevron Canon and still find lenity supreme. Rather, this point simply suggests that </w:t>
      </w:r>
      <w:r w:rsidRPr="00684BF3">
        <w:rPr>
          <w:rStyle w:val="Emphasis"/>
        </w:rPr>
        <w:t>nothing</w:t>
      </w:r>
      <w:r w:rsidRPr="00684BF3">
        <w:rPr>
          <w:rStyle w:val="StyleUnderline"/>
        </w:rPr>
        <w:t xml:space="preserve"> </w:t>
      </w:r>
      <w:r w:rsidRPr="00684BF3">
        <w:rPr>
          <w:rStyle w:val="Emphasis"/>
        </w:rPr>
        <w:t>about</w:t>
      </w:r>
      <w:r w:rsidRPr="00684BF3">
        <w:rPr>
          <w:sz w:val="16"/>
        </w:rPr>
        <w:t xml:space="preserve"> the </w:t>
      </w:r>
      <w:r w:rsidRPr="00684BF3">
        <w:rPr>
          <w:rStyle w:val="Emphasis"/>
        </w:rPr>
        <w:t>Chevron</w:t>
      </w:r>
      <w:r w:rsidRPr="00684BF3">
        <w:rPr>
          <w:sz w:val="16"/>
        </w:rPr>
        <w:t xml:space="preserve"> Canon’s structure </w:t>
      </w:r>
      <w:r w:rsidRPr="00684BF3">
        <w:rPr>
          <w:rStyle w:val="Emphasis"/>
        </w:rPr>
        <w:t>prohibits</w:t>
      </w:r>
      <w:r w:rsidRPr="00684BF3">
        <w:rPr>
          <w:rStyle w:val="StyleUnderline"/>
        </w:rPr>
        <w:t xml:space="preserve"> its </w:t>
      </w:r>
      <w:r w:rsidRPr="00684BF3">
        <w:rPr>
          <w:rStyle w:val="Emphasis"/>
        </w:rPr>
        <w:t>application over lenity</w:t>
      </w:r>
      <w:r w:rsidRPr="00684BF3">
        <w:rPr>
          <w:sz w:val="16"/>
        </w:rPr>
        <w:t>.</w:t>
      </w:r>
    </w:p>
    <w:p w14:paraId="74FEF54B" w14:textId="77777777" w:rsidR="00516959" w:rsidRPr="00684BF3" w:rsidRDefault="00516959" w:rsidP="00516959">
      <w:pPr>
        <w:rPr>
          <w:b/>
          <w:bCs/>
        </w:rPr>
      </w:pPr>
      <w:r w:rsidRPr="00684BF3">
        <w:rPr>
          <w:b/>
          <w:bCs/>
        </w:rPr>
        <w:t>&lt;&lt;&lt;END FOOTNOTE 285&gt;&gt;&gt;</w:t>
      </w:r>
    </w:p>
    <w:p w14:paraId="741522B9" w14:textId="77777777" w:rsidR="00516959" w:rsidRPr="00684BF3" w:rsidRDefault="00516959" w:rsidP="00516959">
      <w:pPr>
        <w:rPr>
          <w:sz w:val="16"/>
          <w:szCs w:val="16"/>
        </w:rPr>
      </w:pPr>
      <w:r w:rsidRPr="00684BF3">
        <w:rPr>
          <w:sz w:val="16"/>
          <w:szCs w:val="16"/>
        </w:rPr>
        <w:t>Both lenity and Chevron rest on legislative supremacy. Lenity supposes that only Congress, not courts, should create criminal law.286 Unless otherwise delegated to an agency, Congress reserves policymaking authority in both the civil and criminal law realms. Lenity is founded no more on legislative supremacy than any other tool of judicial restraint that prevents courts from encroaching on Congress’s policymaking authority. In Touby v. United States, 287 a case concerning the Attorney General’s controlled substance scheduling authority, the Supreme Court acknowledged that “the nondelegation doctrine does not prevent Congress from seeking assistance, within proper limits, from its coordinate Branches.”288 Even Judge Sutton concedes that if Congress lays down an “intelligible principle,” then Congress may delegate criminal lawmaking authority to an agency.289</w:t>
      </w:r>
    </w:p>
    <w:p w14:paraId="69E2035F" w14:textId="77777777" w:rsidR="00516959" w:rsidRPr="00684BF3" w:rsidRDefault="00516959" w:rsidP="00516959">
      <w:pPr>
        <w:rPr>
          <w:sz w:val="16"/>
        </w:rPr>
      </w:pPr>
      <w:r w:rsidRPr="00684BF3">
        <w:rPr>
          <w:sz w:val="16"/>
        </w:rPr>
        <w:t xml:space="preserve">Yet Judge </w:t>
      </w:r>
      <w:r w:rsidRPr="00684BF3">
        <w:rPr>
          <w:rStyle w:val="StyleUnderline"/>
        </w:rPr>
        <w:t>Sutton argues</w:t>
      </w:r>
      <w:r w:rsidRPr="00684BF3">
        <w:rPr>
          <w:sz w:val="16"/>
        </w:rPr>
        <w:t xml:space="preserve"> that </w:t>
      </w:r>
      <w:r w:rsidRPr="00684BF3">
        <w:rPr>
          <w:rStyle w:val="StyleUnderline"/>
        </w:rPr>
        <w:t>Congress must “legislate deliberately</w:t>
      </w:r>
      <w:r w:rsidRPr="00684BF3">
        <w:rPr>
          <w:sz w:val="16"/>
        </w:rPr>
        <w:t xml:space="preserve"> and explicitly” </w:t>
      </w:r>
      <w:r w:rsidRPr="00684BF3">
        <w:rPr>
          <w:rStyle w:val="StyleUnderline"/>
        </w:rPr>
        <w:t>when it wants an agency to promulgate criminal regulations</w:t>
      </w:r>
      <w:r w:rsidRPr="00684BF3">
        <w:rPr>
          <w:sz w:val="16"/>
        </w:rPr>
        <w:t xml:space="preserve">.290 </w:t>
      </w:r>
      <w:r w:rsidRPr="00456038">
        <w:rPr>
          <w:rStyle w:val="Emphasis"/>
          <w:highlight w:val="cyan"/>
        </w:rPr>
        <w:t>According to</w:t>
      </w:r>
      <w:r w:rsidRPr="00684BF3">
        <w:rPr>
          <w:sz w:val="16"/>
        </w:rPr>
        <w:t xml:space="preserve"> Judge </w:t>
      </w:r>
      <w:r w:rsidRPr="00456038">
        <w:rPr>
          <w:rStyle w:val="Emphasis"/>
          <w:highlight w:val="cyan"/>
        </w:rPr>
        <w:t>Sutton</w:t>
      </w:r>
      <w:r w:rsidRPr="00684BF3">
        <w:rPr>
          <w:rStyle w:val="StyleUnderline"/>
        </w:rPr>
        <w:t xml:space="preserve">, </w:t>
      </w:r>
      <w:r w:rsidRPr="00456038">
        <w:rPr>
          <w:rStyle w:val="Emphasis"/>
          <w:highlight w:val="cyan"/>
        </w:rPr>
        <w:t>if Chevron supersedes lenity</w:t>
      </w:r>
      <w:r w:rsidRPr="00684BF3">
        <w:rPr>
          <w:rStyle w:val="StyleUnderline"/>
        </w:rPr>
        <w:t xml:space="preserve">, </w:t>
      </w:r>
      <w:r w:rsidRPr="00456038">
        <w:rPr>
          <w:rStyle w:val="Emphasis"/>
          <w:highlight w:val="cyan"/>
        </w:rPr>
        <w:t>then</w:t>
      </w:r>
      <w:r w:rsidRPr="00684BF3">
        <w:rPr>
          <w:rStyle w:val="StyleUnderline"/>
        </w:rPr>
        <w:t xml:space="preserve"> “</w:t>
      </w:r>
      <w:r w:rsidRPr="00456038">
        <w:rPr>
          <w:rStyle w:val="Emphasis"/>
          <w:highlight w:val="cyan"/>
        </w:rPr>
        <w:t>courts could</w:t>
      </w:r>
      <w:r w:rsidRPr="00684BF3">
        <w:rPr>
          <w:rStyle w:val="Emphasis"/>
        </w:rPr>
        <w:t xml:space="preserve"> presume a congressional delegation</w:t>
      </w:r>
      <w:r w:rsidRPr="00684BF3">
        <w:rPr>
          <w:rStyle w:val="StyleUnderline"/>
        </w:rPr>
        <w:t xml:space="preserve"> of authority to </w:t>
      </w:r>
      <w:r w:rsidRPr="00456038">
        <w:rPr>
          <w:rStyle w:val="Emphasis"/>
          <w:highlight w:val="cyan"/>
        </w:rPr>
        <w:t>create crimes</w:t>
      </w:r>
      <w:r w:rsidRPr="00684BF3">
        <w:rPr>
          <w:sz w:val="16"/>
        </w:rPr>
        <w:t xml:space="preserve"> whenever a criminal statute contains a gap.”291 But </w:t>
      </w:r>
      <w:r w:rsidRPr="00456038">
        <w:rPr>
          <w:rStyle w:val="StyleUnderline"/>
          <w:highlight w:val="cyan"/>
        </w:rPr>
        <w:t>this is not an argument against</w:t>
      </w:r>
      <w:r w:rsidRPr="00684BF3">
        <w:rPr>
          <w:rStyle w:val="StyleUnderline"/>
        </w:rPr>
        <w:t xml:space="preserve"> </w:t>
      </w:r>
      <w:r w:rsidRPr="00456038">
        <w:rPr>
          <w:rStyle w:val="StyleUnderline"/>
          <w:highlight w:val="cyan"/>
        </w:rPr>
        <w:t>the application of</w:t>
      </w:r>
      <w:r w:rsidRPr="00684BF3">
        <w:rPr>
          <w:rStyle w:val="StyleUnderline"/>
        </w:rPr>
        <w:t xml:space="preserve"> </w:t>
      </w:r>
      <w:r w:rsidRPr="00456038">
        <w:rPr>
          <w:rStyle w:val="StyleUnderline"/>
          <w:highlight w:val="cyan"/>
        </w:rPr>
        <w:t>Chevron</w:t>
      </w:r>
      <w:r w:rsidRPr="00684BF3">
        <w:rPr>
          <w:sz w:val="16"/>
        </w:rPr>
        <w:t xml:space="preserve"> in the criminal context, rather </w:t>
      </w:r>
      <w:r w:rsidRPr="00456038">
        <w:rPr>
          <w:rStyle w:val="Emphasis"/>
          <w:highlight w:val="cyan"/>
        </w:rPr>
        <w:t>it is an attack on the entire doctrine</w:t>
      </w:r>
      <w:r w:rsidRPr="00684BF3">
        <w:rPr>
          <w:sz w:val="16"/>
        </w:rPr>
        <w:t xml:space="preserve">. </w:t>
      </w:r>
      <w:r w:rsidRPr="00684BF3">
        <w:rPr>
          <w:rStyle w:val="StyleUnderline"/>
        </w:rPr>
        <w:t xml:space="preserve">The purpose of Chevron is to presume that Congress left the agency the power to fill these gaps—whether criminal or civil </w:t>
      </w:r>
      <w:r w:rsidRPr="00684BF3">
        <w:rPr>
          <w:sz w:val="16"/>
        </w:rPr>
        <w:t xml:space="preserve">in nature. Congress expects and wants the agency to fill these gaps.292 </w:t>
      </w:r>
      <w:r w:rsidRPr="00684BF3">
        <w:rPr>
          <w:rStyle w:val="StyleUnderline"/>
        </w:rPr>
        <w:t>If Congress does not want the agency to fill gaps in criminal statutes, it will draft clear and unambiguous penal statutes</w:t>
      </w:r>
      <w:r w:rsidRPr="00684BF3">
        <w:rPr>
          <w:sz w:val="16"/>
        </w:rPr>
        <w:t xml:space="preserve"> or prohibit the agency from exercising its rulemaking authority with respect to the particular provisions at issue. Congress can delegate its authority to create criminal laws in the same way it delegates its authority to create tax, immigration, or employment laws.</w:t>
      </w:r>
    </w:p>
    <w:p w14:paraId="1EA85092" w14:textId="77777777" w:rsidR="00516959" w:rsidRDefault="00516959" w:rsidP="00516959">
      <w:pPr>
        <w:rPr>
          <w:sz w:val="16"/>
        </w:rPr>
      </w:pPr>
      <w:r w:rsidRPr="00684BF3">
        <w:rPr>
          <w:rStyle w:val="StyleUnderline"/>
        </w:rPr>
        <w:t xml:space="preserve">Applying </w:t>
      </w:r>
      <w:r w:rsidRPr="00456038">
        <w:rPr>
          <w:rStyle w:val="Emphasis"/>
          <w:highlight w:val="cyan"/>
        </w:rPr>
        <w:t>lenity over Chevron curbs Congress’s power</w:t>
      </w:r>
      <w:r w:rsidRPr="00456038">
        <w:rPr>
          <w:rStyle w:val="StyleUnderline"/>
          <w:highlight w:val="cyan"/>
        </w:rPr>
        <w:t xml:space="preserve"> to </w:t>
      </w:r>
      <w:r w:rsidRPr="00456038">
        <w:rPr>
          <w:rStyle w:val="Emphasis"/>
          <w:highlight w:val="cyan"/>
        </w:rPr>
        <w:t>delegate authority</w:t>
      </w:r>
      <w:r w:rsidRPr="00456038">
        <w:rPr>
          <w:rStyle w:val="StyleUnderline"/>
          <w:highlight w:val="cyan"/>
        </w:rPr>
        <w:t xml:space="preserve"> to </w:t>
      </w:r>
      <w:r w:rsidRPr="00456038">
        <w:rPr>
          <w:rStyle w:val="Emphasis"/>
          <w:highlight w:val="cyan"/>
        </w:rPr>
        <w:t>agencies</w:t>
      </w:r>
      <w:r w:rsidRPr="00684BF3">
        <w:rPr>
          <w:sz w:val="16"/>
        </w:rPr>
        <w:t xml:space="preserve">. </w:t>
      </w:r>
      <w:r w:rsidRPr="00456038">
        <w:rPr>
          <w:rStyle w:val="StyleUnderline"/>
          <w:highlight w:val="cyan"/>
        </w:rPr>
        <w:t>In</w:t>
      </w:r>
      <w:r w:rsidRPr="00684BF3">
        <w:rPr>
          <w:sz w:val="16"/>
        </w:rPr>
        <w:t xml:space="preserve"> allowing </w:t>
      </w:r>
      <w:r w:rsidRPr="00684BF3">
        <w:rPr>
          <w:rStyle w:val="StyleUnderline"/>
        </w:rPr>
        <w:t>an agency</w:t>
      </w:r>
      <w:r w:rsidRPr="00684BF3">
        <w:rPr>
          <w:sz w:val="16"/>
        </w:rPr>
        <w:t xml:space="preserve"> to </w:t>
      </w:r>
      <w:r w:rsidRPr="00684BF3">
        <w:rPr>
          <w:rStyle w:val="StyleUnderline"/>
        </w:rPr>
        <w:t xml:space="preserve">interpret criminal and </w:t>
      </w:r>
      <w:r w:rsidRPr="00456038">
        <w:rPr>
          <w:rStyle w:val="Emphasis"/>
          <w:highlight w:val="cyan"/>
        </w:rPr>
        <w:t>hybrid statutes</w:t>
      </w:r>
      <w:r w:rsidRPr="00684BF3">
        <w:rPr>
          <w:rStyle w:val="StyleUnderline"/>
        </w:rPr>
        <w:t xml:space="preserve">, </w:t>
      </w:r>
      <w:r w:rsidRPr="00456038">
        <w:rPr>
          <w:rStyle w:val="StyleUnderline"/>
          <w:highlight w:val="cyan"/>
        </w:rPr>
        <w:t>Congress</w:t>
      </w:r>
      <w:r w:rsidRPr="00684BF3">
        <w:rPr>
          <w:rStyle w:val="StyleUnderline"/>
        </w:rPr>
        <w:t xml:space="preserve"> has </w:t>
      </w:r>
      <w:r w:rsidRPr="00456038">
        <w:rPr>
          <w:rStyle w:val="StyleUnderline"/>
          <w:highlight w:val="cyan"/>
        </w:rPr>
        <w:t>decided</w:t>
      </w:r>
      <w:r w:rsidRPr="00684BF3">
        <w:rPr>
          <w:rStyle w:val="StyleUnderline"/>
        </w:rPr>
        <w:t xml:space="preserve"> that an </w:t>
      </w:r>
      <w:r w:rsidRPr="00456038">
        <w:rPr>
          <w:rStyle w:val="Emphasis"/>
          <w:highlight w:val="cyan"/>
        </w:rPr>
        <w:t>agency is better equipped</w:t>
      </w:r>
      <w:r w:rsidRPr="00684BF3">
        <w:rPr>
          <w:sz w:val="16"/>
        </w:rPr>
        <w:t xml:space="preserve"> to create the necessary laws. In effect, </w:t>
      </w:r>
      <w:r w:rsidRPr="00684BF3">
        <w:rPr>
          <w:rStyle w:val="StyleUnderline"/>
        </w:rPr>
        <w:t xml:space="preserve">applying </w:t>
      </w:r>
      <w:r w:rsidRPr="00456038">
        <w:rPr>
          <w:rStyle w:val="Emphasis"/>
          <w:highlight w:val="cyan"/>
        </w:rPr>
        <w:t>lenity over Chevron prevents Congress from delegating</w:t>
      </w:r>
      <w:r w:rsidRPr="00684BF3">
        <w:rPr>
          <w:rStyle w:val="StyleUnderline"/>
        </w:rPr>
        <w:t xml:space="preserve"> this </w:t>
      </w:r>
      <w:r w:rsidRPr="00456038">
        <w:rPr>
          <w:rStyle w:val="Emphasis"/>
          <w:highlight w:val="cyan"/>
        </w:rPr>
        <w:t>authority</w:t>
      </w:r>
      <w:r w:rsidRPr="00684BF3">
        <w:rPr>
          <w:sz w:val="16"/>
        </w:rPr>
        <w:t xml:space="preserve">. </w:t>
      </w:r>
      <w:r w:rsidRPr="00684BF3">
        <w:rPr>
          <w:rStyle w:val="StyleUnderline"/>
        </w:rPr>
        <w:t xml:space="preserve">Due to the prevalence of hybrid statutes, </w:t>
      </w:r>
      <w:r w:rsidRPr="00456038">
        <w:rPr>
          <w:rStyle w:val="Emphasis"/>
          <w:highlight w:val="cyan"/>
        </w:rPr>
        <w:t>Congress would lose the authority</w:t>
      </w:r>
      <w:r w:rsidRPr="00684BF3">
        <w:rPr>
          <w:rStyle w:val="Emphasis"/>
        </w:rPr>
        <w:t xml:space="preserve"> to delegate</w:t>
      </w:r>
      <w:r w:rsidRPr="00684BF3">
        <w:rPr>
          <w:rStyle w:val="StyleUnderline"/>
        </w:rPr>
        <w:t xml:space="preserve"> interpretive </w:t>
      </w:r>
      <w:r w:rsidRPr="00684BF3">
        <w:rPr>
          <w:rStyle w:val="Emphasis"/>
        </w:rPr>
        <w:t>questions to</w:t>
      </w:r>
      <w:r w:rsidRPr="00684BF3">
        <w:rPr>
          <w:sz w:val="16"/>
        </w:rPr>
        <w:t xml:space="preserve"> many </w:t>
      </w:r>
      <w:r w:rsidRPr="00684BF3">
        <w:rPr>
          <w:rStyle w:val="Emphasis"/>
        </w:rPr>
        <w:t>agencies</w:t>
      </w:r>
      <w:r w:rsidRPr="00684BF3">
        <w:rPr>
          <w:sz w:val="16"/>
        </w:rPr>
        <w:t xml:space="preserve">. </w:t>
      </w:r>
      <w:r w:rsidRPr="00684BF3">
        <w:rPr>
          <w:rStyle w:val="StyleUnderline"/>
        </w:rPr>
        <w:t>In the</w:t>
      </w:r>
      <w:r w:rsidRPr="00684BF3">
        <w:rPr>
          <w:sz w:val="16"/>
        </w:rPr>
        <w:t xml:space="preserve"> modern </w:t>
      </w:r>
      <w:r w:rsidRPr="00684BF3">
        <w:rPr>
          <w:rStyle w:val="StyleUnderline"/>
        </w:rPr>
        <w:t>regulatory era</w:t>
      </w:r>
      <w:r w:rsidRPr="00684BF3">
        <w:rPr>
          <w:sz w:val="16"/>
        </w:rPr>
        <w:t xml:space="preserve">, </w:t>
      </w:r>
      <w:r w:rsidRPr="00456038">
        <w:rPr>
          <w:rStyle w:val="Emphasis"/>
          <w:highlight w:val="cyan"/>
        </w:rPr>
        <w:t>Congress cannot</w:t>
      </w:r>
      <w:r w:rsidRPr="00456038">
        <w:rPr>
          <w:rStyle w:val="StyleUnderline"/>
          <w:highlight w:val="cyan"/>
        </w:rPr>
        <w:t xml:space="preserve"> effectively </w:t>
      </w:r>
      <w:r w:rsidRPr="00456038">
        <w:rPr>
          <w:rStyle w:val="Emphasis"/>
          <w:highlight w:val="cyan"/>
        </w:rPr>
        <w:t>respond to every issue</w:t>
      </w:r>
      <w:r w:rsidRPr="00684BF3">
        <w:rPr>
          <w:sz w:val="16"/>
        </w:rPr>
        <w:t xml:space="preserve"> as it arises. Hence, </w:t>
      </w:r>
      <w:r w:rsidRPr="00684BF3">
        <w:rPr>
          <w:rStyle w:val="StyleUnderline"/>
        </w:rPr>
        <w:t>Congress delegates authority to agencies</w:t>
      </w:r>
      <w:r w:rsidRPr="00684BF3">
        <w:rPr>
          <w:sz w:val="16"/>
        </w:rPr>
        <w:t xml:space="preserve">, </w:t>
      </w:r>
      <w:r w:rsidRPr="00684BF3">
        <w:rPr>
          <w:rStyle w:val="StyleUnderline"/>
        </w:rPr>
        <w:t>which have more resources and expertise</w:t>
      </w:r>
      <w:r w:rsidRPr="00684BF3">
        <w:rPr>
          <w:sz w:val="16"/>
        </w:rPr>
        <w:t xml:space="preserve"> to contemporaneously adapt to issues.</w:t>
      </w:r>
    </w:p>
    <w:p w14:paraId="3A27AA96" w14:textId="77777777" w:rsidR="00516959" w:rsidRPr="00574227" w:rsidRDefault="00516959" w:rsidP="00516959">
      <w:pPr>
        <w:pStyle w:val="Heading4"/>
        <w:rPr>
          <w:szCs w:val="26"/>
        </w:rPr>
      </w:pPr>
      <w:r>
        <w:rPr>
          <w:szCs w:val="26"/>
          <w:u w:val="single"/>
        </w:rPr>
        <w:t>Criminal</w:t>
      </w:r>
      <w:r>
        <w:rPr>
          <w:szCs w:val="26"/>
        </w:rPr>
        <w:t xml:space="preserve"> administrative regulations solve emerging threats.</w:t>
      </w:r>
    </w:p>
    <w:p w14:paraId="1EC80327" w14:textId="77777777" w:rsidR="00516959" w:rsidRPr="00684BF3" w:rsidRDefault="00516959" w:rsidP="00516959">
      <w:r w:rsidRPr="00C80CAB">
        <w:rPr>
          <w:rStyle w:val="Heading4Char"/>
          <w:szCs w:val="26"/>
        </w:rPr>
        <w:t>Wittes &amp; Blum 15</w:t>
      </w:r>
      <w:r w:rsidRPr="00684BF3">
        <w:t xml:space="preserve"> – (Benjamin Wittes, senior fellow in Governance Studies at The Brookings Institution; Gabriella Blum is the Rita E. Hauser Professor of Human Rights and Humanitarian Law at Harvard Law School; “The future of violence: robots and germs, hackers and drones—confronting a new age of threat”; Basic Books; D.A. June 24</w:t>
      </w:r>
      <w:r w:rsidRPr="00684BF3">
        <w:rPr>
          <w:vertAlign w:val="superscript"/>
        </w:rPr>
        <w:t>th</w:t>
      </w:r>
      <w:r w:rsidRPr="00684BF3">
        <w:t xml:space="preserve"> 2020, [Published 2015]; Chapter 8, pg. 158-163) //LFS—JCM</w:t>
      </w:r>
    </w:p>
    <w:p w14:paraId="7A2DADA8" w14:textId="77777777" w:rsidR="00516959" w:rsidRPr="00684BF3" w:rsidRDefault="00516959" w:rsidP="00516959">
      <w:pPr>
        <w:rPr>
          <w:sz w:val="16"/>
        </w:rPr>
      </w:pPr>
      <w:r w:rsidRPr="00684BF3">
        <w:rPr>
          <w:sz w:val="16"/>
        </w:rPr>
        <w:t xml:space="preserve">Enhanced security in response to </w:t>
      </w:r>
      <w:r w:rsidRPr="00684BF3">
        <w:rPr>
          <w:rStyle w:val="StyleUnderline"/>
        </w:rPr>
        <w:t>complex, multifaceted threats</w:t>
      </w:r>
      <w:r w:rsidRPr="00684BF3">
        <w:rPr>
          <w:sz w:val="16"/>
        </w:rPr>
        <w:t>—</w:t>
      </w:r>
      <w:r w:rsidRPr="00684BF3">
        <w:rPr>
          <w:rStyle w:val="StyleUnderline"/>
        </w:rPr>
        <w:t>as the post-9/11 efforts illustrate</w:t>
      </w:r>
      <w:r w:rsidRPr="00684BF3">
        <w:rPr>
          <w:sz w:val="16"/>
        </w:rPr>
        <w:t>—</w:t>
      </w:r>
      <w:r w:rsidRPr="00684BF3">
        <w:rPr>
          <w:rStyle w:val="StyleUnderline"/>
        </w:rPr>
        <w:t>comes</w:t>
      </w:r>
      <w:r w:rsidRPr="00684BF3">
        <w:rPr>
          <w:sz w:val="16"/>
        </w:rPr>
        <w:t xml:space="preserve">, rather, </w:t>
      </w:r>
      <w:r w:rsidRPr="00684BF3">
        <w:rPr>
          <w:rStyle w:val="StyleUnderline"/>
        </w:rPr>
        <w:t>from</w:t>
      </w:r>
      <w:r w:rsidRPr="00684BF3">
        <w:rPr>
          <w:sz w:val="16"/>
        </w:rPr>
        <w:t xml:space="preserve"> effectuating </w:t>
      </w:r>
      <w:r w:rsidRPr="00684BF3">
        <w:rPr>
          <w:rStyle w:val="StyleUnderline"/>
        </w:rPr>
        <w:t>broader</w:t>
      </w:r>
      <w:r w:rsidRPr="00684BF3">
        <w:rPr>
          <w:sz w:val="16"/>
        </w:rPr>
        <w:t xml:space="preserve">-based </w:t>
      </w:r>
      <w:r w:rsidRPr="00684BF3">
        <w:rPr>
          <w:rStyle w:val="StyleUnderline"/>
        </w:rPr>
        <w:t>shifts in the environment</w:t>
      </w:r>
      <w:r w:rsidRPr="00684BF3">
        <w:rPr>
          <w:sz w:val="16"/>
        </w:rPr>
        <w:t xml:space="preserve">. For all of its dramatic threat of violence, </w:t>
      </w:r>
      <w:r w:rsidRPr="00684BF3">
        <w:rPr>
          <w:rStyle w:val="StyleUnderline"/>
        </w:rPr>
        <w:t>Al-Qaeda and ISIS</w:t>
      </w:r>
      <w:r w:rsidRPr="00684BF3">
        <w:rPr>
          <w:sz w:val="16"/>
        </w:rPr>
        <w:t xml:space="preserve"> actually </w:t>
      </w:r>
      <w:r w:rsidRPr="00684BF3">
        <w:rPr>
          <w:rStyle w:val="StyleUnderline"/>
        </w:rPr>
        <w:t>present</w:t>
      </w:r>
      <w:r w:rsidRPr="00684BF3">
        <w:rPr>
          <w:sz w:val="16"/>
        </w:rPr>
        <w:t xml:space="preserve"> comparatively simple </w:t>
      </w:r>
      <w:r w:rsidRPr="00684BF3">
        <w:rPr>
          <w:rStyle w:val="StyleUnderline"/>
        </w:rPr>
        <w:t>cases for a governmental response</w:t>
      </w:r>
      <w:r w:rsidRPr="00684BF3">
        <w:rPr>
          <w:sz w:val="16"/>
        </w:rPr>
        <w:t xml:space="preserve">. They have relatively few members (in the tens of thousands), after all, and while globally dispersed, they are networked together—making them at least theoretically easier to identify and track—and most of them are concentrated in certain specific geographic areas. </w:t>
      </w:r>
      <w:r w:rsidRPr="00684BF3">
        <w:rPr>
          <w:rStyle w:val="StyleUnderline"/>
        </w:rPr>
        <w:t>The world of many</w:t>
      </w:r>
      <w:r w:rsidRPr="00684BF3">
        <w:rPr>
          <w:sz w:val="16"/>
        </w:rPr>
        <w:t xml:space="preserve">-tomany </w:t>
      </w:r>
      <w:r w:rsidRPr="00684BF3">
        <w:rPr>
          <w:rStyle w:val="Emphasis"/>
        </w:rPr>
        <w:t>threats</w:t>
      </w:r>
      <w:r w:rsidRPr="00684BF3">
        <w:rPr>
          <w:sz w:val="16"/>
        </w:rPr>
        <w:t xml:space="preserve"> and defenses, by contrast, </w:t>
      </w:r>
      <w:r w:rsidRPr="00684BF3">
        <w:rPr>
          <w:rStyle w:val="StyleUnderline"/>
        </w:rPr>
        <w:t xml:space="preserve">is more </w:t>
      </w:r>
      <w:r w:rsidRPr="00684BF3">
        <w:rPr>
          <w:rStyle w:val="Emphasis"/>
        </w:rPr>
        <w:t>complex</w:t>
      </w:r>
      <w:r w:rsidRPr="00684BF3">
        <w:rPr>
          <w:sz w:val="16"/>
        </w:rPr>
        <w:t xml:space="preserve">. It is a world in which </w:t>
      </w:r>
      <w:r w:rsidRPr="00684BF3">
        <w:rPr>
          <w:rStyle w:val="StyleUnderline"/>
        </w:rPr>
        <w:t>the successful Leviathan must act worldwide to influence the behavior of literally billions of people</w:t>
      </w:r>
      <w:r w:rsidRPr="00684BF3">
        <w:rPr>
          <w:sz w:val="16"/>
        </w:rPr>
        <w:t xml:space="preserve"> and entities—</w:t>
      </w:r>
      <w:r w:rsidRPr="00684BF3">
        <w:rPr>
          <w:rStyle w:val="Emphasis"/>
        </w:rPr>
        <w:t>investigating</w:t>
      </w:r>
      <w:r w:rsidRPr="00684BF3">
        <w:rPr>
          <w:rStyle w:val="StyleUnderline"/>
        </w:rPr>
        <w:t xml:space="preserve">, deterring </w:t>
      </w:r>
      <w:r w:rsidRPr="00684BF3">
        <w:rPr>
          <w:rStyle w:val="Emphasis"/>
        </w:rPr>
        <w:t>and punishing</w:t>
      </w:r>
      <w:r w:rsidRPr="00684BF3">
        <w:rPr>
          <w:sz w:val="16"/>
        </w:rPr>
        <w:t xml:space="preserve"> a bewildering array of potential </w:t>
      </w:r>
      <w:r w:rsidRPr="00684BF3">
        <w:rPr>
          <w:rStyle w:val="Emphasis"/>
        </w:rPr>
        <w:t>bad actors</w:t>
      </w:r>
      <w:r w:rsidRPr="00684BF3">
        <w:rPr>
          <w:rStyle w:val="StyleUnderline"/>
        </w:rPr>
        <w:t xml:space="preserve">, incentivizing individuals and </w:t>
      </w:r>
      <w:r w:rsidRPr="00684BF3">
        <w:rPr>
          <w:rStyle w:val="Emphasis"/>
        </w:rPr>
        <w:t>corporations</w:t>
      </w:r>
      <w:r w:rsidRPr="00684BF3">
        <w:rPr>
          <w:rStyle w:val="StyleUnderline"/>
        </w:rPr>
        <w:t xml:space="preserve"> to make</w:t>
      </w:r>
      <w:r w:rsidRPr="00684BF3">
        <w:rPr>
          <w:sz w:val="16"/>
        </w:rPr>
        <w:t xml:space="preserve"> marginal </w:t>
      </w:r>
      <w:r w:rsidRPr="00684BF3">
        <w:rPr>
          <w:rStyle w:val="Emphasis"/>
        </w:rPr>
        <w:t>decisions about their behavior</w:t>
      </w:r>
      <w:r w:rsidRPr="00684BF3">
        <w:rPr>
          <w:rStyle w:val="StyleUnderline"/>
        </w:rPr>
        <w:t xml:space="preserve"> that will increase</w:t>
      </w:r>
      <w:r w:rsidRPr="00684BF3">
        <w:rPr>
          <w:sz w:val="16"/>
        </w:rPr>
        <w:t xml:space="preserve">, rather than decrease, </w:t>
      </w:r>
      <w:r w:rsidRPr="00684BF3">
        <w:rPr>
          <w:rStyle w:val="StyleUnderline"/>
        </w:rPr>
        <w:t>the security of the everyday platforms they use</w:t>
      </w:r>
      <w:r w:rsidRPr="00684BF3">
        <w:rPr>
          <w:sz w:val="16"/>
        </w:rPr>
        <w:t>, maintain, and help build. Yet the essential means available to policy makers include, broadly speaking, the same tools that the United States has used in the post-9/11 era. Let us start, therefore, by considering the domestic nonsurveillance tools available to a political community that wishes to create more secure environments in the face of a many-to-many threat environment.</w:t>
      </w:r>
    </w:p>
    <w:p w14:paraId="456BF29A" w14:textId="77777777" w:rsidR="00516959" w:rsidRPr="00684BF3" w:rsidRDefault="00516959" w:rsidP="00516959">
      <w:pPr>
        <w:rPr>
          <w:sz w:val="16"/>
          <w:szCs w:val="16"/>
        </w:rPr>
      </w:pPr>
      <w:r w:rsidRPr="00684BF3">
        <w:rPr>
          <w:sz w:val="16"/>
          <w:szCs w:val="16"/>
        </w:rPr>
        <w:t>DIRECT REGULATION: THE LEVIATHAN ORDERS YOU AROUND</w:t>
      </w:r>
    </w:p>
    <w:p w14:paraId="5946DF6D" w14:textId="77777777" w:rsidR="00516959" w:rsidRPr="00684BF3" w:rsidRDefault="00516959" w:rsidP="00516959">
      <w:pPr>
        <w:rPr>
          <w:rStyle w:val="StyleUnderline"/>
        </w:rPr>
      </w:pPr>
      <w:r w:rsidRPr="00684BF3">
        <w:rPr>
          <w:rStyle w:val="StyleUnderline"/>
        </w:rPr>
        <w:t>The magnitude of</w:t>
      </w:r>
      <w:r w:rsidRPr="00684BF3">
        <w:rPr>
          <w:sz w:val="16"/>
        </w:rPr>
        <w:t xml:space="preserve"> the problem posed by a world of many-to-many </w:t>
      </w:r>
      <w:r w:rsidRPr="00684BF3">
        <w:rPr>
          <w:rStyle w:val="StyleUnderline"/>
        </w:rPr>
        <w:t>threats</w:t>
      </w:r>
      <w:r w:rsidRPr="00684BF3">
        <w:rPr>
          <w:sz w:val="16"/>
        </w:rPr>
        <w:t xml:space="preserve">, when one faces it squarely, </w:t>
      </w:r>
      <w:r w:rsidRPr="00684BF3">
        <w:rPr>
          <w:rStyle w:val="StyleUnderline"/>
        </w:rPr>
        <w:t xml:space="preserve">is so </w:t>
      </w:r>
      <w:r w:rsidRPr="00684BF3">
        <w:rPr>
          <w:rStyle w:val="Emphasis"/>
        </w:rPr>
        <w:t>overwhelming</w:t>
      </w:r>
      <w:r w:rsidRPr="00684BF3">
        <w:rPr>
          <w:rStyle w:val="StyleUnderline"/>
        </w:rPr>
        <w:t xml:space="preserve"> that it is </w:t>
      </w:r>
      <w:r w:rsidRPr="00684BF3">
        <w:rPr>
          <w:rStyle w:val="Emphasis"/>
        </w:rPr>
        <w:t>tempting to</w:t>
      </w:r>
      <w:r w:rsidRPr="00684BF3">
        <w:rPr>
          <w:rStyle w:val="StyleUnderline"/>
        </w:rPr>
        <w:t xml:space="preserve"> simply </w:t>
      </w:r>
      <w:r w:rsidRPr="00684BF3">
        <w:rPr>
          <w:rStyle w:val="Emphasis"/>
        </w:rPr>
        <w:t>ignore</w:t>
      </w:r>
      <w:r w:rsidRPr="00684BF3">
        <w:rPr>
          <w:sz w:val="16"/>
        </w:rPr>
        <w:t xml:space="preserve"> </w:t>
      </w:r>
      <w:r w:rsidRPr="00684BF3">
        <w:rPr>
          <w:rStyle w:val="StyleUnderline"/>
        </w:rPr>
        <w:t>the</w:t>
      </w:r>
      <w:r w:rsidRPr="00684BF3">
        <w:rPr>
          <w:sz w:val="16"/>
        </w:rPr>
        <w:t xml:space="preserve"> most direct and </w:t>
      </w:r>
      <w:r w:rsidRPr="00684BF3">
        <w:rPr>
          <w:rStyle w:val="StyleUnderline"/>
        </w:rPr>
        <w:t>simple tool governments have</w:t>
      </w:r>
      <w:r w:rsidRPr="00684BF3">
        <w:rPr>
          <w:sz w:val="16"/>
        </w:rPr>
        <w:t xml:space="preserve"> in influencing their citizens: the ability to compel people to do things and forbid them from doing other things through what one might call </w:t>
      </w:r>
      <w:r w:rsidRPr="00684BF3">
        <w:rPr>
          <w:rStyle w:val="Emphasis"/>
        </w:rPr>
        <w:t>direct regulation</w:t>
      </w:r>
      <w:r w:rsidRPr="00684BF3">
        <w:rPr>
          <w:sz w:val="16"/>
        </w:rPr>
        <w:t xml:space="preserve">. </w:t>
      </w:r>
      <w:r w:rsidRPr="00684BF3">
        <w:rPr>
          <w:rStyle w:val="StyleUnderline"/>
        </w:rPr>
        <w:t xml:space="preserve">People tend to overlook </w:t>
      </w:r>
      <w:r w:rsidRPr="00684BF3">
        <w:rPr>
          <w:rStyle w:val="Emphasis"/>
        </w:rPr>
        <w:t>direct regulation</w:t>
      </w:r>
      <w:r w:rsidRPr="00684BF3">
        <w:rPr>
          <w:sz w:val="16"/>
        </w:rPr>
        <w:t xml:space="preserve"> because it seems like such a nineteenth- and twentieth-century approach </w:t>
      </w:r>
      <w:r w:rsidRPr="00684BF3">
        <w:rPr>
          <w:rStyle w:val="StyleUnderline"/>
        </w:rPr>
        <w:t>that is hopelessly inadequate to the challenge of terrifying new twenty-first-century realities.</w:t>
      </w:r>
    </w:p>
    <w:p w14:paraId="0EF63E81" w14:textId="77777777" w:rsidR="00516959" w:rsidRPr="00684BF3" w:rsidRDefault="00516959" w:rsidP="00516959">
      <w:pPr>
        <w:rPr>
          <w:sz w:val="16"/>
        </w:rPr>
      </w:pPr>
      <w:r w:rsidRPr="00684BF3">
        <w:rPr>
          <w:sz w:val="16"/>
        </w:rPr>
        <w:t xml:space="preserve">But, although inadequate, </w:t>
      </w:r>
      <w:r w:rsidRPr="00684BF3">
        <w:rPr>
          <w:rStyle w:val="StyleUnderline"/>
        </w:rPr>
        <w:t>it is</w:t>
      </w:r>
      <w:r w:rsidRPr="00684BF3">
        <w:rPr>
          <w:sz w:val="16"/>
        </w:rPr>
        <w:t xml:space="preserve"> certainly </w:t>
      </w:r>
      <w:r w:rsidRPr="00684BF3">
        <w:rPr>
          <w:rStyle w:val="StyleUnderline"/>
        </w:rPr>
        <w:t>not useless</w:t>
      </w:r>
      <w:r w:rsidRPr="00684BF3">
        <w:rPr>
          <w:sz w:val="16"/>
        </w:rPr>
        <w:t xml:space="preserve">. And </w:t>
      </w:r>
      <w:r w:rsidRPr="00684BF3">
        <w:rPr>
          <w:rStyle w:val="Emphasis"/>
        </w:rPr>
        <w:t>direct regulation</w:t>
      </w:r>
      <w:r w:rsidRPr="00684BF3">
        <w:rPr>
          <w:rStyle w:val="StyleUnderline"/>
        </w:rPr>
        <w:t xml:space="preserve"> will continue to be an </w:t>
      </w:r>
      <w:r w:rsidRPr="00684BF3">
        <w:rPr>
          <w:rStyle w:val="Emphasis"/>
        </w:rPr>
        <w:t xml:space="preserve">important tool </w:t>
      </w:r>
      <w:r w:rsidRPr="00684BF3">
        <w:rPr>
          <w:rStyle w:val="StyleUnderline"/>
        </w:rPr>
        <w:t>in the arsenal of governments</w:t>
      </w:r>
      <w:r w:rsidRPr="00684BF3">
        <w:rPr>
          <w:sz w:val="16"/>
        </w:rPr>
        <w:t>. The Leviathan may be weakened, but he is still a pretty fierce beast when he breaches the surface with his teeth bared.</w:t>
      </w:r>
    </w:p>
    <w:p w14:paraId="17C88F8A" w14:textId="77777777" w:rsidR="00516959" w:rsidRPr="00684BF3" w:rsidRDefault="00516959" w:rsidP="00516959">
      <w:pPr>
        <w:rPr>
          <w:sz w:val="16"/>
        </w:rPr>
      </w:pPr>
      <w:r w:rsidRPr="00684BF3">
        <w:rPr>
          <w:rStyle w:val="StyleUnderline"/>
        </w:rPr>
        <w:t>These fangs include the power</w:t>
      </w:r>
      <w:r w:rsidRPr="00684BF3">
        <w:rPr>
          <w:sz w:val="16"/>
        </w:rPr>
        <w:t xml:space="preserve"> not only </w:t>
      </w:r>
      <w:r w:rsidRPr="00684BF3">
        <w:rPr>
          <w:rStyle w:val="StyleUnderline"/>
        </w:rPr>
        <w:t xml:space="preserve">to </w:t>
      </w:r>
      <w:r w:rsidRPr="00684BF3">
        <w:rPr>
          <w:rStyle w:val="Emphasis"/>
        </w:rPr>
        <w:t>forbid and require conduct</w:t>
      </w:r>
      <w:r w:rsidRPr="00684BF3">
        <w:rPr>
          <w:rStyle w:val="StyleUnderline"/>
        </w:rPr>
        <w:t xml:space="preserve"> but also to investigate conduct</w:t>
      </w:r>
      <w:r w:rsidRPr="00684BF3">
        <w:rPr>
          <w:sz w:val="16"/>
        </w:rPr>
        <w:t xml:space="preserve"> that might not comply with rules, </w:t>
      </w:r>
      <w:r w:rsidRPr="00684BF3">
        <w:rPr>
          <w:rStyle w:val="StyleUnderline"/>
        </w:rPr>
        <w:t xml:space="preserve">to </w:t>
      </w:r>
      <w:r w:rsidRPr="00684BF3">
        <w:rPr>
          <w:rStyle w:val="Emphasis"/>
        </w:rPr>
        <w:t>define the conditions</w:t>
      </w:r>
      <w:r w:rsidRPr="00684BF3">
        <w:rPr>
          <w:rStyle w:val="StyleUnderline"/>
        </w:rPr>
        <w:t xml:space="preserve"> under which conduct is tolerated, to </w:t>
      </w:r>
      <w:r w:rsidRPr="00684BF3">
        <w:rPr>
          <w:rStyle w:val="Emphasis"/>
        </w:rPr>
        <w:t>license people</w:t>
      </w:r>
      <w:r w:rsidRPr="00684BF3">
        <w:rPr>
          <w:rStyle w:val="StyleUnderline"/>
        </w:rPr>
        <w:t xml:space="preserve"> to engage in certain behaviors</w:t>
      </w:r>
      <w:r w:rsidRPr="00684BF3">
        <w:rPr>
          <w:sz w:val="16"/>
        </w:rPr>
        <w:t xml:space="preserve">, and </w:t>
      </w:r>
      <w:r w:rsidRPr="00684BF3">
        <w:rPr>
          <w:rStyle w:val="StyleUnderline"/>
        </w:rPr>
        <w:t xml:space="preserve">to </w:t>
      </w:r>
      <w:r w:rsidRPr="00684BF3">
        <w:rPr>
          <w:rStyle w:val="Emphasis"/>
        </w:rPr>
        <w:t>punish noncompliance</w:t>
      </w:r>
      <w:r w:rsidRPr="00684BF3">
        <w:rPr>
          <w:rStyle w:val="StyleUnderline"/>
        </w:rPr>
        <w:t xml:space="preserve"> with the rules</w:t>
      </w:r>
      <w:r w:rsidRPr="00684BF3">
        <w:rPr>
          <w:sz w:val="16"/>
        </w:rPr>
        <w:t xml:space="preserve">. These powers may be used in a heavy-handed or highly calibrated fashion, or anywhere in between. </w:t>
      </w:r>
      <w:r w:rsidRPr="00684BF3">
        <w:rPr>
          <w:rStyle w:val="StyleUnderline"/>
        </w:rPr>
        <w:t>They remain</w:t>
      </w:r>
      <w:r w:rsidRPr="00684BF3">
        <w:rPr>
          <w:sz w:val="16"/>
        </w:rPr>
        <w:t xml:space="preserve">, and will remain, among </w:t>
      </w:r>
      <w:r w:rsidRPr="00684BF3">
        <w:rPr>
          <w:rStyle w:val="Emphasis"/>
        </w:rPr>
        <w:t>the most powerful ways</w:t>
      </w:r>
      <w:r w:rsidRPr="00684BF3">
        <w:rPr>
          <w:rStyle w:val="StyleUnderline"/>
        </w:rPr>
        <w:t xml:space="preserve"> of influencing the behaviors of large numbers of people</w:t>
      </w:r>
      <w:r w:rsidRPr="00684BF3">
        <w:rPr>
          <w:sz w:val="16"/>
        </w:rPr>
        <w:t>.</w:t>
      </w:r>
    </w:p>
    <w:p w14:paraId="04376F36" w14:textId="77777777" w:rsidR="00516959" w:rsidRPr="00684BF3" w:rsidRDefault="00516959" w:rsidP="00516959">
      <w:pPr>
        <w:rPr>
          <w:sz w:val="16"/>
        </w:rPr>
      </w:pPr>
      <w:r w:rsidRPr="00684BF3">
        <w:rPr>
          <w:sz w:val="16"/>
        </w:rPr>
        <w:t xml:space="preserve">All sorts of direct regulations are already in effect with respect to technologies of mass empowerment. </w:t>
      </w:r>
      <w:r w:rsidRPr="00684BF3">
        <w:rPr>
          <w:rStyle w:val="StyleUnderline"/>
        </w:rPr>
        <w:t>In the cyber arena</w:t>
      </w:r>
      <w:r w:rsidRPr="00684BF3">
        <w:rPr>
          <w:sz w:val="16"/>
        </w:rPr>
        <w:t xml:space="preserve">, for example, a great many </w:t>
      </w:r>
      <w:r w:rsidRPr="00684BF3">
        <w:rPr>
          <w:rStyle w:val="StyleUnderline"/>
        </w:rPr>
        <w:t>intrusions and online attacks have long been subject to criminal prohibition</w:t>
      </w:r>
      <w:r w:rsidRPr="00684BF3">
        <w:rPr>
          <w:sz w:val="16"/>
        </w:rPr>
        <w:t xml:space="preserve">. Prohibited conduct that can land an individual in prison includes—to cite only some of the major statutes discussed in the Department of Justice’s computer crimes prosecution manual—accessing a computer and obtaining information without authorization, trespassing upon a government computer, accessing a computer to defraud, malicious damaging of a computer or information, trafficking in passwords, intercepting communications, gaining unlawful access to stored communications, and identity theft. </w:t>
      </w:r>
      <w:r w:rsidRPr="00684BF3">
        <w:rPr>
          <w:rStyle w:val="StyleUnderline"/>
        </w:rPr>
        <w:t xml:space="preserve">In robotics, on the civil side of things, the </w:t>
      </w:r>
      <w:r w:rsidRPr="00684BF3">
        <w:rPr>
          <w:sz w:val="16"/>
        </w:rPr>
        <w:t>Federal Aviation Administration</w:t>
      </w:r>
      <w:r w:rsidRPr="00684BF3">
        <w:rPr>
          <w:rStyle w:val="StyleUnderline"/>
        </w:rPr>
        <w:t xml:space="preserve"> (</w:t>
      </w:r>
      <w:r w:rsidRPr="00684BF3">
        <w:rPr>
          <w:rStyle w:val="Emphasis"/>
        </w:rPr>
        <w:t>FAA</w:t>
      </w:r>
      <w:r w:rsidRPr="00684BF3">
        <w:rPr>
          <w:rStyle w:val="StyleUnderline"/>
        </w:rPr>
        <w:t xml:space="preserve">) has been engaged in </w:t>
      </w:r>
      <w:r w:rsidRPr="00684BF3">
        <w:rPr>
          <w:rStyle w:val="Emphasis"/>
        </w:rPr>
        <w:t>extensive rulemaking</w:t>
      </w:r>
      <w:r w:rsidRPr="00684BF3">
        <w:rPr>
          <w:rStyle w:val="StyleUnderline"/>
        </w:rPr>
        <w:t xml:space="preserve"> process to regulate the integration of </w:t>
      </w:r>
      <w:r w:rsidRPr="00684BF3">
        <w:rPr>
          <w:rStyle w:val="Emphasis"/>
        </w:rPr>
        <w:t>u</w:t>
      </w:r>
      <w:r w:rsidRPr="00684BF3">
        <w:rPr>
          <w:rStyle w:val="StyleUnderline"/>
        </w:rPr>
        <w:t xml:space="preserve">nmanned </w:t>
      </w:r>
      <w:r w:rsidRPr="00684BF3">
        <w:rPr>
          <w:rStyle w:val="Emphasis"/>
        </w:rPr>
        <w:t>a</w:t>
      </w:r>
      <w:r w:rsidRPr="00684BF3">
        <w:rPr>
          <w:rStyle w:val="StyleUnderline"/>
        </w:rPr>
        <w:t xml:space="preserve">erial </w:t>
      </w:r>
      <w:r w:rsidRPr="00684BF3">
        <w:rPr>
          <w:rStyle w:val="Emphasis"/>
        </w:rPr>
        <w:t>s</w:t>
      </w:r>
      <w:r w:rsidRPr="00684BF3">
        <w:rPr>
          <w:rStyle w:val="StyleUnderline"/>
        </w:rPr>
        <w:t>ystems into the domestic airspace of the United States</w:t>
      </w:r>
      <w:r w:rsidRPr="00684BF3">
        <w:rPr>
          <w:sz w:val="16"/>
        </w:rPr>
        <w:t xml:space="preserve">. These rules will cover </w:t>
      </w:r>
      <w:r w:rsidRPr="00684BF3">
        <w:rPr>
          <w:rStyle w:val="StyleUnderline"/>
        </w:rPr>
        <w:t>who is permitted to fly what sorts of drones</w:t>
      </w:r>
      <w:r w:rsidRPr="00684BF3">
        <w:rPr>
          <w:sz w:val="16"/>
        </w:rPr>
        <w:t xml:space="preserve">, for what purposes, and under what circumstances. </w:t>
      </w:r>
      <w:r w:rsidRPr="00684BF3">
        <w:rPr>
          <w:rStyle w:val="StyleUnderline"/>
        </w:rPr>
        <w:t>In the biological arena</w:t>
      </w:r>
      <w:r w:rsidRPr="00684BF3">
        <w:rPr>
          <w:sz w:val="16"/>
        </w:rPr>
        <w:t xml:space="preserve">, to note an example in which criminal penalties back up civil regulation, </w:t>
      </w:r>
      <w:r w:rsidRPr="00684BF3">
        <w:rPr>
          <w:rStyle w:val="StyleUnderline"/>
        </w:rPr>
        <w:t xml:space="preserve">the law requires people who want to work with “select agents”—particularly dangerous toxins, bacteria, and viruses—to submit to an </w:t>
      </w:r>
      <w:r w:rsidRPr="00684BF3">
        <w:rPr>
          <w:rStyle w:val="Emphasis"/>
        </w:rPr>
        <w:t>FBI</w:t>
      </w:r>
      <w:r w:rsidRPr="00684BF3">
        <w:rPr>
          <w:rStyle w:val="StyleUnderline"/>
        </w:rPr>
        <w:t xml:space="preserve"> “</w:t>
      </w:r>
      <w:r w:rsidRPr="00684BF3">
        <w:rPr>
          <w:rStyle w:val="Emphasis"/>
        </w:rPr>
        <w:t>security risk assessment</w:t>
      </w:r>
      <w:r w:rsidRPr="00684BF3">
        <w:rPr>
          <w:rStyle w:val="StyleUnderline"/>
        </w:rPr>
        <w:t xml:space="preserve">,” and it imposes </w:t>
      </w:r>
      <w:r w:rsidRPr="00684BF3">
        <w:rPr>
          <w:rStyle w:val="Emphasis"/>
        </w:rPr>
        <w:t>criminal liability</w:t>
      </w:r>
      <w:r w:rsidRPr="00684BF3">
        <w:rPr>
          <w:sz w:val="16"/>
        </w:rPr>
        <w:t xml:space="preserve"> both for possession of select agents by those not registered to have them and for transferring select agents to unregistered persons. The law also slaps strict controls on the export of technologies with military application or of a dual-use nature. These are only some of a wide array of legal controls on individuals in their handling, acquisition, transfer, and use of technologies of mass empowerment. We mention these examples merely to emphasize that </w:t>
      </w:r>
      <w:r w:rsidRPr="00684BF3">
        <w:rPr>
          <w:rStyle w:val="StyleUnderline"/>
        </w:rPr>
        <w:t>if government wants to prevent certain dangerous or malicious behaviors</w:t>
      </w:r>
      <w:r w:rsidRPr="00684BF3">
        <w:rPr>
          <w:sz w:val="16"/>
        </w:rPr>
        <w:t xml:space="preserve">, telling people they cannot engage in them—and </w:t>
      </w:r>
      <w:r w:rsidRPr="00684BF3">
        <w:rPr>
          <w:rStyle w:val="Emphasis"/>
        </w:rPr>
        <w:t>creating legal consequences</w:t>
      </w:r>
      <w:r w:rsidRPr="00684BF3">
        <w:rPr>
          <w:sz w:val="16"/>
        </w:rPr>
        <w:t xml:space="preserve"> if they do—</w:t>
      </w:r>
      <w:r w:rsidRPr="00684BF3">
        <w:rPr>
          <w:rStyle w:val="StyleUnderline"/>
        </w:rPr>
        <w:t>is one place to start</w:t>
      </w:r>
      <w:r w:rsidRPr="00684BF3">
        <w:rPr>
          <w:sz w:val="16"/>
        </w:rPr>
        <w:t>. 2</w:t>
      </w:r>
    </w:p>
    <w:p w14:paraId="5DB2286E" w14:textId="77777777" w:rsidR="00516959" w:rsidRPr="00684BF3" w:rsidRDefault="00516959" w:rsidP="00516959">
      <w:pPr>
        <w:rPr>
          <w:sz w:val="16"/>
        </w:rPr>
      </w:pPr>
      <w:r w:rsidRPr="00684BF3">
        <w:rPr>
          <w:sz w:val="16"/>
        </w:rPr>
        <w:t xml:space="preserve">The promise of direct regulation is twofold. First, </w:t>
      </w:r>
      <w:r w:rsidRPr="00684BF3">
        <w:rPr>
          <w:rStyle w:val="Emphasis"/>
        </w:rPr>
        <w:t>criminal and civil regulations</w:t>
      </w:r>
      <w:r w:rsidRPr="00684BF3">
        <w:rPr>
          <w:rStyle w:val="StyleUnderline"/>
        </w:rPr>
        <w:t xml:space="preserve"> can establish </w:t>
      </w:r>
      <w:r w:rsidRPr="00684BF3">
        <w:rPr>
          <w:rStyle w:val="Emphasis"/>
        </w:rPr>
        <w:t>strong behavioral norms</w:t>
      </w:r>
      <w:r w:rsidRPr="00684BF3">
        <w:rPr>
          <w:sz w:val="16"/>
        </w:rPr>
        <w:t>—</w:t>
      </w:r>
      <w:r w:rsidRPr="00684BF3">
        <w:rPr>
          <w:rStyle w:val="StyleUnderline"/>
        </w:rPr>
        <w:t>far stronger than government’s power actually to enforce those norms</w:t>
      </w:r>
      <w:r w:rsidRPr="00684BF3">
        <w:rPr>
          <w:sz w:val="16"/>
        </w:rPr>
        <w:t>. Consider a radically empowering twentieth-century technology, the automobile, which put in individual hands the power to travel quickly between cities and also to kill pedestrians and crash into other vehicles at high speeds. A series of direct regulations governs our use of motor vehicles. You need a state-issued license to operate a car, a norm that is widely respected even though nobody checks your license before you get into your vehicle. Most drivers, most of the time, display a sufficiently rudimentary respect for traffic laws that the roads are relatively safe (though far less so than are the airways or the railways)—even though drivers also know that they are likely to get away with any number of violations. People tend to drive inspected and registered vehicles with insurance, as required—though they could almost certainly get away with driving without either on any given day. And they drive cars with license plates; every car is registered in a visible sense to its owner.</w:t>
      </w:r>
    </w:p>
    <w:p w14:paraId="16C5FE8C" w14:textId="77777777" w:rsidR="00516959" w:rsidRPr="00684BF3" w:rsidRDefault="00516959" w:rsidP="00516959">
      <w:pPr>
        <w:rPr>
          <w:sz w:val="16"/>
        </w:rPr>
      </w:pPr>
      <w:r w:rsidRPr="00684BF3">
        <w:rPr>
          <w:rStyle w:val="StyleUnderline"/>
        </w:rPr>
        <w:t>The system of direct regulation of our use of this technology works because of a combination of self-interest</w:t>
      </w:r>
      <w:r w:rsidRPr="00684BF3">
        <w:rPr>
          <w:sz w:val="16"/>
        </w:rPr>
        <w:t xml:space="preserve"> (people do not want to hurt themselves or their vehicles or to harm others), </w:t>
      </w:r>
      <w:r w:rsidRPr="00684BF3">
        <w:rPr>
          <w:rStyle w:val="StyleUnderline"/>
        </w:rPr>
        <w:t>social pressures</w:t>
      </w:r>
      <w:r w:rsidRPr="00684BF3">
        <w:rPr>
          <w:sz w:val="16"/>
        </w:rPr>
        <w:t xml:space="preserve"> from other drivers, occasional random </w:t>
      </w:r>
      <w:r w:rsidRPr="00684BF3">
        <w:rPr>
          <w:rStyle w:val="StyleUnderline"/>
        </w:rPr>
        <w:t>enforcement</w:t>
      </w:r>
      <w:r w:rsidRPr="00684BF3">
        <w:rPr>
          <w:sz w:val="16"/>
        </w:rPr>
        <w:t>—the cop with the speed gun or the officer who happens to see you run a red light—</w:t>
      </w:r>
      <w:r w:rsidRPr="00684BF3">
        <w:rPr>
          <w:rStyle w:val="StyleUnderline"/>
        </w:rPr>
        <w:t>and the threat of enforcement</w:t>
      </w:r>
      <w:r w:rsidRPr="00684BF3">
        <w:rPr>
          <w:sz w:val="16"/>
        </w:rPr>
        <w:t xml:space="preserve"> if you get into an accident. The result is that laws that are unenforceable if widely ignored receive enough respect that the platform they are designed to secure operates in a relatively orderly fashion. </w:t>
      </w:r>
      <w:r w:rsidRPr="00684BF3">
        <w:rPr>
          <w:rStyle w:val="StyleUnderline"/>
        </w:rPr>
        <w:t xml:space="preserve">Even with </w:t>
      </w:r>
      <w:r w:rsidRPr="00684BF3">
        <w:rPr>
          <w:rStyle w:val="Emphasis"/>
        </w:rPr>
        <w:t>tens of millions</w:t>
      </w:r>
      <w:r w:rsidRPr="00684BF3">
        <w:rPr>
          <w:rStyle w:val="StyleUnderline"/>
        </w:rPr>
        <w:t xml:space="preserve"> of people </w:t>
      </w:r>
      <w:r w:rsidRPr="00684BF3">
        <w:rPr>
          <w:rStyle w:val="Emphasis"/>
        </w:rPr>
        <w:t>using</w:t>
      </w:r>
      <w:r w:rsidRPr="00684BF3">
        <w:rPr>
          <w:rStyle w:val="StyleUnderline"/>
        </w:rPr>
        <w:t xml:space="preserve"> a lethal </w:t>
      </w:r>
      <w:r w:rsidRPr="00684BF3">
        <w:rPr>
          <w:rStyle w:val="Emphasis"/>
        </w:rPr>
        <w:t>tech</w:t>
      </w:r>
      <w:r w:rsidRPr="00684BF3">
        <w:rPr>
          <w:rStyle w:val="StyleUnderline"/>
        </w:rPr>
        <w:t>nology</w:t>
      </w:r>
      <w:r w:rsidRPr="00684BF3">
        <w:rPr>
          <w:sz w:val="16"/>
        </w:rPr>
        <w:t xml:space="preserve"> on a daily basis, </w:t>
      </w:r>
      <w:r w:rsidRPr="00684BF3">
        <w:rPr>
          <w:rStyle w:val="StyleUnderline"/>
        </w:rPr>
        <w:t xml:space="preserve">direct </w:t>
      </w:r>
      <w:r w:rsidRPr="00684BF3">
        <w:rPr>
          <w:rStyle w:val="Emphasis"/>
        </w:rPr>
        <w:t>regulation</w:t>
      </w:r>
      <w:r w:rsidRPr="00684BF3">
        <w:rPr>
          <w:rStyle w:val="StyleUnderline"/>
        </w:rPr>
        <w:t xml:space="preserve"> wields a sufficient </w:t>
      </w:r>
      <w:r w:rsidRPr="00684BF3">
        <w:rPr>
          <w:rStyle w:val="Emphasis"/>
        </w:rPr>
        <w:t>influence</w:t>
      </w:r>
      <w:r w:rsidRPr="00684BF3">
        <w:rPr>
          <w:rStyle w:val="StyleUnderline"/>
        </w:rPr>
        <w:t xml:space="preserve"> on </w:t>
      </w:r>
      <w:r w:rsidRPr="00684BF3">
        <w:rPr>
          <w:rStyle w:val="Emphasis"/>
        </w:rPr>
        <w:t>mass behavior</w:t>
      </w:r>
      <w:r w:rsidRPr="00684BF3">
        <w:rPr>
          <w:rStyle w:val="StyleUnderline"/>
        </w:rPr>
        <w:t xml:space="preserve"> that people</w:t>
      </w:r>
      <w:r w:rsidRPr="00684BF3">
        <w:rPr>
          <w:sz w:val="16"/>
        </w:rPr>
        <w:t>—amazingly, really—</w:t>
      </w:r>
      <w:r w:rsidRPr="00684BF3">
        <w:rPr>
          <w:rStyle w:val="StyleUnderline"/>
        </w:rPr>
        <w:t xml:space="preserve">retain confidence in a platform </w:t>
      </w:r>
      <w:r w:rsidRPr="00684BF3">
        <w:rPr>
          <w:sz w:val="16"/>
        </w:rPr>
        <w:t xml:space="preserve">on which relatively untrained people are operating high-powered and very dangerous equipment at high speeds. While some of this influence flows from the threat of enforcement and the fact that compliance with the law here tends to correspond with safe (and thus self-interested) behavior on the part of the driver, some of </w:t>
      </w:r>
      <w:r w:rsidRPr="00684BF3">
        <w:rPr>
          <w:rStyle w:val="StyleUnderline"/>
        </w:rPr>
        <w:t>it also simply reflects the power of law itself</w:t>
      </w:r>
      <w:r w:rsidRPr="00684BF3">
        <w:rPr>
          <w:sz w:val="16"/>
        </w:rPr>
        <w:t xml:space="preserve">. In rule-of-law societies, at least, </w:t>
      </w:r>
      <w:r w:rsidRPr="00684BF3">
        <w:rPr>
          <w:rStyle w:val="StyleUnderline"/>
        </w:rPr>
        <w:t xml:space="preserve">the law carries some moral force, and </w:t>
      </w:r>
      <w:r w:rsidRPr="00684BF3">
        <w:rPr>
          <w:rStyle w:val="Emphasis"/>
        </w:rPr>
        <w:t>people</w:t>
      </w:r>
      <w:r w:rsidRPr="00684BF3">
        <w:rPr>
          <w:rStyle w:val="StyleUnderline"/>
        </w:rPr>
        <w:t xml:space="preserve"> tend to </w:t>
      </w:r>
      <w:r w:rsidRPr="00684BF3">
        <w:rPr>
          <w:rStyle w:val="Emphasis"/>
        </w:rPr>
        <w:t>default</w:t>
      </w:r>
      <w:r w:rsidRPr="00684BF3">
        <w:rPr>
          <w:rStyle w:val="StyleUnderline"/>
        </w:rPr>
        <w:t xml:space="preserve"> in the direction of </w:t>
      </w:r>
      <w:r w:rsidRPr="00684BF3">
        <w:rPr>
          <w:rStyle w:val="Emphasis"/>
        </w:rPr>
        <w:t>compliance</w:t>
      </w:r>
      <w:r w:rsidRPr="00684BF3">
        <w:rPr>
          <w:sz w:val="16"/>
        </w:rPr>
        <w:t>.</w:t>
      </w:r>
    </w:p>
    <w:p w14:paraId="44C2FAA1" w14:textId="77777777" w:rsidR="00516959" w:rsidRPr="00684BF3" w:rsidRDefault="00516959" w:rsidP="00516959">
      <w:pPr>
        <w:rPr>
          <w:sz w:val="16"/>
        </w:rPr>
      </w:pPr>
      <w:r w:rsidRPr="00684BF3">
        <w:rPr>
          <w:sz w:val="16"/>
        </w:rPr>
        <w:t xml:space="preserve">Second, </w:t>
      </w:r>
      <w:r w:rsidRPr="00684BF3">
        <w:rPr>
          <w:rStyle w:val="StyleUnderline"/>
        </w:rPr>
        <w:t xml:space="preserve">direct </w:t>
      </w:r>
      <w:r w:rsidRPr="00684BF3">
        <w:rPr>
          <w:rStyle w:val="Emphasis"/>
        </w:rPr>
        <w:t>regulations</w:t>
      </w:r>
      <w:r w:rsidRPr="00684BF3">
        <w:rPr>
          <w:rStyle w:val="StyleUnderline"/>
        </w:rPr>
        <w:t xml:space="preserve"> create the </w:t>
      </w:r>
      <w:r w:rsidRPr="00684BF3">
        <w:rPr>
          <w:rStyle w:val="Emphasis"/>
        </w:rPr>
        <w:t>legal basis for investigation and enforcement</w:t>
      </w:r>
      <w:r w:rsidRPr="00684BF3">
        <w:rPr>
          <w:rStyle w:val="StyleUnderline"/>
        </w:rPr>
        <w:t xml:space="preserve"> action</w:t>
      </w:r>
      <w:r w:rsidRPr="00684BF3">
        <w:rPr>
          <w:sz w:val="16"/>
        </w:rPr>
        <w:t xml:space="preserve"> that can play an important role in </w:t>
      </w:r>
      <w:r w:rsidRPr="00684BF3">
        <w:rPr>
          <w:rStyle w:val="StyleUnderline"/>
        </w:rPr>
        <w:t>deterring abuse of highly empowering technologies</w:t>
      </w:r>
      <w:r w:rsidRPr="00684BF3">
        <w:rPr>
          <w:sz w:val="16"/>
        </w:rPr>
        <w:t xml:space="preserve">, stopping and incapacitating those who misuse them, and </w:t>
      </w:r>
      <w:r w:rsidRPr="00684BF3">
        <w:rPr>
          <w:rStyle w:val="Emphasis"/>
        </w:rPr>
        <w:t>letting</w:t>
      </w:r>
      <w:r w:rsidRPr="00684BF3">
        <w:rPr>
          <w:rStyle w:val="StyleUnderline"/>
        </w:rPr>
        <w:t xml:space="preserve"> potential </w:t>
      </w:r>
      <w:r w:rsidRPr="00684BF3">
        <w:rPr>
          <w:rStyle w:val="Emphasis"/>
        </w:rPr>
        <w:t>bad actors know</w:t>
      </w:r>
      <w:r w:rsidRPr="00684BF3">
        <w:rPr>
          <w:rStyle w:val="StyleUnderline"/>
        </w:rPr>
        <w:t xml:space="preserve"> that </w:t>
      </w:r>
      <w:r w:rsidRPr="00684BF3">
        <w:rPr>
          <w:rStyle w:val="Emphasis"/>
        </w:rPr>
        <w:t>authorities are watching</w:t>
      </w:r>
      <w:r w:rsidRPr="00684BF3">
        <w:rPr>
          <w:sz w:val="16"/>
        </w:rPr>
        <w:t xml:space="preserve">. While enforcement by no means keeps pace with cybercrime, for instance, direct </w:t>
      </w:r>
      <w:r w:rsidRPr="00684BF3">
        <w:rPr>
          <w:rStyle w:val="StyleUnderline"/>
        </w:rPr>
        <w:t>regulations allow federal authorities to initiate</w:t>
      </w:r>
      <w:r w:rsidRPr="00684BF3">
        <w:rPr>
          <w:sz w:val="16"/>
        </w:rPr>
        <w:t xml:space="preserve"> a lot of </w:t>
      </w:r>
      <w:r w:rsidRPr="00684BF3">
        <w:rPr>
          <w:rStyle w:val="StyleUnderline"/>
        </w:rPr>
        <w:t>computer crime prosecutions</w:t>
      </w:r>
      <w:r w:rsidRPr="00684BF3">
        <w:rPr>
          <w:sz w:val="16"/>
        </w:rPr>
        <w:t xml:space="preserve"> every year. In fiscal year 2012 alone, for example, the Justice Department reports that federal prosecutors filed 169 computer fraud cases against 266 defendants, 401 identity theft cases against 567 defendants, and any number of other cases that may have had a hacking dimension. The public knows about Luis Mijangos, the sextortion hacker we discussed earlier, because of such federal enforcement. And it is notable that Mijangos today is not free to exploit other women and girls online; as of this writing, he is inmate number 59209-112 in the federal prison system, serving his sentence at the federal correctional facility in Greenville, Illinois. 3</w:t>
      </w:r>
    </w:p>
    <w:p w14:paraId="0715CE0E" w14:textId="77777777" w:rsidR="00516959" w:rsidRPr="00684BF3" w:rsidRDefault="00516959" w:rsidP="00516959">
      <w:pPr>
        <w:rPr>
          <w:sz w:val="16"/>
        </w:rPr>
      </w:pPr>
      <w:r w:rsidRPr="00684BF3">
        <w:rPr>
          <w:sz w:val="16"/>
        </w:rPr>
        <w:t xml:space="preserve">Direct regulation plays a similar role with other highly empowering technologies. Back in 2002, a scientist at Texas Tech named Thomas Butler reported that samples of bubonic plague had gone missing from his lab. The FBI descended in force on the campus to investigate, suspecting a bioterrorism incident. When it later turned out that the samples had not been stolen and that Butler may have destroyed them himself, the bureau turned its sights on him. It also turned out, as the investigation progressed, that Butler had mishandled plague samples and exported them illegally. The Justice Department prosecuted him for mishandling the highly dangerous agent, for allegedly lying about it to investigators, and for financial irregularities with respect to his university. Butler became a cause célèbre among many scientists, who saw his case as one of gross government overreaching against a distinguished scientist who was certainly no kind of terrorist. For present purposes, however, the point is that </w:t>
      </w:r>
      <w:r w:rsidRPr="00684BF3">
        <w:rPr>
          <w:rStyle w:val="StyleUnderline"/>
        </w:rPr>
        <w:t xml:space="preserve">having a complex set of </w:t>
      </w:r>
      <w:r w:rsidRPr="00684BF3">
        <w:rPr>
          <w:rStyle w:val="Emphasis"/>
        </w:rPr>
        <w:t>civil and criminal regulations</w:t>
      </w:r>
      <w:r w:rsidRPr="00684BF3">
        <w:rPr>
          <w:rStyle w:val="StyleUnderline"/>
        </w:rPr>
        <w:t xml:space="preserve"> governing the handling of biological materials </w:t>
      </w:r>
      <w:r w:rsidRPr="00684BF3">
        <w:rPr>
          <w:rStyle w:val="Emphasis"/>
        </w:rPr>
        <w:t>provided a hook</w:t>
      </w:r>
      <w:r w:rsidRPr="00684BF3">
        <w:rPr>
          <w:rStyle w:val="StyleUnderline"/>
        </w:rPr>
        <w:t xml:space="preserve"> on which </w:t>
      </w:r>
      <w:r w:rsidRPr="00684BF3">
        <w:rPr>
          <w:rStyle w:val="Emphasis"/>
        </w:rPr>
        <w:t>investigators could hang an investigation</w:t>
      </w:r>
      <w:r w:rsidRPr="00684BF3">
        <w:rPr>
          <w:rStyle w:val="StyleUnderline"/>
        </w:rPr>
        <w:t xml:space="preserve"> of someone they clearly regarded as a malicious actor</w:t>
      </w:r>
      <w:r w:rsidRPr="00684BF3">
        <w:rPr>
          <w:sz w:val="16"/>
        </w:rPr>
        <w:t>. A jury ultimately convicted Butler on some charges but acquitted him on others; he served a two-year prison sentence. 4</w:t>
      </w:r>
    </w:p>
    <w:p w14:paraId="6A8EA136" w14:textId="39F3BBF6" w:rsidR="00516959" w:rsidRDefault="00516959" w:rsidP="00516959">
      <w:pPr>
        <w:rPr>
          <w:sz w:val="16"/>
        </w:rPr>
      </w:pPr>
      <w:r w:rsidRPr="00684BF3">
        <w:rPr>
          <w:sz w:val="16"/>
        </w:rPr>
        <w:t xml:space="preserve">In the world of many-to-many threats and defenses, </w:t>
      </w:r>
      <w:r w:rsidRPr="00684BF3">
        <w:rPr>
          <w:rStyle w:val="StyleUnderline"/>
        </w:rPr>
        <w:t xml:space="preserve">the power of </w:t>
      </w:r>
      <w:r w:rsidRPr="00684BF3">
        <w:rPr>
          <w:rStyle w:val="Emphasis"/>
        </w:rPr>
        <w:t>direct regulation</w:t>
      </w:r>
      <w:r w:rsidRPr="00684BF3">
        <w:rPr>
          <w:rStyle w:val="StyleUnderline"/>
        </w:rPr>
        <w:t xml:space="preserve"> will continue to serve as a </w:t>
      </w:r>
      <w:r w:rsidRPr="00684BF3">
        <w:rPr>
          <w:rStyle w:val="Emphasis"/>
        </w:rPr>
        <w:t>frontline lever for deterring</w:t>
      </w:r>
      <w:r w:rsidRPr="00684BF3">
        <w:rPr>
          <w:rStyle w:val="StyleUnderline"/>
        </w:rPr>
        <w:t xml:space="preserve">, </w:t>
      </w:r>
      <w:r w:rsidRPr="00684BF3">
        <w:rPr>
          <w:rStyle w:val="Emphasis"/>
        </w:rPr>
        <w:t>punishing</w:t>
      </w:r>
      <w:r w:rsidRPr="00684BF3">
        <w:rPr>
          <w:rStyle w:val="StyleUnderline"/>
        </w:rPr>
        <w:t xml:space="preserve">, and smoking out </w:t>
      </w:r>
      <w:r w:rsidRPr="00684BF3">
        <w:rPr>
          <w:rStyle w:val="Emphasis"/>
        </w:rPr>
        <w:t>abuses</w:t>
      </w:r>
      <w:r w:rsidRPr="00684BF3">
        <w:rPr>
          <w:sz w:val="16"/>
        </w:rPr>
        <w:t xml:space="preserve">— and </w:t>
      </w:r>
      <w:r w:rsidRPr="00684BF3">
        <w:rPr>
          <w:rStyle w:val="StyleUnderline"/>
        </w:rPr>
        <w:t>policy makers should not underestimate it</w:t>
      </w:r>
      <w:r w:rsidRPr="00684BF3">
        <w:rPr>
          <w:sz w:val="16"/>
        </w:rPr>
        <w:t xml:space="preserve">. </w:t>
      </w:r>
      <w:r w:rsidRPr="00684BF3">
        <w:rPr>
          <w:rStyle w:val="StyleUnderline"/>
        </w:rPr>
        <w:t xml:space="preserve">As </w:t>
      </w:r>
      <w:r w:rsidRPr="00684BF3">
        <w:rPr>
          <w:rStyle w:val="Emphasis"/>
        </w:rPr>
        <w:t>tech</w:t>
      </w:r>
      <w:r w:rsidRPr="00684BF3">
        <w:rPr>
          <w:rStyle w:val="StyleUnderline"/>
        </w:rPr>
        <w:t xml:space="preserve">nologies become </w:t>
      </w:r>
      <w:r w:rsidRPr="00684BF3">
        <w:rPr>
          <w:rStyle w:val="Emphasis"/>
        </w:rPr>
        <w:t>more powerful</w:t>
      </w:r>
      <w:r w:rsidRPr="00684BF3">
        <w:rPr>
          <w:rStyle w:val="StyleUnderline"/>
        </w:rPr>
        <w:t xml:space="preserve"> and ever more </w:t>
      </w:r>
      <w:r w:rsidRPr="00684BF3">
        <w:rPr>
          <w:rStyle w:val="Emphasis"/>
        </w:rPr>
        <w:t>widely available</w:t>
      </w:r>
      <w:r w:rsidRPr="00684BF3">
        <w:rPr>
          <w:sz w:val="16"/>
        </w:rPr>
        <w:t xml:space="preserve">, </w:t>
      </w:r>
      <w:r w:rsidRPr="00684BF3">
        <w:rPr>
          <w:rStyle w:val="StyleUnderline"/>
        </w:rPr>
        <w:t>we need to be imaginative</w:t>
      </w:r>
      <w:r w:rsidRPr="00684BF3">
        <w:rPr>
          <w:sz w:val="16"/>
        </w:rPr>
        <w:t xml:space="preserve"> about the ways people might use them maliciously or recklessly and how their routine uses might create opportunities for others to behave abusively or recklessly. </w:t>
      </w:r>
      <w:r w:rsidRPr="00684BF3">
        <w:rPr>
          <w:rStyle w:val="StyleUnderline"/>
        </w:rPr>
        <w:t xml:space="preserve">We also need to create the kinds of working </w:t>
      </w:r>
      <w:r w:rsidRPr="00684BF3">
        <w:rPr>
          <w:rStyle w:val="Emphasis"/>
        </w:rPr>
        <w:t>regulatory schemes</w:t>
      </w:r>
      <w:r w:rsidRPr="00684BF3">
        <w:rPr>
          <w:rStyle w:val="StyleUnderline"/>
        </w:rPr>
        <w:t xml:space="preserve"> that</w:t>
      </w:r>
      <w:r w:rsidRPr="00684BF3">
        <w:rPr>
          <w:sz w:val="16"/>
        </w:rPr>
        <w:t xml:space="preserve">, as with automobiles, </w:t>
      </w:r>
      <w:r w:rsidRPr="00684BF3">
        <w:rPr>
          <w:rStyle w:val="StyleUnderline"/>
        </w:rPr>
        <w:t xml:space="preserve">allow </w:t>
      </w:r>
      <w:r w:rsidRPr="00C44725">
        <w:rPr>
          <w:rStyle w:val="Emphasis"/>
        </w:rPr>
        <w:t>huge numbers of people</w:t>
      </w:r>
      <w:r w:rsidRPr="00684BF3">
        <w:rPr>
          <w:rStyle w:val="StyleUnderline"/>
        </w:rPr>
        <w:t xml:space="preserve"> to wield </w:t>
      </w:r>
      <w:r w:rsidRPr="00C44725">
        <w:rPr>
          <w:rStyle w:val="Emphasis"/>
        </w:rPr>
        <w:t>lethal power</w:t>
      </w:r>
      <w:r w:rsidRPr="00684BF3">
        <w:rPr>
          <w:rStyle w:val="StyleUnderline"/>
        </w:rPr>
        <w:t xml:space="preserve"> in </w:t>
      </w:r>
      <w:r w:rsidRPr="00684BF3">
        <w:rPr>
          <w:rStyle w:val="Emphasis"/>
        </w:rPr>
        <w:t>relative safety</w:t>
      </w:r>
      <w:r w:rsidRPr="00684BF3">
        <w:rPr>
          <w:sz w:val="16"/>
        </w:rPr>
        <w:t>.</w:t>
      </w:r>
    </w:p>
    <w:p w14:paraId="5070D6D1" w14:textId="016B2781" w:rsidR="008E16EC" w:rsidRPr="000C323A" w:rsidRDefault="008B278F" w:rsidP="008E16EC">
      <w:pPr>
        <w:pStyle w:val="Heading4"/>
      </w:pPr>
      <w:r>
        <w:t xml:space="preserve">Those are disease, geoengineering, and AI </w:t>
      </w:r>
      <w:r w:rsidR="000C323A">
        <w:t>–</w:t>
      </w:r>
      <w:r>
        <w:t xml:space="preserve"> </w:t>
      </w:r>
      <w:r w:rsidR="000C323A">
        <w:t>lacking regulation</w:t>
      </w:r>
      <w:r w:rsidR="00524CC9">
        <w:t xml:space="preserve">s ensures </w:t>
      </w:r>
      <w:r w:rsidR="00524CC9">
        <w:rPr>
          <w:u w:val="single"/>
        </w:rPr>
        <w:t>existential threats</w:t>
      </w:r>
      <w:r w:rsidR="000C323A">
        <w:t>.</w:t>
      </w:r>
    </w:p>
    <w:p w14:paraId="13EDFB87" w14:textId="77777777" w:rsidR="008E16EC" w:rsidRPr="00F35535" w:rsidRDefault="008E16EC" w:rsidP="008E16EC">
      <w:pPr>
        <w:rPr>
          <w:b/>
        </w:rPr>
      </w:pPr>
      <w:r w:rsidRPr="00A81F67">
        <w:rPr>
          <w:b/>
        </w:rPr>
        <w:t>Beckstead 14</w:t>
      </w:r>
      <w:r>
        <w:rPr>
          <w:b/>
        </w:rPr>
        <w:t xml:space="preserve"> </w:t>
      </w:r>
      <w:r>
        <w:t>[</w:t>
      </w:r>
      <w:r w:rsidRPr="00BC72B6">
        <w:t xml:space="preserve">Nick Beckstead, PhD-Rutgers, research fellow at the Future of Humanity Institute at Oxford University, oversees the Open Philanthropy Project’s grantmaking in global catastrophic risk reduction, and Toby Ord, Professor of Moral Philosophy at Oxford University and James Martin Research Fellow at the Future of Humanity Institute, Managing Existential Risk From Emerging Technologies, Ch. 10 of INNOVATION: MANAGING RISK, NOT AVOIDING IT, Annual Report of the Government Chief Scientific Adviser, 2014, </w:t>
      </w:r>
      <w:hyperlink r:id="rId277" w:history="1">
        <w:r w:rsidRPr="00BC72B6">
          <w:t>https://www.fhi.ox.ac.uk/wp-content/uploads/Managing-existential-risks-from-Emerging-Technologies.pdf</w:t>
        </w:r>
      </w:hyperlink>
      <w:r>
        <w:t>]</w:t>
      </w:r>
    </w:p>
    <w:p w14:paraId="7877F71E" w14:textId="739D0E68" w:rsidR="008E16EC" w:rsidRDefault="008E16EC" w:rsidP="00516959">
      <w:pPr>
        <w:rPr>
          <w:sz w:val="16"/>
        </w:rPr>
      </w:pPr>
      <w:r w:rsidRPr="008E16EC">
        <w:rPr>
          <w:sz w:val="16"/>
        </w:rPr>
        <w:t xml:space="preserve">Historically, the risks that have arisen from </w:t>
      </w:r>
      <w:r w:rsidRPr="008E16EC">
        <w:rPr>
          <w:rStyle w:val="Emphasis"/>
        </w:rPr>
        <w:t>emerging technologies</w:t>
      </w:r>
      <w:r w:rsidRPr="008E16EC">
        <w:rPr>
          <w:sz w:val="16"/>
        </w:rPr>
        <w:t xml:space="preserve"> have been small when compared with their benefits. The potential exceptions </w:t>
      </w:r>
      <w:r w:rsidRPr="008E16EC">
        <w:rPr>
          <w:rStyle w:val="StyleUnderline"/>
        </w:rPr>
        <w:t xml:space="preserve">are </w:t>
      </w:r>
      <w:r w:rsidRPr="008E16EC">
        <w:rPr>
          <w:rStyle w:val="Emphasis"/>
        </w:rPr>
        <w:t>unprecedented risks</w:t>
      </w:r>
      <w:r w:rsidRPr="008E16EC">
        <w:rPr>
          <w:rStyle w:val="StyleUnderline"/>
        </w:rPr>
        <w:t xml:space="preserve"> that could threaten</w:t>
      </w:r>
      <w:r w:rsidRPr="000C323A">
        <w:t xml:space="preserve"> </w:t>
      </w:r>
      <w:r w:rsidRPr="008E16EC">
        <w:rPr>
          <w:sz w:val="16"/>
        </w:rPr>
        <w:t xml:space="preserve">large parts of the globe, or even </w:t>
      </w:r>
      <w:r w:rsidRPr="008E16EC">
        <w:rPr>
          <w:rStyle w:val="Emphasis"/>
        </w:rPr>
        <w:t>our very survival</w:t>
      </w:r>
      <w:r w:rsidRPr="008E16EC">
        <w:rPr>
          <w:sz w:val="16"/>
        </w:rPr>
        <w:t>1.</w:t>
      </w:r>
    </w:p>
    <w:p w14:paraId="0672C81E" w14:textId="6B3E9D5F" w:rsidR="008E16EC" w:rsidRDefault="008E16EC" w:rsidP="00516959">
      <w:pPr>
        <w:rPr>
          <w:sz w:val="16"/>
        </w:rPr>
      </w:pPr>
      <w:r>
        <w:rPr>
          <w:sz w:val="16"/>
        </w:rPr>
        <w:t>Technology has significantly improved lives in the United Kingdom and the rest of the world. Over the past 150 years, we have become much more prosperous. During this time, the UK average income rose by more than a factor of seven in real terms, much of this driven by improving technology. This increased prosperity has taken millions of people out of absolute poverty and has given everyone many more freedoms in their lives. The past 150 years also saw historically unprecedented improvements in health, with life expectancy in the United Kingdom steadily increasing by two to three years each decade. From a starting point of about 40 years, it has doubled to 80 years2.</w:t>
      </w:r>
    </w:p>
    <w:p w14:paraId="10DB8C5F" w14:textId="17C68C3E" w:rsidR="008E16EC" w:rsidRDefault="008E16EC" w:rsidP="00516959">
      <w:pPr>
        <w:rPr>
          <w:sz w:val="16"/>
        </w:rPr>
      </w:pPr>
      <w:r>
        <w:rPr>
          <w:sz w:val="16"/>
        </w:rPr>
        <w:t>These improvements are not entirely due to technological advances, of course, but a large fraction of them are. We have seen the cost of goods fall dramatically due to mass production, domestic time freed up via labour saving machines at home, and people connected by automobiles, railroads, airplanes, telephones, television, and the Internet. Health has improved through widespread improvements in sanitation, vaccines, antibiotics, blood transfusions, pharmaceuticals, and surgical techniques.</w:t>
      </w:r>
    </w:p>
    <w:p w14:paraId="539B3884" w14:textId="246CF612" w:rsidR="008E16EC" w:rsidRDefault="008E16EC" w:rsidP="00516959">
      <w:pPr>
        <w:rPr>
          <w:sz w:val="16"/>
        </w:rPr>
      </w:pPr>
      <w:r>
        <w:rPr>
          <w:sz w:val="16"/>
        </w:rPr>
        <w:t>These benefits significantly outweigh many kinds of risks that emerging technologies bring, such as those that could threaten workers in industry, local communities, consumers, or the environment. After all, the dramatic improvements in prosperity and health already include all the economic and health costs of accidents and inadvertent consequences during technological development and deployment, and the balance is still overwhelmingly positive.</w:t>
      </w:r>
    </w:p>
    <w:p w14:paraId="3A4B5981" w14:textId="6C5BE9BD" w:rsidR="008E16EC" w:rsidRDefault="008E16EC" w:rsidP="00516959">
      <w:pPr>
        <w:rPr>
          <w:sz w:val="16"/>
        </w:rPr>
      </w:pPr>
      <w:r>
        <w:rPr>
          <w:sz w:val="16"/>
        </w:rPr>
        <w:t>This is not to say that governance does or should ignore mundane risks from new technologies in the future. Good governance may have substantially decreased the risks that we faced over the previous two centuries, and if through careful policy choices we can reduce future risks without much negative impact on these emerging technologies, then we certainly should do so.</w:t>
      </w:r>
    </w:p>
    <w:p w14:paraId="0F657589" w14:textId="77777777" w:rsidR="008E16EC" w:rsidRDefault="008E16EC" w:rsidP="00516959">
      <w:pPr>
        <w:rPr>
          <w:sz w:val="16"/>
        </w:rPr>
      </w:pPr>
      <w:r>
        <w:rPr>
          <w:sz w:val="16"/>
        </w:rPr>
        <w:t xml:space="preserve">However, we may not yet have seen the effects of the most important risks from technological innovation. Over the next few decades, certain </w:t>
      </w:r>
      <w:r w:rsidRPr="008E16EC">
        <w:rPr>
          <w:rStyle w:val="Emphasis"/>
        </w:rPr>
        <w:t>technological advances</w:t>
      </w:r>
      <w:r>
        <w:rPr>
          <w:sz w:val="16"/>
        </w:rPr>
        <w:t xml:space="preserve"> may </w:t>
      </w:r>
      <w:r w:rsidRPr="008E16EC">
        <w:rPr>
          <w:rStyle w:val="StyleUnderline"/>
        </w:rPr>
        <w:t xml:space="preserve">pose </w:t>
      </w:r>
      <w:r w:rsidRPr="008E16EC">
        <w:rPr>
          <w:rStyle w:val="Emphasis"/>
        </w:rPr>
        <w:t>significant</w:t>
      </w:r>
      <w:r w:rsidRPr="008E16EC">
        <w:rPr>
          <w:rStyle w:val="StyleUnderline"/>
        </w:rPr>
        <w:t xml:space="preserve"> and </w:t>
      </w:r>
      <w:r w:rsidRPr="008E16EC">
        <w:rPr>
          <w:rStyle w:val="Emphasis"/>
        </w:rPr>
        <w:t>unprecedented global risks</w:t>
      </w:r>
      <w:r w:rsidRPr="000C323A">
        <w:rPr>
          <w:rStyle w:val="StyleUnderline"/>
        </w:rPr>
        <w:t>. Advances in</w:t>
      </w:r>
      <w:r>
        <w:rPr>
          <w:sz w:val="16"/>
        </w:rPr>
        <w:t xml:space="preserve"> the biosciences and </w:t>
      </w:r>
      <w:r w:rsidRPr="000C323A">
        <w:rPr>
          <w:rStyle w:val="StyleUnderline"/>
        </w:rPr>
        <w:t>biotechnology</w:t>
      </w:r>
      <w:r>
        <w:rPr>
          <w:sz w:val="16"/>
        </w:rPr>
        <w:t xml:space="preserve"> may make it possible to </w:t>
      </w:r>
      <w:r w:rsidRPr="000C323A">
        <w:rPr>
          <w:rStyle w:val="StyleUnderline"/>
        </w:rPr>
        <w:t xml:space="preserve">create bioweapons </w:t>
      </w:r>
      <w:r w:rsidRPr="000C323A">
        <w:rPr>
          <w:rStyle w:val="Emphasis"/>
        </w:rPr>
        <w:t>more dangerous</w:t>
      </w:r>
      <w:r w:rsidRPr="000C323A">
        <w:rPr>
          <w:rStyle w:val="StyleUnderline"/>
        </w:rPr>
        <w:t xml:space="preserve"> than </w:t>
      </w:r>
      <w:r w:rsidRPr="000C323A">
        <w:rPr>
          <w:rStyle w:val="Emphasis"/>
        </w:rPr>
        <w:t>any disease</w:t>
      </w:r>
      <w:r w:rsidRPr="000C323A">
        <w:rPr>
          <w:rStyle w:val="StyleUnderline"/>
        </w:rPr>
        <w:t xml:space="preserve"> humanity</w:t>
      </w:r>
      <w:r>
        <w:rPr>
          <w:sz w:val="16"/>
        </w:rPr>
        <w:t xml:space="preserve"> has </w:t>
      </w:r>
      <w:r w:rsidRPr="000C323A">
        <w:rPr>
          <w:rStyle w:val="StyleUnderline"/>
        </w:rPr>
        <w:t>faced so far</w:t>
      </w:r>
      <w:r w:rsidRPr="000C323A">
        <w:t xml:space="preserve">; </w:t>
      </w:r>
      <w:r w:rsidRPr="008B278F">
        <w:rPr>
          <w:rStyle w:val="Emphasis"/>
        </w:rPr>
        <w:t>geoengineering technologies</w:t>
      </w:r>
      <w:r w:rsidRPr="008B278F">
        <w:rPr>
          <w:rStyle w:val="StyleUnderline"/>
        </w:rPr>
        <w:t xml:space="preserve"> could give </w:t>
      </w:r>
      <w:r w:rsidRPr="008B278F">
        <w:rPr>
          <w:rStyle w:val="Emphasis"/>
        </w:rPr>
        <w:t>individual countries</w:t>
      </w:r>
      <w:r w:rsidRPr="008B278F">
        <w:rPr>
          <w:rStyle w:val="StyleUnderline"/>
        </w:rPr>
        <w:t xml:space="preserve"> the ability to </w:t>
      </w:r>
      <w:r w:rsidRPr="008B278F">
        <w:rPr>
          <w:rStyle w:val="Emphasis"/>
        </w:rPr>
        <w:t>unilaterally alter</w:t>
      </w:r>
      <w:r w:rsidRPr="008B278F">
        <w:rPr>
          <w:rStyle w:val="StyleUnderline"/>
        </w:rPr>
        <w:t xml:space="preserve"> the global climate</w:t>
      </w:r>
      <w:r>
        <w:rPr>
          <w:sz w:val="16"/>
        </w:rPr>
        <w:t xml:space="preserve"> (see case study); </w:t>
      </w:r>
      <w:r w:rsidRPr="008B278F">
        <w:rPr>
          <w:rStyle w:val="Emphasis"/>
        </w:rPr>
        <w:t>rapid advances</w:t>
      </w:r>
      <w:r w:rsidRPr="008B278F">
        <w:rPr>
          <w:rStyle w:val="StyleUnderline"/>
        </w:rPr>
        <w:t xml:space="preserve"> in artificial intelligence could give a single country </w:t>
      </w:r>
      <w:r w:rsidRPr="008B278F">
        <w:rPr>
          <w:rStyle w:val="Emphasis"/>
        </w:rPr>
        <w:t>a decisive strategic advantage</w:t>
      </w:r>
      <w:r>
        <w:rPr>
          <w:sz w:val="16"/>
        </w:rPr>
        <w:t xml:space="preserve">. These </w:t>
      </w:r>
      <w:r w:rsidRPr="008E16EC">
        <w:rPr>
          <w:rStyle w:val="StyleUnderline"/>
        </w:rPr>
        <w:t xml:space="preserve">scenarios are </w:t>
      </w:r>
      <w:r w:rsidRPr="008E16EC">
        <w:rPr>
          <w:rStyle w:val="Emphasis"/>
        </w:rPr>
        <w:t>extreme</w:t>
      </w:r>
      <w:r>
        <w:rPr>
          <w:sz w:val="16"/>
        </w:rPr>
        <w:t xml:space="preserve">, but they are </w:t>
      </w:r>
      <w:r w:rsidRPr="008E16EC">
        <w:rPr>
          <w:rStyle w:val="StyleUnderline"/>
        </w:rPr>
        <w:t>recognized</w:t>
      </w:r>
      <w:r>
        <w:rPr>
          <w:sz w:val="16"/>
        </w:rPr>
        <w:t xml:space="preserve"> as potential low-probability </w:t>
      </w:r>
      <w:r w:rsidRPr="008E16EC">
        <w:rPr>
          <w:rStyle w:val="Emphasis"/>
        </w:rPr>
        <w:t>high-impact events</w:t>
      </w:r>
      <w:r>
        <w:rPr>
          <w:sz w:val="16"/>
        </w:rPr>
        <w:t xml:space="preserve"> by relevant experts. To safely navigate these risks, and harness the potentially great benefits of these new technologies, </w:t>
      </w:r>
      <w:r w:rsidRPr="008E16EC">
        <w:rPr>
          <w:rStyle w:val="StyleUnderline"/>
        </w:rPr>
        <w:t>we must</w:t>
      </w:r>
      <w:r>
        <w:rPr>
          <w:sz w:val="16"/>
        </w:rPr>
        <w:t xml:space="preserve"> continue to develop our understanding of them and </w:t>
      </w:r>
      <w:r w:rsidRPr="008E16EC">
        <w:rPr>
          <w:rStyle w:val="StyleUnderline"/>
        </w:rPr>
        <w:t>ensure</w:t>
      </w:r>
      <w:r>
        <w:rPr>
          <w:sz w:val="16"/>
        </w:rPr>
        <w:t xml:space="preserve"> that the </w:t>
      </w:r>
      <w:r w:rsidRPr="008E16EC">
        <w:rPr>
          <w:rStyle w:val="StyleUnderline"/>
        </w:rPr>
        <w:t>institutions responsible for</w:t>
      </w:r>
      <w:r>
        <w:rPr>
          <w:sz w:val="16"/>
        </w:rPr>
        <w:t xml:space="preserve"> monitoring them and developing </w:t>
      </w:r>
      <w:r w:rsidRPr="008E16EC">
        <w:rPr>
          <w:rStyle w:val="StyleUnderline"/>
        </w:rPr>
        <w:t>policy responses are fit for purpose</w:t>
      </w:r>
      <w:r>
        <w:rPr>
          <w:sz w:val="16"/>
        </w:rPr>
        <w:t>.</w:t>
      </w:r>
    </w:p>
    <w:p w14:paraId="567E9040" w14:textId="6B59A853" w:rsidR="008E16EC" w:rsidRDefault="008E16EC" w:rsidP="00516959">
      <w:pPr>
        <w:rPr>
          <w:sz w:val="16"/>
        </w:rPr>
      </w:pPr>
      <w:r>
        <w:rPr>
          <w:sz w:val="16"/>
        </w:rPr>
        <w:t xml:space="preserve">This chapter explores the high-consequence risks that we can already anticipate; explains market and political challenges to adequately managing these risks; and discusses what we can do today to ensure that we achieve the potential of these technologies while keeping catastrophic threats to an acceptably low level. </w:t>
      </w:r>
      <w:r w:rsidRPr="008E16EC">
        <w:rPr>
          <w:rStyle w:val="StyleUnderline"/>
        </w:rPr>
        <w:t>We need</w:t>
      </w:r>
      <w:r>
        <w:rPr>
          <w:sz w:val="16"/>
        </w:rPr>
        <w:t xml:space="preserve"> to be on our guard to ensure we are equipped to deal with these risks, have the </w:t>
      </w:r>
      <w:r w:rsidRPr="008E16EC">
        <w:rPr>
          <w:rStyle w:val="Emphasis"/>
        </w:rPr>
        <w:t>regulatory vocabulary</w:t>
      </w:r>
      <w:r w:rsidRPr="008E16EC">
        <w:rPr>
          <w:rStyle w:val="StyleUnderline"/>
        </w:rPr>
        <w:t xml:space="preserve"> to manage them appropriately</w:t>
      </w:r>
      <w:r>
        <w:rPr>
          <w:sz w:val="16"/>
        </w:rPr>
        <w:t>, and continue to develop the adaptive institutions necessary for mounting reasonable responses.</w:t>
      </w:r>
    </w:p>
    <w:p w14:paraId="581C6CC1" w14:textId="238CE8F5" w:rsidR="008E16EC" w:rsidRDefault="008E16EC" w:rsidP="00516959">
      <w:pPr>
        <w:rPr>
          <w:sz w:val="16"/>
        </w:rPr>
      </w:pPr>
      <w:r>
        <w:rPr>
          <w:sz w:val="16"/>
        </w:rPr>
        <w:t>Anthropogenic existential risks vs. natural existential risks</w:t>
      </w:r>
    </w:p>
    <w:p w14:paraId="68706679" w14:textId="0E7E257A" w:rsidR="008E16EC" w:rsidRDefault="008E16EC" w:rsidP="00516959">
      <w:pPr>
        <w:rPr>
          <w:sz w:val="16"/>
        </w:rPr>
      </w:pPr>
      <w:r>
        <w:rPr>
          <w:sz w:val="16"/>
        </w:rPr>
        <w:t>An existential risk is defined as a risk that threatens the premature extinction of humanity, or the permanent and drastic destruction of its potential for desirable future development. These risks could originate in nature (as in a large asteroid impact, gamma-ray burst, supernova, supervolcano eruption, or pandemic) or through human action (as in a nuclear war, or in other cases we discuss below). This chapter focuses on anthropogenic existential risks because — as we will now argue — the probability of these risks appears significantly greater.</w:t>
      </w:r>
    </w:p>
    <w:p w14:paraId="3D4301B2" w14:textId="5C915208" w:rsidR="008E16EC" w:rsidRDefault="008E16EC" w:rsidP="00516959">
      <w:pPr>
        <w:rPr>
          <w:sz w:val="16"/>
        </w:rPr>
      </w:pPr>
      <w:r w:rsidRPr="008E16EC">
        <w:rPr>
          <w:rStyle w:val="Emphasis"/>
        </w:rPr>
        <w:t>Historical evidence</w:t>
      </w:r>
      <w:r w:rsidRPr="008E16EC">
        <w:rPr>
          <w:rStyle w:val="StyleUnderline"/>
        </w:rPr>
        <w:t xml:space="preserve"> shows</w:t>
      </w:r>
      <w:r>
        <w:rPr>
          <w:sz w:val="16"/>
        </w:rPr>
        <w:t xml:space="preserve"> that </w:t>
      </w:r>
      <w:r w:rsidRPr="008E16EC">
        <w:rPr>
          <w:rStyle w:val="StyleUnderline"/>
        </w:rPr>
        <w:t>species</w:t>
      </w:r>
      <w:r>
        <w:rPr>
          <w:sz w:val="16"/>
        </w:rPr>
        <w:t xml:space="preserve"> like ours </w:t>
      </w:r>
      <w:r w:rsidRPr="008E16EC">
        <w:rPr>
          <w:rStyle w:val="StyleUnderline"/>
        </w:rPr>
        <w:t xml:space="preserve">are not destroyed by natural catastrophes </w:t>
      </w:r>
      <w:r w:rsidRPr="008E16EC">
        <w:rPr>
          <w:rStyle w:val="Emphasis"/>
        </w:rPr>
        <w:t>very often</w:t>
      </w:r>
      <w:r>
        <w:rPr>
          <w:sz w:val="16"/>
        </w:rPr>
        <w:t xml:space="preserve">. Humans have existed for 200,000 years. Our closest ancestor, Homo erectus, survived for about 1.8 million years. The median mammalian species lasts for about 2.2 million years3. Assuming that the distribution of natural existential catastrophes has not changed, </w:t>
      </w:r>
      <w:r w:rsidRPr="008E16EC">
        <w:rPr>
          <w:rStyle w:val="StyleUnderline"/>
        </w:rPr>
        <w:t xml:space="preserve">we would have been </w:t>
      </w:r>
      <w:r w:rsidRPr="008E16EC">
        <w:rPr>
          <w:rStyle w:val="Emphasis"/>
        </w:rPr>
        <w:t>unlikely</w:t>
      </w:r>
      <w:r w:rsidRPr="008E16EC">
        <w:rPr>
          <w:rStyle w:val="StyleUnderline"/>
        </w:rPr>
        <w:t xml:space="preserve"> to survive as long as we have if the chance of </w:t>
      </w:r>
      <w:r w:rsidRPr="008E16EC">
        <w:rPr>
          <w:rStyle w:val="Emphasis"/>
        </w:rPr>
        <w:t>natural extinction</w:t>
      </w:r>
      <w:r w:rsidRPr="008E16EC">
        <w:rPr>
          <w:rStyle w:val="StyleUnderline"/>
        </w:rPr>
        <w:t xml:space="preserve"> in a given century were greater than</w:t>
      </w:r>
      <w:r>
        <w:rPr>
          <w:sz w:val="16"/>
        </w:rPr>
        <w:t xml:space="preserve"> 1 in 500 or </w:t>
      </w:r>
      <w:r w:rsidRPr="008E16EC">
        <w:rPr>
          <w:rStyle w:val="Emphasis"/>
        </w:rPr>
        <w:t>1 in 5,000</w:t>
      </w:r>
      <w:r>
        <w:rPr>
          <w:sz w:val="16"/>
        </w:rPr>
        <w:t xml:space="preserve"> (since (1 – 1/500)2,000 and (1 – 1/5,000)18,000 are both less than 2%). Consistent with this general argument, </w:t>
      </w:r>
      <w:r w:rsidRPr="008E16EC">
        <w:rPr>
          <w:rStyle w:val="StyleUnderline"/>
        </w:rPr>
        <w:t>all natural existential risks</w:t>
      </w:r>
      <w:r>
        <w:rPr>
          <w:sz w:val="16"/>
        </w:rPr>
        <w:t xml:space="preserve"> are believed to </w:t>
      </w:r>
      <w:r w:rsidRPr="008E16EC">
        <w:rPr>
          <w:rStyle w:val="StyleUnderline"/>
        </w:rPr>
        <w:t xml:space="preserve">have </w:t>
      </w:r>
      <w:r w:rsidRPr="008E16EC">
        <w:rPr>
          <w:rStyle w:val="Emphasis"/>
        </w:rPr>
        <w:t>very small probabilities</w:t>
      </w:r>
      <w:r>
        <w:rPr>
          <w:sz w:val="16"/>
        </w:rPr>
        <w:t xml:space="preserve"> of destroying humanity in the coming century4.</w:t>
      </w:r>
    </w:p>
    <w:p w14:paraId="4E04D9E4" w14:textId="6412E64E" w:rsidR="000C323A" w:rsidRDefault="0057352F" w:rsidP="00516959">
      <w:pPr>
        <w:rPr>
          <w:sz w:val="16"/>
        </w:rPr>
      </w:pPr>
      <w:r>
        <w:rPr>
          <w:sz w:val="16"/>
        </w:rPr>
        <w:t>C</w:t>
      </w:r>
      <w:r w:rsidR="000C323A">
        <w:rPr>
          <w:sz w:val="16"/>
        </w:rPr>
        <w:t>ase study omitted</w:t>
      </w:r>
      <w:r>
        <w:rPr>
          <w:sz w:val="16"/>
        </w:rPr>
        <w:t>.</w:t>
      </w:r>
    </w:p>
    <w:p w14:paraId="699B61B9" w14:textId="49813A6C" w:rsidR="008E16EC" w:rsidRDefault="008E16EC" w:rsidP="00516959">
      <w:pPr>
        <w:rPr>
          <w:sz w:val="16"/>
        </w:rPr>
      </w:pPr>
      <w:r>
        <w:rPr>
          <w:sz w:val="16"/>
        </w:rPr>
        <w:t xml:space="preserve">In contrast, the tentative historical evidence we do have points in the opposite direction for anthropogenic risks. The development of nuclear fission, and the atomic bomb, was the first time in history that a technology created the possibility of destroying most or all of the world’s population. Fortunately we have not yet seen a global nuclear catastrophe, but we have come extremely close. US President John F. Kennedy later confessed that during the Cuban missile crisis, the chances of a nuclear war with Russia seemed to him at the time to be “somewhere between one out of three and even”. In light of this evidence, </w:t>
      </w:r>
      <w:r w:rsidRPr="008E16EC">
        <w:rPr>
          <w:rStyle w:val="StyleUnderline"/>
        </w:rPr>
        <w:t>it is</w:t>
      </w:r>
      <w:r>
        <w:rPr>
          <w:sz w:val="16"/>
        </w:rPr>
        <w:t xml:space="preserve"> intuitively rather </w:t>
      </w:r>
      <w:r w:rsidRPr="008E16EC">
        <w:rPr>
          <w:rStyle w:val="StyleUnderline"/>
        </w:rPr>
        <w:t>unclear</w:t>
      </w:r>
      <w:r>
        <w:rPr>
          <w:sz w:val="16"/>
        </w:rPr>
        <w:t xml:space="preserve"> that </w:t>
      </w:r>
      <w:r w:rsidRPr="008E16EC">
        <w:rPr>
          <w:rStyle w:val="StyleUnderline"/>
        </w:rPr>
        <w:t>we could survive 500</w:t>
      </w:r>
      <w:r>
        <w:rPr>
          <w:sz w:val="16"/>
        </w:rPr>
        <w:t xml:space="preserve"> or 5,000 </w:t>
      </w:r>
      <w:r w:rsidRPr="008E16EC">
        <w:rPr>
          <w:rStyle w:val="StyleUnderline"/>
        </w:rPr>
        <w:t>centuries without facing</w:t>
      </w:r>
      <w:r>
        <w:rPr>
          <w:sz w:val="16"/>
        </w:rPr>
        <w:t xml:space="preserve"> a technologically-driven global catastrophe such as a </w:t>
      </w:r>
      <w:r w:rsidRPr="008E16EC">
        <w:rPr>
          <w:rStyle w:val="StyleUnderline"/>
        </w:rPr>
        <w:t>nuclear war</w:t>
      </w:r>
      <w:r>
        <w:rPr>
          <w:sz w:val="16"/>
        </w:rPr>
        <w:t xml:space="preserve">. We argue that </w:t>
      </w:r>
      <w:r w:rsidRPr="008E16EC">
        <w:rPr>
          <w:rStyle w:val="StyleUnderline"/>
        </w:rPr>
        <w:t xml:space="preserve">in </w:t>
      </w:r>
      <w:r w:rsidRPr="008E16EC">
        <w:rPr>
          <w:rStyle w:val="Emphasis"/>
        </w:rPr>
        <w:t>the coming decades</w:t>
      </w:r>
      <w:r w:rsidRPr="008E16EC">
        <w:rPr>
          <w:rStyle w:val="StyleUnderline"/>
        </w:rPr>
        <w:t>, the world can expect</w:t>
      </w:r>
      <w:r>
        <w:rPr>
          <w:sz w:val="16"/>
        </w:rPr>
        <w:t xml:space="preserve"> to see </w:t>
      </w:r>
      <w:r w:rsidRPr="008E16EC">
        <w:rPr>
          <w:rStyle w:val="Emphasis"/>
        </w:rPr>
        <w:t>several powerful new technologies</w:t>
      </w:r>
      <w:r w:rsidRPr="008E16EC">
        <w:rPr>
          <w:rStyle w:val="StyleUnderline"/>
        </w:rPr>
        <w:t xml:space="preserve"> that</w:t>
      </w:r>
      <w:r>
        <w:rPr>
          <w:sz w:val="16"/>
        </w:rPr>
        <w:t xml:space="preserve"> — by accident or design — may </w:t>
      </w:r>
      <w:r w:rsidRPr="008E16EC">
        <w:rPr>
          <w:rStyle w:val="StyleUnderline"/>
        </w:rPr>
        <w:t xml:space="preserve">pose </w:t>
      </w:r>
      <w:r w:rsidRPr="008E16EC">
        <w:rPr>
          <w:rStyle w:val="Emphasis"/>
        </w:rPr>
        <w:t>equal or greater risks</w:t>
      </w:r>
      <w:r w:rsidRPr="008E16EC">
        <w:rPr>
          <w:rStyle w:val="StyleUnderline"/>
        </w:rPr>
        <w:t xml:space="preserve"> for humanity</w:t>
      </w:r>
      <w:r>
        <w:rPr>
          <w:sz w:val="16"/>
        </w:rPr>
        <w:t xml:space="preserve">. </w:t>
      </w:r>
    </w:p>
    <w:p w14:paraId="26ECF094" w14:textId="77777777" w:rsidR="008E16EC" w:rsidRDefault="008E16EC" w:rsidP="00516959">
      <w:pPr>
        <w:rPr>
          <w:sz w:val="16"/>
        </w:rPr>
      </w:pPr>
      <w:r>
        <w:rPr>
          <w:sz w:val="16"/>
        </w:rPr>
        <w:t>1. Engineered Pathogens</w:t>
      </w:r>
    </w:p>
    <w:p w14:paraId="5524331D" w14:textId="70D4E280" w:rsidR="008E16EC" w:rsidRDefault="008E16EC" w:rsidP="00516959">
      <w:pPr>
        <w:rPr>
          <w:sz w:val="16"/>
        </w:rPr>
      </w:pPr>
      <w:r>
        <w:rPr>
          <w:sz w:val="16"/>
        </w:rPr>
        <w:t xml:space="preserve">Pandemics such as Spanish flu and HIV have killed tens of millions of people. Smallpox alone was responsible for more than 300 million deaths in the first half of the twentieth century. As the ongoing Ebola epidemic reminds us, disease outbreaks remain a potent threat today. However, pressures from natural selection limit the destructive potential of pathogens because a sufficiently virulent, transmissible pathogen would eliminate the host population. As others have argued, and we reiterate below, </w:t>
      </w:r>
      <w:r w:rsidRPr="008E16EC">
        <w:rPr>
          <w:rStyle w:val="Emphasis"/>
        </w:rPr>
        <w:t>bioengineering</w:t>
      </w:r>
      <w:r w:rsidRPr="008E16EC">
        <w:rPr>
          <w:rStyle w:val="StyleUnderline"/>
        </w:rPr>
        <w:t xml:space="preserve"> could</w:t>
      </w:r>
      <w:r>
        <w:rPr>
          <w:sz w:val="16"/>
        </w:rPr>
        <w:t xml:space="preserve"> be used to </w:t>
      </w:r>
      <w:r w:rsidRPr="008E16EC">
        <w:rPr>
          <w:rStyle w:val="StyleUnderline"/>
        </w:rPr>
        <w:t xml:space="preserve">overcome </w:t>
      </w:r>
      <w:r w:rsidRPr="008E16EC">
        <w:rPr>
          <w:rStyle w:val="Emphasis"/>
        </w:rPr>
        <w:t>natural limits</w:t>
      </w:r>
      <w:r w:rsidRPr="008E16EC">
        <w:rPr>
          <w:rStyle w:val="StyleUnderline"/>
        </w:rPr>
        <w:t xml:space="preserve"> on </w:t>
      </w:r>
      <w:r w:rsidRPr="008E16EC">
        <w:rPr>
          <w:rStyle w:val="Emphasis"/>
        </w:rPr>
        <w:t>virulence and transmissibility</w:t>
      </w:r>
      <w:r w:rsidRPr="008E16EC">
        <w:rPr>
          <w:rStyle w:val="StyleUnderline"/>
        </w:rPr>
        <w:t xml:space="preserve">, allowing </w:t>
      </w:r>
      <w:r w:rsidRPr="008E16EC">
        <w:rPr>
          <w:rStyle w:val="Emphasis"/>
        </w:rPr>
        <w:t>pandemics</w:t>
      </w:r>
      <w:r w:rsidRPr="008E16EC">
        <w:rPr>
          <w:rStyle w:val="StyleUnderline"/>
        </w:rPr>
        <w:t xml:space="preserve"> of </w:t>
      </w:r>
      <w:r w:rsidRPr="008E16EC">
        <w:rPr>
          <w:rStyle w:val="Emphasis"/>
        </w:rPr>
        <w:t>unprecedented scale and severity</w:t>
      </w:r>
      <w:r>
        <w:rPr>
          <w:sz w:val="16"/>
        </w:rPr>
        <w:t>.</w:t>
      </w:r>
    </w:p>
    <w:p w14:paraId="6E470D8C" w14:textId="4D22230F" w:rsidR="008E16EC" w:rsidRDefault="008E16EC" w:rsidP="00516959">
      <w:pPr>
        <w:rPr>
          <w:sz w:val="16"/>
        </w:rPr>
      </w:pPr>
      <w:r>
        <w:rPr>
          <w:sz w:val="16"/>
        </w:rPr>
        <w:t>For an example of an increase in fatality rates, consider mousepox, a disease that is normally non-lethal in mice. In 2001, Australian researchers modified mousepox, accidentally increasing its fatality rate to 60%, even in mice with immunity to the original version5 . By 2003, researchers led by Mark Buller found a way to increase the fatality rate to 100%, although the team also found therapies that could protect mice from the engineered version6 .</w:t>
      </w:r>
    </w:p>
    <w:p w14:paraId="13FBEDC8" w14:textId="48B16521" w:rsidR="008E16EC" w:rsidRDefault="008E16EC" w:rsidP="00516959">
      <w:pPr>
        <w:rPr>
          <w:sz w:val="16"/>
        </w:rPr>
      </w:pPr>
      <w:r>
        <w:rPr>
          <w:sz w:val="16"/>
        </w:rPr>
        <w:t>For an example of an increase in transmissibility, consider the ‘gain of function’ experiments on influenza that have enabled airborne transmission of modified strains of H5N1 between ferrets7 . Proponents of such experiments argue that further efforts building on their research “have contributed to our understanding of host adaptation by influenza viruses, the development of vaccines and therapeutics, and improved [disease] surveillance”8 . However, opponents argue that enhancing the transmissibility of H5N1 does little to aid in vaccine development; that long lag times between capturing and sequencing natural flu samples limits the value of this work for surveillance; and that epistasis — in which interactions between genes modulate their overall effects — limits our ability to infer the likely consequences of other genetic mutations in influenza from what we have observed in gainof-function research so far9 .</w:t>
      </w:r>
    </w:p>
    <w:p w14:paraId="63A92734" w14:textId="7CE6999C" w:rsidR="008E16EC" w:rsidRDefault="008E16EC" w:rsidP="00516959">
      <w:pPr>
        <w:rPr>
          <w:sz w:val="16"/>
        </w:rPr>
      </w:pPr>
      <w:r>
        <w:rPr>
          <w:sz w:val="16"/>
        </w:rPr>
        <w:t>Many concerns have been expressed about the catastrophic and existential risks associated with engineered pathogens. For example, George Church, a pioneer in the field of synthetic biology, has said:</w:t>
      </w:r>
    </w:p>
    <w:p w14:paraId="15F76B49" w14:textId="02A10206" w:rsidR="008E16EC" w:rsidRDefault="008E16EC" w:rsidP="00516959">
      <w:pPr>
        <w:rPr>
          <w:sz w:val="16"/>
        </w:rPr>
      </w:pPr>
      <w:r>
        <w:rPr>
          <w:sz w:val="16"/>
        </w:rPr>
        <w:t>“While the likelihood of misuse of oligos to gain access to nearly extinct human viruses (e.g. polio) or novel pathogens (like IL4-poxvirus) is small, the consequences loom larger than chemical and nuclear weapons, since biohazards are inexpensive, can spread rapidly world-wide and evolve on their own.”10</w:t>
      </w:r>
    </w:p>
    <w:p w14:paraId="75B2983F" w14:textId="7B9547A8" w:rsidR="008E16EC" w:rsidRDefault="008E16EC" w:rsidP="00516959">
      <w:pPr>
        <w:rPr>
          <w:sz w:val="16"/>
        </w:rPr>
      </w:pPr>
      <w:r>
        <w:rPr>
          <w:sz w:val="16"/>
        </w:rPr>
        <w:t xml:space="preserve">Similarly, Richard Posner11, Nathan Myhrvold12, and Martin Rees13 have argued that in the future, </w:t>
      </w:r>
      <w:r w:rsidRPr="008E16EC">
        <w:rPr>
          <w:rStyle w:val="StyleUnderline"/>
        </w:rPr>
        <w:t>an engineered pathogen</w:t>
      </w:r>
      <w:r>
        <w:rPr>
          <w:sz w:val="16"/>
        </w:rPr>
        <w:t xml:space="preserve"> with the appropriate combination of virulence, transmissibility and delay of onset in symptoms </w:t>
      </w:r>
      <w:r w:rsidRPr="008E16EC">
        <w:rPr>
          <w:rStyle w:val="StyleUnderline"/>
        </w:rPr>
        <w:t xml:space="preserve">would pose </w:t>
      </w:r>
      <w:r w:rsidRPr="008E16EC">
        <w:rPr>
          <w:rStyle w:val="Emphasis"/>
        </w:rPr>
        <w:t>an existential threat</w:t>
      </w:r>
      <w:r w:rsidRPr="008E16EC">
        <w:rPr>
          <w:rStyle w:val="StyleUnderline"/>
        </w:rPr>
        <w:t xml:space="preserve"> to humanity</w:t>
      </w:r>
      <w:r>
        <w:rPr>
          <w:sz w:val="16"/>
        </w:rPr>
        <w:t xml:space="preserve">. Unfortunately, developments in this field will be much more challenging to control than nuclear weapons because the knowledge and equipment needed to engineer viruses is modest in comparison with what is required to create a nuclear weapon14. It is possible that once the field has matured over the next few decades, </w:t>
      </w:r>
      <w:r w:rsidRPr="008E16EC">
        <w:rPr>
          <w:rStyle w:val="StyleUnderline"/>
        </w:rPr>
        <w:t>a single undetected terrorist group would</w:t>
      </w:r>
      <w:r>
        <w:rPr>
          <w:sz w:val="16"/>
        </w:rPr>
        <w:t xml:space="preserve"> be able to </w:t>
      </w:r>
      <w:r w:rsidRPr="008E16EC">
        <w:rPr>
          <w:rStyle w:val="StyleUnderline"/>
        </w:rPr>
        <w:t>develop and deploy engineered pathogens</w:t>
      </w:r>
      <w:r>
        <w:rPr>
          <w:sz w:val="16"/>
        </w:rPr>
        <w:t>. By the time the field is mature and its knowledge and tools are distributed across the world, it may be very challenging to defend against such a risk.</w:t>
      </w:r>
    </w:p>
    <w:p w14:paraId="5A7567CA" w14:textId="3252565D" w:rsidR="008E16EC" w:rsidRDefault="008E16EC" w:rsidP="00516959">
      <w:pPr>
        <w:rPr>
          <w:sz w:val="16"/>
        </w:rPr>
      </w:pPr>
      <w:r w:rsidRPr="008E16EC">
        <w:rPr>
          <w:rStyle w:val="StyleUnderline"/>
        </w:rPr>
        <w:t>This argues for</w:t>
      </w:r>
      <w:r>
        <w:rPr>
          <w:sz w:val="16"/>
        </w:rPr>
        <w:t xml:space="preserve"> the continuing development of active policy-oriented research, an intelligence service to ensure that we know what misuse some technologies are being put to, and </w:t>
      </w:r>
      <w:r w:rsidRPr="008E16EC">
        <w:rPr>
          <w:rStyle w:val="Emphasis"/>
        </w:rPr>
        <w:t>a mature and adaptive regulatory structure</w:t>
      </w:r>
      <w:r>
        <w:rPr>
          <w:sz w:val="16"/>
        </w:rPr>
        <w:t xml:space="preserve"> in order </w:t>
      </w:r>
      <w:r w:rsidRPr="008E16EC">
        <w:rPr>
          <w:rStyle w:val="StyleUnderline"/>
        </w:rPr>
        <w:t>to ensure</w:t>
      </w:r>
      <w:r>
        <w:rPr>
          <w:sz w:val="16"/>
        </w:rPr>
        <w:t xml:space="preserve"> that </w:t>
      </w:r>
      <w:r w:rsidRPr="008E16EC">
        <w:rPr>
          <w:rStyle w:val="StyleUnderline"/>
        </w:rPr>
        <w:t>civilian use</w:t>
      </w:r>
      <w:r>
        <w:rPr>
          <w:sz w:val="16"/>
        </w:rPr>
        <w:t xml:space="preserve"> of materials </w:t>
      </w:r>
      <w:r w:rsidRPr="008E16EC">
        <w:rPr>
          <w:rStyle w:val="StyleUnderline"/>
        </w:rPr>
        <w:t>can be appropriately developed</w:t>
      </w:r>
      <w:r>
        <w:rPr>
          <w:sz w:val="16"/>
        </w:rPr>
        <w:t xml:space="preserve"> to maximize benefit and minimize risk.</w:t>
      </w:r>
    </w:p>
    <w:p w14:paraId="7DAB2B08" w14:textId="7F481092" w:rsidR="008E16EC" w:rsidRDefault="008E16EC" w:rsidP="00516959">
      <w:pPr>
        <w:rPr>
          <w:sz w:val="16"/>
        </w:rPr>
      </w:pPr>
      <w:r>
        <w:rPr>
          <w:sz w:val="16"/>
        </w:rPr>
        <w:t xml:space="preserve">We raise these potential risks to highlight some worst-case scenarios that deserve further consideration. Advances in these fields are likely to have significant positive consequences in medicine, energy, and agriculture. They may even play an important role in reducing the risk of pandemics, which currently pose a greater threat than the risks described here. </w:t>
      </w:r>
    </w:p>
    <w:p w14:paraId="08D2C451" w14:textId="77777777" w:rsidR="008E16EC" w:rsidRDefault="008E16EC" w:rsidP="00516959">
      <w:pPr>
        <w:rPr>
          <w:sz w:val="16"/>
        </w:rPr>
      </w:pPr>
      <w:r>
        <w:rPr>
          <w:sz w:val="16"/>
        </w:rPr>
        <w:t>2. Artificial Intelligence</w:t>
      </w:r>
    </w:p>
    <w:p w14:paraId="74A47E26" w14:textId="5CE3AF39" w:rsidR="008E16EC" w:rsidRDefault="008E16EC" w:rsidP="00516959">
      <w:pPr>
        <w:rPr>
          <w:sz w:val="16"/>
        </w:rPr>
      </w:pPr>
      <w:r>
        <w:rPr>
          <w:sz w:val="16"/>
        </w:rPr>
        <w:t>Artificial intelligence (AI) is the science and engineering of intelligent machines. Narrow AI systems — such as Deep Blue, stock trading algorithms, or IBM’s Watson — work only in specific domains. In contrast, some researchers are working on AI with general capabilities, which aim to think and plan across all the domains that humans can. This general sort of AI only exists in very primitive forms today15.</w:t>
      </w:r>
    </w:p>
    <w:p w14:paraId="18FD002F" w14:textId="5EA558C5" w:rsidR="008E16EC" w:rsidRDefault="008E16EC" w:rsidP="00516959">
      <w:pPr>
        <w:rPr>
          <w:sz w:val="16"/>
        </w:rPr>
      </w:pPr>
      <w:r>
        <w:rPr>
          <w:sz w:val="16"/>
        </w:rPr>
        <w:t xml:space="preserve">Many people have argued that long-term developments in </w:t>
      </w:r>
      <w:r w:rsidRPr="008E16EC">
        <w:rPr>
          <w:rStyle w:val="Emphasis"/>
        </w:rPr>
        <w:t>artificial intelligence</w:t>
      </w:r>
      <w:r w:rsidRPr="008E16EC">
        <w:rPr>
          <w:rStyle w:val="StyleUnderline"/>
        </w:rPr>
        <w:t xml:space="preserve"> could have </w:t>
      </w:r>
      <w:r w:rsidRPr="008E16EC">
        <w:rPr>
          <w:rStyle w:val="Emphasis"/>
        </w:rPr>
        <w:t>catastrophic consequences</w:t>
      </w:r>
      <w:r w:rsidRPr="008E16EC">
        <w:rPr>
          <w:rStyle w:val="StyleUnderline"/>
        </w:rPr>
        <w:t xml:space="preserve"> for humanity in the coming century</w:t>
      </w:r>
      <w:r>
        <w:rPr>
          <w:sz w:val="16"/>
        </w:rPr>
        <w:t>16, while others are more skeptical17. AI researchers have differing views about when AI systems with advanced general capabilities might be developed, whether such development poses significant risks, and how seriously radical scenarios should be taken. As we’ll see, there are even differing views about how to characterize the distribution of opinion in the field.</w:t>
      </w:r>
    </w:p>
    <w:p w14:paraId="4842C955" w14:textId="099B1957" w:rsidR="008E16EC" w:rsidRDefault="008E16EC" w:rsidP="00516959">
      <w:pPr>
        <w:rPr>
          <w:sz w:val="16"/>
        </w:rPr>
      </w:pPr>
      <w:r>
        <w:rPr>
          <w:sz w:val="16"/>
        </w:rPr>
        <w:t>In 2012, Müller and Bostrom surveyed the 100 most-cited AI researchers to ask them when advanced AI systems might be developed, and what the likely consequences would be. The survey defined a “high-level machine intelligence” (HLMI) as a machine “that can carry out most human professions at least as well as a typical human”, and asked the researchers about which year they would assign a 10%, 50% or 90% subjective probability to such AI being developed. They also asked whether the overall consequences for humanity would be “extremely good”, “on balance good”, “more or less neutral”, “on balance bad”, or “extremely bad (existential catastrophe)”.</w:t>
      </w:r>
    </w:p>
    <w:p w14:paraId="31585D28" w14:textId="0922A39A" w:rsidR="008E16EC" w:rsidRDefault="008E16EC" w:rsidP="00516959">
      <w:pPr>
        <w:rPr>
          <w:sz w:val="16"/>
        </w:rPr>
      </w:pPr>
      <w:r>
        <w:rPr>
          <w:sz w:val="16"/>
        </w:rPr>
        <w:t>The researchers received 29 responses: the median respondent assigned a 10% chance of HLMI by 2024, a 50% chance of HLMI by 2050, and a 90% chance of HLMI by 2070. For the impact on humanity, the median respondent assigned 20% to “extremely good”, 40% to “on balance good”, 19% to “more or less neutral”, 13% to “on balance bad”, and 8% to “extremely bad (existential catastrophe)”18.</w:t>
      </w:r>
    </w:p>
    <w:p w14:paraId="1F92F4C6" w14:textId="7441F16B" w:rsidR="008E16EC" w:rsidRDefault="008E16EC" w:rsidP="00516959">
      <w:pPr>
        <w:rPr>
          <w:sz w:val="16"/>
        </w:rPr>
      </w:pPr>
      <w:r>
        <w:rPr>
          <w:sz w:val="16"/>
        </w:rPr>
        <w:t>In our view, it would be a mistake to take these researchers’ probability estimates at face value, for several reasons. First, the AI researchers’ true expertise is in developing AI systems, not forecasting the consequences for society from radical developments in the field. Second, predictions about the future of AI have a mixed historical track record19. Third, these ‘subjective probabilities’ represent individuals’ personal degrees of confidence, and cannot be taken to be any kind of precise estimate of an objective chance. Fourth, only 29 out of 100 researchers responded to the survey, which therefore may not be representative of the field as a whole.</w:t>
      </w:r>
    </w:p>
    <w:p w14:paraId="7E4FAE4D" w14:textId="123AEB7B" w:rsidR="008E16EC" w:rsidRDefault="008E16EC" w:rsidP="00516959">
      <w:pPr>
        <w:rPr>
          <w:sz w:val="16"/>
        </w:rPr>
      </w:pPr>
      <w:r>
        <w:rPr>
          <w:sz w:val="16"/>
        </w:rPr>
        <w:t>The difficulty in assessing risks from AI is brought out further by a report from the Association for the Advancement of Artificial Intelligence (AAAI), which came to a different conclusion. In February 2009, about 20 leading researchers in AI met to discuss the social impacts of advances in their field. One of three sub-groups focused on potentially radical long-term implications of progress in artificial intelligence. They discussed the possibility of rapid increases in the capabilities of intelligent systems, as well as the possibility of humans losing control of machine intelligences that they had created. The overall perspective and recommendations were summarized as follows:</w:t>
      </w:r>
    </w:p>
    <w:p w14:paraId="78CB7C34" w14:textId="504A0C10" w:rsidR="008E16EC" w:rsidRDefault="008E16EC" w:rsidP="008E16EC">
      <w:pPr>
        <w:ind w:left="720"/>
        <w:rPr>
          <w:sz w:val="16"/>
        </w:rPr>
      </w:pPr>
      <w:r>
        <w:rPr>
          <w:sz w:val="16"/>
        </w:rPr>
        <w:t>• “The first focus group explored concerns expressed by lay people — and as popularized in science fiction for decades — about the long-term outcomes of AI research. Panelists reviewed and assessed popular expectations and concerns. The focus group noted a tendency for the general public, science-fiction writers, and futurists to dwell on radical long</w:t>
      </w:r>
      <w:r w:rsidR="008B278F">
        <w:rPr>
          <w:sz w:val="16"/>
        </w:rPr>
        <w:t>-</w:t>
      </w:r>
      <w:r>
        <w:rPr>
          <w:sz w:val="16"/>
        </w:rPr>
        <w:t>term outcomes of AI research, while overlooking the broad spectrum of opportunities and challenges with developing and fielding applications that leverage different aspects of machine intelligence.”</w:t>
      </w:r>
    </w:p>
    <w:p w14:paraId="71109039" w14:textId="2D3E65D6" w:rsidR="008E16EC" w:rsidRDefault="008E16EC" w:rsidP="008E16EC">
      <w:pPr>
        <w:ind w:left="720"/>
        <w:rPr>
          <w:sz w:val="16"/>
        </w:rPr>
      </w:pPr>
      <w:r>
        <w:rPr>
          <w:sz w:val="16"/>
        </w:rPr>
        <w:t>• “There was overall skepticism about the prospect of an intelligence explosion as well as of a “coming singularity,” and also about the large-scale loss of control of intelligent systems. Nevertheless, there was a shared sense that additional research would be valuable on methods for understanding and verifying the range of behaviors of complex computational systems to minimize unexpected outcomes.”</w:t>
      </w:r>
    </w:p>
    <w:p w14:paraId="1F818B1F" w14:textId="260917E4" w:rsidR="008E16EC" w:rsidRDefault="008E16EC" w:rsidP="008E16EC">
      <w:pPr>
        <w:ind w:left="720"/>
        <w:rPr>
          <w:sz w:val="16"/>
        </w:rPr>
      </w:pPr>
      <w:r>
        <w:rPr>
          <w:sz w:val="16"/>
        </w:rPr>
        <w:t>• “The group suggested outreach and communication to people and organizations about the low likelihood of the radical outcomes, sharing the rationale for the overall comfort of scientists in this realm, and for the need to educate people outside the AI research community about the promise of AI for enhancing the quality of human life in numerous ways, coupled with a re-focusing of attention on actionable, shorter-term challenges.”20</w:t>
      </w:r>
    </w:p>
    <w:p w14:paraId="7D8A5F66" w14:textId="3BFB7A38" w:rsidR="008E16EC" w:rsidRDefault="008E16EC" w:rsidP="00516959">
      <w:pPr>
        <w:rPr>
          <w:sz w:val="16"/>
        </w:rPr>
      </w:pPr>
      <w:r>
        <w:rPr>
          <w:sz w:val="16"/>
        </w:rPr>
        <w:t>This panel gathered prominent people in the field to discuss the social implications of advances in AI in response to concerns from the public and other researchers. They reported on their views about the concerns, recommended plausible avenues for deeper investigation, and highlighted the possible upsides of progress in addition to discussing the downsides. These were valuable contributions.</w:t>
      </w:r>
    </w:p>
    <w:p w14:paraId="538657C7" w14:textId="13C79703" w:rsidR="008E16EC" w:rsidRDefault="008E16EC" w:rsidP="00516959">
      <w:pPr>
        <w:rPr>
          <w:sz w:val="16"/>
        </w:rPr>
      </w:pPr>
      <w:r>
        <w:rPr>
          <w:sz w:val="16"/>
        </w:rPr>
        <w:t xml:space="preserve">However, the event had shortcomings as well. First, there is reason to doubt that the AAAI panel succeeded in accurately reporting the field’s level of concern about future developments in AI. Recent commentary on these issues from AI researchers has struck a different tone. For instance, the survey discussed above seems to indicate more widespread concern. Moreover, </w:t>
      </w:r>
      <w:r w:rsidRPr="008B278F">
        <w:rPr>
          <w:rStyle w:val="StyleUnderline"/>
        </w:rPr>
        <w:t xml:space="preserve">Stuart Russell — </w:t>
      </w:r>
      <w:r w:rsidRPr="008B278F">
        <w:rPr>
          <w:rStyle w:val="Emphasis"/>
        </w:rPr>
        <w:t>a leader</w:t>
      </w:r>
      <w:r w:rsidRPr="008B278F">
        <w:rPr>
          <w:rStyle w:val="StyleUnderline"/>
        </w:rPr>
        <w:t xml:space="preserve"> in the field and author of </w:t>
      </w:r>
      <w:r w:rsidRPr="008B278F">
        <w:rPr>
          <w:rStyle w:val="Emphasis"/>
        </w:rPr>
        <w:t>the most-used textbook in AI</w:t>
      </w:r>
      <w:r w:rsidRPr="008B278F">
        <w:rPr>
          <w:rStyle w:val="StyleUnderline"/>
        </w:rPr>
        <w:t xml:space="preserve"> — has </w:t>
      </w:r>
      <w:r w:rsidRPr="008B278F">
        <w:rPr>
          <w:rStyle w:val="Emphasis"/>
        </w:rPr>
        <w:t>begun publicly discussing</w:t>
      </w:r>
      <w:r w:rsidRPr="008B278F">
        <w:rPr>
          <w:rStyle w:val="StyleUnderline"/>
        </w:rPr>
        <w:t xml:space="preserve"> AI as</w:t>
      </w:r>
      <w:r>
        <w:rPr>
          <w:sz w:val="16"/>
        </w:rPr>
        <w:t xml:space="preserve"> a potential </w:t>
      </w:r>
      <w:r w:rsidRPr="008B278F">
        <w:rPr>
          <w:rStyle w:val="Emphasis"/>
        </w:rPr>
        <w:t>existential risk</w:t>
      </w:r>
      <w:r>
        <w:rPr>
          <w:sz w:val="16"/>
        </w:rPr>
        <w:t>21.</w:t>
      </w:r>
    </w:p>
    <w:p w14:paraId="1524C789" w14:textId="34D4D1D9" w:rsidR="008E16EC" w:rsidRDefault="008E16EC" w:rsidP="00516959">
      <w:pPr>
        <w:rPr>
          <w:sz w:val="16"/>
        </w:rPr>
      </w:pPr>
      <w:r>
        <w:rPr>
          <w:sz w:val="16"/>
        </w:rPr>
        <w:t xml:space="preserve">In addition, the AAAI panel did not significantly engage with concerned researchers and members of the public, who had no representatives at the conference, and the AAAI panel did not explain their reasons for being sceptical of concerns about the long-term implications of AI, contrary to standard recommendations for ‘inclusion’ or ‘engagement’ in the field of responsible innovation22. In place of arguments, they offered language suggesting that these concerns were primarily held by “non-experts” and belonged in the realm of science fiction. It’s questionable whether there is genuine expertise in predicting the long-term future of AI at all23, and unclear how much better AI researchers would be than other informed people. But this kind of dismissal is especially questionable in light of the fact that </w:t>
      </w:r>
      <w:r w:rsidRPr="008B278F">
        <w:rPr>
          <w:rStyle w:val="Emphasis"/>
        </w:rPr>
        <w:t>many AI researchers</w:t>
      </w:r>
      <w:r>
        <w:rPr>
          <w:sz w:val="16"/>
        </w:rPr>
        <w:t xml:space="preserve"> in the survey mentioned above </w:t>
      </w:r>
      <w:r w:rsidRPr="008B278F">
        <w:rPr>
          <w:rStyle w:val="StyleUnderline"/>
        </w:rPr>
        <w:t>thought the risk of “</w:t>
      </w:r>
      <w:r w:rsidRPr="008B278F">
        <w:rPr>
          <w:rStyle w:val="Emphasis"/>
        </w:rPr>
        <w:t>extremely bad</w:t>
      </w:r>
      <w:r w:rsidRPr="008B278F">
        <w:rPr>
          <w:rStyle w:val="StyleUnderline"/>
        </w:rPr>
        <w:t xml:space="preserve">” outcomes for humanity from </w:t>
      </w:r>
      <w:r w:rsidRPr="008B278F">
        <w:rPr>
          <w:rStyle w:val="Emphasis"/>
        </w:rPr>
        <w:t>long-term progress</w:t>
      </w:r>
      <w:r w:rsidRPr="008B278F">
        <w:rPr>
          <w:rStyle w:val="StyleUnderline"/>
        </w:rPr>
        <w:t xml:space="preserve"> in AI had probabilities that were </w:t>
      </w:r>
      <w:r w:rsidRPr="008B278F">
        <w:rPr>
          <w:rStyle w:val="Emphasis"/>
        </w:rPr>
        <w:t>far from negligible</w:t>
      </w:r>
      <w:r>
        <w:rPr>
          <w:sz w:val="16"/>
        </w:rPr>
        <w:t>. At present, there is no indication that the concerns of the public and researchers in other fields have been assuaged by the AAAI panel’s interim report or any subsequent outreach effort.</w:t>
      </w:r>
    </w:p>
    <w:p w14:paraId="0AB0BA46" w14:textId="43BD9F9F" w:rsidR="008E16EC" w:rsidRDefault="008E16EC" w:rsidP="00516959">
      <w:pPr>
        <w:rPr>
          <w:sz w:val="16"/>
        </w:rPr>
      </w:pPr>
      <w:r>
        <w:rPr>
          <w:sz w:val="16"/>
        </w:rPr>
        <w:t xml:space="preserve">What then, if anything, can we infer from these two different pieces of work? The survey suggests that some AI researchers believe that the development of advanced AI systems poses non-negligible risks of extremely bad outcomes for humanity, whilst the AAAI panel was skeptical of radical outcomes. Under these circumstances, </w:t>
      </w:r>
      <w:r w:rsidRPr="008B278F">
        <w:rPr>
          <w:rStyle w:val="StyleUnderline"/>
        </w:rPr>
        <w:t xml:space="preserve">it is </w:t>
      </w:r>
      <w:r w:rsidRPr="008B278F">
        <w:rPr>
          <w:rStyle w:val="Emphasis"/>
        </w:rPr>
        <w:t>impossible</w:t>
      </w:r>
      <w:r w:rsidRPr="008B278F">
        <w:rPr>
          <w:rStyle w:val="StyleUnderline"/>
        </w:rPr>
        <w:t xml:space="preserve"> to rule out</w:t>
      </w:r>
      <w:r>
        <w:rPr>
          <w:sz w:val="16"/>
        </w:rPr>
        <w:t xml:space="preserve"> the possibility of </w:t>
      </w:r>
      <w:r w:rsidRPr="008B278F">
        <w:rPr>
          <w:rStyle w:val="Emphasis"/>
        </w:rPr>
        <w:t>a genuine risk</w:t>
      </w:r>
      <w:r>
        <w:rPr>
          <w:sz w:val="16"/>
        </w:rPr>
        <w:t>, making a case for deeper investigation of the potential problem and the possible responses and including long-term risks from AI in horizon-scanning efforts by government.</w:t>
      </w:r>
    </w:p>
    <w:p w14:paraId="01E18CA8" w14:textId="76007685" w:rsidR="008B278F" w:rsidRDefault="008B278F" w:rsidP="00516959">
      <w:pPr>
        <w:rPr>
          <w:sz w:val="16"/>
        </w:rPr>
      </w:pPr>
      <w:r>
        <w:rPr>
          <w:sz w:val="16"/>
        </w:rPr>
        <w:t>Challenges of managing existential risks from emerging technology</w:t>
      </w:r>
    </w:p>
    <w:p w14:paraId="627F4AB6" w14:textId="5D8D429A" w:rsidR="008B278F" w:rsidRDefault="008B278F" w:rsidP="00516959">
      <w:pPr>
        <w:rPr>
          <w:sz w:val="16"/>
        </w:rPr>
      </w:pPr>
      <w:r w:rsidRPr="008B278F">
        <w:rPr>
          <w:rStyle w:val="Emphasis"/>
        </w:rPr>
        <w:t>Existential risks</w:t>
      </w:r>
      <w:r w:rsidRPr="008B278F">
        <w:rPr>
          <w:rStyle w:val="StyleUnderline"/>
        </w:rPr>
        <w:t xml:space="preserve"> from </w:t>
      </w:r>
      <w:r w:rsidRPr="008B278F">
        <w:rPr>
          <w:rStyle w:val="Emphasis"/>
        </w:rPr>
        <w:t>emerging technologies</w:t>
      </w:r>
      <w:r w:rsidRPr="008B278F">
        <w:rPr>
          <w:rStyle w:val="StyleUnderline"/>
        </w:rPr>
        <w:t xml:space="preserve"> pose </w:t>
      </w:r>
      <w:r w:rsidRPr="008B278F">
        <w:rPr>
          <w:rStyle w:val="Emphasis"/>
        </w:rPr>
        <w:t>distinctive challenges</w:t>
      </w:r>
      <w:r w:rsidRPr="008B278F">
        <w:rPr>
          <w:rStyle w:val="StyleUnderline"/>
        </w:rPr>
        <w:t xml:space="preserve"> for regulation</w:t>
      </w:r>
      <w:r>
        <w:rPr>
          <w:sz w:val="16"/>
        </w:rPr>
        <w:t>, for the following reasons:</w:t>
      </w:r>
    </w:p>
    <w:p w14:paraId="62320B2E" w14:textId="37471122" w:rsidR="008B278F" w:rsidRDefault="008B278F" w:rsidP="00516959">
      <w:pPr>
        <w:rPr>
          <w:sz w:val="16"/>
        </w:rPr>
      </w:pPr>
      <w:r>
        <w:rPr>
          <w:sz w:val="16"/>
        </w:rPr>
        <w:t xml:space="preserve">1. The </w:t>
      </w:r>
      <w:r w:rsidRPr="008B278F">
        <w:rPr>
          <w:rStyle w:val="StyleUnderline"/>
        </w:rPr>
        <w:t>stakes</w:t>
      </w:r>
      <w:r>
        <w:rPr>
          <w:sz w:val="16"/>
        </w:rPr>
        <w:t xml:space="preserve"> involved in an existential catastrophe </w:t>
      </w:r>
      <w:r w:rsidRPr="008B278F">
        <w:rPr>
          <w:rStyle w:val="StyleUnderline"/>
        </w:rPr>
        <w:t xml:space="preserve">are </w:t>
      </w:r>
      <w:r w:rsidRPr="008B278F">
        <w:rPr>
          <w:rStyle w:val="Emphasis"/>
        </w:rPr>
        <w:t>extremely large</w:t>
      </w:r>
      <w:r>
        <w:rPr>
          <w:sz w:val="16"/>
        </w:rPr>
        <w:t>, so even an extremely small risk can carry an unacceptably large expected cost24. Therefore, we should seek a high degree of certainty that all reasonable steps have been taken to minimize existential risks with a sufficient baseline of scientific plausibility.</w:t>
      </w:r>
    </w:p>
    <w:p w14:paraId="29A09B02" w14:textId="5791A907" w:rsidR="008B278F" w:rsidRDefault="008B278F" w:rsidP="00516959">
      <w:pPr>
        <w:rPr>
          <w:sz w:val="16"/>
        </w:rPr>
      </w:pPr>
      <w:r>
        <w:rPr>
          <w:sz w:val="16"/>
        </w:rPr>
        <w:t xml:space="preserve">2. </w:t>
      </w:r>
      <w:r w:rsidRPr="008B278F">
        <w:rPr>
          <w:rStyle w:val="StyleUnderline"/>
        </w:rPr>
        <w:t xml:space="preserve">All of the </w:t>
      </w:r>
      <w:r w:rsidRPr="008B278F">
        <w:rPr>
          <w:rStyle w:val="Emphasis"/>
        </w:rPr>
        <w:t>technologies</w:t>
      </w:r>
      <w:r>
        <w:rPr>
          <w:sz w:val="16"/>
        </w:rPr>
        <w:t xml:space="preserve"> discussed above </w:t>
      </w:r>
      <w:r w:rsidRPr="008B278F">
        <w:rPr>
          <w:rStyle w:val="StyleUnderline"/>
        </w:rPr>
        <w:t>are</w:t>
      </w:r>
      <w:r>
        <w:rPr>
          <w:sz w:val="16"/>
        </w:rPr>
        <w:t xml:space="preserve"> likely to be </w:t>
      </w:r>
      <w:r w:rsidRPr="008B278F">
        <w:rPr>
          <w:rStyle w:val="StyleUnderline"/>
        </w:rPr>
        <w:t>difficult to control (</w:t>
      </w:r>
      <w:r w:rsidRPr="008B278F">
        <w:rPr>
          <w:rStyle w:val="Emphasis"/>
        </w:rPr>
        <w:t>much harder</w:t>
      </w:r>
      <w:r w:rsidRPr="008B278F">
        <w:rPr>
          <w:rStyle w:val="StyleUnderline"/>
        </w:rPr>
        <w:t xml:space="preserve"> than nuclear weapons). Small states or even non-state actors may</w:t>
      </w:r>
      <w:r>
        <w:rPr>
          <w:sz w:val="16"/>
        </w:rPr>
        <w:t xml:space="preserve"> eventually be able to </w:t>
      </w:r>
      <w:r w:rsidRPr="008B278F">
        <w:rPr>
          <w:rStyle w:val="StyleUnderline"/>
        </w:rPr>
        <w:t xml:space="preserve">cause </w:t>
      </w:r>
      <w:r w:rsidRPr="008B278F">
        <w:rPr>
          <w:rStyle w:val="Emphasis"/>
        </w:rPr>
        <w:t>major global problems</w:t>
      </w:r>
      <w:r>
        <w:rPr>
          <w:sz w:val="16"/>
        </w:rPr>
        <w:t>.</w:t>
      </w:r>
    </w:p>
    <w:p w14:paraId="350327E9" w14:textId="0EBF482B" w:rsidR="008B278F" w:rsidRDefault="008B278F" w:rsidP="00516959">
      <w:pPr>
        <w:rPr>
          <w:sz w:val="16"/>
        </w:rPr>
      </w:pPr>
      <w:r>
        <w:rPr>
          <w:sz w:val="16"/>
        </w:rPr>
        <w:t xml:space="preserve">3. The </w:t>
      </w:r>
      <w:r w:rsidRPr="008B278F">
        <w:rPr>
          <w:rStyle w:val="StyleUnderline"/>
        </w:rPr>
        <w:t>development</w:t>
      </w:r>
      <w:r>
        <w:rPr>
          <w:sz w:val="16"/>
        </w:rPr>
        <w:t xml:space="preserve"> of these technologies </w:t>
      </w:r>
      <w:r w:rsidRPr="008B278F">
        <w:rPr>
          <w:rStyle w:val="StyleUnderline"/>
        </w:rPr>
        <w:t xml:space="preserve">may be </w:t>
      </w:r>
      <w:r w:rsidRPr="008B278F">
        <w:rPr>
          <w:rStyle w:val="Emphasis"/>
        </w:rPr>
        <w:t>unexpectedly rapid</w:t>
      </w:r>
      <w:r w:rsidRPr="008B278F">
        <w:rPr>
          <w:rStyle w:val="StyleUnderline"/>
        </w:rPr>
        <w:t xml:space="preserve">, catching the political </w:t>
      </w:r>
      <w:r w:rsidRPr="008B278F">
        <w:rPr>
          <w:rStyle w:val="Emphasis"/>
        </w:rPr>
        <w:t>world off guard</w:t>
      </w:r>
      <w:r>
        <w:rPr>
          <w:sz w:val="16"/>
        </w:rPr>
        <w:t>. This highlights the importance of carefully considering existential risks in the context of horizon-scanning efforts, foresight programs, risk and uncertainty assessments, and policy-oriented research.</w:t>
      </w:r>
    </w:p>
    <w:p w14:paraId="7C6EEC6E" w14:textId="2CBE5228" w:rsidR="008B278F" w:rsidRDefault="008B278F" w:rsidP="00516959">
      <w:pPr>
        <w:rPr>
          <w:sz w:val="16"/>
        </w:rPr>
      </w:pPr>
      <w:r>
        <w:rPr>
          <w:sz w:val="16"/>
        </w:rPr>
        <w:t xml:space="preserve">4. Unlike risks with smaller stakes, </w:t>
      </w:r>
      <w:r w:rsidRPr="008B278F">
        <w:rPr>
          <w:rStyle w:val="StyleUnderline"/>
        </w:rPr>
        <w:t>we cannot rely on</w:t>
      </w:r>
      <w:r>
        <w:rPr>
          <w:sz w:val="16"/>
        </w:rPr>
        <w:t xml:space="preserve"> learning to manage existential risks through </w:t>
      </w:r>
      <w:r w:rsidRPr="008B278F">
        <w:rPr>
          <w:rStyle w:val="StyleUnderline"/>
        </w:rPr>
        <w:t xml:space="preserve">trial and error. Instead, it is important for government to investigate </w:t>
      </w:r>
      <w:r w:rsidRPr="008B278F">
        <w:rPr>
          <w:rStyle w:val="Emphasis"/>
        </w:rPr>
        <w:t>potential existential risks</w:t>
      </w:r>
      <w:r w:rsidRPr="008B278F">
        <w:rPr>
          <w:rStyle w:val="StyleUnderline"/>
        </w:rPr>
        <w:t xml:space="preserve"> and develop appropriate responses </w:t>
      </w:r>
      <w:r w:rsidRPr="008B278F">
        <w:rPr>
          <w:rStyle w:val="Emphasis"/>
        </w:rPr>
        <w:t>even when</w:t>
      </w:r>
      <w:r w:rsidRPr="008B278F">
        <w:rPr>
          <w:rStyle w:val="StyleUnderline"/>
        </w:rPr>
        <w:t xml:space="preserve"> the</w:t>
      </w:r>
      <w:r>
        <w:rPr>
          <w:sz w:val="16"/>
        </w:rPr>
        <w:t xml:space="preserve"> potential </w:t>
      </w:r>
      <w:r w:rsidRPr="008B278F">
        <w:rPr>
          <w:rStyle w:val="StyleUnderline"/>
        </w:rPr>
        <w:t xml:space="preserve">threat and options for mitigating it are </w:t>
      </w:r>
      <w:r w:rsidRPr="008B278F">
        <w:rPr>
          <w:rStyle w:val="Emphasis"/>
        </w:rPr>
        <w:t>highly uncertain or speculative</w:t>
      </w:r>
      <w:r>
        <w:rPr>
          <w:sz w:val="16"/>
        </w:rPr>
        <w:t>.</w:t>
      </w:r>
    </w:p>
    <w:p w14:paraId="7CCB824F" w14:textId="77777777" w:rsidR="00516959" w:rsidRPr="009B0F77" w:rsidRDefault="00516959" w:rsidP="00516959">
      <w:pPr>
        <w:pStyle w:val="Heading3"/>
      </w:pPr>
      <w:r>
        <w:t>2NC – OV</w:t>
      </w:r>
    </w:p>
    <w:p w14:paraId="26530DE8" w14:textId="77777777" w:rsidR="00516959" w:rsidRDefault="00516959" w:rsidP="00516959">
      <w:pPr>
        <w:pStyle w:val="Heading4"/>
      </w:pPr>
      <w:r>
        <w:rPr>
          <w:i/>
          <w:iCs w:val="0"/>
        </w:rPr>
        <w:t>Chevron’s</w:t>
      </w:r>
      <w:r>
        <w:t xml:space="preserve"> </w:t>
      </w:r>
      <w:r>
        <w:rPr>
          <w:u w:val="single"/>
        </w:rPr>
        <w:t>indispensable</w:t>
      </w:r>
      <w:r>
        <w:t xml:space="preserve"> for solving existential threats.</w:t>
      </w:r>
    </w:p>
    <w:p w14:paraId="5B4944D6" w14:textId="77777777" w:rsidR="00516959" w:rsidRPr="008A6986" w:rsidRDefault="00516959" w:rsidP="00516959">
      <w:r w:rsidRPr="00A45D57">
        <w:rPr>
          <w:rStyle w:val="Style13ptBold"/>
        </w:rPr>
        <w:t>Bazelon &amp; Posner 17</w:t>
      </w:r>
      <w:r>
        <w:t xml:space="preserve"> – Emily Bazelon, staff writer. Eric Posner, Law Professor at the University of Chicago. [The Government Gorsuch Wants to Undo, 4-1-17, https://www.nytimes.com/2017/04/01/sunday-review/the-government-gorsuch-wants-to-undo.html]//BPS</w:t>
      </w:r>
    </w:p>
    <w:p w14:paraId="24E2B17E" w14:textId="77777777" w:rsidR="00516959" w:rsidRPr="008A6986" w:rsidRDefault="00516959" w:rsidP="00516959">
      <w:pPr>
        <w:rPr>
          <w:sz w:val="16"/>
        </w:rPr>
      </w:pPr>
      <w:r w:rsidRPr="008A6986">
        <w:rPr>
          <w:sz w:val="16"/>
        </w:rPr>
        <w:t xml:space="preserve">The </w:t>
      </w:r>
      <w:r w:rsidRPr="00456038">
        <w:rPr>
          <w:rStyle w:val="Emphasis"/>
          <w:highlight w:val="cyan"/>
        </w:rPr>
        <w:t>80 years of law</w:t>
      </w:r>
      <w:r w:rsidRPr="008A6986">
        <w:rPr>
          <w:sz w:val="16"/>
        </w:rPr>
        <w:t xml:space="preserve"> that </w:t>
      </w:r>
      <w:r w:rsidRPr="00CF18E0">
        <w:rPr>
          <w:rStyle w:val="StyleUnderline"/>
        </w:rPr>
        <w:t xml:space="preserve">are </w:t>
      </w:r>
      <w:r w:rsidRPr="00456038">
        <w:rPr>
          <w:rStyle w:val="Emphasis"/>
          <w:highlight w:val="cyan"/>
        </w:rPr>
        <w:t>at stake</w:t>
      </w:r>
      <w:r w:rsidRPr="008A6986">
        <w:rPr>
          <w:sz w:val="16"/>
        </w:rPr>
        <w:t xml:space="preserve"> began with the New Deal. President Franklin D. Roosevelt believed that the Great Depression was caused in part by ruinous competition among companies. In 1933, Congress passed the National Industrial Recovery Act, which allowed the president to approve “fair competition” standards for different trades and industries. The next year, Roosevelt approved a code for the poultry industry, which, among other things, set a minimum wage and maximum hours for workers, and hygiene requirements for slaughterhouses. Such basic workplace protections and constraints on the free market are now taken for granted.</w:t>
      </w:r>
    </w:p>
    <w:p w14:paraId="27BFE9E5" w14:textId="77777777" w:rsidR="00516959" w:rsidRPr="008A6986" w:rsidRDefault="00516959" w:rsidP="00516959">
      <w:pPr>
        <w:rPr>
          <w:sz w:val="16"/>
        </w:rPr>
      </w:pPr>
      <w:r w:rsidRPr="008A6986">
        <w:rPr>
          <w:sz w:val="16"/>
        </w:rPr>
        <w:t>But in 1935, after a New York City slaughterhouse operator was convicted of violating the poultry code, the Supreme Court called into question the whole approach of the New Deal, by holding that the N.I.R.A. was an “unconstitutional delegation by Congress of a legislative power.” Only Congress can create rules like the poultry code, the justices said. Because Congress did not define “fair competition,” leaving the rule-making to the president, the N.I.R.A. violated the Constitution’s separation of powers.</w:t>
      </w:r>
    </w:p>
    <w:p w14:paraId="087CB5BC" w14:textId="77777777" w:rsidR="00516959" w:rsidRPr="008A6986" w:rsidRDefault="00516959" w:rsidP="00516959">
      <w:pPr>
        <w:rPr>
          <w:sz w:val="16"/>
        </w:rPr>
      </w:pPr>
      <w:r w:rsidRPr="008A6986">
        <w:rPr>
          <w:sz w:val="16"/>
        </w:rPr>
        <w:t xml:space="preserve">The court’s ruling in Schechter Poultry Corp. v. the United States, along with another case decided the same year, are the only instances in which the Supreme Court has ever struck down a federal statute based on this rationale, known as the “nondelegation doctrine.” Schechter Poultry’s stand against executive-branch rule-making proved to be a legal dead end, and for good reason. As the court has recognized over and over, before and since 1935, Congress is a cumbersome body that moves slowly in the best of times, while the economy is an incredibly dynamic system. For the sake of business as well as labor, </w:t>
      </w:r>
      <w:r w:rsidRPr="00AC3400">
        <w:rPr>
          <w:rStyle w:val="Emphasis"/>
        </w:rPr>
        <w:t xml:space="preserve">the </w:t>
      </w:r>
      <w:r w:rsidRPr="00456038">
        <w:rPr>
          <w:rStyle w:val="Emphasis"/>
          <w:highlight w:val="cyan"/>
        </w:rPr>
        <w:t>updating</w:t>
      </w:r>
      <w:r w:rsidRPr="00AC3400">
        <w:rPr>
          <w:rStyle w:val="Emphasis"/>
        </w:rPr>
        <w:t xml:space="preserve"> of </w:t>
      </w:r>
      <w:r w:rsidRPr="00456038">
        <w:rPr>
          <w:rStyle w:val="Emphasis"/>
          <w:highlight w:val="cyan"/>
        </w:rPr>
        <w:t>regulations</w:t>
      </w:r>
      <w:r w:rsidRPr="00456038">
        <w:rPr>
          <w:rStyle w:val="StyleUnderline"/>
          <w:highlight w:val="cyan"/>
        </w:rPr>
        <w:t xml:space="preserve"> can’t wait for Congress</w:t>
      </w:r>
      <w:r w:rsidRPr="00AC3400">
        <w:rPr>
          <w:rStyle w:val="StyleUnderline"/>
        </w:rPr>
        <w:t xml:space="preserve"> to give </w:t>
      </w:r>
      <w:r w:rsidRPr="00AC3400">
        <w:rPr>
          <w:rStyle w:val="Emphasis"/>
        </w:rPr>
        <w:t>highly specific</w:t>
      </w:r>
      <w:r w:rsidRPr="00AC3400">
        <w:rPr>
          <w:rStyle w:val="StyleUnderline"/>
        </w:rPr>
        <w:t xml:space="preserve"> and </w:t>
      </w:r>
      <w:r w:rsidRPr="00AC3400">
        <w:rPr>
          <w:rStyle w:val="Emphasis"/>
        </w:rPr>
        <w:t>detailed directions</w:t>
      </w:r>
      <w:r w:rsidRPr="008A6986">
        <w:rPr>
          <w:sz w:val="16"/>
        </w:rPr>
        <w:t>.</w:t>
      </w:r>
    </w:p>
    <w:p w14:paraId="3354A1F9" w14:textId="77777777" w:rsidR="00516959" w:rsidRPr="008A6986" w:rsidRDefault="00516959" w:rsidP="00516959">
      <w:pPr>
        <w:rPr>
          <w:sz w:val="16"/>
        </w:rPr>
      </w:pPr>
      <w:r w:rsidRPr="00AC3400">
        <w:rPr>
          <w:rStyle w:val="StyleUnderline"/>
        </w:rPr>
        <w:t xml:space="preserve">The New Deal filled the gap by giving </w:t>
      </w:r>
      <w:r w:rsidRPr="00AC3400">
        <w:rPr>
          <w:rStyle w:val="Emphasis"/>
        </w:rPr>
        <w:t>policy-making authority</w:t>
      </w:r>
      <w:r w:rsidRPr="00AC3400">
        <w:rPr>
          <w:rStyle w:val="StyleUnderline"/>
        </w:rPr>
        <w:t xml:space="preserve"> to agencies, including the </w:t>
      </w:r>
      <w:r w:rsidRPr="00AC3400">
        <w:rPr>
          <w:rStyle w:val="Emphasis"/>
        </w:rPr>
        <w:t>S</w:t>
      </w:r>
      <w:r w:rsidRPr="008A6986">
        <w:rPr>
          <w:sz w:val="16"/>
        </w:rPr>
        <w:t xml:space="preserve">ecurities and </w:t>
      </w:r>
      <w:r w:rsidRPr="00AC3400">
        <w:rPr>
          <w:rStyle w:val="Emphasis"/>
        </w:rPr>
        <w:t>E</w:t>
      </w:r>
      <w:r w:rsidRPr="008A6986">
        <w:rPr>
          <w:sz w:val="16"/>
        </w:rPr>
        <w:t xml:space="preserve">xchange </w:t>
      </w:r>
      <w:r w:rsidRPr="00AC3400">
        <w:rPr>
          <w:rStyle w:val="Emphasis"/>
        </w:rPr>
        <w:t>C</w:t>
      </w:r>
      <w:r w:rsidRPr="008A6986">
        <w:rPr>
          <w:sz w:val="16"/>
        </w:rPr>
        <w:t xml:space="preserve">ommission, which protects investors, and </w:t>
      </w:r>
      <w:r w:rsidRPr="00AC3400">
        <w:rPr>
          <w:rStyle w:val="StyleUnderline"/>
        </w:rPr>
        <w:t xml:space="preserve">the </w:t>
      </w:r>
      <w:r w:rsidRPr="00AC3400">
        <w:rPr>
          <w:rStyle w:val="Emphasis"/>
        </w:rPr>
        <w:t>N</w:t>
      </w:r>
      <w:r w:rsidRPr="008A6986">
        <w:rPr>
          <w:sz w:val="16"/>
        </w:rPr>
        <w:t xml:space="preserve">ational </w:t>
      </w:r>
      <w:r w:rsidRPr="00AC3400">
        <w:rPr>
          <w:rStyle w:val="Emphasis"/>
        </w:rPr>
        <w:t>L</w:t>
      </w:r>
      <w:r w:rsidRPr="008A6986">
        <w:rPr>
          <w:sz w:val="16"/>
        </w:rPr>
        <w:t xml:space="preserve">abor </w:t>
      </w:r>
      <w:r w:rsidRPr="00AC3400">
        <w:rPr>
          <w:rStyle w:val="Emphasis"/>
        </w:rPr>
        <w:t>R</w:t>
      </w:r>
      <w:r w:rsidRPr="008A6986">
        <w:rPr>
          <w:sz w:val="16"/>
        </w:rPr>
        <w:t xml:space="preserve">elations </w:t>
      </w:r>
      <w:r w:rsidRPr="00AC3400">
        <w:rPr>
          <w:rStyle w:val="Emphasis"/>
        </w:rPr>
        <w:t>B</w:t>
      </w:r>
      <w:r w:rsidRPr="008A6986">
        <w:rPr>
          <w:sz w:val="16"/>
        </w:rPr>
        <w:t xml:space="preserve">oard, which oversees collective bargaining between unions and employers. Later came other agencies, including </w:t>
      </w:r>
      <w:r w:rsidRPr="00AC3400">
        <w:rPr>
          <w:rStyle w:val="StyleUnderline"/>
        </w:rPr>
        <w:t xml:space="preserve">the </w:t>
      </w:r>
      <w:r w:rsidRPr="00AC3400">
        <w:rPr>
          <w:rStyle w:val="Emphasis"/>
        </w:rPr>
        <w:t>E</w:t>
      </w:r>
      <w:r w:rsidRPr="008A6986">
        <w:rPr>
          <w:sz w:val="16"/>
        </w:rPr>
        <w:t xml:space="preserve">nvironmental </w:t>
      </w:r>
      <w:r w:rsidRPr="00AC3400">
        <w:rPr>
          <w:rStyle w:val="Emphasis"/>
        </w:rPr>
        <w:t>P</w:t>
      </w:r>
      <w:r w:rsidRPr="008A6986">
        <w:rPr>
          <w:sz w:val="16"/>
        </w:rPr>
        <w:t xml:space="preserve">rotection </w:t>
      </w:r>
      <w:r w:rsidRPr="00AC3400">
        <w:rPr>
          <w:rStyle w:val="Emphasis"/>
        </w:rPr>
        <w:t>A</w:t>
      </w:r>
      <w:r w:rsidRPr="008A6986">
        <w:rPr>
          <w:sz w:val="16"/>
        </w:rPr>
        <w:t xml:space="preserve">gency, the Occupational Safety and Health Administration (which regulates workplace safety) </w:t>
      </w:r>
      <w:r w:rsidRPr="00AC3400">
        <w:rPr>
          <w:rStyle w:val="StyleUnderline"/>
        </w:rPr>
        <w:t xml:space="preserve">and the </w:t>
      </w:r>
      <w:r w:rsidRPr="00AC3400">
        <w:rPr>
          <w:rStyle w:val="Emphasis"/>
        </w:rPr>
        <w:t>D</w:t>
      </w:r>
      <w:r w:rsidRPr="008A6986">
        <w:rPr>
          <w:sz w:val="16"/>
        </w:rPr>
        <w:t xml:space="preserve">epartment of </w:t>
      </w:r>
      <w:r w:rsidRPr="00AC3400">
        <w:rPr>
          <w:rStyle w:val="Emphasis"/>
        </w:rPr>
        <w:t>H</w:t>
      </w:r>
      <w:r w:rsidRPr="008A6986">
        <w:rPr>
          <w:sz w:val="16"/>
        </w:rPr>
        <w:t xml:space="preserve">omeland </w:t>
      </w:r>
      <w:r w:rsidRPr="00AC3400">
        <w:rPr>
          <w:rStyle w:val="Emphasis"/>
        </w:rPr>
        <w:t>S</w:t>
      </w:r>
      <w:r w:rsidRPr="008A6986">
        <w:rPr>
          <w:sz w:val="16"/>
        </w:rPr>
        <w:t xml:space="preserve">ecurity. Still other </w:t>
      </w:r>
      <w:r w:rsidRPr="00456038">
        <w:rPr>
          <w:rStyle w:val="StyleUnderline"/>
          <w:highlight w:val="cyan"/>
        </w:rPr>
        <w:t>agencies regulate</w:t>
      </w:r>
      <w:r w:rsidRPr="00AC3400">
        <w:rPr>
          <w:rStyle w:val="StyleUnderline"/>
        </w:rPr>
        <w:t xml:space="preserve"> the </w:t>
      </w:r>
      <w:r w:rsidRPr="00456038">
        <w:rPr>
          <w:rStyle w:val="Emphasis"/>
          <w:highlight w:val="cyan"/>
        </w:rPr>
        <w:t>broadcast</w:t>
      </w:r>
      <w:r w:rsidRPr="00AC3400">
        <w:rPr>
          <w:rStyle w:val="Emphasis"/>
        </w:rPr>
        <w:t xml:space="preserve"> spectrum</w:t>
      </w:r>
      <w:r w:rsidRPr="008A6986">
        <w:rPr>
          <w:sz w:val="16"/>
        </w:rPr>
        <w:t xml:space="preserve">, keep the national parks open, </w:t>
      </w:r>
      <w:r w:rsidRPr="00AC3400">
        <w:rPr>
          <w:rStyle w:val="StyleUnderline"/>
        </w:rPr>
        <w:t xml:space="preserve">help </w:t>
      </w:r>
      <w:r w:rsidRPr="00456038">
        <w:rPr>
          <w:rStyle w:val="Emphasis"/>
          <w:highlight w:val="cyan"/>
        </w:rPr>
        <w:t>farmers</w:t>
      </w:r>
      <w:r w:rsidRPr="00AC3400">
        <w:rPr>
          <w:rStyle w:val="StyleUnderline"/>
        </w:rPr>
        <w:t xml:space="preserve"> and assist Americans who are </w:t>
      </w:r>
      <w:r w:rsidRPr="00AC3400">
        <w:rPr>
          <w:rStyle w:val="Emphasis"/>
        </w:rPr>
        <w:t>overseas</w:t>
      </w:r>
      <w:r w:rsidRPr="00AC3400">
        <w:rPr>
          <w:rStyle w:val="StyleUnderline"/>
        </w:rPr>
        <w:t xml:space="preserve">. Administrative agencies </w:t>
      </w:r>
      <w:r w:rsidRPr="00456038">
        <w:rPr>
          <w:rStyle w:val="StyleUnderline"/>
          <w:highlight w:val="cyan"/>
        </w:rPr>
        <w:t>coordinated</w:t>
      </w:r>
      <w:r w:rsidRPr="00AC3400">
        <w:rPr>
          <w:rStyle w:val="StyleUnderline"/>
        </w:rPr>
        <w:t xml:space="preserve"> </w:t>
      </w:r>
      <w:r w:rsidRPr="00AC3400">
        <w:rPr>
          <w:rStyle w:val="Emphasis"/>
        </w:rPr>
        <w:t xml:space="preserve">the </w:t>
      </w:r>
      <w:r w:rsidRPr="00456038">
        <w:rPr>
          <w:rStyle w:val="Emphasis"/>
          <w:highlight w:val="cyan"/>
        </w:rPr>
        <w:t>response to Sept. 11</w:t>
      </w:r>
      <w:r w:rsidRPr="00AC3400">
        <w:rPr>
          <w:rStyle w:val="StyleUnderline"/>
        </w:rPr>
        <w:t xml:space="preserve">, </w:t>
      </w:r>
      <w:r w:rsidRPr="00456038">
        <w:rPr>
          <w:rStyle w:val="StyleUnderline"/>
          <w:highlight w:val="cyan"/>
        </w:rPr>
        <w:t>kept</w:t>
      </w:r>
      <w:r w:rsidRPr="00AC3400">
        <w:rPr>
          <w:rStyle w:val="StyleUnderline"/>
        </w:rPr>
        <w:t xml:space="preserve"> </w:t>
      </w:r>
      <w:r w:rsidRPr="00AC3400">
        <w:rPr>
          <w:rStyle w:val="Emphasis"/>
        </w:rPr>
        <w:t xml:space="preserve">the </w:t>
      </w:r>
      <w:r w:rsidRPr="00456038">
        <w:rPr>
          <w:rStyle w:val="Emphasis"/>
          <w:highlight w:val="cyan"/>
        </w:rPr>
        <w:t>Ebola</w:t>
      </w:r>
      <w:r w:rsidRPr="00AC3400">
        <w:rPr>
          <w:rStyle w:val="Emphasis"/>
        </w:rPr>
        <w:t xml:space="preserve"> outbreak</w:t>
      </w:r>
      <w:r w:rsidRPr="00AC3400">
        <w:rPr>
          <w:rStyle w:val="StyleUnderline"/>
        </w:rPr>
        <w:t xml:space="preserve"> </w:t>
      </w:r>
      <w:r w:rsidRPr="00456038">
        <w:rPr>
          <w:rStyle w:val="StyleUnderline"/>
          <w:highlight w:val="cyan"/>
        </w:rPr>
        <w:t>in check</w:t>
      </w:r>
      <w:r w:rsidRPr="00AC3400">
        <w:rPr>
          <w:rStyle w:val="StyleUnderline"/>
        </w:rPr>
        <w:t xml:space="preserve"> and were </w:t>
      </w:r>
      <w:r w:rsidRPr="00456038">
        <w:rPr>
          <w:rStyle w:val="Emphasis"/>
          <w:highlight w:val="cyan"/>
        </w:rPr>
        <w:t>instrumental</w:t>
      </w:r>
      <w:r w:rsidRPr="00456038">
        <w:rPr>
          <w:rStyle w:val="StyleUnderline"/>
          <w:highlight w:val="cyan"/>
        </w:rPr>
        <w:t xml:space="preserve"> to ending</w:t>
      </w:r>
      <w:r w:rsidRPr="00AC3400">
        <w:rPr>
          <w:rStyle w:val="StyleUnderline"/>
        </w:rPr>
        <w:t xml:space="preserve"> </w:t>
      </w:r>
      <w:r w:rsidRPr="00AC3400">
        <w:rPr>
          <w:rStyle w:val="Emphasis"/>
        </w:rPr>
        <w:t xml:space="preserve">the last </w:t>
      </w:r>
      <w:r w:rsidRPr="00456038">
        <w:rPr>
          <w:rStyle w:val="Emphasis"/>
          <w:highlight w:val="cyan"/>
        </w:rPr>
        <w:t>financial crisis</w:t>
      </w:r>
      <w:r w:rsidRPr="00AC3400">
        <w:rPr>
          <w:rStyle w:val="StyleUnderline"/>
        </w:rPr>
        <w:t xml:space="preserve">. They </w:t>
      </w:r>
      <w:r w:rsidRPr="00456038">
        <w:rPr>
          <w:rStyle w:val="StyleUnderline"/>
          <w:highlight w:val="cyan"/>
        </w:rPr>
        <w:t>regulate</w:t>
      </w:r>
      <w:r w:rsidRPr="008A6986">
        <w:rPr>
          <w:sz w:val="16"/>
        </w:rPr>
        <w:t xml:space="preserve"> the safety of </w:t>
      </w:r>
      <w:r w:rsidRPr="00456038">
        <w:rPr>
          <w:rStyle w:val="Emphasis"/>
          <w:highlight w:val="cyan"/>
        </w:rPr>
        <w:t>food</w:t>
      </w:r>
      <w:r w:rsidRPr="00456038">
        <w:rPr>
          <w:rStyle w:val="StyleUnderline"/>
          <w:highlight w:val="cyan"/>
        </w:rPr>
        <w:t xml:space="preserve">, </w:t>
      </w:r>
      <w:r w:rsidRPr="00456038">
        <w:rPr>
          <w:rStyle w:val="Emphasis"/>
          <w:highlight w:val="cyan"/>
        </w:rPr>
        <w:t>drugs</w:t>
      </w:r>
      <w:r w:rsidRPr="00AC3400">
        <w:rPr>
          <w:rStyle w:val="StyleUnderline"/>
        </w:rPr>
        <w:t xml:space="preserve">, </w:t>
      </w:r>
      <w:r w:rsidRPr="00AC3400">
        <w:rPr>
          <w:rStyle w:val="Emphasis"/>
        </w:rPr>
        <w:t>air</w:t>
      </w:r>
      <w:r w:rsidRPr="00456038">
        <w:rPr>
          <w:rStyle w:val="Emphasis"/>
          <w:highlight w:val="cyan"/>
        </w:rPr>
        <w:t>planes</w:t>
      </w:r>
      <w:r w:rsidRPr="00456038">
        <w:rPr>
          <w:rStyle w:val="StyleUnderline"/>
          <w:highlight w:val="cyan"/>
        </w:rPr>
        <w:t xml:space="preserve"> and </w:t>
      </w:r>
      <w:r w:rsidRPr="00456038">
        <w:rPr>
          <w:rStyle w:val="Emphasis"/>
          <w:highlight w:val="cyan"/>
        </w:rPr>
        <w:t>nuc</w:t>
      </w:r>
      <w:r w:rsidRPr="00AC3400">
        <w:rPr>
          <w:rStyle w:val="Emphasis"/>
        </w:rPr>
        <w:t xml:space="preserve">lear </w:t>
      </w:r>
      <w:r w:rsidRPr="00456038">
        <w:rPr>
          <w:rStyle w:val="Emphasis"/>
          <w:highlight w:val="cyan"/>
        </w:rPr>
        <w:t>power</w:t>
      </w:r>
      <w:r w:rsidRPr="00AC3400">
        <w:rPr>
          <w:rStyle w:val="Emphasis"/>
        </w:rPr>
        <w:t xml:space="preserve"> plants</w:t>
      </w:r>
      <w:r w:rsidRPr="00AC3400">
        <w:rPr>
          <w:rStyle w:val="StyleUnderline"/>
        </w:rPr>
        <w:t xml:space="preserve">. The </w:t>
      </w:r>
      <w:r w:rsidRPr="00456038">
        <w:rPr>
          <w:rStyle w:val="StyleUnderline"/>
          <w:highlight w:val="cyan"/>
        </w:rPr>
        <w:t xml:space="preserve">administrative state isn’t </w:t>
      </w:r>
      <w:r w:rsidRPr="00456038">
        <w:rPr>
          <w:rStyle w:val="Emphasis"/>
          <w:highlight w:val="cyan"/>
        </w:rPr>
        <w:t>optional</w:t>
      </w:r>
      <w:r w:rsidRPr="00AC3400">
        <w:rPr>
          <w:rStyle w:val="StyleUnderline"/>
        </w:rPr>
        <w:t xml:space="preserve"> in our complex society. It’s </w:t>
      </w:r>
      <w:r w:rsidRPr="00AC3400">
        <w:rPr>
          <w:rStyle w:val="Emphasis"/>
        </w:rPr>
        <w:t>indispensable</w:t>
      </w:r>
      <w:r w:rsidRPr="008A6986">
        <w:rPr>
          <w:sz w:val="16"/>
        </w:rPr>
        <w:t>.</w:t>
      </w:r>
    </w:p>
    <w:p w14:paraId="50D69B88" w14:textId="77777777" w:rsidR="00516959" w:rsidRPr="008A6986" w:rsidRDefault="00516959" w:rsidP="00516959">
      <w:pPr>
        <w:rPr>
          <w:sz w:val="16"/>
        </w:rPr>
      </w:pPr>
      <w:r w:rsidRPr="008A6986">
        <w:rPr>
          <w:sz w:val="16"/>
        </w:rPr>
        <w:t>But if the regulatory power of this arm of government is necessary, it also poses a risk that federal agencies, with their large bureaucracies and potential ties to lobbyists, could abuse their power. Congress sought to address that concern in 1946, by passing the Administrative Procedure Act, which ensured a role for the judiciary in overseeing rule-making by agencies.</w:t>
      </w:r>
    </w:p>
    <w:p w14:paraId="54199496" w14:textId="77777777" w:rsidR="00516959" w:rsidRPr="008A6986" w:rsidRDefault="00516959" w:rsidP="00516959">
      <w:pPr>
        <w:rPr>
          <w:sz w:val="16"/>
        </w:rPr>
      </w:pPr>
      <w:r w:rsidRPr="008A6986">
        <w:rPr>
          <w:sz w:val="16"/>
        </w:rPr>
        <w:t xml:space="preserve">The system worked well enough for decades, but questions arose when Ronald Reagan came to power promising to deregulate. His E.P.A. sought to weaken a rule, issued by the Carter administration, which called for regulating “stationary sources” of air pollution — a broad wording that is open to interpretation. When President Reagan’s E.P.A. narrowed the definition of what counted as a “stationary source” to allow plants to emit more pollutants, an environmental group challenged the agency. The Supreme Court held in 1984 in Chevron v. Natural Resources Defense Council that the E.P.A. (and any agency) could determine the meaning of an ambiguous term in the law. </w:t>
      </w:r>
      <w:r w:rsidRPr="00AC3400">
        <w:rPr>
          <w:rStyle w:val="StyleUnderline"/>
        </w:rPr>
        <w:t>The rule came to</w:t>
      </w:r>
      <w:r w:rsidRPr="008A6986">
        <w:rPr>
          <w:sz w:val="16"/>
        </w:rPr>
        <w:t xml:space="preserve"> be known as </w:t>
      </w:r>
      <w:r w:rsidRPr="00AC3400">
        <w:rPr>
          <w:rStyle w:val="Emphasis"/>
        </w:rPr>
        <w:t>Chevron deference</w:t>
      </w:r>
      <w:r w:rsidRPr="008A6986">
        <w:rPr>
          <w:sz w:val="16"/>
        </w:rPr>
        <w:t xml:space="preserve">: When Congress uses ambiguous language in a statute, </w:t>
      </w:r>
      <w:r w:rsidRPr="00AC3400">
        <w:rPr>
          <w:rStyle w:val="StyleUnderline"/>
        </w:rPr>
        <w:t xml:space="preserve">courts must defer to </w:t>
      </w:r>
      <w:r w:rsidRPr="00AC3400">
        <w:rPr>
          <w:rStyle w:val="Emphasis"/>
        </w:rPr>
        <w:t>an agency’s reasonable interpretation</w:t>
      </w:r>
      <w:r w:rsidRPr="008A6986">
        <w:rPr>
          <w:sz w:val="16"/>
        </w:rPr>
        <w:t xml:space="preserve"> of what the words mean.</w:t>
      </w:r>
    </w:p>
    <w:p w14:paraId="746612B5" w14:textId="77777777" w:rsidR="00516959" w:rsidRDefault="00516959" w:rsidP="00516959">
      <w:pPr>
        <w:rPr>
          <w:rStyle w:val="StyleUnderline"/>
        </w:rPr>
      </w:pPr>
      <w:r w:rsidRPr="00AC3400">
        <w:rPr>
          <w:rStyle w:val="StyleUnderline"/>
        </w:rPr>
        <w:t xml:space="preserve">Chevron was not viewed as </w:t>
      </w:r>
      <w:r w:rsidRPr="00AC3400">
        <w:rPr>
          <w:rStyle w:val="Emphasis"/>
        </w:rPr>
        <w:t>a left-leaning decision</w:t>
      </w:r>
      <w:r w:rsidRPr="008A6986">
        <w:rPr>
          <w:sz w:val="16"/>
        </w:rPr>
        <w:t xml:space="preserve">. The Supreme Court decided in favor of the Reagan administration, after all, voting 6 to 0 (three justices did not take part), and spanning the ideological spectrum. After the conservative icon Justice </w:t>
      </w:r>
      <w:r w:rsidRPr="008A6986">
        <w:rPr>
          <w:rStyle w:val="StyleUnderline"/>
        </w:rPr>
        <w:t xml:space="preserve">Antonin </w:t>
      </w:r>
      <w:r w:rsidRPr="00456038">
        <w:rPr>
          <w:rStyle w:val="StyleUnderline"/>
          <w:highlight w:val="cyan"/>
        </w:rPr>
        <w:t>Scalia</w:t>
      </w:r>
      <w:r w:rsidRPr="008A6986">
        <w:rPr>
          <w:sz w:val="16"/>
        </w:rPr>
        <w:t xml:space="preserve"> reached the Supreme Court, he </w:t>
      </w:r>
      <w:r w:rsidRPr="00456038">
        <w:rPr>
          <w:rStyle w:val="StyleUnderline"/>
          <w:highlight w:val="cyan"/>
        </w:rPr>
        <w:t xml:space="preserve">declared himself </w:t>
      </w:r>
      <w:r w:rsidRPr="00456038">
        <w:rPr>
          <w:rStyle w:val="Emphasis"/>
          <w:highlight w:val="cyan"/>
        </w:rPr>
        <w:t>a Chevron fan</w:t>
      </w:r>
      <w:r w:rsidRPr="00456038">
        <w:rPr>
          <w:rStyle w:val="StyleUnderline"/>
          <w:highlight w:val="cyan"/>
        </w:rPr>
        <w:t>.</w:t>
      </w:r>
      <w:r w:rsidRPr="00AC3400">
        <w:rPr>
          <w:rStyle w:val="StyleUnderline"/>
        </w:rPr>
        <w:t xml:space="preserve"> “In </w:t>
      </w:r>
      <w:r w:rsidRPr="00AC3400">
        <w:rPr>
          <w:rStyle w:val="Emphasis"/>
        </w:rPr>
        <w:t>the long run</w:t>
      </w:r>
      <w:r w:rsidRPr="00AC3400">
        <w:rPr>
          <w:rStyle w:val="StyleUnderline"/>
        </w:rPr>
        <w:t xml:space="preserve"> Chevron will endure,”</w:t>
      </w:r>
      <w:r w:rsidRPr="008A6986">
        <w:rPr>
          <w:sz w:val="16"/>
        </w:rPr>
        <w:t xml:space="preserve"> Justice </w:t>
      </w:r>
      <w:r w:rsidRPr="00AC3400">
        <w:rPr>
          <w:rStyle w:val="StyleUnderline"/>
        </w:rPr>
        <w:t>Scalia wrote</w:t>
      </w:r>
      <w:r w:rsidRPr="008A6986">
        <w:rPr>
          <w:sz w:val="16"/>
        </w:rPr>
        <w:t xml:space="preserve"> in a 1989 article, </w:t>
      </w:r>
      <w:r w:rsidRPr="00AC3400">
        <w:rPr>
          <w:rStyle w:val="StyleUnderline"/>
        </w:rPr>
        <w:t xml:space="preserve">“because </w:t>
      </w:r>
      <w:r w:rsidRPr="00456038">
        <w:rPr>
          <w:rStyle w:val="StyleUnderline"/>
          <w:highlight w:val="cyan"/>
        </w:rPr>
        <w:t>it</w:t>
      </w:r>
      <w:r w:rsidRPr="00AC3400">
        <w:rPr>
          <w:rStyle w:val="StyleUnderline"/>
        </w:rPr>
        <w:t xml:space="preserve"> </w:t>
      </w:r>
      <w:r w:rsidRPr="008A6986">
        <w:rPr>
          <w:rStyle w:val="StyleUnderline"/>
        </w:rPr>
        <w:t>more accurately</w:t>
      </w:r>
      <w:r w:rsidRPr="00AC3400">
        <w:rPr>
          <w:rStyle w:val="StyleUnderline"/>
        </w:rPr>
        <w:t xml:space="preserve"> </w:t>
      </w:r>
      <w:r w:rsidRPr="00456038">
        <w:rPr>
          <w:rStyle w:val="StyleUnderline"/>
          <w:highlight w:val="cyan"/>
        </w:rPr>
        <w:t>reflects</w:t>
      </w:r>
      <w:r w:rsidRPr="00AC3400">
        <w:rPr>
          <w:rStyle w:val="StyleUnderline"/>
        </w:rPr>
        <w:t xml:space="preserve"> </w:t>
      </w:r>
      <w:r w:rsidRPr="00AC3400">
        <w:rPr>
          <w:rStyle w:val="Emphasis"/>
        </w:rPr>
        <w:t xml:space="preserve">the </w:t>
      </w:r>
      <w:r w:rsidRPr="00456038">
        <w:rPr>
          <w:rStyle w:val="Emphasis"/>
          <w:highlight w:val="cyan"/>
        </w:rPr>
        <w:t>reality of government</w:t>
      </w:r>
      <w:r w:rsidRPr="00AC3400">
        <w:rPr>
          <w:rStyle w:val="StyleUnderline"/>
        </w:rPr>
        <w:t>, and</w:t>
      </w:r>
      <w:r w:rsidRPr="008A6986">
        <w:rPr>
          <w:sz w:val="16"/>
        </w:rPr>
        <w:t xml:space="preserve"> thus more </w:t>
      </w:r>
      <w:r w:rsidRPr="008A6986">
        <w:rPr>
          <w:rStyle w:val="StyleUnderline"/>
        </w:rPr>
        <w:t>adequately</w:t>
      </w:r>
      <w:r w:rsidRPr="00AC3400">
        <w:rPr>
          <w:rStyle w:val="StyleUnderline"/>
        </w:rPr>
        <w:t xml:space="preserve"> serves its needs.”</w:t>
      </w:r>
    </w:p>
    <w:p w14:paraId="0AE8B041" w14:textId="77777777" w:rsidR="00516959" w:rsidRPr="005304A7" w:rsidRDefault="00516959" w:rsidP="00516959">
      <w:pPr>
        <w:pStyle w:val="Heading4"/>
        <w:rPr>
          <w:szCs w:val="26"/>
        </w:rPr>
      </w:pPr>
      <w:r>
        <w:rPr>
          <w:szCs w:val="26"/>
        </w:rPr>
        <w:t xml:space="preserve">Without </w:t>
      </w:r>
      <w:r>
        <w:rPr>
          <w:i/>
          <w:iCs w:val="0"/>
          <w:szCs w:val="26"/>
        </w:rPr>
        <w:t>Chevron</w:t>
      </w:r>
      <w:r>
        <w:rPr>
          <w:szCs w:val="26"/>
        </w:rPr>
        <w:t xml:space="preserve">, SOP </w:t>
      </w:r>
      <w:r w:rsidRPr="005304A7">
        <w:rPr>
          <w:szCs w:val="26"/>
          <w:u w:val="single"/>
        </w:rPr>
        <w:t>collapses</w:t>
      </w:r>
      <w:r>
        <w:rPr>
          <w:szCs w:val="26"/>
        </w:rPr>
        <w:t>.</w:t>
      </w:r>
    </w:p>
    <w:p w14:paraId="1BBE62E4" w14:textId="77777777" w:rsidR="00516959" w:rsidRPr="00684BF3" w:rsidRDefault="00516959" w:rsidP="00516959">
      <w:r w:rsidRPr="00C80CAB">
        <w:rPr>
          <w:rStyle w:val="Heading4Char"/>
          <w:szCs w:val="26"/>
        </w:rPr>
        <w:t>Herz 15</w:t>
      </w:r>
      <w:r w:rsidRPr="00684BF3">
        <w:t xml:space="preserve"> – (Michael Herz, Arthur Kaplan Professor of Law, Cardozo School of Law, Yeshiva University; “CHEVRON IS DEAD; LONG LIVE CHEVRON”; Columbia Law Review; D.A. June 26</w:t>
      </w:r>
      <w:r w:rsidRPr="00684BF3">
        <w:rPr>
          <w:vertAlign w:val="superscript"/>
        </w:rPr>
        <w:t>th</w:t>
      </w:r>
      <w:r w:rsidRPr="00684BF3">
        <w:t xml:space="preserve"> 2020, [Published 2015]; pg. 1909; </w:t>
      </w:r>
      <w:hyperlink r:id="rId278" w:history="1">
        <w:r w:rsidRPr="00684BF3">
          <w:rPr>
            <w:rStyle w:val="Hyperlink"/>
          </w:rPr>
          <w:t>https://columbialawreview.org/wp-content/uploads/2016/03/November-2015-13-Herz.pdf</w:t>
        </w:r>
      </w:hyperlink>
      <w:r w:rsidRPr="00684BF3">
        <w:t>) //LFS—JCM</w:t>
      </w:r>
    </w:p>
    <w:p w14:paraId="71E47DEC" w14:textId="77777777" w:rsidR="00516959" w:rsidRPr="00684BF3" w:rsidRDefault="00516959" w:rsidP="00516959">
      <w:pPr>
        <w:rPr>
          <w:rStyle w:val="StyleUnderline"/>
        </w:rPr>
      </w:pPr>
      <w:r w:rsidRPr="00684BF3">
        <w:rPr>
          <w:sz w:val="16"/>
        </w:rPr>
        <w:t xml:space="preserve">The argument here is for a reading of Chevron that is both weaker and stronger than that often proposed. On the one hand, </w:t>
      </w:r>
      <w:r w:rsidRPr="00684BF3">
        <w:rPr>
          <w:rStyle w:val="Emphasis"/>
        </w:rPr>
        <w:t>courts retain</w:t>
      </w:r>
      <w:r w:rsidRPr="00684BF3">
        <w:rPr>
          <w:rStyle w:val="StyleUnderline"/>
        </w:rPr>
        <w:t xml:space="preserve"> an </w:t>
      </w:r>
      <w:r w:rsidRPr="00684BF3">
        <w:rPr>
          <w:rStyle w:val="Emphasis"/>
        </w:rPr>
        <w:t>essential</w:t>
      </w:r>
      <w:r w:rsidRPr="00684BF3">
        <w:rPr>
          <w:rStyle w:val="StyleUnderline"/>
        </w:rPr>
        <w:t xml:space="preserve"> and meaningful </w:t>
      </w:r>
      <w:r w:rsidRPr="00684BF3">
        <w:rPr>
          <w:rStyle w:val="Emphasis"/>
        </w:rPr>
        <w:t>role</w:t>
      </w:r>
      <w:r w:rsidRPr="00684BF3">
        <w:rPr>
          <w:rStyle w:val="StyleUnderline"/>
        </w:rPr>
        <w:t xml:space="preserve"> in </w:t>
      </w:r>
      <w:r w:rsidRPr="00684BF3">
        <w:rPr>
          <w:rStyle w:val="Emphasis"/>
        </w:rPr>
        <w:t>determining</w:t>
      </w:r>
      <w:r w:rsidRPr="00684BF3">
        <w:rPr>
          <w:rStyle w:val="StyleUnderline"/>
        </w:rPr>
        <w:t xml:space="preserve"> the boundaries of </w:t>
      </w:r>
      <w:r w:rsidRPr="00684BF3">
        <w:rPr>
          <w:rStyle w:val="Emphasis"/>
        </w:rPr>
        <w:t>Chevron</w:t>
      </w:r>
      <w:r w:rsidRPr="00684BF3">
        <w:rPr>
          <w:sz w:val="16"/>
        </w:rPr>
        <w:t xml:space="preserve"> space; they have real work to do. On the other hand, </w:t>
      </w:r>
      <w:r w:rsidRPr="00684BF3">
        <w:rPr>
          <w:rStyle w:val="StyleUnderline"/>
        </w:rPr>
        <w:t xml:space="preserve">in doing that work, the </w:t>
      </w:r>
      <w:r w:rsidRPr="00684BF3">
        <w:rPr>
          <w:rStyle w:val="Emphasis"/>
        </w:rPr>
        <w:t>views</w:t>
      </w:r>
      <w:r w:rsidRPr="00684BF3">
        <w:rPr>
          <w:rStyle w:val="StyleUnderline"/>
        </w:rPr>
        <w:t xml:space="preserve"> of the </w:t>
      </w:r>
      <w:r w:rsidRPr="00684BF3">
        <w:rPr>
          <w:rStyle w:val="Emphasis"/>
        </w:rPr>
        <w:t>agency can never be ignored</w:t>
      </w:r>
      <w:r w:rsidRPr="00684BF3">
        <w:rPr>
          <w:sz w:val="16"/>
        </w:rPr>
        <w:t xml:space="preserve">. Accordingly, </w:t>
      </w:r>
      <w:r w:rsidRPr="00684BF3">
        <w:rPr>
          <w:rStyle w:val="StyleUnderline"/>
        </w:rPr>
        <w:t>there is no agency-free space within which courts interpret statutes.</w:t>
      </w:r>
    </w:p>
    <w:p w14:paraId="65BFB04E" w14:textId="77777777" w:rsidR="00516959" w:rsidRPr="00684BF3" w:rsidRDefault="00516959" w:rsidP="00516959">
      <w:pPr>
        <w:rPr>
          <w:sz w:val="16"/>
        </w:rPr>
      </w:pPr>
      <w:r w:rsidRPr="00684BF3">
        <w:rPr>
          <w:rStyle w:val="StyleUnderline"/>
        </w:rPr>
        <w:t>The</w:t>
      </w:r>
      <w:r w:rsidRPr="00684BF3">
        <w:rPr>
          <w:sz w:val="16"/>
        </w:rPr>
        <w:t xml:space="preserve"> familiar and </w:t>
      </w:r>
      <w:r w:rsidRPr="00684BF3">
        <w:rPr>
          <w:rStyle w:val="Emphasis"/>
        </w:rPr>
        <w:t>oft-told narrative</w:t>
      </w:r>
      <w:r w:rsidRPr="00684BF3">
        <w:rPr>
          <w:rStyle w:val="StyleUnderline"/>
        </w:rPr>
        <w:t xml:space="preserve"> is that </w:t>
      </w:r>
      <w:r w:rsidRPr="00684BF3">
        <w:rPr>
          <w:rStyle w:val="Emphasis"/>
        </w:rPr>
        <w:t>Congress retreats</w:t>
      </w:r>
      <w:r w:rsidRPr="00684BF3">
        <w:rPr>
          <w:rStyle w:val="StyleUnderline"/>
        </w:rPr>
        <w:t xml:space="preserve"> to vague </w:t>
      </w:r>
      <w:r w:rsidRPr="00684BF3">
        <w:rPr>
          <w:rStyle w:val="Emphasis"/>
        </w:rPr>
        <w:t>generalities</w:t>
      </w:r>
      <w:r w:rsidRPr="00684BF3">
        <w:rPr>
          <w:sz w:val="16"/>
        </w:rPr>
        <w:t xml:space="preserve"> in order to achieve agreement and, in an effort to take credit and avoid blame, leaves the hard issues to others to decide. </w:t>
      </w:r>
      <w:r w:rsidRPr="00684BF3">
        <w:rPr>
          <w:rStyle w:val="Emphasis"/>
        </w:rPr>
        <w:t>Chevron’s</w:t>
      </w:r>
      <w:r w:rsidRPr="00684BF3">
        <w:rPr>
          <w:rStyle w:val="StyleUnderline"/>
        </w:rPr>
        <w:t xml:space="preserve"> great </w:t>
      </w:r>
      <w:r w:rsidRPr="00684BF3">
        <w:rPr>
          <w:rStyle w:val="Emphasis"/>
        </w:rPr>
        <w:t>strength</w:t>
      </w:r>
      <w:r w:rsidRPr="00684BF3">
        <w:rPr>
          <w:rStyle w:val="StyleUnderline"/>
        </w:rPr>
        <w:t xml:space="preserve"> is that it </w:t>
      </w:r>
      <w:r w:rsidRPr="00684BF3">
        <w:rPr>
          <w:rStyle w:val="Emphasis"/>
        </w:rPr>
        <w:t>recognizes this narrative is</w:t>
      </w:r>
      <w:r w:rsidRPr="00684BF3">
        <w:rPr>
          <w:rStyle w:val="StyleUnderline"/>
        </w:rPr>
        <w:t xml:space="preserve"> sometimes </w:t>
      </w:r>
      <w:r w:rsidRPr="00684BF3">
        <w:rPr>
          <w:rStyle w:val="Emphasis"/>
        </w:rPr>
        <w:t>accurate</w:t>
      </w:r>
      <w:r w:rsidRPr="00684BF3">
        <w:rPr>
          <w:sz w:val="16"/>
        </w:rPr>
        <w:t xml:space="preserve"> </w:t>
      </w:r>
      <w:r w:rsidRPr="00684BF3">
        <w:rPr>
          <w:rStyle w:val="StyleUnderline"/>
        </w:rPr>
        <w:t xml:space="preserve">and admonishes that when it is judges should yield to agencies </w:t>
      </w:r>
      <w:r w:rsidRPr="00684BF3">
        <w:rPr>
          <w:sz w:val="16"/>
        </w:rPr>
        <w:t xml:space="preserve">because of their comparative advantage in policymaking. But </w:t>
      </w:r>
      <w:r w:rsidRPr="00684BF3">
        <w:rPr>
          <w:rStyle w:val="StyleUnderline"/>
        </w:rPr>
        <w:t>this narrative is not always accurate</w:t>
      </w:r>
      <w:r w:rsidRPr="00684BF3">
        <w:rPr>
          <w:sz w:val="16"/>
        </w:rPr>
        <w:t xml:space="preserve">. </w:t>
      </w:r>
      <w:r w:rsidRPr="00684BF3">
        <w:rPr>
          <w:rStyle w:val="StyleUnderline"/>
        </w:rPr>
        <w:t>Sometimes Congress does make a decision</w:t>
      </w:r>
      <w:r w:rsidRPr="00684BF3">
        <w:rPr>
          <w:sz w:val="16"/>
        </w:rPr>
        <w:t xml:space="preserve">. Chevron’s great risk is that it invites judges and agencies to ignore what Congress has decided, discovering uncertainty and discretion where they do not exist.216 </w:t>
      </w:r>
      <w:r w:rsidRPr="00684BF3">
        <w:rPr>
          <w:rStyle w:val="StyleUnderline"/>
        </w:rPr>
        <w:t xml:space="preserve">Some </w:t>
      </w:r>
      <w:r w:rsidRPr="00684BF3">
        <w:rPr>
          <w:rStyle w:val="Emphasis"/>
        </w:rPr>
        <w:t>scholars</w:t>
      </w:r>
      <w:r w:rsidRPr="00684BF3">
        <w:rPr>
          <w:rStyle w:val="StyleUnderline"/>
        </w:rPr>
        <w:t xml:space="preserve"> would essentially </w:t>
      </w:r>
      <w:r w:rsidRPr="00684BF3">
        <w:rPr>
          <w:rStyle w:val="Emphasis"/>
        </w:rPr>
        <w:t>write courts out of the picture</w:t>
      </w:r>
      <w:r w:rsidRPr="00684BF3">
        <w:rPr>
          <w:rStyle w:val="StyleUnderline"/>
        </w:rPr>
        <w:t xml:space="preserve"> in statutory cases, concluding that agencies </w:t>
      </w:r>
      <w:r w:rsidRPr="00684BF3">
        <w:rPr>
          <w:sz w:val="16"/>
        </w:rPr>
        <w:t xml:space="preserve">always </w:t>
      </w:r>
      <w:r w:rsidRPr="00684BF3">
        <w:rPr>
          <w:rStyle w:val="StyleUnderline"/>
        </w:rPr>
        <w:t>have a comparative advantage</w:t>
      </w:r>
      <w:r w:rsidRPr="00684BF3">
        <w:rPr>
          <w:sz w:val="16"/>
        </w:rPr>
        <w:t xml:space="preserve">.217 Peter Strauss wisely warns against such an abandonment of the judicial role, </w:t>
      </w:r>
      <w:r w:rsidRPr="00684BF3">
        <w:rPr>
          <w:rStyle w:val="StyleUnderline"/>
        </w:rPr>
        <w:t>while still granting due weight to agency interpretation and</w:t>
      </w:r>
      <w:r w:rsidRPr="00684BF3">
        <w:rPr>
          <w:sz w:val="16"/>
        </w:rPr>
        <w:t xml:space="preserve">, </w:t>
      </w:r>
      <w:r w:rsidRPr="00684BF3">
        <w:rPr>
          <w:rStyle w:val="StyleUnderline"/>
        </w:rPr>
        <w:t>within the congressionally established and judicially policed Chevron space, respecting agency construction</w:t>
      </w:r>
      <w:r w:rsidRPr="00684BF3">
        <w:rPr>
          <w:sz w:val="16"/>
        </w:rPr>
        <w:t xml:space="preserve">. </w:t>
      </w:r>
      <w:r w:rsidRPr="00684BF3">
        <w:rPr>
          <w:rStyle w:val="StyleUnderline"/>
        </w:rPr>
        <w:t>So understood, Chevron is not a revolutionary shift of authority from the judiciary to the executive</w:t>
      </w:r>
      <w:r w:rsidRPr="00684BF3">
        <w:rPr>
          <w:sz w:val="16"/>
        </w:rPr>
        <w:t xml:space="preserve">. </w:t>
      </w:r>
      <w:r w:rsidRPr="00684BF3">
        <w:rPr>
          <w:rStyle w:val="StyleUnderline"/>
        </w:rPr>
        <w:t>That Chevron is dead</w:t>
      </w:r>
      <w:r w:rsidRPr="00684BF3">
        <w:rPr>
          <w:sz w:val="16"/>
        </w:rPr>
        <w:t xml:space="preserve">. Rather, </w:t>
      </w:r>
      <w:r w:rsidRPr="00684BF3">
        <w:rPr>
          <w:rStyle w:val="Emphasis"/>
        </w:rPr>
        <w:t>Chevron is an appropriate allocation of decisionmaking responsibility among the three branches</w:t>
      </w:r>
      <w:r w:rsidRPr="00684BF3">
        <w:rPr>
          <w:sz w:val="16"/>
        </w:rPr>
        <w:t xml:space="preserve">, relying on the judiciary to enforce congressional decisions, but </w:t>
      </w:r>
      <w:r w:rsidRPr="00684BF3">
        <w:rPr>
          <w:rStyle w:val="StyleUnderline"/>
        </w:rPr>
        <w:t>protecting agency authority and discretion where Congress has left the decision to the executive</w:t>
      </w:r>
      <w:r w:rsidRPr="00684BF3">
        <w:rPr>
          <w:sz w:val="16"/>
        </w:rPr>
        <w:t xml:space="preserve">. </w:t>
      </w:r>
      <w:r w:rsidRPr="00684BF3">
        <w:rPr>
          <w:rStyle w:val="StyleUnderline"/>
        </w:rPr>
        <w:t>Long may it reign</w:t>
      </w:r>
      <w:r w:rsidRPr="00684BF3">
        <w:rPr>
          <w:sz w:val="16"/>
        </w:rPr>
        <w:t>.</w:t>
      </w:r>
    </w:p>
    <w:p w14:paraId="05DB9DFF" w14:textId="77777777" w:rsidR="00516959" w:rsidRDefault="00516959" w:rsidP="00516959">
      <w:pPr>
        <w:rPr>
          <w:sz w:val="16"/>
        </w:rPr>
      </w:pPr>
    </w:p>
    <w:p w14:paraId="5548E433" w14:textId="77777777" w:rsidR="00516959" w:rsidRDefault="00516959" w:rsidP="00516959">
      <w:pPr>
        <w:pStyle w:val="Heading3"/>
      </w:pPr>
      <w:r>
        <w:t>2NC – OV – Warming</w:t>
      </w:r>
    </w:p>
    <w:p w14:paraId="68676AF1" w14:textId="77777777" w:rsidR="00516959" w:rsidRPr="00C80CAB" w:rsidRDefault="00516959" w:rsidP="00516959">
      <w:pPr>
        <w:pStyle w:val="Heading4"/>
        <w:rPr>
          <w:szCs w:val="26"/>
        </w:rPr>
      </w:pPr>
      <w:r w:rsidRPr="00D10287">
        <w:rPr>
          <w:i/>
          <w:iCs w:val="0"/>
          <w:szCs w:val="26"/>
        </w:rPr>
        <w:t>Chevron</w:t>
      </w:r>
      <w:r w:rsidRPr="00C80CAB">
        <w:rPr>
          <w:szCs w:val="26"/>
        </w:rPr>
        <w:t xml:space="preserve"> </w:t>
      </w:r>
      <w:r>
        <w:rPr>
          <w:szCs w:val="26"/>
        </w:rPr>
        <w:t>underpins warming regulations.</w:t>
      </w:r>
    </w:p>
    <w:p w14:paraId="627E8766" w14:textId="77777777" w:rsidR="00516959" w:rsidRPr="00684BF3" w:rsidRDefault="00516959" w:rsidP="00516959">
      <w:r w:rsidRPr="00C80CAB">
        <w:rPr>
          <w:rStyle w:val="Heading4Char"/>
          <w:szCs w:val="26"/>
        </w:rPr>
        <w:t>Lorenzen &amp; Das 15</w:t>
      </w:r>
      <w:r w:rsidRPr="00684BF3">
        <w:t xml:space="preserve"> – (Thomas A. Lorenzen, partner at Crowell &amp; Moring, LLP; Sharmistha Das is an associate at Crowell &amp; Moring, LLP; “The decline of deference: Is the Supreme Court pruning back the Chevron doctrine?”; American Bar Association; D.A. June 30</w:t>
      </w:r>
      <w:r w:rsidRPr="00684BF3">
        <w:rPr>
          <w:vertAlign w:val="superscript"/>
        </w:rPr>
        <w:t>th</w:t>
      </w:r>
      <w:r w:rsidRPr="00684BF3">
        <w:t xml:space="preserve"> 2020, [Published September 01</w:t>
      </w:r>
      <w:r w:rsidRPr="00684BF3">
        <w:rPr>
          <w:vertAlign w:val="superscript"/>
        </w:rPr>
        <w:t>st</w:t>
      </w:r>
      <w:r w:rsidRPr="00684BF3">
        <w:t xml:space="preserve"> 2015]; </w:t>
      </w:r>
      <w:hyperlink r:id="rId279" w:history="1">
        <w:r w:rsidRPr="00684BF3">
          <w:rPr>
            <w:rStyle w:val="Hyperlink"/>
          </w:rPr>
          <w:t>https://www.americanbar.org/groups/environment_energy_resources/publications/trends/2015-2016/september-october-2015/the_decline_deference_the_supreme_court_pruning_back_chevron_doctrine/</w:t>
        </w:r>
      </w:hyperlink>
      <w:r w:rsidRPr="00684BF3">
        <w:t>) //LFS—JCM</w:t>
      </w:r>
    </w:p>
    <w:p w14:paraId="2B1D4AD1" w14:textId="77777777" w:rsidR="00516959" w:rsidRPr="00D10287" w:rsidRDefault="00516959" w:rsidP="00516959">
      <w:pPr>
        <w:rPr>
          <w:sz w:val="16"/>
        </w:rPr>
      </w:pPr>
      <w:r w:rsidRPr="00684BF3">
        <w:rPr>
          <w:rStyle w:val="StyleUnderline"/>
        </w:rPr>
        <w:t xml:space="preserve">Judicial </w:t>
      </w:r>
      <w:r w:rsidRPr="00684BF3">
        <w:rPr>
          <w:rStyle w:val="Emphasis"/>
        </w:rPr>
        <w:t>deference to agency interpretations</w:t>
      </w:r>
      <w:r w:rsidRPr="00684BF3">
        <w:rPr>
          <w:rStyle w:val="StyleUnderline"/>
        </w:rPr>
        <w:t xml:space="preserve"> of ambiguous statutory terms</w:t>
      </w:r>
      <w:r w:rsidRPr="00684BF3">
        <w:rPr>
          <w:sz w:val="16"/>
        </w:rPr>
        <w:t xml:space="preserve">—a doctrine </w:t>
      </w:r>
      <w:r w:rsidRPr="00684BF3">
        <w:rPr>
          <w:rStyle w:val="StyleUnderline"/>
        </w:rPr>
        <w:t>established in </w:t>
      </w:r>
      <w:r w:rsidRPr="00684BF3">
        <w:rPr>
          <w:rStyle w:val="Emphasis"/>
        </w:rPr>
        <w:t>Chevron</w:t>
      </w:r>
      <w:r w:rsidRPr="00684BF3">
        <w:rPr>
          <w:sz w:val="16"/>
        </w:rPr>
        <w:t xml:space="preserve"> U.S.A., Inc. v. Natural Resources Defense Council, Inc., 467 U.S. 837 (1984)—</w:t>
      </w:r>
      <w:r w:rsidRPr="00684BF3">
        <w:rPr>
          <w:rStyle w:val="StyleUnderline"/>
        </w:rPr>
        <w:t xml:space="preserve">is one of the fundamental </w:t>
      </w:r>
      <w:r w:rsidRPr="00684BF3">
        <w:rPr>
          <w:rStyle w:val="Emphasis"/>
        </w:rPr>
        <w:t>underpinnings of</w:t>
      </w:r>
      <w:r w:rsidRPr="00684BF3">
        <w:rPr>
          <w:rStyle w:val="StyleUnderline"/>
        </w:rPr>
        <w:t xml:space="preserve"> the</w:t>
      </w:r>
      <w:r w:rsidRPr="00684BF3">
        <w:rPr>
          <w:sz w:val="16"/>
        </w:rPr>
        <w:t xml:space="preserve"> modern </w:t>
      </w:r>
      <w:r w:rsidRPr="00684BF3">
        <w:rPr>
          <w:rStyle w:val="StyleUnderline"/>
        </w:rPr>
        <w:t>admin</w:t>
      </w:r>
      <w:r w:rsidRPr="00684BF3">
        <w:rPr>
          <w:sz w:val="16"/>
        </w:rPr>
        <w:t xml:space="preserve">istrative </w:t>
      </w:r>
      <w:r w:rsidRPr="00684BF3">
        <w:rPr>
          <w:rStyle w:val="StyleUnderline"/>
        </w:rPr>
        <w:t>state</w:t>
      </w:r>
      <w:r w:rsidRPr="00684BF3">
        <w:rPr>
          <w:sz w:val="16"/>
        </w:rPr>
        <w:t xml:space="preserve">. </w:t>
      </w:r>
      <w:r w:rsidRPr="00684BF3">
        <w:rPr>
          <w:rStyle w:val="StyleUnderline"/>
        </w:rPr>
        <w:t>It has been</w:t>
      </w:r>
      <w:r w:rsidRPr="00684BF3">
        <w:rPr>
          <w:sz w:val="16"/>
        </w:rPr>
        <w:t xml:space="preserve"> particularly </w:t>
      </w:r>
      <w:r w:rsidRPr="00684BF3">
        <w:rPr>
          <w:rStyle w:val="Emphasis"/>
        </w:rPr>
        <w:t>critical to</w:t>
      </w:r>
      <w:r w:rsidRPr="00684BF3">
        <w:rPr>
          <w:sz w:val="16"/>
        </w:rPr>
        <w:t xml:space="preserve"> the development of </w:t>
      </w:r>
      <w:r w:rsidRPr="00684BF3">
        <w:rPr>
          <w:rStyle w:val="Emphasis"/>
        </w:rPr>
        <w:t>environmental regulations</w:t>
      </w:r>
      <w:r w:rsidRPr="00684BF3">
        <w:rPr>
          <w:sz w:val="16"/>
        </w:rPr>
        <w:t>. </w:t>
      </w:r>
      <w:r w:rsidRPr="00684BF3">
        <w:rPr>
          <w:rStyle w:val="StyleUnderline"/>
        </w:rPr>
        <w:t>Chevron deference has allowed Congress to paint its environmental goals</w:t>
      </w:r>
      <w:r w:rsidRPr="00684BF3">
        <w:rPr>
          <w:sz w:val="16"/>
        </w:rPr>
        <w:t xml:space="preserve"> in broad terms, </w:t>
      </w:r>
      <w:r w:rsidRPr="00684BF3">
        <w:rPr>
          <w:rStyle w:val="StyleUnderline"/>
        </w:rPr>
        <w:t xml:space="preserve">in statutes like the </w:t>
      </w:r>
      <w:r w:rsidRPr="00684BF3">
        <w:rPr>
          <w:rStyle w:val="Emphasis"/>
        </w:rPr>
        <w:t>Clean Air Act</w:t>
      </w:r>
      <w:r w:rsidRPr="00684BF3">
        <w:rPr>
          <w:rStyle w:val="StyleUnderline"/>
        </w:rPr>
        <w:t xml:space="preserve"> and the </w:t>
      </w:r>
      <w:r w:rsidRPr="00684BF3">
        <w:rPr>
          <w:rStyle w:val="Emphasis"/>
        </w:rPr>
        <w:t>Clean Water Act</w:t>
      </w:r>
      <w:r w:rsidRPr="00684BF3">
        <w:rPr>
          <w:sz w:val="16"/>
        </w:rPr>
        <w:t xml:space="preserve">, </w:t>
      </w:r>
      <w:r w:rsidRPr="00684BF3">
        <w:rPr>
          <w:rStyle w:val="StyleUnderline"/>
        </w:rPr>
        <w:t>while leaving to the</w:t>
      </w:r>
      <w:r w:rsidRPr="00684BF3">
        <w:rPr>
          <w:sz w:val="16"/>
        </w:rPr>
        <w:t xml:space="preserve"> U.S. Environmental Protection Agency (</w:t>
      </w:r>
      <w:r w:rsidRPr="00684BF3">
        <w:rPr>
          <w:rStyle w:val="Emphasis"/>
        </w:rPr>
        <w:t>EPA</w:t>
      </w:r>
      <w:r w:rsidRPr="00684BF3">
        <w:rPr>
          <w:sz w:val="16"/>
        </w:rPr>
        <w:t xml:space="preserve">) </w:t>
      </w:r>
      <w:r w:rsidRPr="00684BF3">
        <w:rPr>
          <w:rStyle w:val="StyleUnderline"/>
        </w:rPr>
        <w:t xml:space="preserve">the task of </w:t>
      </w:r>
      <w:r w:rsidRPr="00684BF3">
        <w:rPr>
          <w:sz w:val="16"/>
        </w:rPr>
        <w:t xml:space="preserve">both </w:t>
      </w:r>
      <w:r w:rsidRPr="00684BF3">
        <w:rPr>
          <w:rStyle w:val="StyleUnderline"/>
        </w:rPr>
        <w:t>determining what</w:t>
      </w:r>
      <w:r w:rsidRPr="00684BF3">
        <w:rPr>
          <w:sz w:val="16"/>
        </w:rPr>
        <w:t xml:space="preserve"> precisely </w:t>
      </w:r>
      <w:r w:rsidRPr="00684BF3">
        <w:rPr>
          <w:rStyle w:val="Emphasis"/>
        </w:rPr>
        <w:t>Congress intended</w:t>
      </w:r>
      <w:r w:rsidRPr="00684BF3">
        <w:rPr>
          <w:sz w:val="16"/>
        </w:rPr>
        <w:t xml:space="preserve"> in those statutes </w:t>
      </w:r>
      <w:r w:rsidRPr="00684BF3">
        <w:rPr>
          <w:rStyle w:val="StyleUnderline"/>
        </w:rPr>
        <w:t>and how</w:t>
      </w:r>
      <w:r w:rsidRPr="00684BF3">
        <w:rPr>
          <w:sz w:val="16"/>
        </w:rPr>
        <w:t xml:space="preserve"> exactly </w:t>
      </w:r>
      <w:r w:rsidRPr="00684BF3">
        <w:rPr>
          <w:rStyle w:val="StyleUnderline"/>
        </w:rPr>
        <w:t xml:space="preserve">to </w:t>
      </w:r>
      <w:r w:rsidRPr="00684BF3">
        <w:rPr>
          <w:rStyle w:val="Emphasis"/>
        </w:rPr>
        <w:t>achieve what the agency</w:t>
      </w:r>
      <w:r w:rsidRPr="00684BF3">
        <w:rPr>
          <w:rStyle w:val="StyleUnderline"/>
        </w:rPr>
        <w:t xml:space="preserve"> perceives to have been Congress’s </w:t>
      </w:r>
      <w:r w:rsidRPr="00684BF3">
        <w:rPr>
          <w:rStyle w:val="Emphasis"/>
        </w:rPr>
        <w:t>goals</w:t>
      </w:r>
      <w:r w:rsidRPr="00684BF3">
        <w:rPr>
          <w:sz w:val="16"/>
        </w:rPr>
        <w:t>. It has also allowed successive administrations considerable leeway to change course in environmental policy, simply by proffering and rationally explaining new interpretations of ambiguous statutory provisions.</w:t>
      </w:r>
    </w:p>
    <w:p w14:paraId="64EC4F88" w14:textId="77777777" w:rsidR="006D1153" w:rsidRDefault="006D1153" w:rsidP="006D1153">
      <w:pPr>
        <w:pStyle w:val="Heading3"/>
      </w:pPr>
      <w:r>
        <w:t>2NC – OV – BioD</w:t>
      </w:r>
    </w:p>
    <w:p w14:paraId="58B3EE65" w14:textId="77777777" w:rsidR="006D1153" w:rsidRPr="00D10287" w:rsidRDefault="006D1153" w:rsidP="006D1153">
      <w:pPr>
        <w:pStyle w:val="Heading4"/>
        <w:rPr>
          <w:szCs w:val="26"/>
        </w:rPr>
      </w:pPr>
      <w:r>
        <w:rPr>
          <w:i/>
          <w:iCs w:val="0"/>
          <w:szCs w:val="26"/>
        </w:rPr>
        <w:t>Chevron</w:t>
      </w:r>
      <w:r>
        <w:rPr>
          <w:szCs w:val="26"/>
        </w:rPr>
        <w:t xml:space="preserve"> protects environmental </w:t>
      </w:r>
      <w:r>
        <w:rPr>
          <w:szCs w:val="26"/>
          <w:u w:val="single"/>
        </w:rPr>
        <w:t>hotspots</w:t>
      </w:r>
      <w:r>
        <w:rPr>
          <w:szCs w:val="26"/>
        </w:rPr>
        <w:t>.</w:t>
      </w:r>
    </w:p>
    <w:p w14:paraId="09CD784E" w14:textId="77777777" w:rsidR="006D1153" w:rsidRPr="00684BF3" w:rsidRDefault="006D1153" w:rsidP="006D1153">
      <w:r w:rsidRPr="00C80CAB">
        <w:rPr>
          <w:rStyle w:val="Heading4Char"/>
          <w:szCs w:val="26"/>
        </w:rPr>
        <w:t>Shogren 17</w:t>
      </w:r>
      <w:r w:rsidRPr="00684BF3">
        <w:t xml:space="preserve"> – (Elizabeth Shogren, writes HCN’s DC Dispatches from Washington; “Should courts defer to the expertise of agencies?”; High Country News; D.A. June 30</w:t>
      </w:r>
      <w:r w:rsidRPr="00684BF3">
        <w:rPr>
          <w:vertAlign w:val="superscript"/>
        </w:rPr>
        <w:t>th</w:t>
      </w:r>
      <w:r w:rsidRPr="00684BF3">
        <w:t xml:space="preserve"> 2020, [Published April 17</w:t>
      </w:r>
      <w:r w:rsidRPr="00684BF3">
        <w:rPr>
          <w:vertAlign w:val="superscript"/>
        </w:rPr>
        <w:t>th</w:t>
      </w:r>
      <w:r w:rsidRPr="00684BF3">
        <w:t xml:space="preserve"> 2017]; </w:t>
      </w:r>
      <w:hyperlink r:id="rId280" w:history="1">
        <w:r w:rsidRPr="00684BF3">
          <w:rPr>
            <w:rStyle w:val="Hyperlink"/>
          </w:rPr>
          <w:t>https://www.hcn.org/issues/49.7/dc-dispatch-should-courts-defer-to-federal-agencies-our-new-supreme-court-justice-doesnt-think-so</w:t>
        </w:r>
      </w:hyperlink>
      <w:r w:rsidRPr="00684BF3">
        <w:t>) //LFS—JCM</w:t>
      </w:r>
    </w:p>
    <w:p w14:paraId="2A8CF31F" w14:textId="77777777" w:rsidR="006D1153" w:rsidRDefault="006D1153" w:rsidP="006D1153">
      <w:pPr>
        <w:rPr>
          <w:sz w:val="16"/>
        </w:rPr>
      </w:pPr>
      <w:r w:rsidRPr="00684BF3">
        <w:rPr>
          <w:rStyle w:val="Emphasis"/>
        </w:rPr>
        <w:t>Chevron</w:t>
      </w:r>
      <w:r w:rsidRPr="00684BF3">
        <w:rPr>
          <w:rStyle w:val="StyleUnderline"/>
        </w:rPr>
        <w:t xml:space="preserve"> has been </w:t>
      </w:r>
      <w:r w:rsidRPr="00684BF3">
        <w:rPr>
          <w:rStyle w:val="Emphasis"/>
        </w:rPr>
        <w:t>pivotal in upholding</w:t>
      </w:r>
      <w:r w:rsidRPr="00684BF3">
        <w:rPr>
          <w:rStyle w:val="StyleUnderline"/>
        </w:rPr>
        <w:t xml:space="preserve"> key </w:t>
      </w:r>
      <w:r w:rsidRPr="00684BF3">
        <w:rPr>
          <w:rStyle w:val="Emphasis"/>
        </w:rPr>
        <w:t>environment</w:t>
      </w:r>
      <w:r w:rsidRPr="00684BF3">
        <w:rPr>
          <w:rStyle w:val="StyleUnderline"/>
        </w:rPr>
        <w:t xml:space="preserve">al </w:t>
      </w:r>
      <w:r w:rsidRPr="00684BF3">
        <w:rPr>
          <w:rStyle w:val="Emphasis"/>
        </w:rPr>
        <w:t>regulations</w:t>
      </w:r>
      <w:r w:rsidRPr="00684BF3">
        <w:rPr>
          <w:sz w:val="16"/>
        </w:rPr>
        <w:t xml:space="preserve">, from </w:t>
      </w:r>
      <w:r w:rsidRPr="00684BF3">
        <w:rPr>
          <w:rStyle w:val="Emphasis"/>
        </w:rPr>
        <w:t>protecting habitat</w:t>
      </w:r>
      <w:r w:rsidRPr="00684BF3">
        <w:rPr>
          <w:rStyle w:val="StyleUnderline"/>
        </w:rPr>
        <w:t xml:space="preserve"> for endangered species to </w:t>
      </w:r>
      <w:r w:rsidRPr="00684BF3">
        <w:rPr>
          <w:rStyle w:val="Emphasis"/>
        </w:rPr>
        <w:t>regulating pollution</w:t>
      </w:r>
      <w:r w:rsidRPr="00684BF3">
        <w:rPr>
          <w:sz w:val="16"/>
        </w:rPr>
        <w:t xml:space="preserve">. </w:t>
      </w:r>
      <w:r w:rsidRPr="00684BF3">
        <w:rPr>
          <w:rStyle w:val="Emphasis"/>
        </w:rPr>
        <w:t>Gorsuch’s aversion</w:t>
      </w:r>
      <w:r w:rsidRPr="00684BF3">
        <w:rPr>
          <w:sz w:val="16"/>
        </w:rPr>
        <w:t xml:space="preserve"> to it </w:t>
      </w:r>
      <w:r w:rsidRPr="00684BF3">
        <w:rPr>
          <w:rStyle w:val="StyleUnderline"/>
        </w:rPr>
        <w:t>worries</w:t>
      </w:r>
      <w:r w:rsidRPr="00684BF3">
        <w:rPr>
          <w:sz w:val="16"/>
        </w:rPr>
        <w:t xml:space="preserve"> some Western </w:t>
      </w:r>
      <w:r w:rsidRPr="00684BF3">
        <w:rPr>
          <w:rStyle w:val="StyleUnderline"/>
        </w:rPr>
        <w:t>legal experts</w:t>
      </w:r>
      <w:r w:rsidRPr="00684BF3">
        <w:rPr>
          <w:sz w:val="16"/>
        </w:rPr>
        <w:t xml:space="preserve">, who fear that </w:t>
      </w:r>
      <w:r w:rsidRPr="00684BF3">
        <w:rPr>
          <w:rStyle w:val="StyleUnderline"/>
        </w:rPr>
        <w:t xml:space="preserve">the nation’s </w:t>
      </w:r>
      <w:r w:rsidRPr="00684BF3">
        <w:rPr>
          <w:rStyle w:val="Emphasis"/>
        </w:rPr>
        <w:t xml:space="preserve">highest court </w:t>
      </w:r>
      <w:r w:rsidRPr="00684BF3">
        <w:rPr>
          <w:rStyle w:val="StyleUnderline"/>
        </w:rPr>
        <w:t xml:space="preserve">will </w:t>
      </w:r>
      <w:r w:rsidRPr="00684BF3">
        <w:rPr>
          <w:rStyle w:val="Emphasis"/>
        </w:rPr>
        <w:t>no longer permit</w:t>
      </w:r>
      <w:r w:rsidRPr="00684BF3">
        <w:rPr>
          <w:sz w:val="16"/>
        </w:rPr>
        <w:t xml:space="preserve"> federal </w:t>
      </w:r>
      <w:r w:rsidRPr="00684BF3">
        <w:rPr>
          <w:rStyle w:val="Emphasis"/>
        </w:rPr>
        <w:t xml:space="preserve">agencies to create safeguards for </w:t>
      </w:r>
      <w:r w:rsidRPr="00684BF3">
        <w:rPr>
          <w:rStyle w:val="StyleUnderline"/>
        </w:rPr>
        <w:t xml:space="preserve">the West’s </w:t>
      </w:r>
      <w:r w:rsidRPr="00684BF3">
        <w:rPr>
          <w:rStyle w:val="Emphasis"/>
        </w:rPr>
        <w:t>lands, waters, air and wildlife</w:t>
      </w:r>
      <w:r w:rsidRPr="00684BF3">
        <w:rPr>
          <w:sz w:val="16"/>
        </w:rPr>
        <w:t xml:space="preserve"> that are not explicitly required by Congress. “The statutory mandate of </w:t>
      </w:r>
      <w:r w:rsidRPr="00684BF3">
        <w:rPr>
          <w:rStyle w:val="Emphasis"/>
        </w:rPr>
        <w:t>land-management agencies</w:t>
      </w:r>
      <w:r w:rsidRPr="00684BF3">
        <w:rPr>
          <w:rStyle w:val="StyleUnderline"/>
        </w:rPr>
        <w:t xml:space="preserve"> like the </w:t>
      </w:r>
      <w:r w:rsidRPr="00684BF3">
        <w:rPr>
          <w:rStyle w:val="Emphasis"/>
        </w:rPr>
        <w:t>Forest Service, Bureau of Land Management</w:t>
      </w:r>
      <w:r w:rsidRPr="00684BF3">
        <w:rPr>
          <w:rStyle w:val="StyleUnderline"/>
        </w:rPr>
        <w:t xml:space="preserve"> and Park Service is old</w:t>
      </w:r>
      <w:r w:rsidRPr="00684BF3">
        <w:rPr>
          <w:sz w:val="16"/>
        </w:rPr>
        <w:t xml:space="preserve"> and creaky,” said </w:t>
      </w:r>
      <w:hyperlink r:id="rId281" w:tgtFrame="_blank" w:history="1">
        <w:r w:rsidRPr="00684BF3">
          <w:rPr>
            <w:rStyle w:val="Hyperlink"/>
            <w:sz w:val="16"/>
          </w:rPr>
          <w:t>Fred Cheever</w:t>
        </w:r>
      </w:hyperlink>
      <w:r w:rsidRPr="00684BF3">
        <w:rPr>
          <w:sz w:val="16"/>
        </w:rPr>
        <w:t xml:space="preserve">, a professor of natural resources and environmental law at the University of Denver Law School. “The combination of </w:t>
      </w:r>
      <w:r w:rsidRPr="00684BF3">
        <w:rPr>
          <w:rStyle w:val="StyleUnderline"/>
        </w:rPr>
        <w:t xml:space="preserve">lack of </w:t>
      </w:r>
      <w:r w:rsidRPr="00684BF3">
        <w:rPr>
          <w:rStyle w:val="Emphasis"/>
        </w:rPr>
        <w:t>deference</w:t>
      </w:r>
      <w:r w:rsidRPr="00684BF3">
        <w:rPr>
          <w:sz w:val="16"/>
        </w:rPr>
        <w:t xml:space="preserve"> and antiquated laws </w:t>
      </w:r>
      <w:r w:rsidRPr="00684BF3">
        <w:rPr>
          <w:rStyle w:val="Emphasis"/>
        </w:rPr>
        <w:t>creates a potential conflict</w:t>
      </w:r>
      <w:r w:rsidRPr="00684BF3">
        <w:rPr>
          <w:rStyle w:val="StyleUnderline"/>
        </w:rPr>
        <w:t xml:space="preserve"> that may </w:t>
      </w:r>
      <w:r w:rsidRPr="00684BF3">
        <w:rPr>
          <w:rStyle w:val="Emphasis"/>
        </w:rPr>
        <w:t>dramatically impact</w:t>
      </w:r>
      <w:r w:rsidRPr="00684BF3">
        <w:rPr>
          <w:rStyle w:val="StyleUnderline"/>
        </w:rPr>
        <w:t xml:space="preserve"> the West</w:t>
      </w:r>
      <w:r w:rsidRPr="00684BF3">
        <w:rPr>
          <w:sz w:val="16"/>
        </w:rPr>
        <w:t>.”</w:t>
      </w:r>
    </w:p>
    <w:p w14:paraId="7C57BB3C" w14:textId="77777777" w:rsidR="006D1153" w:rsidRPr="00077D2E" w:rsidRDefault="006D1153" w:rsidP="006D1153">
      <w:pPr>
        <w:pStyle w:val="Heading4"/>
      </w:pPr>
      <w:r>
        <w:t xml:space="preserve">Loss of biodiversity causes </w:t>
      </w:r>
      <w:r w:rsidRPr="00077D2E">
        <w:rPr>
          <w:u w:val="single"/>
        </w:rPr>
        <w:t>extinction</w:t>
      </w:r>
      <w:r>
        <w:t>.</w:t>
      </w:r>
    </w:p>
    <w:p w14:paraId="4CB6D7DE" w14:textId="77777777" w:rsidR="006D1153" w:rsidRDefault="006D1153" w:rsidP="006D1153">
      <w:r>
        <w:rPr>
          <w:rStyle w:val="Style13ptBold"/>
        </w:rPr>
        <w:t>Gingerich 20</w:t>
      </w:r>
      <w:r>
        <w:t xml:space="preserve"> – Elizabeth Gingerich , Professor of Business Law at Valparaiso University and J.D. from Indiana University, January ("Leadership in the Sixth Mass Extinction," The Journal of Values Based Leadership, vol. 13, iss. 1, article 16, available online at https://scholar.valpo.edu/cgi/viewcontent.cgi?article=1308&amp;context=jvbl, accessed 7-7-2020) LR</w:t>
      </w:r>
    </w:p>
    <w:p w14:paraId="1D844F38" w14:textId="77777777" w:rsidR="006D1153" w:rsidRPr="00187BDF" w:rsidRDefault="006D1153" w:rsidP="006D1153">
      <w:pPr>
        <w:rPr>
          <w:sz w:val="16"/>
        </w:rPr>
      </w:pPr>
      <w:r w:rsidRPr="00187BDF">
        <w:rPr>
          <w:sz w:val="16"/>
        </w:rPr>
        <w:t>An “</w:t>
      </w:r>
      <w:r w:rsidRPr="00187BDF">
        <w:rPr>
          <w:rStyle w:val="Emphasis"/>
        </w:rPr>
        <w:t>extinction event</w:t>
      </w:r>
      <w:r w:rsidRPr="00187BDF">
        <w:rPr>
          <w:sz w:val="16"/>
        </w:rPr>
        <w:t xml:space="preserve">” is scientifically defined as a </w:t>
      </w:r>
      <w:r w:rsidRPr="00187BDF">
        <w:rPr>
          <w:rStyle w:val="StyleUnderline"/>
        </w:rPr>
        <w:t xml:space="preserve">widespread and rapid </w:t>
      </w:r>
      <w:r w:rsidRPr="00187BDF">
        <w:rPr>
          <w:rStyle w:val="Emphasis"/>
        </w:rPr>
        <w:t>decrease in Earth’s biodiversity</w:t>
      </w:r>
      <w:r w:rsidRPr="00187BDF">
        <w:rPr>
          <w:rStyle w:val="StyleUnderline"/>
        </w:rPr>
        <w:t>.</w:t>
      </w:r>
      <w:r w:rsidRPr="00187BDF">
        <w:rPr>
          <w:sz w:val="16"/>
        </w:rPr>
        <w:t xml:space="preserve"> Over the last 500 million years, life has had to recover from five distinct catastrophic extinctions when more than 75% of species was extinguished. But unlike the causes for the first four which were primarily attributed to shifting levels of the Earth’s carbon cycle largely caused by volcanic eruptions – the fifth mass extinction, known as the Cretaceous-Paleogene extinction, is regarded as an anomaly. This extinction – occurring over 66 million years ago – has been famously classified as the one obliteration caused by an asteroid collision, decimating the dinosaur population in the process (Cosmos, 2019). </w:t>
      </w:r>
    </w:p>
    <w:p w14:paraId="77DFDC93" w14:textId="77777777" w:rsidR="006D1153" w:rsidRPr="00D10287" w:rsidRDefault="006D1153" w:rsidP="006D1153">
      <w:pPr>
        <w:rPr>
          <w:sz w:val="16"/>
        </w:rPr>
      </w:pPr>
      <w:r w:rsidRPr="00187BDF">
        <w:rPr>
          <w:sz w:val="16"/>
        </w:rPr>
        <w:t xml:space="preserve">For millions of years, life on earth has been altered as a result of these five distinct mass extinction periods. Currently, </w:t>
      </w:r>
      <w:r w:rsidRPr="00187BDF">
        <w:rPr>
          <w:rStyle w:val="StyleUnderline"/>
        </w:rPr>
        <w:t>the planet is entering the sixth mass extinction</w:t>
      </w:r>
      <w:r w:rsidRPr="00187BDF">
        <w:rPr>
          <w:sz w:val="16"/>
        </w:rPr>
        <w:t xml:space="preserve">, leaving the Quaternary Period of the Cenozoic Era (which began at the fifth mass extinction) while unofficially shifting from the Holocene to the Anthropocene epoch (Zimmerman, 2016). This is </w:t>
      </w:r>
      <w:r w:rsidRPr="00187BDF">
        <w:rPr>
          <w:rStyle w:val="StyleUnderline"/>
        </w:rPr>
        <w:t>an era of ongoing change</w:t>
      </w:r>
      <w:r w:rsidRPr="00187BDF">
        <w:rPr>
          <w:sz w:val="16"/>
        </w:rPr>
        <w:t xml:space="preserve"> – all </w:t>
      </w:r>
      <w:r w:rsidRPr="00187BDF">
        <w:rPr>
          <w:rStyle w:val="StyleUnderline"/>
        </w:rPr>
        <w:t xml:space="preserve">fueled by </w:t>
      </w:r>
      <w:r w:rsidRPr="00187BDF">
        <w:rPr>
          <w:rStyle w:val="Emphasis"/>
        </w:rPr>
        <w:t>human activity</w:t>
      </w:r>
      <w:r w:rsidRPr="00187BDF">
        <w:rPr>
          <w:sz w:val="16"/>
        </w:rPr>
        <w:t xml:space="preserve"> – and broadly </w:t>
      </w:r>
      <w:r w:rsidRPr="00187BDF">
        <w:rPr>
          <w:rStyle w:val="StyleUnderline"/>
        </w:rPr>
        <w:t>characterized with the extinction of plants and animals and</w:t>
      </w:r>
      <w:r w:rsidRPr="00187BDF">
        <w:rPr>
          <w:sz w:val="16"/>
        </w:rPr>
        <w:t xml:space="preserve"> the </w:t>
      </w:r>
      <w:r w:rsidRPr="00187BDF">
        <w:rPr>
          <w:rStyle w:val="StyleUnderline"/>
        </w:rPr>
        <w:t xml:space="preserve">degradation of biodiverse habitats </w:t>
      </w:r>
      <w:r w:rsidRPr="00187BDF">
        <w:rPr>
          <w:sz w:val="16"/>
        </w:rPr>
        <w:t xml:space="preserve">such as rainforests and coral reefs as previously described – all driven by manmade climate change and the overhunting of species. </w:t>
      </w:r>
      <w:r w:rsidRPr="00187BDF">
        <w:rPr>
          <w:rStyle w:val="StyleUnderline"/>
        </w:rPr>
        <w:t xml:space="preserve">There is no land mass today nor ocean immune from serious </w:t>
      </w:r>
      <w:r w:rsidRPr="00187BDF">
        <w:rPr>
          <w:rStyle w:val="Emphasis"/>
        </w:rPr>
        <w:t>loss of biodiversity</w:t>
      </w:r>
      <w:r w:rsidRPr="00187BDF">
        <w:rPr>
          <w:rStyle w:val="StyleUnderline"/>
        </w:rPr>
        <w:t>. Such widespread loss</w:t>
      </w:r>
      <w:r w:rsidRPr="00187BDF">
        <w:rPr>
          <w:sz w:val="16"/>
        </w:rPr>
        <w:t xml:space="preserve"> of habitat </w:t>
      </w:r>
      <w:r w:rsidRPr="00187BDF">
        <w:rPr>
          <w:rStyle w:val="StyleUnderline"/>
        </w:rPr>
        <w:t xml:space="preserve">is also </w:t>
      </w:r>
      <w:r w:rsidRPr="00187BDF">
        <w:rPr>
          <w:rStyle w:val="Emphasis"/>
        </w:rPr>
        <w:t>threatening human existence</w:t>
      </w:r>
      <w:r w:rsidRPr="00187BDF">
        <w:rPr>
          <w:rStyle w:val="StyleUnderline"/>
        </w:rPr>
        <w:t xml:space="preserve"> as agricultural practices</w:t>
      </w:r>
      <w:r w:rsidRPr="00187BDF">
        <w:rPr>
          <w:sz w:val="16"/>
        </w:rPr>
        <w:t xml:space="preserve"> continue to </w:t>
      </w:r>
      <w:r w:rsidRPr="00187BDF">
        <w:rPr>
          <w:rStyle w:val="StyleUnderline"/>
        </w:rPr>
        <w:t>strip aquifers of their normal flow and inject pesticide residues into the soil compromising otherwise potable water.</w:t>
      </w:r>
      <w:r w:rsidRPr="00187BDF">
        <w:rPr>
          <w:sz w:val="16"/>
        </w:rPr>
        <w:t xml:space="preserve"> “Food production accounts for one-third of greenhouse gas emissions and roughly for 70% of worldwide water use” (Razis, 2010). Although extreme </w:t>
      </w:r>
      <w:r w:rsidRPr="00187BDF">
        <w:rPr>
          <w:rStyle w:val="Emphasis"/>
        </w:rPr>
        <w:t>conservation efforts are required</w:t>
      </w:r>
      <w:r w:rsidRPr="00187BDF">
        <w:rPr>
          <w:rStyle w:val="StyleUnderline"/>
        </w:rPr>
        <w:t xml:space="preserve"> to curb this decline</w:t>
      </w:r>
      <w:r w:rsidRPr="00187BDF">
        <w:rPr>
          <w:sz w:val="16"/>
        </w:rPr>
        <w:t xml:space="preserve"> in resources, the window of time within which to act has substantially narrowed and future palliative efforts may prove ineffectual (Ceballos et al., 2019).</w:t>
      </w:r>
    </w:p>
    <w:p w14:paraId="1DCC09F2" w14:textId="77777777" w:rsidR="00516959" w:rsidRDefault="00516959" w:rsidP="00516959">
      <w:pPr>
        <w:pStyle w:val="Heading3"/>
      </w:pPr>
      <w:r>
        <w:t>2NC – OV – Disease</w:t>
      </w:r>
    </w:p>
    <w:p w14:paraId="37A65079" w14:textId="77777777" w:rsidR="00516959" w:rsidRPr="00472A6F" w:rsidRDefault="00516959" w:rsidP="00516959">
      <w:pPr>
        <w:pStyle w:val="Heading4"/>
      </w:pPr>
      <w:r w:rsidRPr="00472A6F">
        <w:rPr>
          <w:i/>
          <w:iCs w:val="0"/>
        </w:rPr>
        <w:t>Chevron</w:t>
      </w:r>
      <w:r>
        <w:t xml:space="preserve"> ensures patent efficacy now, BUT it’s </w:t>
      </w:r>
      <w:r>
        <w:rPr>
          <w:u w:val="single"/>
        </w:rPr>
        <w:t>fragile</w:t>
      </w:r>
      <w:r>
        <w:t>.</w:t>
      </w:r>
    </w:p>
    <w:p w14:paraId="0269F758" w14:textId="77777777" w:rsidR="00516959" w:rsidRPr="00D8773B" w:rsidRDefault="00516959" w:rsidP="00516959">
      <w:r w:rsidRPr="00D8773B">
        <w:rPr>
          <w:b/>
          <w:bCs/>
          <w:sz w:val="26"/>
          <w:szCs w:val="26"/>
        </w:rPr>
        <w:t>Ashery 18</w:t>
      </w:r>
      <w:r>
        <w:t xml:space="preserve"> - </w:t>
      </w:r>
      <w:r w:rsidRPr="00D8773B">
        <w:t>Patent Application Attorney in Philadelphia, PA</w:t>
      </w:r>
      <w:r>
        <w:t>, (Lawrence E., “</w:t>
      </w:r>
      <w:r w:rsidRPr="00D8773B">
        <w:t>Court Applies ‘Chevron’ Deference to Patent Law in ‘Fractured’ Decision</w:t>
      </w:r>
      <w:r>
        <w:t xml:space="preserve">,” </w:t>
      </w:r>
      <w:r>
        <w:rPr>
          <w:i/>
          <w:iCs/>
        </w:rPr>
        <w:t>CaeserRevise</w:t>
      </w:r>
      <w:r>
        <w:t xml:space="preserve">, 2-21-18, </w:t>
      </w:r>
      <w:hyperlink r:id="rId282" w:history="1">
        <w:r w:rsidRPr="00DC67D3">
          <w:rPr>
            <w:rStyle w:val="Hyperlink"/>
          </w:rPr>
          <w:t>https://www.caesar.law/news-resources/court-applies-chevron-deference-patent-law-fractured-decision/</w:t>
        </w:r>
      </w:hyperlink>
      <w:r>
        <w:t>, Accessed 7-4-20, LASA-AH)</w:t>
      </w:r>
    </w:p>
    <w:p w14:paraId="3642A617" w14:textId="77777777" w:rsidR="00516959" w:rsidRPr="00D8773B" w:rsidRDefault="00516959" w:rsidP="00516959">
      <w:pPr>
        <w:rPr>
          <w:rStyle w:val="Emphasis"/>
        </w:rPr>
      </w:pPr>
      <w:r>
        <w:t xml:space="preserve">It is unusual for the Federal Circuit to apply the doctrine of Chevron deference to patent law, but </w:t>
      </w:r>
      <w:r w:rsidRPr="00D8773B">
        <w:rPr>
          <w:u w:val="single"/>
        </w:rPr>
        <w:t>a recent decision is noteworthy—</w:t>
      </w:r>
      <w:r w:rsidRPr="00D8773B">
        <w:rPr>
          <w:rStyle w:val="Emphasis"/>
        </w:rPr>
        <w:t>and fractured.</w:t>
      </w:r>
    </w:p>
    <w:p w14:paraId="35EA7FE6" w14:textId="77777777" w:rsidR="00516959" w:rsidRDefault="00516959" w:rsidP="00516959">
      <w:r>
        <w:t>The Chevron deference doctrine, based on the U.S. Supreme Court case of Chevron, U.S.A. v. Natural Resources Defense Council, 467 U.S. 837 (1984) requires a federal court to defer to a federal agency’s interpretation of a federal statute in its area of expertise. The doctrine can only be applied if the language of a federal statute is ambiguous and the agency’s interpretation is reasonable.</w:t>
      </w:r>
    </w:p>
    <w:p w14:paraId="0039663D" w14:textId="77777777" w:rsidR="00516959" w:rsidRDefault="00516959" w:rsidP="00516959">
      <w:r>
        <w:t>The doctrine appears on a regular basis in many areas of administrative law. Labor and SEC attorneys, for example, frequently deal with Chevron deference. In patent law, however, it is only applied occasionally.</w:t>
      </w:r>
    </w:p>
    <w:p w14:paraId="3513D0CF" w14:textId="77777777" w:rsidR="00516959" w:rsidRDefault="00516959" w:rsidP="00516959">
      <w:r>
        <w:t>Why such limited exposure to patent law? Two reasons.</w:t>
      </w:r>
    </w:p>
    <w:p w14:paraId="543E53D7" w14:textId="77777777" w:rsidR="00516959" w:rsidRPr="00D8773B" w:rsidRDefault="00516959" w:rsidP="00516959">
      <w:pPr>
        <w:rPr>
          <w:b/>
          <w:iCs/>
          <w:u w:val="single"/>
        </w:rPr>
      </w:pPr>
      <w:r>
        <w:t>First, by statute, the U.S. Patent and Trademark Office (</w:t>
      </w:r>
      <w:r w:rsidRPr="00D8773B">
        <w:rPr>
          <w:u w:val="single"/>
        </w:rPr>
        <w:t>USPTO</w:t>
      </w:r>
      <w:r>
        <w:t xml:space="preserve">) </w:t>
      </w:r>
      <w:r w:rsidRPr="00D8773B">
        <w:rPr>
          <w:u w:val="single"/>
        </w:rPr>
        <w:t>has no substantive law making authority</w:t>
      </w:r>
      <w:r>
        <w:t xml:space="preserve">. 35 U.S.C. Section 2(b)(2)(A) allows the USPTO to “establish regulations, not inconsistent with law, which … shall govern the conduct of proceedings in the office.” Rules pertaining to proper filing of a patent application, for example, fit within the confines of what is permitted by statute. </w:t>
      </w:r>
      <w:r w:rsidRPr="00D8773B">
        <w:rPr>
          <w:u w:val="single"/>
        </w:rPr>
        <w:t xml:space="preserve">But, with regard to topics such as “What subject matter is entitled to patent protection?” the USPTO has no say. So, Chevron deference only shows up in patent law when </w:t>
      </w:r>
      <w:r w:rsidRPr="00D8773B">
        <w:rPr>
          <w:rStyle w:val="Emphasis"/>
        </w:rPr>
        <w:t>procedural rules are at issue.</w:t>
      </w:r>
    </w:p>
    <w:p w14:paraId="762341A2" w14:textId="77777777" w:rsidR="00516959" w:rsidRDefault="00516959" w:rsidP="00516959">
      <w:r>
        <w:t xml:space="preserve">Second, unlike most other areas of administrative law, </w:t>
      </w:r>
      <w:r w:rsidRPr="00D8773B">
        <w:rPr>
          <w:u w:val="single"/>
        </w:rPr>
        <w:t>patent law is adjudicated by a specialized appeals court</w:t>
      </w:r>
      <w:r>
        <w:t xml:space="preserve">—the U.S. Court of Appeals for the </w:t>
      </w:r>
      <w:r w:rsidRPr="00D8773B">
        <w:rPr>
          <w:u w:val="single"/>
        </w:rPr>
        <w:t>Federal Circuit</w:t>
      </w:r>
      <w:r>
        <w:t xml:space="preserve">—which is considered a patent “expert” </w:t>
      </w:r>
      <w:r w:rsidRPr="00D8773B">
        <w:rPr>
          <w:u w:val="single"/>
        </w:rPr>
        <w:t>and has created a deep well of law in the patent arena.</w:t>
      </w:r>
      <w:r>
        <w:t xml:space="preserve"> Substantive patent law questions are thus often answered by looking at Federal Circuit opinions.</w:t>
      </w:r>
    </w:p>
    <w:p w14:paraId="4199DE96" w14:textId="77777777" w:rsidR="00516959" w:rsidRPr="00D8773B" w:rsidRDefault="00516959" w:rsidP="00516959">
      <w:pPr>
        <w:rPr>
          <w:u w:val="single"/>
        </w:rPr>
      </w:pPr>
      <w:r w:rsidRPr="00D8773B">
        <w:rPr>
          <w:u w:val="single"/>
        </w:rPr>
        <w:t>Aqua Products v. Matal,</w:t>
      </w:r>
      <w:r>
        <w:t xml:space="preserve"> 2015-1177 (Fed. Cir. 2017) is </w:t>
      </w:r>
      <w:r w:rsidRPr="00D8773B">
        <w:rPr>
          <w:u w:val="single"/>
        </w:rPr>
        <w:t xml:space="preserve">one of those unusual decisions in which patent law and Chevron deference came together. </w:t>
      </w:r>
      <w:r>
        <w:t xml:space="preserve">Aqua was an appeal from an inter partes review (IPR)—a proceeding that is handled by the USPTO’s Patent Trial and Appeal Board (PTAB). IPR enables a party to petition for patent claims in an issued patent to be declared invalid. Its purpose is to offer litigation-like procedures at the USPTO without the expense of a civil suit. </w:t>
      </w:r>
      <w:r w:rsidRPr="00D8773B">
        <w:rPr>
          <w:u w:val="single"/>
        </w:rPr>
        <w:t>While IPR is pricey, the cost is significantly less than litigation in federal court.</w:t>
      </w:r>
    </w:p>
    <w:p w14:paraId="46FCE859" w14:textId="77777777" w:rsidR="00516959" w:rsidRDefault="00516959" w:rsidP="00516959">
      <w:r>
        <w:t>One of the more controversial aspects of IPR is the ability of the patent owner to amend claims during the proceeding. In Aqua, Aqua Product’s motion to amend claims during IPR was denied. Aqua Products appealed to the Federal Circuit, first to a three-judge panel and then en banc.</w:t>
      </w:r>
    </w:p>
    <w:p w14:paraId="6F6A7F96" w14:textId="77777777" w:rsidR="00516959" w:rsidRDefault="00516959" w:rsidP="00516959">
      <w:r>
        <w:t>While the IPR statute, 35 U.S.C. Section 316 permits amendment (“during the proceeding, the patent holder has one opportunity as a matter of right to amend the claims …” 35 U.S.C. Section 316(d)(1)), the number of patents that the PTAB has permitted to be amended has been extraordinarily low. As of April 30, 2016, out of 118 motions to amend patents during IPR, 112 motions were denied and four motions were partially denied.</w:t>
      </w:r>
    </w:p>
    <w:p w14:paraId="63AD94DA" w14:textId="77777777" w:rsidR="00516959" w:rsidRDefault="00516959" w:rsidP="00516959">
      <w:r>
        <w:t>Aqua Products appealed on the basis that the USPTO improperly interpreted the law that permits patents in IPR proceedings to be amended. The USPTO’s position was that, before granting a motion to amend claims during IPR, the burden was on the patent owner to prove that the amended claims were patentable. Aqua Product’s contention was that the IPR statutes included no such requirement.</w:t>
      </w:r>
    </w:p>
    <w:p w14:paraId="153456AD" w14:textId="77777777" w:rsidR="00516959" w:rsidRDefault="00516959" w:rsidP="00516959">
      <w:r>
        <w:t xml:space="preserve">Sitting en banc, the </w:t>
      </w:r>
      <w:r w:rsidRPr="00D8773B">
        <w:rPr>
          <w:u w:val="single"/>
        </w:rPr>
        <w:t xml:space="preserve">Federal Circuit held that the USPTO may not place the burden on the patent owner to prove amended claims are patentable. But </w:t>
      </w:r>
      <w:r w:rsidRPr="00D8773B">
        <w:rPr>
          <w:rStyle w:val="Emphasis"/>
        </w:rPr>
        <w:t>the court was fractured</w:t>
      </w:r>
      <w:r w:rsidRPr="00D8773B">
        <w:rPr>
          <w:u w:val="single"/>
        </w:rPr>
        <w:t>.</w:t>
      </w:r>
      <w:r w:rsidRPr="00D8773B">
        <w:t xml:space="preserve"> In total, the decision included five opinions: one majority opinion (in which five judges joined and two judges concurred in result</w:t>
      </w:r>
      <w:r>
        <w:t>) and four opinions with various combinations of judges joining, joining in part, and dissenting.</w:t>
      </w:r>
    </w:p>
    <w:p w14:paraId="13EDD868" w14:textId="77777777" w:rsidR="00516959" w:rsidRPr="00D8773B" w:rsidRDefault="00516959" w:rsidP="00516959">
      <w:pPr>
        <w:rPr>
          <w:u w:val="single"/>
        </w:rPr>
      </w:pPr>
      <w:r w:rsidRPr="00D8773B">
        <w:rPr>
          <w:u w:val="single"/>
        </w:rPr>
        <w:t xml:space="preserve">Each opinion is </w:t>
      </w:r>
      <w:r w:rsidRPr="00D8773B">
        <w:rPr>
          <w:rStyle w:val="Emphasis"/>
        </w:rPr>
        <w:t>difficult to understand</w:t>
      </w:r>
      <w:r>
        <w:t xml:space="preserve">, and the majority opinion concluded as follows: </w:t>
      </w:r>
      <w:r w:rsidRPr="00D8773B">
        <w:rPr>
          <w:u w:val="single"/>
        </w:rPr>
        <w:t>“This process has not been easy. We are proceeding without a full court, and those judges who are participating disagree over a host of issues.</w:t>
      </w:r>
      <w:r>
        <w:t xml:space="preserve"> As frustrating as it is for all who put so much thought and effort into this matter, </w:t>
      </w:r>
      <w:r w:rsidRPr="00D8773B">
        <w:rPr>
          <w:u w:val="single"/>
        </w:rPr>
        <w:t>very little said over the course of the many pages that form the five opinions in this case has precedential weight.”</w:t>
      </w:r>
    </w:p>
    <w:p w14:paraId="2693D20B" w14:textId="77777777" w:rsidR="00516959" w:rsidRPr="00D8773B" w:rsidRDefault="00516959" w:rsidP="00516959">
      <w:pPr>
        <w:rPr>
          <w:u w:val="single"/>
        </w:rPr>
      </w:pPr>
      <w:r>
        <w:t xml:space="preserve">The </w:t>
      </w:r>
      <w:r w:rsidRPr="00D8773B">
        <w:rPr>
          <w:u w:val="single"/>
        </w:rPr>
        <w:t>reason for the complexity of the opinions was because of Chevron deference</w:t>
      </w:r>
      <w:r>
        <w:t xml:space="preserve">. The USPTO argued that the IPR statutes were ambiguous regarding IPR amendments. Therefore, </w:t>
      </w:r>
      <w:r w:rsidRPr="00D8773B">
        <w:rPr>
          <w:u w:val="single"/>
        </w:rPr>
        <w:t xml:space="preserve">the USPTO asserted that Chevron deference required the court to </w:t>
      </w:r>
      <w:r w:rsidRPr="00D8773B">
        <w:rPr>
          <w:rStyle w:val="Emphasis"/>
        </w:rPr>
        <w:t>adopt the USPTO’s interpretation</w:t>
      </w:r>
      <w:r w:rsidRPr="00D8773B">
        <w:rPr>
          <w:u w:val="single"/>
        </w:rPr>
        <w:t xml:space="preserve"> of the statues.</w:t>
      </w:r>
      <w:r>
        <w:t xml:space="preserve"> The majority opinion deeply analyzed the language of the statutes and determined that they were not ambiguous. Therefore, </w:t>
      </w:r>
      <w:r w:rsidRPr="00D8773B">
        <w:rPr>
          <w:u w:val="single"/>
        </w:rPr>
        <w:t>the case was remanded to the PTAB to decide the patent owner’s motion to amend the claims—without the USPTO’s former requirement of placing the burden on the patent owner to prove that the amended claims were patentable.</w:t>
      </w:r>
    </w:p>
    <w:p w14:paraId="0FEDB5AF" w14:textId="77777777" w:rsidR="00516959" w:rsidRPr="00D8773B" w:rsidRDefault="00516959" w:rsidP="00516959">
      <w:pPr>
        <w:rPr>
          <w:u w:val="single"/>
        </w:rPr>
      </w:pPr>
      <w:r>
        <w:t xml:space="preserve">The majority opinion grappled with determining whether the IPR statutes relating to amendment during the proceeding were ambiguous, a necessary prerequisite for applying the Chevron deference doctrine. </w:t>
      </w:r>
      <w:r w:rsidRPr="00D8773B">
        <w:rPr>
          <w:u w:val="single"/>
        </w:rPr>
        <w:t>But all such analyses (whether with regard to patent law or another specialty of law handled by an administrative agency) are difficult to make, because the word “ambiguous” is, well, ambiguous</w:t>
      </w:r>
      <w:r>
        <w:t xml:space="preserve">. Language that is ambiguous to some may not be ambiguous to others, and </w:t>
      </w:r>
      <w:r w:rsidRPr="00D8773B">
        <w:rPr>
          <w:u w:val="single"/>
        </w:rPr>
        <w:t>the Supreme Court’s opinion in Chevron lacks any explanation or guidance for determining whether ambiguous language appears in a statute. Thus, whether or not Chevron deference should be applied to a particular statute is not clear.</w:t>
      </w:r>
    </w:p>
    <w:p w14:paraId="2D5FAB34" w14:textId="77777777" w:rsidR="00516959" w:rsidRDefault="00516959" w:rsidP="00516959">
      <w:pPr>
        <w:rPr>
          <w:u w:val="single"/>
        </w:rPr>
      </w:pPr>
    </w:p>
    <w:p w14:paraId="4A37BF4F" w14:textId="77777777" w:rsidR="00516959" w:rsidRDefault="00516959" w:rsidP="00516959">
      <w:pPr>
        <w:pStyle w:val="Heading4"/>
      </w:pPr>
      <w:r>
        <w:t xml:space="preserve">That’s </w:t>
      </w:r>
      <w:r>
        <w:rPr>
          <w:u w:val="single"/>
        </w:rPr>
        <w:t>essential</w:t>
      </w:r>
      <w:r>
        <w:t xml:space="preserve"> to pharma innovation.</w:t>
      </w:r>
    </w:p>
    <w:p w14:paraId="57B3163C" w14:textId="77777777" w:rsidR="00516959" w:rsidRPr="0059670C" w:rsidRDefault="00516959" w:rsidP="00516959">
      <w:r w:rsidRPr="0059670C">
        <w:rPr>
          <w:b/>
          <w:bCs/>
          <w:sz w:val="26"/>
          <w:szCs w:val="26"/>
        </w:rPr>
        <w:t>Grabowski et al. 15</w:t>
      </w:r>
      <w:r>
        <w:t xml:space="preserve"> - </w:t>
      </w:r>
      <w:r w:rsidRPr="0059670C">
        <w:t>an authority on the economics of the pharmaceutical industry, the economics of innovation, and government regulation of business</w:t>
      </w:r>
      <w:r>
        <w:t xml:space="preserve">, </w:t>
      </w:r>
      <w:r w:rsidRPr="0059670C">
        <w:t>Ph.D. is Director of Economic Analysis at the Tufts Center for the Study of Drug Development</w:t>
      </w:r>
      <w:r>
        <w:t xml:space="preserve">, </w:t>
      </w:r>
      <w:r w:rsidRPr="0059670C">
        <w:t>an expert in the economics and business strategy of innovation and growth</w:t>
      </w:r>
      <w:r>
        <w:t>, (Henry G., Joseph A., Genia, “</w:t>
      </w:r>
      <w:r w:rsidRPr="0059670C">
        <w:t>The Roles Of Patents And Research And Development Incentives In Biopharmaceutical Innovation</w:t>
      </w:r>
      <w:r>
        <w:t xml:space="preserve">,” </w:t>
      </w:r>
      <w:r w:rsidRPr="0059670C">
        <w:rPr>
          <w:i/>
          <w:iCs/>
        </w:rPr>
        <w:t>Chevy Chase Vol. 34, Iss. 2,</w:t>
      </w:r>
      <w:r>
        <w:t xml:space="preserve"> February 2015, </w:t>
      </w:r>
      <w:r w:rsidRPr="0059670C">
        <w:t>https://search-proquest-com. /docview/1652385973?accountid=14667&amp;pq-origsite=summon</w:t>
      </w:r>
      <w:r>
        <w:t>, Accessed 6-26-20, LASA-AH)</w:t>
      </w:r>
    </w:p>
    <w:p w14:paraId="0C68E227" w14:textId="77777777" w:rsidR="00516959" w:rsidRDefault="00516959" w:rsidP="00516959">
      <w:r w:rsidRPr="0059670C">
        <w:rPr>
          <w:u w:val="single"/>
        </w:rPr>
        <w:t xml:space="preserve">Patents and other forms of intellectual property protection </w:t>
      </w:r>
      <w:r w:rsidRPr="0059670C">
        <w:rPr>
          <w:rStyle w:val="Emphasis"/>
        </w:rPr>
        <w:t>play essential roles</w:t>
      </w:r>
      <w:r w:rsidRPr="0059670C">
        <w:rPr>
          <w:u w:val="single"/>
        </w:rPr>
        <w:t xml:space="preserve"> in encouraging innovation in biopharmaceuticals</w:t>
      </w:r>
      <w:r>
        <w:t>. As part of the "21st Century Cures" initiative, Congress is reviewing the policy mechanisms designed to accelerate the discovery, development, and delivery of new treatments. Debate continues about how best to balance patent and intellectual property incentives to encourage innovation, on the one hand, and generic utilization and price competition, on the other hand. We review the current framework for accomplishing these dual objectives and the important role of patents and regulatory exclusivity (together, the patent-based system), given the lengthy, costly, and risky biopharmaceutical research and development process. We summarize existing targeted incentives, such as for orphan drugs and neglected diseases, and we consider the pros and cons of proposed voluntary or mandatory alternatives to the patent-based system, such as prizes and government research and development contracting. We conclude that patents and regulatory exclusivity provisions are likely to remain the core approach to providing incentives for biopharmaceutical research and development. However, prizes and other voluntary supplements could play a useful role in addressing unmet needs and gaps in specific circumstances.</w:t>
      </w:r>
    </w:p>
    <w:p w14:paraId="2EB8AA4A" w14:textId="77777777" w:rsidR="00516959" w:rsidRDefault="00516959" w:rsidP="00516959">
      <w:r w:rsidRPr="0059670C">
        <w:rPr>
          <w:u w:val="single"/>
        </w:rPr>
        <w:t xml:space="preserve">Technological innovation is widely recognized as a key determinant of </w:t>
      </w:r>
      <w:r w:rsidRPr="0059670C">
        <w:rPr>
          <w:rStyle w:val="Emphasis"/>
        </w:rPr>
        <w:t>economic and public health progress</w:t>
      </w:r>
      <w:r w:rsidRPr="0059670C">
        <w:rPr>
          <w:u w:val="single"/>
        </w:rPr>
        <w:t>.1</w:t>
      </w:r>
      <w:r>
        <w:t xml:space="preserve">,2 </w:t>
      </w:r>
      <w:r w:rsidRPr="0059670C">
        <w:rPr>
          <w:u w:val="single"/>
        </w:rPr>
        <w:t>Patents</w:t>
      </w:r>
      <w:r>
        <w:t xml:space="preserve"> and other forms of intellectual property protection </w:t>
      </w:r>
      <w:r w:rsidRPr="0059670C">
        <w:rPr>
          <w:u w:val="single"/>
        </w:rPr>
        <w:t>are</w:t>
      </w:r>
      <w:r>
        <w:t xml:space="preserve"> generally </w:t>
      </w:r>
      <w:r w:rsidRPr="0059670C">
        <w:rPr>
          <w:u w:val="single"/>
        </w:rPr>
        <w:t xml:space="preserve">thought to play essential roles in encouraging innovation in biopharmaceuticals. </w:t>
      </w:r>
      <w:r>
        <w:t xml:space="preserve">This is because </w:t>
      </w:r>
      <w:r w:rsidRPr="0059670C">
        <w:rPr>
          <w:u w:val="single"/>
        </w:rPr>
        <w:t>the process of developing a new drug and bringing it to market is long, costly, and risky, and the costs of imitation are low</w:t>
      </w:r>
      <w:r>
        <w:t xml:space="preserve">. After a new drug has been approved and is being marketed, </w:t>
      </w:r>
      <w:r w:rsidRPr="0059670C">
        <w:rPr>
          <w:u w:val="single"/>
        </w:rPr>
        <w:t xml:space="preserve">its patents </w:t>
      </w:r>
      <w:r w:rsidRPr="0059670C">
        <w:rPr>
          <w:rStyle w:val="Emphasis"/>
        </w:rPr>
        <w:t>protect it from competition</w:t>
      </w:r>
      <w:r w:rsidRPr="0059670C">
        <w:rPr>
          <w:u w:val="single"/>
        </w:rPr>
        <w:t xml:space="preserve"> from chemically identical entrants (or entrants infringing on other patents) for a period of time.</w:t>
      </w:r>
      <w:r>
        <w:t xml:space="preserve"> For firms to have an incentive to continue to invest in innovative development efforts, </w:t>
      </w:r>
      <w:r w:rsidRPr="0059670C">
        <w:rPr>
          <w:u w:val="single"/>
        </w:rPr>
        <w:t>they must have an expectation that they can charge enough during this period to recoup costs and make a profit.</w:t>
      </w:r>
      <w:r>
        <w:t xml:space="preserve"> After a drug's patent or patents expire, generic rivals can enter the market at greatly reduced development cost and prices, providing added consumer benefit but eroding the innovator drug company's revenues.</w:t>
      </w:r>
    </w:p>
    <w:p w14:paraId="7D69B497" w14:textId="77777777" w:rsidR="00516959" w:rsidRDefault="00516959" w:rsidP="00516959">
      <w:r w:rsidRPr="0059670C">
        <w:t>The Drug Price Competition and Patent Term Restoration Act of 1984</w:t>
      </w:r>
      <w:r>
        <w:t xml:space="preserve"> (commonly known as the Hatch- Waxman Act) was designed to balance innovation incentives and generic price competition for new drugs (generally small-molecule chemical drugs, with some large-molecule biologic exceptions) by extending the period of a drug's marketing exclusivity while providing a regulatory framework for generic drug approval. This framework was later changed to encompass so-called biosimilars for large-molecule ( biologic) drugs through the separate Biologics Price Competition and Innovation Act of 2009. Other measures have been enacted to provide research and development (R&amp;D) incentives for antibiotics and drugs to treat orphan diseases and neglected tropical diseases.</w:t>
      </w:r>
    </w:p>
    <w:p w14:paraId="5B4211A5" w14:textId="77777777" w:rsidR="00516959" w:rsidRDefault="00516959" w:rsidP="00516959">
      <w:r>
        <w:t>Discussion continues about whether current innovation incentives are optimal or even adequate, given evolving public health needs and scientific knowledge. For instance, the House Energy and Commerce Committee recently embarked on the "21st Century Cures" initiative,3 following earlier recommendations by the President's Council of Advisors on Science and Technology on responding to challenges in " propelling innovation in drug discovery, development, and evaluation."4</w:t>
      </w:r>
    </w:p>
    <w:p w14:paraId="10ABCC79" w14:textId="77777777" w:rsidR="00516959" w:rsidRDefault="00516959" w:rsidP="00516959">
      <w:r>
        <w:t xml:space="preserve">In this context, we discuss the </w:t>
      </w:r>
      <w:r w:rsidRPr="0059670C">
        <w:rPr>
          <w:u w:val="single"/>
        </w:rPr>
        <w:t>importance of patents</w:t>
      </w:r>
      <w:r>
        <w:t xml:space="preserve"> and other forms of intellectual property protection </w:t>
      </w:r>
      <w:r w:rsidRPr="0059670C">
        <w:rPr>
          <w:u w:val="single"/>
        </w:rPr>
        <w:t>to biopharmaceutical innovation</w:t>
      </w:r>
      <w:r>
        <w:t xml:space="preserve">, </w:t>
      </w:r>
      <w:r w:rsidRPr="0059670C">
        <w:rPr>
          <w:u w:val="single"/>
        </w:rPr>
        <w:t xml:space="preserve">given the unique </w:t>
      </w:r>
      <w:r w:rsidRPr="0059670C">
        <w:rPr>
          <w:rStyle w:val="Emphasis"/>
        </w:rPr>
        <w:t>economic characteristics of drug research</w:t>
      </w:r>
      <w:r w:rsidRPr="0059670C">
        <w:rPr>
          <w:u w:val="single"/>
        </w:rPr>
        <w:t xml:space="preserve"> and development</w:t>
      </w:r>
      <w:r>
        <w:t>. We also review the R&amp;D incentives that complement patents in certain circumstances. Finally, we consider the pros and cons of selected voluntary ("opt-in") or mandatory alternatives to the current patent- and regulatory exclusivity-based system (such as prizes or government-contracted drug development) and whether they could better achieve the dual goals of innovation incentives and price competition.</w:t>
      </w:r>
    </w:p>
    <w:p w14:paraId="29CFF628" w14:textId="77777777" w:rsidR="00516959" w:rsidRDefault="00516959" w:rsidP="00516959">
      <w:r>
        <w:t>The Role Of Patents In Biopharmaceutical Innovation</w:t>
      </w:r>
    </w:p>
    <w:p w14:paraId="2A2318DA" w14:textId="77777777" w:rsidR="00516959" w:rsidRDefault="00516959" w:rsidP="00516959">
      <w:r w:rsidRPr="0059670C">
        <w:rPr>
          <w:u w:val="single"/>
        </w:rPr>
        <w:t xml:space="preserve">The essential rationale for patent protection for biopharmaceuticals is that long-term benefits in the form of continued future innovation by pioneer or brand-name drug manufacturers </w:t>
      </w:r>
      <w:r w:rsidRPr="0059670C">
        <w:rPr>
          <w:rStyle w:val="Emphasis"/>
        </w:rPr>
        <w:t>outweigh the relatively short-term restrictions</w:t>
      </w:r>
      <w:r w:rsidRPr="0059670C">
        <w:rPr>
          <w:u w:val="single"/>
        </w:rPr>
        <w:t xml:space="preserve"> on imitative cost competition associated with market exclusivity</w:t>
      </w:r>
      <w:r>
        <w:t>. Regardless, the entry of other branded agents remains an important source of therapeutic competition during the patent term.</w:t>
      </w:r>
    </w:p>
    <w:p w14:paraId="1F7D1F24" w14:textId="77777777" w:rsidR="00516959" w:rsidRDefault="00516959" w:rsidP="00516959">
      <w:r>
        <w:t xml:space="preserve">Several economic characteristics make patents and intellectual property protection particularly important to innovation incentives for the biopharmaceutical industry.5 The </w:t>
      </w:r>
      <w:r w:rsidRPr="0059670C">
        <w:rPr>
          <w:u w:val="single"/>
        </w:rPr>
        <w:t>R&amp;D process often takes more than a decade to complete, and according to a recent analysis by Joseph DiMasi and colleagues, per new drug approval</w:t>
      </w:r>
      <w:r>
        <w:t xml:space="preserve"> ( including failed attempts), </w:t>
      </w:r>
      <w:r w:rsidRPr="0059670C">
        <w:rPr>
          <w:u w:val="single"/>
        </w:rPr>
        <w:t xml:space="preserve">it involves </w:t>
      </w:r>
      <w:r w:rsidRPr="0059670C">
        <w:rPr>
          <w:rStyle w:val="Emphasis"/>
        </w:rPr>
        <w:t>more than a billion dollars</w:t>
      </w:r>
      <w:r w:rsidRPr="0059670C">
        <w:rPr>
          <w:u w:val="single"/>
        </w:rPr>
        <w:t xml:space="preserve"> in out-of-pocket costs</w:t>
      </w:r>
      <w:r>
        <w:t>.6 Only approximately one in eight drug candidates survive clinical testing.6</w:t>
      </w:r>
    </w:p>
    <w:p w14:paraId="1E20678B" w14:textId="77777777" w:rsidR="00516959" w:rsidRDefault="00516959" w:rsidP="00516959">
      <w:r>
        <w:t xml:space="preserve">As a result of the high risks of failure and the high costs, </w:t>
      </w:r>
      <w:r w:rsidRPr="0059670C">
        <w:rPr>
          <w:u w:val="single"/>
        </w:rPr>
        <w:t>research and development must be funded by the few successful, on-market products</w:t>
      </w:r>
      <w:r>
        <w:t xml:space="preserve"> (the top quintile of marketed products provide the dominant share of R&amp;D returns).7,8 </w:t>
      </w:r>
      <w:r w:rsidRPr="0059670C">
        <w:rPr>
          <w:u w:val="single"/>
        </w:rPr>
        <w:t>Once a new drug's patent term and any regulatory exclusivity provisions have expired, competing manufacturers are allowed to sell generic equivalents that require the investment of only several million dollars</w:t>
      </w:r>
      <w:r>
        <w:t xml:space="preserve"> and </w:t>
      </w:r>
      <w:r w:rsidRPr="0059670C">
        <w:rPr>
          <w:u w:val="single"/>
        </w:rPr>
        <w:t xml:space="preserve">that have a </w:t>
      </w:r>
      <w:r w:rsidRPr="0059670C">
        <w:rPr>
          <w:rStyle w:val="Emphasis"/>
        </w:rPr>
        <w:t>high likelihood of commercial success</w:t>
      </w:r>
      <w:r w:rsidRPr="0059670C">
        <w:rPr>
          <w:u w:val="single"/>
        </w:rPr>
        <w:t>.</w:t>
      </w:r>
      <w:r>
        <w:t xml:space="preserve"> Absent intellectual property protections that allow marketing exclusivity, innovative firms would be unlikely to make the costly and risky investments needed to bring a new drug to market.</w:t>
      </w:r>
    </w:p>
    <w:p w14:paraId="5C311390" w14:textId="77777777" w:rsidR="00516959" w:rsidRDefault="00516959" w:rsidP="00516959">
      <w:r w:rsidRPr="0059670C">
        <w:rPr>
          <w:u w:val="single"/>
        </w:rPr>
        <w:t>Patents confer the right to exclude competitors for a limited time within a given scope</w:t>
      </w:r>
      <w:r>
        <w:t>, as defined by patent claims. However, they do not guarantee demand, nor do they prevent competition from nonidentical drugs that treat the same diseases and fall outside the protection of the patents.</w:t>
      </w:r>
    </w:p>
    <w:p w14:paraId="61C873DF" w14:textId="77777777" w:rsidR="00516959" w:rsidRDefault="00516959" w:rsidP="00516959">
      <w:r>
        <w:t xml:space="preserve">New products may enter the same therapeutic class with common mechanisms of action but different molecular structures (for example, different statins) or with differing mechanisms of action (such as calcium channel blockers and angiotensin receptor blockers).9 Joseph DiMasi and Laura Faden have found that </w:t>
      </w:r>
      <w:r w:rsidRPr="0059670C">
        <w:rPr>
          <w:u w:val="single"/>
        </w:rPr>
        <w:t>the time between a first-in-class new drug and subsequent new drugs in the same therapeutic class has been dramatically reduced</w:t>
      </w:r>
      <w:r>
        <w:t>, from a median of 10.2 years in the 1970s to 2.5 years in the early 2000s.10 Drugs in the same class compete through quality and price for preferred placement on drug formularies and physicians' choices for patient treatment.</w:t>
      </w:r>
    </w:p>
    <w:p w14:paraId="621215D0" w14:textId="77777777" w:rsidR="00516959" w:rsidRDefault="00516959" w:rsidP="00516959">
      <w:r w:rsidRPr="0059670C">
        <w:rPr>
          <w:u w:val="single"/>
        </w:rPr>
        <w:t>Patents play an essential role in the economic "ecosystem" of discovery and investment</w:t>
      </w:r>
      <w:r>
        <w:t xml:space="preserve"> that has developed since the 1980s. </w:t>
      </w:r>
      <w:r w:rsidRPr="0059670C">
        <w:rPr>
          <w:u w:val="single"/>
        </w:rPr>
        <w:t>Hundreds of start-up firms,</w:t>
      </w:r>
      <w:r>
        <w:t xml:space="preserve"> often backed by venture capital, have been launched, </w:t>
      </w:r>
      <w:r w:rsidRPr="0059670C">
        <w:rPr>
          <w:u w:val="single"/>
        </w:rPr>
        <w:t>and a robust innovation market has emerged.1</w:t>
      </w:r>
      <w:r>
        <w:t>1 The value of these development-stage firms is largely determined by their proprietary technologies and the candidate drugs they have in development. As a result, the strength of intellectual property protection plays a key role in funding and partnership opportunities for such firms.</w:t>
      </w:r>
    </w:p>
    <w:p w14:paraId="6ADBCAAA" w14:textId="77777777" w:rsidR="00516959" w:rsidRPr="00805A42" w:rsidRDefault="00516959" w:rsidP="00516959"/>
    <w:p w14:paraId="0CFAD080" w14:textId="77777777" w:rsidR="00516959" w:rsidRPr="00C80CAB" w:rsidRDefault="00516959" w:rsidP="00516959">
      <w:pPr>
        <w:pStyle w:val="Heading4"/>
        <w:rPr>
          <w:szCs w:val="26"/>
        </w:rPr>
      </w:pPr>
      <w:bookmarkStart w:id="2" w:name="_Hlk38296433"/>
      <w:r w:rsidRPr="006A4DFB">
        <w:rPr>
          <w:szCs w:val="26"/>
          <w:u w:val="single"/>
        </w:rPr>
        <w:t>Despite</w:t>
      </w:r>
      <w:r w:rsidRPr="00C80CAB">
        <w:rPr>
          <w:szCs w:val="26"/>
        </w:rPr>
        <w:t xml:space="preserve"> COVID-19, disease </w:t>
      </w:r>
      <w:r w:rsidRPr="006A4DFB">
        <w:rPr>
          <w:szCs w:val="26"/>
          <w:u w:val="single"/>
        </w:rPr>
        <w:t>does</w:t>
      </w:r>
      <w:r>
        <w:rPr>
          <w:szCs w:val="26"/>
        </w:rPr>
        <w:t xml:space="preserve"> cause</w:t>
      </w:r>
      <w:r w:rsidRPr="00C80CAB">
        <w:rPr>
          <w:szCs w:val="26"/>
        </w:rPr>
        <w:t xml:space="preserve"> extinction</w:t>
      </w:r>
      <w:r>
        <w:rPr>
          <w:szCs w:val="26"/>
        </w:rPr>
        <w:t>.</w:t>
      </w:r>
    </w:p>
    <w:p w14:paraId="0D1D71FB" w14:textId="77777777" w:rsidR="00516959" w:rsidRPr="00684BF3" w:rsidRDefault="00516959" w:rsidP="00516959">
      <w:r w:rsidRPr="00C80CAB">
        <w:rPr>
          <w:rStyle w:val="Heading4Char"/>
          <w:szCs w:val="26"/>
        </w:rPr>
        <w:t>Ord 20</w:t>
      </w:r>
      <w:r w:rsidRPr="00684BF3">
        <w:t xml:space="preserve"> – (Toby Ord is a moral philosopher, Oxford University, Future of Life Institute. Ord has advised the World Health Organization, the World Bank, the World Economic Forum, the US National Intelligence Council, the UK Prime Minister’s Office, Cabinet Office, and Government Office for Science; “Why we need worst-case thinking to prevent pandemics”; The Guardian; D.A. April 18</w:t>
      </w:r>
      <w:r w:rsidRPr="00684BF3">
        <w:rPr>
          <w:vertAlign w:val="superscript"/>
        </w:rPr>
        <w:t>th</w:t>
      </w:r>
      <w:r w:rsidRPr="00684BF3">
        <w:t xml:space="preserve"> 2020, [Published March 6</w:t>
      </w:r>
      <w:r w:rsidRPr="00684BF3">
        <w:rPr>
          <w:vertAlign w:val="superscript"/>
        </w:rPr>
        <w:t>th</w:t>
      </w:r>
      <w:r w:rsidRPr="00684BF3">
        <w:t xml:space="preserve"> 2020]; </w:t>
      </w:r>
      <w:hyperlink r:id="rId283" w:history="1">
        <w:r w:rsidRPr="00684BF3">
          <w:rPr>
            <w:rStyle w:val="Hyperlink"/>
          </w:rPr>
          <w:t>https://www.theguardian.com/science/2020/mar/06/worst-case-thinking-prevent-pandemics-coronavirus-existential-risk</w:t>
        </w:r>
      </w:hyperlink>
      <w:r w:rsidRPr="00684BF3">
        <w:t>) //LFS—JCM</w:t>
      </w:r>
    </w:p>
    <w:p w14:paraId="3DAA557E" w14:textId="77777777" w:rsidR="00516959" w:rsidRPr="00684BF3" w:rsidRDefault="00516959" w:rsidP="00516959">
      <w:r w:rsidRPr="00684BF3">
        <w:t xml:space="preserve">[TITLE]: </w:t>
      </w:r>
      <w:r w:rsidRPr="00684BF3">
        <w:rPr>
          <w:sz w:val="16"/>
          <w:szCs w:val="16"/>
        </w:rPr>
        <w:t>Why</w:t>
      </w:r>
      <w:r w:rsidRPr="00684BF3">
        <w:t xml:space="preserve"> </w:t>
      </w:r>
      <w:r w:rsidRPr="00456038">
        <w:rPr>
          <w:rStyle w:val="Emphasis"/>
          <w:highlight w:val="cyan"/>
        </w:rPr>
        <w:t>we need worst-case thinking to prevent pandemics</w:t>
      </w:r>
    </w:p>
    <w:p w14:paraId="4A9E9C2A" w14:textId="77777777" w:rsidR="00516959" w:rsidRPr="00684BF3" w:rsidRDefault="00516959" w:rsidP="00516959">
      <w:pPr>
        <w:rPr>
          <w:sz w:val="16"/>
        </w:rPr>
      </w:pPr>
      <w:r w:rsidRPr="00684BF3">
        <w:rPr>
          <w:rStyle w:val="StyleUnderline"/>
        </w:rPr>
        <w:t>The world is in the early stages of what may be the most deadly pandemic of the past 100 years</w:t>
      </w:r>
      <w:r w:rsidRPr="00684BF3">
        <w:rPr>
          <w:sz w:val="16"/>
        </w:rPr>
        <w:t xml:space="preserve">. In </w:t>
      </w:r>
      <w:r w:rsidRPr="00684BF3">
        <w:rPr>
          <w:rStyle w:val="StyleUnderline"/>
        </w:rPr>
        <w:t>China</w:t>
      </w:r>
      <w:r w:rsidRPr="00684BF3">
        <w:rPr>
          <w:sz w:val="16"/>
        </w:rPr>
        <w:t xml:space="preserve">, </w:t>
      </w:r>
      <w:r w:rsidRPr="00684BF3">
        <w:rPr>
          <w:rStyle w:val="StyleUnderline"/>
        </w:rPr>
        <w:t>thousands</w:t>
      </w:r>
      <w:r w:rsidRPr="00684BF3">
        <w:rPr>
          <w:sz w:val="16"/>
        </w:rPr>
        <w:t xml:space="preserve"> of people </w:t>
      </w:r>
      <w:r w:rsidRPr="00684BF3">
        <w:rPr>
          <w:rStyle w:val="StyleUnderline"/>
        </w:rPr>
        <w:t>have already died</w:t>
      </w:r>
      <w:r w:rsidRPr="00684BF3">
        <w:rPr>
          <w:sz w:val="16"/>
        </w:rPr>
        <w:t xml:space="preserve">; large </w:t>
      </w:r>
      <w:r w:rsidRPr="00684BF3">
        <w:rPr>
          <w:rStyle w:val="StyleUnderline"/>
        </w:rPr>
        <w:t>outbreaks have begun in South Korea, Iran and Italy</w:t>
      </w:r>
      <w:r w:rsidRPr="00684BF3">
        <w:rPr>
          <w:sz w:val="16"/>
        </w:rPr>
        <w:t xml:space="preserve">; and </w:t>
      </w:r>
      <w:r w:rsidRPr="00684BF3">
        <w:rPr>
          <w:rStyle w:val="StyleUnderline"/>
        </w:rPr>
        <w:t>the rest of the world is bracing for impact</w:t>
      </w:r>
      <w:r w:rsidRPr="00684BF3">
        <w:rPr>
          <w:sz w:val="16"/>
        </w:rPr>
        <w:t xml:space="preserve">. We do not yet know whether the final toll will be measured in thousands or hundreds of thousands. </w:t>
      </w:r>
      <w:r w:rsidRPr="00684BF3">
        <w:rPr>
          <w:rStyle w:val="Emphasis"/>
        </w:rPr>
        <w:t>For all our advances</w:t>
      </w:r>
      <w:r w:rsidRPr="00684BF3">
        <w:rPr>
          <w:rStyle w:val="StyleUnderline"/>
        </w:rPr>
        <w:t xml:space="preserve"> in medicine, </w:t>
      </w:r>
      <w:r w:rsidRPr="00684BF3">
        <w:rPr>
          <w:rStyle w:val="Emphasis"/>
        </w:rPr>
        <w:t>humanity remains</w:t>
      </w:r>
      <w:r w:rsidRPr="00684BF3">
        <w:rPr>
          <w:rStyle w:val="StyleUnderline"/>
        </w:rPr>
        <w:t xml:space="preserve"> much more </w:t>
      </w:r>
      <w:r w:rsidRPr="00684BF3">
        <w:rPr>
          <w:rStyle w:val="Emphasis"/>
        </w:rPr>
        <w:t>vulnerable</w:t>
      </w:r>
      <w:r w:rsidRPr="00684BF3">
        <w:rPr>
          <w:rStyle w:val="StyleUnderline"/>
        </w:rPr>
        <w:t xml:space="preserve"> </w:t>
      </w:r>
      <w:r w:rsidRPr="00684BF3">
        <w:rPr>
          <w:rStyle w:val="Emphasis"/>
        </w:rPr>
        <w:t>to pandemics</w:t>
      </w:r>
      <w:r w:rsidRPr="00684BF3">
        <w:rPr>
          <w:rStyle w:val="StyleUnderline"/>
        </w:rPr>
        <w:t xml:space="preserve"> than we would like to believe</w:t>
      </w:r>
      <w:r w:rsidRPr="00684BF3">
        <w:rPr>
          <w:sz w:val="16"/>
        </w:rPr>
        <w:t xml:space="preserve">. </w:t>
      </w:r>
    </w:p>
    <w:p w14:paraId="41D9C57C" w14:textId="77777777" w:rsidR="00516959" w:rsidRPr="00684BF3" w:rsidRDefault="00516959" w:rsidP="00516959">
      <w:pPr>
        <w:rPr>
          <w:sz w:val="16"/>
        </w:rPr>
      </w:pPr>
      <w:r w:rsidRPr="00684BF3">
        <w:rPr>
          <w:rStyle w:val="StyleUnderline"/>
        </w:rPr>
        <w:t>To understand our vulnerability, and to determine what steps must be taken to end it,</w:t>
      </w:r>
      <w:r w:rsidRPr="00684BF3">
        <w:rPr>
          <w:sz w:val="16"/>
        </w:rPr>
        <w:t xml:space="preserve"> </w:t>
      </w:r>
      <w:r w:rsidRPr="00684BF3">
        <w:rPr>
          <w:rStyle w:val="StyleUnderline"/>
        </w:rPr>
        <w:t>it is useful to ask about the very worst-case scenarios</w:t>
      </w:r>
      <w:r w:rsidRPr="00684BF3">
        <w:rPr>
          <w:sz w:val="16"/>
        </w:rPr>
        <w:t xml:space="preserve">. Just how bad could a pandemic be? In science fiction, </w:t>
      </w:r>
      <w:r w:rsidRPr="00684BF3">
        <w:rPr>
          <w:rStyle w:val="StyleUnderline"/>
        </w:rPr>
        <w:t xml:space="preserve">we sometimes encounter the idea of </w:t>
      </w:r>
      <w:r w:rsidRPr="00456038">
        <w:rPr>
          <w:rStyle w:val="StyleUnderline"/>
          <w:highlight w:val="cyan"/>
        </w:rPr>
        <w:t xml:space="preserve">a </w:t>
      </w:r>
      <w:r w:rsidRPr="00456038">
        <w:rPr>
          <w:rStyle w:val="Emphasis"/>
          <w:highlight w:val="cyan"/>
        </w:rPr>
        <w:t>pandemic</w:t>
      </w:r>
      <w:r w:rsidRPr="00684BF3">
        <w:rPr>
          <w:rStyle w:val="StyleUnderline"/>
        </w:rPr>
        <w:t xml:space="preserve"> so severe that it </w:t>
      </w:r>
      <w:r w:rsidRPr="00456038">
        <w:rPr>
          <w:rStyle w:val="Emphasis"/>
          <w:highlight w:val="cyan"/>
        </w:rPr>
        <w:t>could</w:t>
      </w:r>
      <w:r w:rsidRPr="00684BF3">
        <w:rPr>
          <w:rStyle w:val="Emphasis"/>
        </w:rPr>
        <w:t xml:space="preserve"> cause</w:t>
      </w:r>
      <w:r w:rsidRPr="00684BF3">
        <w:rPr>
          <w:rStyle w:val="StyleUnderline"/>
        </w:rPr>
        <w:t xml:space="preserve"> the </w:t>
      </w:r>
      <w:r w:rsidRPr="00456038">
        <w:rPr>
          <w:rStyle w:val="Emphasis"/>
          <w:highlight w:val="cyan"/>
        </w:rPr>
        <w:t>end</w:t>
      </w:r>
      <w:r w:rsidRPr="00684BF3">
        <w:rPr>
          <w:rStyle w:val="Emphasis"/>
        </w:rPr>
        <w:t xml:space="preserve"> of</w:t>
      </w:r>
      <w:r w:rsidRPr="00684BF3">
        <w:rPr>
          <w:rStyle w:val="StyleUnderline"/>
        </w:rPr>
        <w:t xml:space="preserve"> civilisation, or even of </w:t>
      </w:r>
      <w:r w:rsidRPr="00456038">
        <w:rPr>
          <w:rStyle w:val="Emphasis"/>
          <w:highlight w:val="cyan"/>
        </w:rPr>
        <w:t>humanity</w:t>
      </w:r>
      <w:r w:rsidRPr="00684BF3">
        <w:rPr>
          <w:rStyle w:val="StyleUnderline"/>
        </w:rPr>
        <w:t xml:space="preserve"> itself</w:t>
      </w:r>
      <w:r w:rsidRPr="00684BF3">
        <w:rPr>
          <w:sz w:val="16"/>
        </w:rPr>
        <w:t xml:space="preserve">. Such a risk to humanity’s entire future is known as </w:t>
      </w:r>
      <w:r w:rsidRPr="00684BF3">
        <w:rPr>
          <w:rStyle w:val="Emphasis"/>
        </w:rPr>
        <w:t>an existential risk</w:t>
      </w:r>
      <w:r w:rsidRPr="00684BF3">
        <w:rPr>
          <w:sz w:val="16"/>
        </w:rPr>
        <w:t xml:space="preserve">. </w:t>
      </w:r>
      <w:r w:rsidRPr="00456038">
        <w:rPr>
          <w:rStyle w:val="StyleUnderline"/>
          <w:highlight w:val="cyan"/>
        </w:rPr>
        <w:t>We can say</w:t>
      </w:r>
      <w:r w:rsidRPr="00684BF3">
        <w:rPr>
          <w:sz w:val="16"/>
        </w:rPr>
        <w:t xml:space="preserve"> with certainty </w:t>
      </w:r>
      <w:r w:rsidRPr="00456038">
        <w:rPr>
          <w:rStyle w:val="StyleUnderline"/>
          <w:highlight w:val="cyan"/>
        </w:rPr>
        <w:t>that</w:t>
      </w:r>
      <w:r w:rsidRPr="00684BF3">
        <w:rPr>
          <w:sz w:val="16"/>
        </w:rPr>
        <w:t xml:space="preserve"> the novel </w:t>
      </w:r>
      <w:r w:rsidRPr="00684BF3">
        <w:rPr>
          <w:rStyle w:val="StyleUnderline"/>
        </w:rPr>
        <w:t>coronavirus</w:t>
      </w:r>
      <w:r w:rsidRPr="00684BF3">
        <w:rPr>
          <w:sz w:val="16"/>
        </w:rPr>
        <w:t xml:space="preserve">, named </w:t>
      </w:r>
      <w:r w:rsidRPr="00456038">
        <w:rPr>
          <w:rStyle w:val="StyleUnderline"/>
          <w:highlight w:val="cyan"/>
        </w:rPr>
        <w:t>Covid-19</w:t>
      </w:r>
      <w:r w:rsidRPr="00684BF3">
        <w:rPr>
          <w:sz w:val="16"/>
        </w:rPr>
        <w:t xml:space="preserve">, </w:t>
      </w:r>
      <w:r w:rsidRPr="00456038">
        <w:rPr>
          <w:rStyle w:val="StyleUnderline"/>
          <w:highlight w:val="cyan"/>
        </w:rPr>
        <w:t xml:space="preserve">does not pose </w:t>
      </w:r>
      <w:r w:rsidRPr="00684BF3">
        <w:rPr>
          <w:rStyle w:val="StyleUnderline"/>
        </w:rPr>
        <w:t xml:space="preserve">such </w:t>
      </w:r>
      <w:r w:rsidRPr="00456038">
        <w:rPr>
          <w:rStyle w:val="StyleUnderline"/>
          <w:highlight w:val="cyan"/>
        </w:rPr>
        <w:t>a risk</w:t>
      </w:r>
      <w:r w:rsidRPr="00684BF3">
        <w:rPr>
          <w:sz w:val="16"/>
        </w:rPr>
        <w:t xml:space="preserve">. </w:t>
      </w:r>
      <w:r w:rsidRPr="00456038">
        <w:rPr>
          <w:rStyle w:val="Emphasis"/>
          <w:highlight w:val="cyan"/>
        </w:rPr>
        <w:t>But could the next pandemic?</w:t>
      </w:r>
      <w:r w:rsidRPr="00684BF3">
        <w:rPr>
          <w:sz w:val="16"/>
        </w:rPr>
        <w:t xml:space="preserve"> To find out, and to put the current outbreak into greater context, let us turn to the past. </w:t>
      </w:r>
    </w:p>
    <w:p w14:paraId="5A79F1CC" w14:textId="77777777" w:rsidR="00516959" w:rsidRPr="00684BF3" w:rsidRDefault="00516959" w:rsidP="00516959">
      <w:pPr>
        <w:rPr>
          <w:sz w:val="16"/>
        </w:rPr>
      </w:pPr>
      <w:r w:rsidRPr="00684BF3">
        <w:rPr>
          <w:sz w:val="16"/>
        </w:rPr>
        <w:t xml:space="preserve">In </w:t>
      </w:r>
      <w:r w:rsidRPr="00684BF3">
        <w:rPr>
          <w:rStyle w:val="StyleUnderline"/>
        </w:rPr>
        <w:t>1347, death came to Europe</w:t>
      </w:r>
      <w:r w:rsidRPr="00684BF3">
        <w:rPr>
          <w:sz w:val="16"/>
        </w:rPr>
        <w:t xml:space="preserve">. It entered through the Crimean town of Caffa, brought by the besieging Mongol army. Fleeing merchants unwittingly carried it back to Italy. From there, </w:t>
      </w:r>
      <w:r w:rsidRPr="00684BF3">
        <w:rPr>
          <w:rStyle w:val="StyleUnderline"/>
        </w:rPr>
        <w:t>it spread to France, Spain and England</w:t>
      </w:r>
      <w:r w:rsidRPr="00684BF3">
        <w:rPr>
          <w:sz w:val="16"/>
        </w:rPr>
        <w:t xml:space="preserve">. Then up as far as Norway and across the rest of Europe – all the way to Moscow. Within six years, </w:t>
      </w:r>
      <w:r w:rsidRPr="00684BF3">
        <w:rPr>
          <w:rStyle w:val="StyleUnderline"/>
        </w:rPr>
        <w:t>the Black Death had taken the continent</w:t>
      </w:r>
      <w:r w:rsidRPr="00684BF3">
        <w:rPr>
          <w:sz w:val="16"/>
        </w:rPr>
        <w:t xml:space="preserve">. </w:t>
      </w:r>
    </w:p>
    <w:p w14:paraId="133E1174" w14:textId="77777777" w:rsidR="00516959" w:rsidRPr="00684BF3" w:rsidRDefault="00516959" w:rsidP="00516959">
      <w:pPr>
        <w:rPr>
          <w:sz w:val="16"/>
        </w:rPr>
      </w:pPr>
      <w:r w:rsidRPr="00684BF3">
        <w:rPr>
          <w:rStyle w:val="StyleUnderline"/>
        </w:rPr>
        <w:t>Tens of millions fell gravely ill</w:t>
      </w:r>
      <w:r w:rsidRPr="00684BF3">
        <w:rPr>
          <w:sz w:val="16"/>
        </w:rPr>
        <w:t xml:space="preserve">, their bodies succumbing to the disease in different ways. Some bore swollen buboes on their necks, armpits and thighs; some had their flesh turn black from haemorrhaging beneath the skin; some coughed blood from the necrotic inflammation of their throats and lungs. All forms involved fever, exhaustion and an intolerable stench from the material that exuded from the body. </w:t>
      </w:r>
    </w:p>
    <w:p w14:paraId="4F3049A9" w14:textId="77777777" w:rsidR="00516959" w:rsidRPr="00684BF3" w:rsidRDefault="00516959" w:rsidP="00516959">
      <w:pPr>
        <w:rPr>
          <w:sz w:val="16"/>
        </w:rPr>
      </w:pPr>
      <w:r w:rsidRPr="00684BF3">
        <w:rPr>
          <w:rStyle w:val="StyleUnderline"/>
        </w:rPr>
        <w:t>There were so many dead that mass graves</w:t>
      </w:r>
      <w:r w:rsidRPr="00684BF3">
        <w:rPr>
          <w:sz w:val="16"/>
        </w:rPr>
        <w:t xml:space="preserve"> needed to be dug and, even then, </w:t>
      </w:r>
      <w:r w:rsidRPr="00684BF3">
        <w:rPr>
          <w:rStyle w:val="StyleUnderline"/>
        </w:rPr>
        <w:t>cemeteries ran out of room for the bodies</w:t>
      </w:r>
      <w:r w:rsidRPr="00684BF3">
        <w:rPr>
          <w:sz w:val="16"/>
        </w:rPr>
        <w:t xml:space="preserve">. The </w:t>
      </w:r>
      <w:r w:rsidRPr="00684BF3">
        <w:rPr>
          <w:rStyle w:val="Emphasis"/>
        </w:rPr>
        <w:t>Black Death devastated Europe</w:t>
      </w:r>
      <w:r w:rsidRPr="00684BF3">
        <w:rPr>
          <w:sz w:val="16"/>
        </w:rPr>
        <w:t xml:space="preserve">. In those six years, between </w:t>
      </w:r>
      <w:r w:rsidRPr="00684BF3">
        <w:rPr>
          <w:rStyle w:val="StyleUnderline"/>
        </w:rPr>
        <w:t>a quarter and half of all Europeans were killed</w:t>
      </w:r>
      <w:r w:rsidRPr="00684BF3">
        <w:rPr>
          <w:sz w:val="16"/>
        </w:rPr>
        <w:t xml:space="preserve">. The </w:t>
      </w:r>
      <w:r w:rsidRPr="00684BF3">
        <w:rPr>
          <w:rStyle w:val="StyleUnderline"/>
        </w:rPr>
        <w:t>Middle East was ravaged, too</w:t>
      </w:r>
      <w:r w:rsidRPr="00684BF3">
        <w:rPr>
          <w:sz w:val="16"/>
        </w:rPr>
        <w:t xml:space="preserve">, with the plague killing about one in three Egyptians and Syrians. And it may have </w:t>
      </w:r>
      <w:r w:rsidRPr="00684BF3">
        <w:rPr>
          <w:rStyle w:val="StyleUnderline"/>
        </w:rPr>
        <w:t>also laid waste to parts of central Asia, India and China</w:t>
      </w:r>
      <w:r w:rsidRPr="00684BF3">
        <w:rPr>
          <w:sz w:val="16"/>
        </w:rPr>
        <w:t xml:space="preserve">. Due to the scant records of the 14th century, we will never know the true toll, but our best </w:t>
      </w:r>
      <w:r w:rsidRPr="00684BF3">
        <w:rPr>
          <w:rStyle w:val="StyleUnderline"/>
        </w:rPr>
        <w:t>estimates are that somewhere between 5% and 14% of all the world’s people were killed</w:t>
      </w:r>
      <w:r w:rsidRPr="00684BF3">
        <w:rPr>
          <w:sz w:val="16"/>
        </w:rPr>
        <w:t xml:space="preserve">, in what may have been the greatest catastrophe humanity has seen. </w:t>
      </w:r>
    </w:p>
    <w:p w14:paraId="0A86ACEB" w14:textId="77777777" w:rsidR="00516959" w:rsidRPr="00684BF3" w:rsidRDefault="00516959" w:rsidP="00516959">
      <w:pPr>
        <w:rPr>
          <w:sz w:val="16"/>
        </w:rPr>
      </w:pPr>
      <w:r w:rsidRPr="00684BF3">
        <w:rPr>
          <w:sz w:val="16"/>
        </w:rPr>
        <w:t xml:space="preserve">The Black Death was not the only biological disaster to scar human history. It was not even the only great bubonic plague. </w:t>
      </w:r>
      <w:r w:rsidRPr="00684BF3">
        <w:rPr>
          <w:rStyle w:val="StyleUnderline"/>
        </w:rPr>
        <w:t>In AD541 the plague of Justinian struck the Byzantine empire</w:t>
      </w:r>
      <w:r w:rsidRPr="00684BF3">
        <w:rPr>
          <w:sz w:val="16"/>
        </w:rPr>
        <w:t xml:space="preserve">. Over three years, it took the lives of roughly 3% of the world’s people. </w:t>
      </w:r>
    </w:p>
    <w:p w14:paraId="6BA462A6" w14:textId="77777777" w:rsidR="00516959" w:rsidRPr="00684BF3" w:rsidRDefault="00516959" w:rsidP="00516959">
      <w:pPr>
        <w:rPr>
          <w:rStyle w:val="StyleUnderline"/>
        </w:rPr>
      </w:pPr>
      <w:r w:rsidRPr="00684BF3">
        <w:rPr>
          <w:rStyle w:val="StyleUnderline"/>
        </w:rPr>
        <w:t>When Europeans reached the Americas</w:t>
      </w:r>
      <w:r w:rsidRPr="00684BF3">
        <w:rPr>
          <w:sz w:val="16"/>
        </w:rPr>
        <w:t xml:space="preserve"> in 1492, the </w:t>
      </w:r>
      <w:r w:rsidRPr="00684BF3">
        <w:rPr>
          <w:rStyle w:val="StyleUnderline"/>
        </w:rPr>
        <w:t>two populations exposed each other to completely novel diseases</w:t>
      </w:r>
      <w:r w:rsidRPr="00684BF3">
        <w:rPr>
          <w:sz w:val="16"/>
        </w:rPr>
        <w:t xml:space="preserve">. Over thousands of years, each population had built up resistance to their own set of diseases, but were extremely susceptible to the others. </w:t>
      </w:r>
      <w:r w:rsidRPr="00684BF3">
        <w:rPr>
          <w:rStyle w:val="StyleUnderline"/>
        </w:rPr>
        <w:t xml:space="preserve">The American peoples got by far the worse end of the exchange, through diseases such as </w:t>
      </w:r>
      <w:r w:rsidRPr="00684BF3">
        <w:rPr>
          <w:rStyle w:val="Emphasis"/>
        </w:rPr>
        <w:t>measles</w:t>
      </w:r>
      <w:r w:rsidRPr="00684BF3">
        <w:rPr>
          <w:rStyle w:val="StyleUnderline"/>
        </w:rPr>
        <w:t xml:space="preserve">, </w:t>
      </w:r>
      <w:r w:rsidRPr="00684BF3">
        <w:rPr>
          <w:rStyle w:val="Emphasis"/>
        </w:rPr>
        <w:t>influenza</w:t>
      </w:r>
      <w:r w:rsidRPr="00684BF3">
        <w:rPr>
          <w:rStyle w:val="StyleUnderline"/>
        </w:rPr>
        <w:t xml:space="preserve"> and, especially, </w:t>
      </w:r>
      <w:r w:rsidRPr="00684BF3">
        <w:rPr>
          <w:rStyle w:val="Emphasis"/>
        </w:rPr>
        <w:t>smallpox</w:t>
      </w:r>
      <w:r w:rsidRPr="00684BF3">
        <w:rPr>
          <w:rStyle w:val="StyleUnderline"/>
        </w:rPr>
        <w:t xml:space="preserve">. </w:t>
      </w:r>
    </w:p>
    <w:p w14:paraId="1C696BC0" w14:textId="77777777" w:rsidR="00516959" w:rsidRPr="00684BF3" w:rsidRDefault="00516959" w:rsidP="00516959">
      <w:pPr>
        <w:rPr>
          <w:sz w:val="16"/>
        </w:rPr>
      </w:pPr>
      <w:r w:rsidRPr="00684BF3">
        <w:rPr>
          <w:sz w:val="16"/>
        </w:rPr>
        <w:t xml:space="preserve">During the next 100 years, </w:t>
      </w:r>
      <w:r w:rsidRPr="00684BF3">
        <w:rPr>
          <w:rStyle w:val="StyleUnderline"/>
        </w:rPr>
        <w:t>a combination of invasion and disease took an immense toll</w:t>
      </w:r>
      <w:r w:rsidRPr="00684BF3">
        <w:rPr>
          <w:sz w:val="16"/>
        </w:rPr>
        <w:t xml:space="preserve"> – one whose scale may never be known, due to great uncertainty about the size of the pre-existing population. We can’t rule out the </w:t>
      </w:r>
      <w:r w:rsidRPr="00684BF3">
        <w:rPr>
          <w:rStyle w:val="Emphasis"/>
        </w:rPr>
        <w:t>loss</w:t>
      </w:r>
      <w:r w:rsidRPr="00684BF3">
        <w:rPr>
          <w:rStyle w:val="StyleUnderline"/>
        </w:rPr>
        <w:t xml:space="preserve"> of more than </w:t>
      </w:r>
      <w:r w:rsidRPr="00684BF3">
        <w:rPr>
          <w:rStyle w:val="Emphasis"/>
        </w:rPr>
        <w:t>90% of the population</w:t>
      </w:r>
      <w:r w:rsidRPr="00684BF3">
        <w:rPr>
          <w:rStyle w:val="StyleUnderline"/>
        </w:rPr>
        <w:t xml:space="preserve"> of the Americas</w:t>
      </w:r>
      <w:r w:rsidRPr="00684BF3">
        <w:rPr>
          <w:sz w:val="16"/>
        </w:rPr>
        <w:t xml:space="preserve"> during that century, though the number could also be much lower. And it is very difficult to tease out how much of this should be attributed to war and occupation, rather than disease. At a rough estimate, </w:t>
      </w:r>
      <w:r w:rsidRPr="00684BF3">
        <w:rPr>
          <w:rStyle w:val="StyleUnderline"/>
        </w:rPr>
        <w:t>as many as 10% of the world’s people may have been killed</w:t>
      </w:r>
      <w:r w:rsidRPr="00684BF3">
        <w:rPr>
          <w:sz w:val="16"/>
        </w:rPr>
        <w:t xml:space="preserve">. </w:t>
      </w:r>
    </w:p>
    <w:p w14:paraId="13575887" w14:textId="77777777" w:rsidR="00516959" w:rsidRPr="00684BF3" w:rsidRDefault="00516959" w:rsidP="00516959">
      <w:pPr>
        <w:rPr>
          <w:sz w:val="16"/>
        </w:rPr>
      </w:pPr>
      <w:r w:rsidRPr="00684BF3">
        <w:rPr>
          <w:sz w:val="16"/>
        </w:rPr>
        <w:t xml:space="preserve">Centuries later, </w:t>
      </w:r>
      <w:r w:rsidRPr="00456038">
        <w:rPr>
          <w:rStyle w:val="Emphasis"/>
          <w:highlight w:val="cyan"/>
        </w:rPr>
        <w:t>the world had become</w:t>
      </w:r>
      <w:r w:rsidRPr="00684BF3">
        <w:rPr>
          <w:rStyle w:val="StyleUnderline"/>
        </w:rPr>
        <w:t xml:space="preserve"> so </w:t>
      </w:r>
      <w:r w:rsidRPr="00456038">
        <w:rPr>
          <w:rStyle w:val="Emphasis"/>
          <w:highlight w:val="cyan"/>
        </w:rPr>
        <w:t>interconnected</w:t>
      </w:r>
      <w:r w:rsidRPr="00684BF3">
        <w:rPr>
          <w:rStyle w:val="StyleUnderline"/>
        </w:rPr>
        <w:t xml:space="preserve"> that a truly global pandemic was possible</w:t>
      </w:r>
      <w:r w:rsidRPr="00684BF3">
        <w:rPr>
          <w:sz w:val="16"/>
        </w:rPr>
        <w:t xml:space="preserve">. Towards the </w:t>
      </w:r>
      <w:r w:rsidRPr="00684BF3">
        <w:rPr>
          <w:rStyle w:val="StyleUnderline"/>
        </w:rPr>
        <w:t xml:space="preserve">end of </w:t>
      </w:r>
      <w:r w:rsidRPr="00456038">
        <w:rPr>
          <w:rStyle w:val="StyleUnderline"/>
          <w:highlight w:val="cyan"/>
        </w:rPr>
        <w:t>the</w:t>
      </w:r>
      <w:r w:rsidRPr="00684BF3">
        <w:rPr>
          <w:rStyle w:val="StyleUnderline"/>
        </w:rPr>
        <w:t xml:space="preserve"> first world war</w:t>
      </w:r>
      <w:r w:rsidRPr="00684BF3">
        <w:rPr>
          <w:sz w:val="16"/>
        </w:rPr>
        <w:t xml:space="preserve">, a </w:t>
      </w:r>
      <w:r w:rsidRPr="00684BF3">
        <w:rPr>
          <w:rStyle w:val="StyleUnderline"/>
        </w:rPr>
        <w:t>devastating strain of influenza</w:t>
      </w:r>
      <w:r w:rsidRPr="00684BF3">
        <w:rPr>
          <w:sz w:val="16"/>
        </w:rPr>
        <w:t xml:space="preserve">, known as the 1918 flu or </w:t>
      </w:r>
      <w:hyperlink r:id="rId284" w:history="1">
        <w:r w:rsidRPr="00456038">
          <w:rPr>
            <w:rStyle w:val="Emphasis"/>
            <w:highlight w:val="cyan"/>
          </w:rPr>
          <w:t xml:space="preserve">Spanish </w:t>
        </w:r>
      </w:hyperlink>
      <w:hyperlink r:id="rId285" w:history="1">
        <w:r w:rsidRPr="00456038">
          <w:rPr>
            <w:rStyle w:val="Emphasis"/>
            <w:highlight w:val="cyan"/>
          </w:rPr>
          <w:t>flu</w:t>
        </w:r>
      </w:hyperlink>
      <w:r w:rsidRPr="00684BF3">
        <w:rPr>
          <w:sz w:val="16"/>
        </w:rPr>
        <w:t xml:space="preserve">, </w:t>
      </w:r>
      <w:r w:rsidRPr="00456038">
        <w:rPr>
          <w:rStyle w:val="StyleUnderline"/>
          <w:highlight w:val="cyan"/>
        </w:rPr>
        <w:t>spread</w:t>
      </w:r>
      <w:r w:rsidRPr="00684BF3">
        <w:rPr>
          <w:rStyle w:val="StyleUnderline"/>
        </w:rPr>
        <w:t xml:space="preserve"> </w:t>
      </w:r>
      <w:r w:rsidRPr="00456038">
        <w:rPr>
          <w:rStyle w:val="StyleUnderline"/>
          <w:highlight w:val="cyan"/>
        </w:rPr>
        <w:t>to</w:t>
      </w:r>
      <w:r w:rsidRPr="00684BF3">
        <w:rPr>
          <w:rStyle w:val="StyleUnderline"/>
        </w:rPr>
        <w:t xml:space="preserve"> six continents</w:t>
      </w:r>
      <w:r w:rsidRPr="00684BF3">
        <w:rPr>
          <w:sz w:val="16"/>
        </w:rPr>
        <w:t xml:space="preserve">, and </w:t>
      </w:r>
      <w:r w:rsidRPr="00684BF3">
        <w:rPr>
          <w:rStyle w:val="Emphasis"/>
        </w:rPr>
        <w:t xml:space="preserve">even </w:t>
      </w:r>
      <w:r w:rsidRPr="00456038">
        <w:rPr>
          <w:rStyle w:val="Emphasis"/>
          <w:highlight w:val="cyan"/>
        </w:rPr>
        <w:t>remote Pacific islands</w:t>
      </w:r>
      <w:r w:rsidRPr="00684BF3">
        <w:rPr>
          <w:sz w:val="16"/>
        </w:rPr>
        <w:t xml:space="preserve">. </w:t>
      </w:r>
      <w:r w:rsidRPr="00684BF3">
        <w:rPr>
          <w:rStyle w:val="StyleUnderline"/>
        </w:rPr>
        <w:t>About a third of the world’s population were infected and between 3% and 6% were killed</w:t>
      </w:r>
      <w:r w:rsidRPr="00684BF3">
        <w:rPr>
          <w:sz w:val="16"/>
        </w:rPr>
        <w:t xml:space="preserve">. This death toll </w:t>
      </w:r>
      <w:r w:rsidRPr="00684BF3">
        <w:rPr>
          <w:rStyle w:val="Emphasis"/>
        </w:rPr>
        <w:t>outstripped that of the first world war</w:t>
      </w:r>
      <w:r w:rsidRPr="00684BF3">
        <w:rPr>
          <w:sz w:val="16"/>
        </w:rPr>
        <w:t xml:space="preserve">. </w:t>
      </w:r>
    </w:p>
    <w:p w14:paraId="18EBFA3A" w14:textId="77777777" w:rsidR="00516959" w:rsidRPr="00684BF3" w:rsidRDefault="00516959" w:rsidP="00516959">
      <w:pPr>
        <w:rPr>
          <w:rStyle w:val="StyleUnderline"/>
        </w:rPr>
      </w:pPr>
      <w:r w:rsidRPr="00684BF3">
        <w:rPr>
          <w:sz w:val="16"/>
        </w:rPr>
        <w:t xml:space="preserve">Yet </w:t>
      </w:r>
      <w:r w:rsidRPr="00456038">
        <w:rPr>
          <w:rStyle w:val="StyleUnderline"/>
          <w:highlight w:val="cyan"/>
        </w:rPr>
        <w:t>even events like these fall short of being a threat</w:t>
      </w:r>
      <w:r w:rsidRPr="00684BF3">
        <w:rPr>
          <w:rStyle w:val="StyleUnderline"/>
        </w:rPr>
        <w:t xml:space="preserve"> to humanity’s long-term potential</w:t>
      </w:r>
      <w:r w:rsidRPr="00684BF3">
        <w:rPr>
          <w:sz w:val="16"/>
        </w:rPr>
        <w:t xml:space="preserve">. In the great bubonic plagues </w:t>
      </w:r>
      <w:r w:rsidRPr="00684BF3">
        <w:rPr>
          <w:rStyle w:val="StyleUnderline"/>
        </w:rPr>
        <w:t>we saw civilisation in the affected areas falter, but recover</w:t>
      </w:r>
      <w:r w:rsidRPr="00684BF3">
        <w:rPr>
          <w:sz w:val="16"/>
        </w:rPr>
        <w:t xml:space="preserve">. The regional 25%-50% death rate was not enough to precipitate a continent-wide collapse. It changed the relative fortunes of empires, and may have substantially altered the course of history, but if anything, </w:t>
      </w:r>
      <w:r w:rsidRPr="00684BF3">
        <w:rPr>
          <w:rStyle w:val="StyleUnderline"/>
        </w:rPr>
        <w:t xml:space="preserve">it gives us reason to believe that human civilisation is likely to make it through future events with similar death rates, even if they were global in scale. </w:t>
      </w:r>
    </w:p>
    <w:p w14:paraId="2FEB4BFA" w14:textId="77777777" w:rsidR="00516959" w:rsidRPr="00684BF3" w:rsidRDefault="00516959" w:rsidP="00516959">
      <w:pPr>
        <w:rPr>
          <w:sz w:val="16"/>
        </w:rPr>
      </w:pPr>
      <w:r w:rsidRPr="00684BF3">
        <w:rPr>
          <w:sz w:val="16"/>
        </w:rPr>
        <w:t xml:space="preserve">The Spanish flu pandemic was remarkable in having very little apparent effect on the world’s development, despite its global reach. It looks as if it was lost in the wake of the first world war, which, despite a smaller death toll, seems to have had a much larger effect on the course of history. The full history of humanity covers at least 200,000 years. While we have scarce records for most of these 2,000 centuries, there is a key lesson we can draw from the sheer length of our past. </w:t>
      </w:r>
      <w:r w:rsidRPr="00456038">
        <w:rPr>
          <w:rStyle w:val="Emphasis"/>
          <w:highlight w:val="cyan"/>
        </w:rPr>
        <w:t>The chance of human extinction</w:t>
      </w:r>
      <w:r w:rsidRPr="00684BF3">
        <w:rPr>
          <w:rStyle w:val="StyleUnderline"/>
        </w:rPr>
        <w:t xml:space="preserve"> from natural catastrophes</w:t>
      </w:r>
      <w:r w:rsidRPr="00684BF3">
        <w:rPr>
          <w:sz w:val="16"/>
        </w:rPr>
        <w:t xml:space="preserve"> of any kind </w:t>
      </w:r>
      <w:r w:rsidRPr="00456038">
        <w:rPr>
          <w:rStyle w:val="Emphasis"/>
          <w:highlight w:val="cyan"/>
        </w:rPr>
        <w:t>must have been very low</w:t>
      </w:r>
      <w:r w:rsidRPr="00684BF3">
        <w:rPr>
          <w:sz w:val="16"/>
        </w:rPr>
        <w:t xml:space="preserve"> </w:t>
      </w:r>
      <w:r w:rsidRPr="00684BF3">
        <w:rPr>
          <w:rStyle w:val="StyleUnderline"/>
        </w:rPr>
        <w:t>for most of this time</w:t>
      </w:r>
      <w:r w:rsidRPr="00684BF3">
        <w:rPr>
          <w:sz w:val="16"/>
        </w:rPr>
        <w:t xml:space="preserve"> – or we would not have made it so far. </w:t>
      </w:r>
      <w:r w:rsidRPr="00456038">
        <w:rPr>
          <w:rStyle w:val="StyleUnderline"/>
          <w:highlight w:val="cyan"/>
        </w:rPr>
        <w:t xml:space="preserve">But </w:t>
      </w:r>
      <w:r w:rsidRPr="00456038">
        <w:rPr>
          <w:rStyle w:val="Emphasis"/>
          <w:highlight w:val="cyan"/>
        </w:rPr>
        <w:t>could these risks have changed?</w:t>
      </w:r>
      <w:r w:rsidRPr="00684BF3">
        <w:rPr>
          <w:sz w:val="16"/>
        </w:rPr>
        <w:t xml:space="preserve"> Might the past provide false comfort?</w:t>
      </w:r>
    </w:p>
    <w:p w14:paraId="70CE858B" w14:textId="77777777" w:rsidR="00516959" w:rsidRPr="00684BF3" w:rsidRDefault="00516959" w:rsidP="00516959">
      <w:pPr>
        <w:rPr>
          <w:rStyle w:val="StyleUnderline"/>
        </w:rPr>
      </w:pPr>
      <w:r w:rsidRPr="00684BF3">
        <w:rPr>
          <w:rStyle w:val="StyleUnderline"/>
        </w:rPr>
        <w:t xml:space="preserve">Our </w:t>
      </w:r>
      <w:r w:rsidRPr="00456038">
        <w:rPr>
          <w:rStyle w:val="Emphasis"/>
          <w:highlight w:val="cyan"/>
        </w:rPr>
        <w:t>population</w:t>
      </w:r>
      <w:r w:rsidRPr="00684BF3">
        <w:rPr>
          <w:rStyle w:val="StyleUnderline"/>
        </w:rPr>
        <w:t xml:space="preserve"> now is a </w:t>
      </w:r>
      <w:r w:rsidRPr="00456038">
        <w:rPr>
          <w:rStyle w:val="Emphasis"/>
          <w:highlight w:val="cyan"/>
        </w:rPr>
        <w:t>thousand times greater</w:t>
      </w:r>
      <w:r w:rsidRPr="00684BF3">
        <w:rPr>
          <w:sz w:val="16"/>
        </w:rPr>
        <w:t xml:space="preserve"> than it was for most of human history, so </w:t>
      </w:r>
      <w:r w:rsidRPr="00684BF3">
        <w:rPr>
          <w:rStyle w:val="StyleUnderline"/>
        </w:rPr>
        <w:t xml:space="preserve">there are vastly </w:t>
      </w:r>
      <w:r w:rsidRPr="00684BF3">
        <w:rPr>
          <w:rStyle w:val="Emphasis"/>
        </w:rPr>
        <w:t>more opportunities</w:t>
      </w:r>
      <w:r w:rsidRPr="00684BF3">
        <w:rPr>
          <w:rStyle w:val="StyleUnderline"/>
        </w:rPr>
        <w:t xml:space="preserve"> for new human </w:t>
      </w:r>
      <w:r w:rsidRPr="00684BF3">
        <w:rPr>
          <w:rStyle w:val="Emphasis"/>
        </w:rPr>
        <w:t>diseases to originate</w:t>
      </w:r>
      <w:r w:rsidRPr="00684BF3">
        <w:rPr>
          <w:sz w:val="16"/>
        </w:rPr>
        <w:t xml:space="preserve">. And our </w:t>
      </w:r>
      <w:r w:rsidRPr="00456038">
        <w:rPr>
          <w:rStyle w:val="Emphasis"/>
          <w:highlight w:val="cyan"/>
        </w:rPr>
        <w:t>farming practices</w:t>
      </w:r>
      <w:r w:rsidRPr="00684BF3">
        <w:rPr>
          <w:rStyle w:val="StyleUnderline"/>
        </w:rPr>
        <w:t xml:space="preserve"> have </w:t>
      </w:r>
      <w:r w:rsidRPr="00456038">
        <w:rPr>
          <w:rStyle w:val="StyleUnderline"/>
          <w:highlight w:val="cyan"/>
        </w:rPr>
        <w:t>created</w:t>
      </w:r>
      <w:r w:rsidRPr="00684BF3">
        <w:rPr>
          <w:rStyle w:val="StyleUnderline"/>
        </w:rPr>
        <w:t xml:space="preserve"> vast numbers of </w:t>
      </w:r>
      <w:r w:rsidRPr="00456038">
        <w:rPr>
          <w:rStyle w:val="StyleUnderline"/>
          <w:highlight w:val="cyan"/>
        </w:rPr>
        <w:t>animals</w:t>
      </w:r>
      <w:r w:rsidRPr="00684BF3">
        <w:rPr>
          <w:rStyle w:val="StyleUnderline"/>
        </w:rPr>
        <w:t xml:space="preserve"> living in unhealthy conditions within </w:t>
      </w:r>
      <w:r w:rsidRPr="00456038">
        <w:rPr>
          <w:rStyle w:val="Emphasis"/>
          <w:highlight w:val="cyan"/>
        </w:rPr>
        <w:t>close</w:t>
      </w:r>
      <w:r w:rsidRPr="00684BF3">
        <w:rPr>
          <w:rStyle w:val="Emphasis"/>
        </w:rPr>
        <w:t xml:space="preserve"> proximity </w:t>
      </w:r>
      <w:r w:rsidRPr="00456038">
        <w:rPr>
          <w:rStyle w:val="Emphasis"/>
          <w:highlight w:val="cyan"/>
        </w:rPr>
        <w:t>to humans</w:t>
      </w:r>
      <w:r w:rsidRPr="00684BF3">
        <w:rPr>
          <w:sz w:val="16"/>
        </w:rPr>
        <w:t xml:space="preserve">. </w:t>
      </w:r>
      <w:r w:rsidRPr="00684BF3">
        <w:rPr>
          <w:rStyle w:val="StyleUnderline"/>
        </w:rPr>
        <w:t>This increases the risk, as many major diseases originate in animals before crossing over to humans</w:t>
      </w:r>
      <w:r w:rsidRPr="00684BF3">
        <w:rPr>
          <w:sz w:val="16"/>
        </w:rPr>
        <w:t xml:space="preserve">. Examples include </w:t>
      </w:r>
      <w:r w:rsidRPr="00684BF3">
        <w:rPr>
          <w:rStyle w:val="Emphasis"/>
        </w:rPr>
        <w:t>HIV</w:t>
      </w:r>
      <w:r w:rsidRPr="00684BF3">
        <w:rPr>
          <w:sz w:val="16"/>
        </w:rPr>
        <w:t xml:space="preserve"> (chimpanzees), </w:t>
      </w:r>
      <w:r w:rsidRPr="00684BF3">
        <w:rPr>
          <w:rStyle w:val="Emphasis"/>
        </w:rPr>
        <w:t>Ebola</w:t>
      </w:r>
      <w:r w:rsidRPr="00684BF3">
        <w:rPr>
          <w:sz w:val="16"/>
        </w:rPr>
        <w:t xml:space="preserve"> (bats), </w:t>
      </w:r>
      <w:r w:rsidRPr="00684BF3">
        <w:rPr>
          <w:rStyle w:val="Emphasis"/>
        </w:rPr>
        <w:t>Sars</w:t>
      </w:r>
      <w:r w:rsidRPr="00684BF3">
        <w:rPr>
          <w:sz w:val="16"/>
        </w:rPr>
        <w:t xml:space="preserve"> (probably civets or bats) and </w:t>
      </w:r>
      <w:r w:rsidRPr="00684BF3">
        <w:rPr>
          <w:rStyle w:val="Emphasis"/>
        </w:rPr>
        <w:t>influenza</w:t>
      </w:r>
      <w:r w:rsidRPr="00684BF3">
        <w:rPr>
          <w:sz w:val="16"/>
        </w:rPr>
        <w:t xml:space="preserve"> (usually pigs or birds). We do not yet know where Covid-19 came from, though it is very similar to coronaviruses found in bats and pangolins. Evidence suggests that </w:t>
      </w:r>
      <w:r w:rsidRPr="00684BF3">
        <w:rPr>
          <w:rStyle w:val="StyleUnderline"/>
        </w:rPr>
        <w:t xml:space="preserve">diseases are crossing over into human populations from animals </w:t>
      </w:r>
      <w:r w:rsidRPr="00684BF3">
        <w:rPr>
          <w:rStyle w:val="Emphasis"/>
        </w:rPr>
        <w:t>at an increasing rate</w:t>
      </w:r>
      <w:r w:rsidRPr="00684BF3">
        <w:rPr>
          <w:rStyle w:val="StyleUnderline"/>
        </w:rPr>
        <w:t xml:space="preserve">. </w:t>
      </w:r>
    </w:p>
    <w:p w14:paraId="3DE60987" w14:textId="77777777" w:rsidR="00516959" w:rsidRPr="00684BF3" w:rsidRDefault="00516959" w:rsidP="00516959">
      <w:pPr>
        <w:rPr>
          <w:sz w:val="16"/>
        </w:rPr>
      </w:pPr>
      <w:r w:rsidRPr="00684BF3">
        <w:rPr>
          <w:rStyle w:val="StyleUnderline"/>
        </w:rPr>
        <w:t>Modern civilisation</w:t>
      </w:r>
      <w:r w:rsidRPr="00684BF3">
        <w:rPr>
          <w:sz w:val="16"/>
        </w:rPr>
        <w:t xml:space="preserve"> may also </w:t>
      </w:r>
      <w:r w:rsidRPr="00684BF3">
        <w:rPr>
          <w:rStyle w:val="Emphasis"/>
        </w:rPr>
        <w:t xml:space="preserve">make it </w:t>
      </w:r>
      <w:r w:rsidRPr="00684BF3">
        <w:rPr>
          <w:rStyle w:val="StyleUnderline"/>
        </w:rPr>
        <w:t>much</w:t>
      </w:r>
      <w:r w:rsidRPr="00684BF3">
        <w:rPr>
          <w:rStyle w:val="Emphasis"/>
        </w:rPr>
        <w:t xml:space="preserve"> easier for a pandemic to spread</w:t>
      </w:r>
      <w:r w:rsidRPr="00684BF3">
        <w:rPr>
          <w:sz w:val="16"/>
        </w:rPr>
        <w:t xml:space="preserve">. The </w:t>
      </w:r>
      <w:r w:rsidRPr="00684BF3">
        <w:rPr>
          <w:rStyle w:val="StyleUnderline"/>
        </w:rPr>
        <w:t xml:space="preserve">higher </w:t>
      </w:r>
      <w:r w:rsidRPr="00456038">
        <w:rPr>
          <w:rStyle w:val="Emphasis"/>
          <w:highlight w:val="cyan"/>
        </w:rPr>
        <w:t>density of people</w:t>
      </w:r>
      <w:r w:rsidRPr="00684BF3">
        <w:rPr>
          <w:rStyle w:val="StyleUnderline"/>
        </w:rPr>
        <w:t xml:space="preserve"> living together in cities increases the number of people each of us may infect.</w:t>
      </w:r>
      <w:r w:rsidRPr="00684BF3">
        <w:rPr>
          <w:sz w:val="16"/>
        </w:rPr>
        <w:t xml:space="preserve"> Rapid </w:t>
      </w:r>
      <w:r w:rsidRPr="00456038">
        <w:rPr>
          <w:rStyle w:val="Emphasis"/>
          <w:highlight w:val="cyan"/>
        </w:rPr>
        <w:t>long-distance transport</w:t>
      </w:r>
      <w:r w:rsidRPr="00684BF3">
        <w:rPr>
          <w:sz w:val="16"/>
        </w:rPr>
        <w:t xml:space="preserve"> </w:t>
      </w:r>
      <w:r w:rsidRPr="00684BF3">
        <w:rPr>
          <w:rStyle w:val="StyleUnderline"/>
        </w:rPr>
        <w:t>greatly increases the distance pathogens can spread</w:t>
      </w:r>
      <w:r w:rsidRPr="00684BF3">
        <w:rPr>
          <w:sz w:val="16"/>
        </w:rPr>
        <w:t xml:space="preserve">, </w:t>
      </w:r>
      <w:r w:rsidRPr="00456038">
        <w:rPr>
          <w:rStyle w:val="Emphasis"/>
          <w:highlight w:val="cyan"/>
        </w:rPr>
        <w:t>reducing</w:t>
      </w:r>
      <w:r w:rsidRPr="00684BF3">
        <w:rPr>
          <w:rStyle w:val="StyleUnderline"/>
        </w:rPr>
        <w:t xml:space="preserve"> the </w:t>
      </w:r>
      <w:r w:rsidRPr="00456038">
        <w:rPr>
          <w:rStyle w:val="Emphasis"/>
          <w:highlight w:val="cyan"/>
        </w:rPr>
        <w:t>degrees of separation</w:t>
      </w:r>
      <w:r w:rsidRPr="00684BF3">
        <w:rPr>
          <w:rStyle w:val="StyleUnderline"/>
        </w:rPr>
        <w:t xml:space="preserve"> between any two people</w:t>
      </w:r>
      <w:r w:rsidRPr="00684BF3">
        <w:rPr>
          <w:sz w:val="16"/>
        </w:rPr>
        <w:t xml:space="preserve">. Moreover, </w:t>
      </w:r>
      <w:r w:rsidRPr="00684BF3">
        <w:rPr>
          <w:rStyle w:val="StyleUnderline"/>
        </w:rPr>
        <w:t>we are no longer divided into isolated populations</w:t>
      </w:r>
      <w:r w:rsidRPr="00684BF3">
        <w:rPr>
          <w:sz w:val="16"/>
        </w:rPr>
        <w:t xml:space="preserve"> as we were for most of the past 10,000 years. </w:t>
      </w:r>
    </w:p>
    <w:p w14:paraId="3D084667" w14:textId="77777777" w:rsidR="00516959" w:rsidRPr="00684BF3" w:rsidRDefault="00516959" w:rsidP="00516959">
      <w:pPr>
        <w:rPr>
          <w:rStyle w:val="StyleUnderline"/>
        </w:rPr>
      </w:pPr>
      <w:r w:rsidRPr="00684BF3">
        <w:rPr>
          <w:sz w:val="16"/>
        </w:rPr>
        <w:t xml:space="preserve">Together </w:t>
      </w:r>
      <w:r w:rsidRPr="00684BF3">
        <w:rPr>
          <w:rStyle w:val="StyleUnderline"/>
        </w:rPr>
        <w:t>these effects suggest that we might expect more new pandemics</w:t>
      </w:r>
      <w:r w:rsidRPr="00684BF3">
        <w:rPr>
          <w:sz w:val="16"/>
        </w:rPr>
        <w:t xml:space="preserve">, for them to spread more quickly, and to </w:t>
      </w:r>
      <w:r w:rsidRPr="00684BF3">
        <w:rPr>
          <w:rStyle w:val="StyleUnderline"/>
        </w:rPr>
        <w:t xml:space="preserve">reach a higher percentage of the world’s people. </w:t>
      </w:r>
    </w:p>
    <w:p w14:paraId="0181A667" w14:textId="77777777" w:rsidR="00516959" w:rsidRPr="00684BF3" w:rsidRDefault="00516959" w:rsidP="00516959">
      <w:pPr>
        <w:rPr>
          <w:rStyle w:val="StyleUnderline"/>
        </w:rPr>
      </w:pPr>
      <w:r w:rsidRPr="00456038">
        <w:rPr>
          <w:rStyle w:val="StyleUnderline"/>
          <w:highlight w:val="cyan"/>
        </w:rPr>
        <w:t>But</w:t>
      </w:r>
      <w:r w:rsidRPr="00456038">
        <w:rPr>
          <w:sz w:val="16"/>
          <w:highlight w:val="cyan"/>
        </w:rPr>
        <w:t xml:space="preserve"> </w:t>
      </w:r>
      <w:r w:rsidRPr="00456038">
        <w:rPr>
          <w:rStyle w:val="StyleUnderline"/>
          <w:highlight w:val="cyan"/>
        </w:rPr>
        <w:t>we have also changed</w:t>
      </w:r>
      <w:r w:rsidRPr="00684BF3">
        <w:rPr>
          <w:rStyle w:val="StyleUnderline"/>
        </w:rPr>
        <w:t xml:space="preserve"> the world in ways that offer </w:t>
      </w:r>
      <w:r w:rsidRPr="00456038">
        <w:rPr>
          <w:rStyle w:val="StyleUnderline"/>
          <w:highlight w:val="cyan"/>
        </w:rPr>
        <w:t>protection</w:t>
      </w:r>
      <w:r w:rsidRPr="00684BF3">
        <w:rPr>
          <w:sz w:val="16"/>
        </w:rPr>
        <w:t xml:space="preserve">. </w:t>
      </w:r>
      <w:r w:rsidRPr="00684BF3">
        <w:rPr>
          <w:rStyle w:val="StyleUnderline"/>
        </w:rPr>
        <w:t xml:space="preserve">We have a healthier population; improved </w:t>
      </w:r>
      <w:r w:rsidRPr="00456038">
        <w:rPr>
          <w:rStyle w:val="StyleUnderline"/>
          <w:highlight w:val="cyan"/>
        </w:rPr>
        <w:t>sanitation</w:t>
      </w:r>
      <w:r w:rsidRPr="00684BF3">
        <w:rPr>
          <w:rStyle w:val="StyleUnderline"/>
        </w:rPr>
        <w:t xml:space="preserve"> and </w:t>
      </w:r>
      <w:r w:rsidRPr="00456038">
        <w:rPr>
          <w:rStyle w:val="StyleUnderline"/>
          <w:highlight w:val="cyan"/>
        </w:rPr>
        <w:t>hygiene</w:t>
      </w:r>
      <w:r w:rsidRPr="00684BF3">
        <w:rPr>
          <w:rStyle w:val="StyleUnderline"/>
        </w:rPr>
        <w:t xml:space="preserve">; preventative and curative </w:t>
      </w:r>
      <w:r w:rsidRPr="00456038">
        <w:rPr>
          <w:rStyle w:val="StyleUnderline"/>
          <w:highlight w:val="cyan"/>
        </w:rPr>
        <w:t>medicine</w:t>
      </w:r>
      <w:r w:rsidRPr="00684BF3">
        <w:rPr>
          <w:rStyle w:val="StyleUnderline"/>
        </w:rPr>
        <w:t>; and a scientific understanding of disease.</w:t>
      </w:r>
      <w:r w:rsidRPr="00684BF3">
        <w:rPr>
          <w:sz w:val="16"/>
        </w:rPr>
        <w:t xml:space="preserve"> Perhaps most importantly, </w:t>
      </w:r>
      <w:r w:rsidRPr="00684BF3">
        <w:rPr>
          <w:rStyle w:val="StyleUnderline"/>
        </w:rPr>
        <w:t>we have public health bodies to facilitate global communication and coordination in the face of new outbreaks</w:t>
      </w:r>
      <w:r w:rsidRPr="00684BF3">
        <w:rPr>
          <w:sz w:val="16"/>
        </w:rPr>
        <w:t xml:space="preserve">. We have seen the benefits of this protection through the dramatic decline of endemic infectious disease over the past century (though we can’t be sure pandemics will obey the same trend). </w:t>
      </w:r>
      <w:r w:rsidRPr="00684BF3">
        <w:rPr>
          <w:rStyle w:val="StyleUnderline"/>
        </w:rPr>
        <w:t xml:space="preserve">Finally, </w:t>
      </w:r>
      <w:r w:rsidRPr="00456038">
        <w:rPr>
          <w:rStyle w:val="StyleUnderline"/>
          <w:highlight w:val="cyan"/>
        </w:rPr>
        <w:t>we have</w:t>
      </w:r>
      <w:r w:rsidRPr="00684BF3">
        <w:rPr>
          <w:rStyle w:val="StyleUnderline"/>
        </w:rPr>
        <w:t xml:space="preserve"> spread to a range of locations and environments unprecedented for any mammalian species</w:t>
      </w:r>
      <w:r w:rsidRPr="00684BF3">
        <w:rPr>
          <w:sz w:val="16"/>
        </w:rPr>
        <w:t xml:space="preserve">. </w:t>
      </w:r>
      <w:r w:rsidRPr="00684BF3">
        <w:rPr>
          <w:rStyle w:val="StyleUnderline"/>
        </w:rPr>
        <w:t xml:space="preserve">This offers special protection from extinction events, because it requires the pathogen to be able to flourish in a vast range of environments and to reach exceptionally isolated populations such as </w:t>
      </w:r>
      <w:r w:rsidRPr="00456038">
        <w:rPr>
          <w:rStyle w:val="StyleUnderline"/>
          <w:highlight w:val="cyan"/>
        </w:rPr>
        <w:t>uncontacted tribes</w:t>
      </w:r>
      <w:r w:rsidRPr="00684BF3">
        <w:rPr>
          <w:sz w:val="16"/>
        </w:rPr>
        <w:t xml:space="preserve">, </w:t>
      </w:r>
      <w:r w:rsidRPr="00456038">
        <w:rPr>
          <w:rStyle w:val="StyleUnderline"/>
          <w:highlight w:val="cyan"/>
        </w:rPr>
        <w:t>Antarctic researchers</w:t>
      </w:r>
      <w:r w:rsidRPr="00684BF3">
        <w:rPr>
          <w:rStyle w:val="StyleUnderline"/>
        </w:rPr>
        <w:t xml:space="preserve"> </w:t>
      </w:r>
      <w:r w:rsidRPr="00456038">
        <w:rPr>
          <w:rStyle w:val="StyleUnderline"/>
          <w:highlight w:val="cyan"/>
        </w:rPr>
        <w:t>and nuclear</w:t>
      </w:r>
      <w:r w:rsidRPr="00684BF3">
        <w:rPr>
          <w:rStyle w:val="StyleUnderline"/>
        </w:rPr>
        <w:t xml:space="preserve"> </w:t>
      </w:r>
      <w:r w:rsidRPr="00456038">
        <w:rPr>
          <w:rStyle w:val="StyleUnderline"/>
          <w:highlight w:val="cyan"/>
        </w:rPr>
        <w:t>sub</w:t>
      </w:r>
      <w:r w:rsidRPr="00684BF3">
        <w:rPr>
          <w:rStyle w:val="StyleUnderline"/>
        </w:rPr>
        <w:t>marine crew</w:t>
      </w:r>
      <w:r w:rsidRPr="00456038">
        <w:rPr>
          <w:rStyle w:val="StyleUnderline"/>
          <w:highlight w:val="cyan"/>
        </w:rPr>
        <w:t>s</w:t>
      </w:r>
      <w:r w:rsidRPr="00684BF3">
        <w:rPr>
          <w:rStyle w:val="StyleUnderline"/>
        </w:rPr>
        <w:t xml:space="preserve">. </w:t>
      </w:r>
    </w:p>
    <w:p w14:paraId="65D96DBF" w14:textId="77777777" w:rsidR="00516959" w:rsidRPr="00684BF3" w:rsidRDefault="00516959" w:rsidP="00516959">
      <w:pPr>
        <w:rPr>
          <w:rStyle w:val="Emphasis"/>
        </w:rPr>
      </w:pPr>
      <w:r w:rsidRPr="00456038">
        <w:rPr>
          <w:rStyle w:val="Emphasis"/>
          <w:highlight w:val="cyan"/>
        </w:rPr>
        <w:t>It is hard to know whether these</w:t>
      </w:r>
      <w:r w:rsidRPr="00684BF3">
        <w:rPr>
          <w:rStyle w:val="Emphasis"/>
        </w:rPr>
        <w:t xml:space="preserve"> combined </w:t>
      </w:r>
      <w:r w:rsidRPr="00456038">
        <w:rPr>
          <w:rStyle w:val="Emphasis"/>
          <w:highlight w:val="cyan"/>
        </w:rPr>
        <w:t>effects have increased or decreased the existential risk</w:t>
      </w:r>
      <w:r w:rsidRPr="00684BF3">
        <w:rPr>
          <w:rStyle w:val="Emphasis"/>
        </w:rPr>
        <w:t xml:space="preserve"> from pandemics. </w:t>
      </w:r>
      <w:r w:rsidRPr="00456038">
        <w:rPr>
          <w:rStyle w:val="Emphasis"/>
          <w:highlight w:val="cyan"/>
        </w:rPr>
        <w:t>This uncertainty is</w:t>
      </w:r>
      <w:r w:rsidRPr="00684BF3">
        <w:rPr>
          <w:rStyle w:val="Emphasis"/>
        </w:rPr>
        <w:t xml:space="preserve"> ultimately </w:t>
      </w:r>
      <w:r w:rsidRPr="00456038">
        <w:rPr>
          <w:rStyle w:val="Emphasis"/>
          <w:highlight w:val="cyan"/>
        </w:rPr>
        <w:t>bad news</w:t>
      </w:r>
      <w:r w:rsidRPr="00684BF3">
        <w:rPr>
          <w:rStyle w:val="Emphasis"/>
        </w:rPr>
        <w:t xml:space="preserve">: </w:t>
      </w:r>
      <w:r w:rsidRPr="00456038">
        <w:rPr>
          <w:rStyle w:val="Emphasis"/>
          <w:highlight w:val="cyan"/>
        </w:rPr>
        <w:t>we were previously sitting on a powerful argument</w:t>
      </w:r>
      <w:r w:rsidRPr="00684BF3">
        <w:rPr>
          <w:rStyle w:val="Emphasis"/>
        </w:rPr>
        <w:t xml:space="preserve"> that the risk was tiny; </w:t>
      </w:r>
      <w:r w:rsidRPr="00456038">
        <w:rPr>
          <w:rStyle w:val="Emphasis"/>
          <w:highlight w:val="cyan"/>
        </w:rPr>
        <w:t>now we are not</w:t>
      </w:r>
      <w:r w:rsidRPr="00684BF3">
        <w:rPr>
          <w:rStyle w:val="Emphasis"/>
        </w:rPr>
        <w:t xml:space="preserve">. </w:t>
      </w:r>
    </w:p>
    <w:p w14:paraId="6154184B" w14:textId="77777777" w:rsidR="00516959" w:rsidRPr="00684BF3" w:rsidRDefault="00516959" w:rsidP="00516959">
      <w:pPr>
        <w:rPr>
          <w:rStyle w:val="Emphasis"/>
        </w:rPr>
      </w:pPr>
      <w:r w:rsidRPr="00684BF3">
        <w:rPr>
          <w:rStyle w:val="StyleUnderline"/>
        </w:rPr>
        <w:t>We have seen the indirect ways that our actions aid and abet the origination and spread of pandemics</w:t>
      </w:r>
      <w:r w:rsidRPr="00684BF3">
        <w:rPr>
          <w:sz w:val="16"/>
        </w:rPr>
        <w:t xml:space="preserve">. But </w:t>
      </w:r>
      <w:r w:rsidRPr="00456038">
        <w:rPr>
          <w:rStyle w:val="Emphasis"/>
          <w:highlight w:val="cyan"/>
        </w:rPr>
        <w:t>what about cases where we</w:t>
      </w:r>
      <w:r w:rsidRPr="00684BF3">
        <w:rPr>
          <w:sz w:val="16"/>
        </w:rPr>
        <w:t xml:space="preserve"> have a much more direct hand in the process – where we </w:t>
      </w:r>
      <w:r w:rsidRPr="00684BF3">
        <w:rPr>
          <w:rStyle w:val="Emphasis"/>
        </w:rPr>
        <w:t>deliberately use</w:t>
      </w:r>
      <w:r w:rsidRPr="00684BF3">
        <w:rPr>
          <w:sz w:val="16"/>
        </w:rPr>
        <w:t xml:space="preserve">, </w:t>
      </w:r>
      <w:r w:rsidRPr="00684BF3">
        <w:rPr>
          <w:rStyle w:val="Emphasis"/>
        </w:rPr>
        <w:t xml:space="preserve">improve or </w:t>
      </w:r>
      <w:r w:rsidRPr="00456038">
        <w:rPr>
          <w:rStyle w:val="Emphasis"/>
          <w:highlight w:val="cyan"/>
        </w:rPr>
        <w:t>create</w:t>
      </w:r>
      <w:r w:rsidRPr="00684BF3">
        <w:rPr>
          <w:rStyle w:val="Emphasis"/>
        </w:rPr>
        <w:t xml:space="preserve"> the </w:t>
      </w:r>
      <w:r w:rsidRPr="00456038">
        <w:rPr>
          <w:rStyle w:val="Emphasis"/>
          <w:highlight w:val="cyan"/>
        </w:rPr>
        <w:t>pathogens?</w:t>
      </w:r>
      <w:r w:rsidRPr="00684BF3">
        <w:rPr>
          <w:rStyle w:val="Emphasis"/>
        </w:rPr>
        <w:t xml:space="preserve"> </w:t>
      </w:r>
    </w:p>
    <w:p w14:paraId="7234EDBA" w14:textId="77777777" w:rsidR="00516959" w:rsidRPr="00684BF3" w:rsidRDefault="00516959" w:rsidP="00516959">
      <w:pPr>
        <w:rPr>
          <w:rStyle w:val="StyleUnderline"/>
        </w:rPr>
      </w:pPr>
      <w:r w:rsidRPr="00684BF3">
        <w:rPr>
          <w:sz w:val="16"/>
        </w:rPr>
        <w:t xml:space="preserve">Our understanding and control of pathogens is very recent. Just </w:t>
      </w:r>
      <w:r w:rsidRPr="00684BF3">
        <w:rPr>
          <w:rStyle w:val="StyleUnderline"/>
        </w:rPr>
        <w:t>200 years ago, we didn’t even understand the basic cause of pandemics</w:t>
      </w:r>
      <w:r w:rsidRPr="00684BF3">
        <w:rPr>
          <w:sz w:val="16"/>
        </w:rPr>
        <w:t xml:space="preserve"> – a leading theory in the west claimed that disease was produced by a kind of gas. In just two centuries, </w:t>
      </w:r>
      <w:r w:rsidRPr="00684BF3">
        <w:rPr>
          <w:rStyle w:val="StyleUnderline"/>
        </w:rPr>
        <w:t>we discovered it was caused by a diverse variety of microscopic agents</w:t>
      </w:r>
      <w:r w:rsidRPr="00684BF3">
        <w:rPr>
          <w:sz w:val="16"/>
        </w:rPr>
        <w:t xml:space="preserve"> and </w:t>
      </w:r>
      <w:r w:rsidRPr="00456038">
        <w:rPr>
          <w:rStyle w:val="Emphasis"/>
          <w:highlight w:val="cyan"/>
        </w:rPr>
        <w:t>we worked</w:t>
      </w:r>
      <w:r w:rsidRPr="00456038">
        <w:rPr>
          <w:rStyle w:val="StyleUnderline"/>
          <w:highlight w:val="cyan"/>
        </w:rPr>
        <w:t xml:space="preserve"> out </w:t>
      </w:r>
      <w:r w:rsidRPr="00456038">
        <w:rPr>
          <w:rStyle w:val="Emphasis"/>
          <w:highlight w:val="cyan"/>
        </w:rPr>
        <w:t>how to grow them</w:t>
      </w:r>
      <w:r w:rsidRPr="00684BF3">
        <w:rPr>
          <w:rStyle w:val="StyleUnderline"/>
        </w:rPr>
        <w:t xml:space="preserve"> in the lab, to </w:t>
      </w:r>
      <w:r w:rsidRPr="00456038">
        <w:rPr>
          <w:rStyle w:val="Emphasis"/>
          <w:highlight w:val="cyan"/>
        </w:rPr>
        <w:t>breed</w:t>
      </w:r>
      <w:r w:rsidRPr="00684BF3">
        <w:rPr>
          <w:rStyle w:val="StyleUnderline"/>
        </w:rPr>
        <w:t xml:space="preserve"> them for </w:t>
      </w:r>
      <w:r w:rsidRPr="00456038">
        <w:rPr>
          <w:rStyle w:val="Emphasis"/>
          <w:highlight w:val="cyan"/>
        </w:rPr>
        <w:t>different traits</w:t>
      </w:r>
      <w:r w:rsidRPr="00684BF3">
        <w:rPr>
          <w:rStyle w:val="StyleUnderline"/>
        </w:rPr>
        <w:t xml:space="preserve">, to sequence their genomes, to </w:t>
      </w:r>
      <w:r w:rsidRPr="00456038">
        <w:rPr>
          <w:rStyle w:val="Emphasis"/>
          <w:highlight w:val="cyan"/>
        </w:rPr>
        <w:t>implant new genes</w:t>
      </w:r>
      <w:r w:rsidRPr="00684BF3">
        <w:rPr>
          <w:rStyle w:val="StyleUnderline"/>
        </w:rPr>
        <w:t xml:space="preserve"> and to create entire functional viruses from their written code. </w:t>
      </w:r>
    </w:p>
    <w:p w14:paraId="7390FBC4" w14:textId="77777777" w:rsidR="00516959" w:rsidRPr="00684BF3" w:rsidRDefault="00516959" w:rsidP="00516959">
      <w:pPr>
        <w:rPr>
          <w:rStyle w:val="StyleUnderline"/>
        </w:rPr>
      </w:pPr>
      <w:r w:rsidRPr="00456038">
        <w:rPr>
          <w:rStyle w:val="Emphasis"/>
          <w:highlight w:val="cyan"/>
        </w:rPr>
        <w:t>This progress is continuing</w:t>
      </w:r>
      <w:r w:rsidRPr="00684BF3">
        <w:rPr>
          <w:rStyle w:val="Emphasis"/>
        </w:rPr>
        <w:t xml:space="preserve"> at a rapid pace</w:t>
      </w:r>
      <w:r w:rsidRPr="00684BF3">
        <w:rPr>
          <w:sz w:val="16"/>
        </w:rPr>
        <w:t xml:space="preserve">. The past 10 years have seen </w:t>
      </w:r>
      <w:r w:rsidRPr="00684BF3">
        <w:rPr>
          <w:rStyle w:val="StyleUnderline"/>
        </w:rPr>
        <w:t>major qualitative breakthroughs</w:t>
      </w:r>
      <w:r w:rsidRPr="00684BF3">
        <w:rPr>
          <w:sz w:val="16"/>
        </w:rPr>
        <w:t xml:space="preserve">, such as the </w:t>
      </w:r>
      <w:r w:rsidRPr="00456038">
        <w:rPr>
          <w:rStyle w:val="Emphasis"/>
          <w:highlight w:val="cyan"/>
        </w:rPr>
        <w:t>use of</w:t>
      </w:r>
      <w:r w:rsidRPr="00684BF3">
        <w:rPr>
          <w:rStyle w:val="Emphasis"/>
        </w:rPr>
        <w:t xml:space="preserve"> the gene editing tool </w:t>
      </w:r>
      <w:r w:rsidRPr="00456038">
        <w:rPr>
          <w:rStyle w:val="Emphasis"/>
          <w:highlight w:val="cyan"/>
        </w:rPr>
        <w:t>Crispr</w:t>
      </w:r>
      <w:r w:rsidRPr="00684BF3">
        <w:rPr>
          <w:sz w:val="16"/>
        </w:rPr>
        <w:t xml:space="preserve"> </w:t>
      </w:r>
      <w:r w:rsidRPr="00684BF3">
        <w:rPr>
          <w:rStyle w:val="StyleUnderline"/>
        </w:rPr>
        <w:t>to efficiently insert new genetic sequences into a genome</w:t>
      </w:r>
      <w:r w:rsidRPr="00684BF3">
        <w:rPr>
          <w:sz w:val="16"/>
        </w:rPr>
        <w:t xml:space="preserve">, and the </w:t>
      </w:r>
      <w:r w:rsidRPr="00684BF3">
        <w:rPr>
          <w:rStyle w:val="StyleUnderline"/>
        </w:rPr>
        <w:t xml:space="preserve">use of gene drives to efficiently replace populations of natural organisms in the wild with genetically modified versions. </w:t>
      </w:r>
    </w:p>
    <w:p w14:paraId="1C179082" w14:textId="77777777" w:rsidR="00516959" w:rsidRPr="00684BF3" w:rsidRDefault="00516959" w:rsidP="00516959">
      <w:pPr>
        <w:rPr>
          <w:rStyle w:val="Emphasis"/>
        </w:rPr>
      </w:pPr>
      <w:r w:rsidRPr="00684BF3">
        <w:rPr>
          <w:sz w:val="16"/>
        </w:rPr>
        <w:t xml:space="preserve">This progress in </w:t>
      </w:r>
      <w:r w:rsidRPr="00684BF3">
        <w:rPr>
          <w:rStyle w:val="Emphasis"/>
        </w:rPr>
        <w:t>biotechnology seems unlikely to fizzle out</w:t>
      </w:r>
      <w:r w:rsidRPr="00684BF3">
        <w:rPr>
          <w:sz w:val="16"/>
        </w:rPr>
        <w:t xml:space="preserve"> anytime soon: </w:t>
      </w:r>
      <w:r w:rsidRPr="00684BF3">
        <w:rPr>
          <w:rStyle w:val="StyleUnderline"/>
        </w:rPr>
        <w:t>there are no insurmountable challenges looming; no fundamental laws blocking further developments.</w:t>
      </w:r>
      <w:r w:rsidRPr="00684BF3">
        <w:rPr>
          <w:sz w:val="16"/>
        </w:rPr>
        <w:t xml:space="preserve"> But </w:t>
      </w:r>
      <w:r w:rsidRPr="00684BF3">
        <w:rPr>
          <w:rStyle w:val="Emphasis"/>
        </w:rPr>
        <w:t xml:space="preserve">it would be optimistic to assume that this uncharted new terrain holds only familiar dangers. </w:t>
      </w:r>
    </w:p>
    <w:p w14:paraId="4F0F79E8" w14:textId="77777777" w:rsidR="00516959" w:rsidRPr="00684BF3" w:rsidRDefault="00516959" w:rsidP="00516959">
      <w:pPr>
        <w:rPr>
          <w:sz w:val="16"/>
        </w:rPr>
      </w:pPr>
      <w:r w:rsidRPr="00684BF3">
        <w:rPr>
          <w:sz w:val="16"/>
        </w:rPr>
        <w:t xml:space="preserve">To start with, </w:t>
      </w:r>
      <w:r w:rsidRPr="00684BF3">
        <w:rPr>
          <w:rStyle w:val="StyleUnderline"/>
        </w:rPr>
        <w:t>let’s set aside the risks from malicious intent</w:t>
      </w:r>
      <w:r w:rsidRPr="00684BF3">
        <w:rPr>
          <w:sz w:val="16"/>
        </w:rPr>
        <w:t xml:space="preserve">, </w:t>
      </w:r>
      <w:r w:rsidRPr="00684BF3">
        <w:rPr>
          <w:rStyle w:val="StyleUnderline"/>
        </w:rPr>
        <w:t xml:space="preserve">and consider only the risks that can arise from </w:t>
      </w:r>
      <w:r w:rsidRPr="00456038">
        <w:rPr>
          <w:rStyle w:val="StyleUnderline"/>
          <w:highlight w:val="cyan"/>
        </w:rPr>
        <w:t>well-intentioned research</w:t>
      </w:r>
      <w:r w:rsidRPr="00684BF3">
        <w:rPr>
          <w:sz w:val="16"/>
        </w:rPr>
        <w:t xml:space="preserve">. Most scientific and medical research poses a negligible risk of harms at the scale we are considering. But </w:t>
      </w:r>
      <w:r w:rsidRPr="00684BF3">
        <w:rPr>
          <w:rStyle w:val="StyleUnderline"/>
        </w:rPr>
        <w:t>there is a small fraction that uses live pathogens of kinds that are known to threaten global harm</w:t>
      </w:r>
      <w:r w:rsidRPr="00684BF3">
        <w:rPr>
          <w:sz w:val="16"/>
        </w:rPr>
        <w:t xml:space="preserve">. </w:t>
      </w:r>
      <w:r w:rsidRPr="00684BF3">
        <w:rPr>
          <w:rStyle w:val="StyleUnderline"/>
        </w:rPr>
        <w:t>These include the agents that cause the Spanish flu, smallpox, Sars and H5N1 or avian flu</w:t>
      </w:r>
      <w:r w:rsidRPr="00684BF3">
        <w:rPr>
          <w:sz w:val="16"/>
        </w:rPr>
        <w:t xml:space="preserve">. And a small part of this research </w:t>
      </w:r>
      <w:r w:rsidRPr="00684BF3">
        <w:rPr>
          <w:rStyle w:val="StyleUnderline"/>
        </w:rPr>
        <w:t>involves making strains of these pathogens that pose even more danger</w:t>
      </w:r>
      <w:r w:rsidRPr="00684BF3">
        <w:rPr>
          <w:sz w:val="16"/>
        </w:rPr>
        <w:t xml:space="preserve"> than the natural types, </w:t>
      </w:r>
      <w:r w:rsidRPr="00456038">
        <w:rPr>
          <w:rStyle w:val="Emphasis"/>
          <w:highlight w:val="cyan"/>
        </w:rPr>
        <w:t>increas</w:t>
      </w:r>
      <w:r w:rsidRPr="00684BF3">
        <w:rPr>
          <w:rStyle w:val="Emphasis"/>
        </w:rPr>
        <w:t xml:space="preserve">ing their </w:t>
      </w:r>
      <w:r w:rsidRPr="00456038">
        <w:rPr>
          <w:rStyle w:val="Emphasis"/>
          <w:highlight w:val="cyan"/>
        </w:rPr>
        <w:t>transmissibility</w:t>
      </w:r>
      <w:r w:rsidRPr="00684BF3">
        <w:rPr>
          <w:rStyle w:val="Emphasis"/>
        </w:rPr>
        <w:t xml:space="preserve">, </w:t>
      </w:r>
      <w:r w:rsidRPr="00456038">
        <w:rPr>
          <w:rStyle w:val="Emphasis"/>
          <w:highlight w:val="cyan"/>
        </w:rPr>
        <w:t>lethality</w:t>
      </w:r>
      <w:r w:rsidRPr="00684BF3">
        <w:rPr>
          <w:rStyle w:val="Emphasis"/>
        </w:rPr>
        <w:t xml:space="preserve"> or </w:t>
      </w:r>
      <w:r w:rsidRPr="00456038">
        <w:rPr>
          <w:rStyle w:val="Emphasis"/>
          <w:highlight w:val="cyan"/>
        </w:rPr>
        <w:t>resistance to vaccination</w:t>
      </w:r>
      <w:r w:rsidRPr="00684BF3">
        <w:rPr>
          <w:rStyle w:val="Emphasis"/>
        </w:rPr>
        <w:t xml:space="preserve"> or treatment</w:t>
      </w:r>
      <w:r w:rsidRPr="00684BF3">
        <w:rPr>
          <w:sz w:val="16"/>
        </w:rPr>
        <w:t xml:space="preserve">. </w:t>
      </w:r>
    </w:p>
    <w:p w14:paraId="1FC49957" w14:textId="77777777" w:rsidR="00516959" w:rsidRPr="00684BF3" w:rsidRDefault="00516959" w:rsidP="00516959">
      <w:pPr>
        <w:rPr>
          <w:sz w:val="16"/>
          <w:szCs w:val="16"/>
        </w:rPr>
      </w:pPr>
      <w:r w:rsidRPr="00684BF3">
        <w:rPr>
          <w:sz w:val="16"/>
          <w:szCs w:val="16"/>
        </w:rPr>
        <w:t xml:space="preserve">In 2012, a Dutch virologist, Ron Fouchier, published details of an experiment on the recent H5N1 strain of bird flu. This strain was extremely deadly, killing an estimated 60% of humans it infected – far beyond even the Spanish flu. Yet its inability to pass from human to human had so far prevented a pandemic. Fouchier wanted to find out whether (and how) H5N1 could naturally develop this ability. He passed the disease through a series of 10 ferrets, which are commonly used as a model for how influenza affects humans. By the time it passed to the final ferret, his strain of H5N1 had become directly transmissible between mammals. </w:t>
      </w:r>
    </w:p>
    <w:p w14:paraId="543B7333" w14:textId="77777777" w:rsidR="00516959" w:rsidRPr="00684BF3" w:rsidRDefault="00516959" w:rsidP="00516959">
      <w:pPr>
        <w:rPr>
          <w:rStyle w:val="StyleUnderline"/>
        </w:rPr>
      </w:pPr>
      <w:r w:rsidRPr="00684BF3">
        <w:rPr>
          <w:sz w:val="16"/>
        </w:rPr>
        <w:t xml:space="preserve">The work caused fierce controversy. Much of this was focused on the information contained in his work. The US National Science Advisory Board for Biosecurity ruled that his paper had to be stripped of some of its technical details before publication, to limit the ability of bad actors to cause a pandemic. And the Dutch government claimed that the research broke EU law on exporting information useful for bioweapons. But it is not the possibility of misuse that concerns me here. </w:t>
      </w:r>
      <w:r w:rsidRPr="00684BF3">
        <w:rPr>
          <w:rStyle w:val="StyleUnderline"/>
        </w:rPr>
        <w:t xml:space="preserve">Fouchier’s research provides a clear example of well-intentioned scientists enhancing the destructive capabilities of pathogens known to </w:t>
      </w:r>
      <w:r w:rsidRPr="00456038">
        <w:rPr>
          <w:rStyle w:val="Emphasis"/>
          <w:highlight w:val="cyan"/>
        </w:rPr>
        <w:t>threaten</w:t>
      </w:r>
      <w:r w:rsidRPr="00684BF3">
        <w:rPr>
          <w:rStyle w:val="Emphasis"/>
        </w:rPr>
        <w:t xml:space="preserve"> </w:t>
      </w:r>
      <w:r w:rsidRPr="00456038">
        <w:rPr>
          <w:rStyle w:val="Emphasis"/>
          <w:highlight w:val="cyan"/>
        </w:rPr>
        <w:t>global catastrophe</w:t>
      </w:r>
      <w:r w:rsidRPr="00684BF3">
        <w:rPr>
          <w:rStyle w:val="StyleUnderline"/>
        </w:rPr>
        <w:t xml:space="preserve">. </w:t>
      </w:r>
    </w:p>
    <w:p w14:paraId="07BF4824" w14:textId="77777777" w:rsidR="00516959" w:rsidRPr="00684BF3" w:rsidRDefault="00516959" w:rsidP="00516959">
      <w:pPr>
        <w:rPr>
          <w:rStyle w:val="StyleUnderline"/>
        </w:rPr>
      </w:pPr>
      <w:r w:rsidRPr="00684BF3">
        <w:rPr>
          <w:sz w:val="16"/>
        </w:rPr>
        <w:t xml:space="preserve">Of course, such experiments are done in secure labs, with stringent safety standards. It is highly unlikely that in any particular case the enhanced pathogens would escape into the wild. But just how unlikely? </w:t>
      </w:r>
      <w:r w:rsidRPr="00684BF3">
        <w:rPr>
          <w:rStyle w:val="StyleUnderline"/>
        </w:rPr>
        <w:t xml:space="preserve">Unfortunately, we don’t have good data, due to a lack of transparency about incident and escape rates. This prevents society from making well-informed decisions balancing the risks and benefits of this research, and it limits the ability of labs to learn from each other’s incidents. </w:t>
      </w:r>
    </w:p>
    <w:p w14:paraId="503F5409" w14:textId="77777777" w:rsidR="00516959" w:rsidRPr="00684BF3" w:rsidRDefault="00516959" w:rsidP="00516959">
      <w:pPr>
        <w:rPr>
          <w:rStyle w:val="StyleUnderline"/>
        </w:rPr>
      </w:pPr>
      <w:r w:rsidRPr="00684BF3">
        <w:rPr>
          <w:rStyle w:val="Emphasis"/>
        </w:rPr>
        <w:t>Security for highly dangerous pathogens has been deeply flawed, and remains insufficient</w:t>
      </w:r>
      <w:r w:rsidRPr="00684BF3">
        <w:rPr>
          <w:sz w:val="16"/>
        </w:rPr>
        <w:t xml:space="preserve">. In 2001, </w:t>
      </w:r>
      <w:r w:rsidRPr="00684BF3">
        <w:rPr>
          <w:rStyle w:val="StyleUnderline"/>
        </w:rPr>
        <w:t xml:space="preserve">Britain was struck by a devastating outbreak of foot-and-mouth disease in livestock. Six million animals were killed in an attempt to halt its spread, and the economic damages totalled £8bn. Then, in 2007, there was another outbreak, which was traced to a lab working on the disease. Foot-and-mouth was considered a highest-category pathogen, and required the highest level of biosecurity. Yet the </w:t>
      </w:r>
      <w:r w:rsidRPr="00456038">
        <w:rPr>
          <w:rStyle w:val="Emphasis"/>
          <w:highlight w:val="cyan"/>
        </w:rPr>
        <w:t>virus escaped</w:t>
      </w:r>
      <w:r w:rsidRPr="00456038">
        <w:rPr>
          <w:rStyle w:val="StyleUnderline"/>
          <w:highlight w:val="cyan"/>
        </w:rPr>
        <w:t xml:space="preserve"> </w:t>
      </w:r>
      <w:r w:rsidRPr="00684BF3">
        <w:rPr>
          <w:rStyle w:val="StyleUnderline"/>
        </w:rPr>
        <w:t xml:space="preserve">from a badly maintained pipe, leaking into the groundwater at the facility. After an investigation, the </w:t>
      </w:r>
      <w:r w:rsidRPr="00456038">
        <w:rPr>
          <w:rStyle w:val="Emphasis"/>
          <w:highlight w:val="cyan"/>
        </w:rPr>
        <w:t>lab’s</w:t>
      </w:r>
      <w:r w:rsidRPr="00456038">
        <w:rPr>
          <w:rStyle w:val="StyleUnderline"/>
          <w:highlight w:val="cyan"/>
        </w:rPr>
        <w:t xml:space="preserve"> </w:t>
      </w:r>
      <w:r w:rsidRPr="00684BF3">
        <w:rPr>
          <w:rStyle w:val="StyleUnderline"/>
        </w:rPr>
        <w:t xml:space="preserve">licence was renewed – only for another leak to occur two weeks later. </w:t>
      </w:r>
    </w:p>
    <w:p w14:paraId="2887B7A3" w14:textId="77777777" w:rsidR="00516959" w:rsidRPr="00684BF3" w:rsidRDefault="00516959" w:rsidP="00516959">
      <w:pPr>
        <w:rPr>
          <w:rStyle w:val="StyleUnderline"/>
        </w:rPr>
      </w:pPr>
      <w:r w:rsidRPr="00684BF3">
        <w:rPr>
          <w:sz w:val="16"/>
        </w:rPr>
        <w:t xml:space="preserve">In my view, </w:t>
      </w:r>
      <w:r w:rsidRPr="00684BF3">
        <w:rPr>
          <w:rStyle w:val="StyleUnderline"/>
        </w:rPr>
        <w:t xml:space="preserve">this track record of escapes shows that even the highest biosafety level (BSL-4) is insufficient for working on pathogens that </w:t>
      </w:r>
      <w:r w:rsidRPr="00684BF3">
        <w:rPr>
          <w:rStyle w:val="Emphasis"/>
        </w:rPr>
        <w:t>pose a risk of global pandemics</w:t>
      </w:r>
      <w:r w:rsidRPr="00684BF3">
        <w:rPr>
          <w:rStyle w:val="StyleUnderline"/>
        </w:rPr>
        <w:t xml:space="preserve"> on the scale of the Spanish flu or worse. </w:t>
      </w:r>
      <w:r w:rsidRPr="00684BF3">
        <w:rPr>
          <w:sz w:val="16"/>
        </w:rPr>
        <w:t xml:space="preserve">Thirteen years since the last publicly acknowledged outbreak from a BSL-4 facility is not good enough. </w:t>
      </w:r>
      <w:r w:rsidRPr="00684BF3">
        <w:rPr>
          <w:rStyle w:val="StyleUnderline"/>
        </w:rPr>
        <w:t>It doesn’t matter whether this is from insufficient standards, inspections, operations or penalties.</w:t>
      </w:r>
      <w:r w:rsidRPr="00684BF3">
        <w:rPr>
          <w:sz w:val="16"/>
        </w:rPr>
        <w:t xml:space="preserve"> </w:t>
      </w:r>
      <w:r w:rsidRPr="00684BF3">
        <w:rPr>
          <w:rStyle w:val="Emphasis"/>
        </w:rPr>
        <w:t>What matters is the poor track record in the field, made worse by a lack of transparency and accountability</w:t>
      </w:r>
      <w:r w:rsidRPr="00684BF3">
        <w:rPr>
          <w:sz w:val="16"/>
        </w:rPr>
        <w:t xml:space="preserve">. </w:t>
      </w:r>
      <w:r w:rsidRPr="00684BF3">
        <w:rPr>
          <w:rStyle w:val="StyleUnderline"/>
        </w:rPr>
        <w:t xml:space="preserve">With current BSL-4 labs, an escape of a pandemic pathogen is only a matter of time. </w:t>
      </w:r>
    </w:p>
    <w:p w14:paraId="799C9DEF" w14:textId="77777777" w:rsidR="00516959" w:rsidRPr="00684BF3" w:rsidRDefault="00516959" w:rsidP="00516959">
      <w:pPr>
        <w:rPr>
          <w:sz w:val="16"/>
          <w:szCs w:val="16"/>
        </w:rPr>
      </w:pPr>
      <w:r w:rsidRPr="00684BF3">
        <w:rPr>
          <w:sz w:val="16"/>
          <w:szCs w:val="16"/>
        </w:rPr>
        <w:t xml:space="preserve">One of the most exciting trends in biotechnology is its rapid democratisation – the speed at which cutting-edge techniques can be adopted by students and amateurs. When a new breakthrough is achieved, the pool of people with the talent, training, resources and patience to reproduce it rapidly expands: from a handful of the world’s top biologists, to people with PhDs in the field, to millions of people with undergraduate-level biology. </w:t>
      </w:r>
    </w:p>
    <w:p w14:paraId="0863E319" w14:textId="77777777" w:rsidR="00516959" w:rsidRPr="00684BF3" w:rsidRDefault="00516959" w:rsidP="00516959">
      <w:pPr>
        <w:rPr>
          <w:rStyle w:val="StyleUnderline"/>
        </w:rPr>
      </w:pPr>
      <w:r w:rsidRPr="00684BF3">
        <w:rPr>
          <w:sz w:val="16"/>
        </w:rPr>
        <w:t xml:space="preserve">The Human Genome Project was the largest ever scientific collaboration in biology. It took 13 years and $500m to produce the full DNA sequence of the human genome. Just 15 years later, a genome can be sequenced for under $1,000, and within a single hour. The reverse process has become much easier, too: </w:t>
      </w:r>
      <w:r w:rsidRPr="00684BF3">
        <w:rPr>
          <w:rStyle w:val="StyleUnderline"/>
        </w:rPr>
        <w:t>online DNA synthesis services allow anyone to upload a DNA sequence of their choice then have it constructed and shipped to their address</w:t>
      </w:r>
      <w:r w:rsidRPr="00684BF3">
        <w:rPr>
          <w:sz w:val="16"/>
        </w:rPr>
        <w:t xml:space="preserve">. While still expensive, the price of synthesis has fallen by a factor of 1,000 in the past two decades, and continues to drop. </w:t>
      </w:r>
      <w:r w:rsidRPr="00684BF3">
        <w:rPr>
          <w:rStyle w:val="StyleUnderline"/>
        </w:rPr>
        <w:t xml:space="preserve">The first ever uses of Crispr and gene drives were the biotechnology achievements of the decade. But within just two years, each of these technologies were used successfully by bright students participating in science competitions. </w:t>
      </w:r>
    </w:p>
    <w:p w14:paraId="7B0BE090" w14:textId="77777777" w:rsidR="00516959" w:rsidRPr="00684BF3" w:rsidRDefault="00516959" w:rsidP="00516959">
      <w:pPr>
        <w:rPr>
          <w:rStyle w:val="StyleUnderline"/>
        </w:rPr>
      </w:pPr>
      <w:r w:rsidRPr="00684BF3">
        <w:rPr>
          <w:sz w:val="16"/>
        </w:rPr>
        <w:t xml:space="preserve">Such </w:t>
      </w:r>
      <w:r w:rsidRPr="00684BF3">
        <w:rPr>
          <w:rStyle w:val="StyleUnderline"/>
        </w:rPr>
        <w:t>democratisation promises to fuel a boom of entrepreneurial biotechnology</w:t>
      </w:r>
      <w:r w:rsidRPr="00684BF3">
        <w:rPr>
          <w:sz w:val="16"/>
        </w:rPr>
        <w:t xml:space="preserve">. </w:t>
      </w:r>
      <w:r w:rsidRPr="00684BF3">
        <w:rPr>
          <w:rStyle w:val="StyleUnderline"/>
        </w:rPr>
        <w:t>But</w:t>
      </w:r>
      <w:r w:rsidRPr="00684BF3">
        <w:rPr>
          <w:sz w:val="16"/>
        </w:rPr>
        <w:t xml:space="preserve"> </w:t>
      </w:r>
      <w:r w:rsidRPr="00684BF3">
        <w:rPr>
          <w:rStyle w:val="StyleUnderline"/>
        </w:rPr>
        <w:t xml:space="preserve">since biotechnology can be misused to lethal effect, democratisation also means proliferation. As the pool of people with access to a technique grows, so does the chance it contains someone with malign intent. </w:t>
      </w:r>
    </w:p>
    <w:p w14:paraId="11B2F425" w14:textId="77777777" w:rsidR="00516959" w:rsidRPr="00684BF3" w:rsidRDefault="00516959" w:rsidP="00516959">
      <w:pPr>
        <w:rPr>
          <w:rStyle w:val="StyleUnderline"/>
        </w:rPr>
      </w:pPr>
      <w:r w:rsidRPr="00684BF3">
        <w:rPr>
          <w:sz w:val="16"/>
        </w:rPr>
        <w:t xml:space="preserve">People with the motivation to wreak global destruction are mercifully rare. But they exist. Perhaps the best example is the </w:t>
      </w:r>
      <w:r w:rsidRPr="00684BF3">
        <w:rPr>
          <w:rStyle w:val="Emphasis"/>
        </w:rPr>
        <w:t>Aum Shinrikyo</w:t>
      </w:r>
      <w:r w:rsidRPr="00684BF3">
        <w:rPr>
          <w:sz w:val="16"/>
        </w:rPr>
        <w:t xml:space="preserve"> cult in Japan, active between 1984 and 1995, which </w:t>
      </w:r>
      <w:r w:rsidRPr="00684BF3">
        <w:rPr>
          <w:rStyle w:val="StyleUnderline"/>
        </w:rPr>
        <w:t>sought to bring about the destruction of humanity</w:t>
      </w:r>
      <w:r w:rsidRPr="00684BF3">
        <w:rPr>
          <w:sz w:val="16"/>
        </w:rPr>
        <w:t xml:space="preserve">. It attracted several thousand members, including people with advanced skills in chemistry and biology. And it demonstrated that it was not mere misanthropic ideation. </w:t>
      </w:r>
      <w:r w:rsidRPr="00684BF3">
        <w:rPr>
          <w:rStyle w:val="StyleUnderline"/>
        </w:rPr>
        <w:t>It launched multiple lethal attacks using VX gas and sarin gas, killing more than 20 people and injuring thousands</w:t>
      </w:r>
      <w:r w:rsidRPr="00684BF3">
        <w:rPr>
          <w:sz w:val="16"/>
        </w:rPr>
        <w:t xml:space="preserve">. It </w:t>
      </w:r>
      <w:r w:rsidRPr="00684BF3">
        <w:rPr>
          <w:rStyle w:val="Emphasis"/>
        </w:rPr>
        <w:t>attempted to weaponise anthrax</w:t>
      </w:r>
      <w:r w:rsidRPr="00684BF3">
        <w:rPr>
          <w:sz w:val="16"/>
        </w:rPr>
        <w:t xml:space="preserve">, but did not succeed. </w:t>
      </w:r>
      <w:r w:rsidRPr="00684BF3">
        <w:rPr>
          <w:rStyle w:val="StyleUnderline"/>
        </w:rPr>
        <w:t xml:space="preserve">What happens when the circle of people able to create a global pandemic becomes wide enough to include members of such a group? Or members of a </w:t>
      </w:r>
      <w:r w:rsidRPr="00456038">
        <w:rPr>
          <w:rStyle w:val="Emphasis"/>
          <w:highlight w:val="cyan"/>
        </w:rPr>
        <w:t>terrorist organisation or rogue state</w:t>
      </w:r>
      <w:r w:rsidRPr="00684BF3">
        <w:rPr>
          <w:rStyle w:val="StyleUnderline"/>
        </w:rPr>
        <w:t xml:space="preserve"> that </w:t>
      </w:r>
      <w:r w:rsidRPr="00456038">
        <w:rPr>
          <w:rStyle w:val="StyleUnderline"/>
          <w:highlight w:val="cyan"/>
        </w:rPr>
        <w:t>could</w:t>
      </w:r>
      <w:r w:rsidRPr="00684BF3">
        <w:rPr>
          <w:rStyle w:val="StyleUnderline"/>
        </w:rPr>
        <w:t xml:space="preserve"> try to </w:t>
      </w:r>
      <w:r w:rsidRPr="00456038">
        <w:rPr>
          <w:rStyle w:val="StyleUnderline"/>
          <w:highlight w:val="cyan"/>
        </w:rPr>
        <w:t>build an omnicidal weapon</w:t>
      </w:r>
      <w:r w:rsidRPr="00684BF3">
        <w:rPr>
          <w:rStyle w:val="StyleUnderline"/>
        </w:rPr>
        <w:t xml:space="preserve"> for the purposes of extortion or deterrence? </w:t>
      </w:r>
    </w:p>
    <w:p w14:paraId="194CDE6D" w14:textId="77777777" w:rsidR="00516959" w:rsidRPr="00684BF3" w:rsidRDefault="00516959" w:rsidP="00516959">
      <w:pPr>
        <w:rPr>
          <w:sz w:val="16"/>
        </w:rPr>
      </w:pPr>
      <w:r w:rsidRPr="00684BF3">
        <w:rPr>
          <w:rStyle w:val="StyleUnderline"/>
        </w:rPr>
        <w:t xml:space="preserve">The main candidate for biological </w:t>
      </w:r>
      <w:r w:rsidRPr="00684BF3">
        <w:rPr>
          <w:rStyle w:val="Emphasis"/>
        </w:rPr>
        <w:t>existential risk</w:t>
      </w:r>
      <w:r w:rsidRPr="00684BF3">
        <w:rPr>
          <w:rStyle w:val="StyleUnderline"/>
        </w:rPr>
        <w:t xml:space="preserve"> in the coming decades thus stems from technology</w:t>
      </w:r>
      <w:r w:rsidRPr="00684BF3">
        <w:rPr>
          <w:sz w:val="16"/>
        </w:rPr>
        <w:t xml:space="preserve"> – </w:t>
      </w:r>
      <w:r w:rsidRPr="00684BF3">
        <w:rPr>
          <w:rStyle w:val="StyleUnderline"/>
        </w:rPr>
        <w:t>particularly the risk of misuse by states or small groups</w:t>
      </w:r>
      <w:r w:rsidRPr="00684BF3">
        <w:rPr>
          <w:sz w:val="16"/>
        </w:rPr>
        <w:t xml:space="preserve">. But this is not a case in which the world is blissfully unaware of the risks. Bertrand </w:t>
      </w:r>
      <w:r w:rsidRPr="00684BF3">
        <w:rPr>
          <w:rStyle w:val="StyleUnderline"/>
        </w:rPr>
        <w:t>Russell wrote of the danger of extinction from biowarfare to Einstein in 1955</w:t>
      </w:r>
      <w:r w:rsidRPr="00684BF3">
        <w:rPr>
          <w:sz w:val="16"/>
        </w:rPr>
        <w:t xml:space="preserve">. And, in 1969, the possibility was raised by the American Nobel laureate for medicine, Joshua Lederberg: “As a scientist I am profoundly concerned about the continued involvement of the United States and other nations in the development of biological warfare. </w:t>
      </w:r>
      <w:r w:rsidRPr="00456038">
        <w:rPr>
          <w:rStyle w:val="Emphasis"/>
          <w:highlight w:val="cyan"/>
        </w:rPr>
        <w:t>This process puts</w:t>
      </w:r>
      <w:r w:rsidRPr="00684BF3">
        <w:rPr>
          <w:rStyle w:val="Emphasis"/>
        </w:rPr>
        <w:t xml:space="preserve"> the very </w:t>
      </w:r>
      <w:r w:rsidRPr="00456038">
        <w:rPr>
          <w:rStyle w:val="Emphasis"/>
          <w:highlight w:val="cyan"/>
        </w:rPr>
        <w:t>future of human life</w:t>
      </w:r>
      <w:r w:rsidRPr="00684BF3">
        <w:rPr>
          <w:rStyle w:val="Emphasis"/>
        </w:rPr>
        <w:t xml:space="preserve"> on earth </w:t>
      </w:r>
      <w:r w:rsidRPr="00456038">
        <w:rPr>
          <w:rStyle w:val="Emphasis"/>
          <w:highlight w:val="cyan"/>
        </w:rPr>
        <w:t>in</w:t>
      </w:r>
      <w:r w:rsidRPr="00684BF3">
        <w:rPr>
          <w:rStyle w:val="Emphasis"/>
        </w:rPr>
        <w:t xml:space="preserve"> serious </w:t>
      </w:r>
      <w:r w:rsidRPr="00456038">
        <w:rPr>
          <w:rStyle w:val="Emphasis"/>
          <w:highlight w:val="cyan"/>
        </w:rPr>
        <w:t>peril</w:t>
      </w:r>
      <w:r w:rsidRPr="00684BF3">
        <w:rPr>
          <w:sz w:val="16"/>
        </w:rPr>
        <w:t xml:space="preserve">.” </w:t>
      </w:r>
    </w:p>
    <w:p w14:paraId="34FDAACE" w14:textId="77777777" w:rsidR="00516959" w:rsidRPr="00684BF3" w:rsidRDefault="00516959" w:rsidP="00516959">
      <w:pPr>
        <w:rPr>
          <w:rStyle w:val="StyleUnderline"/>
        </w:rPr>
      </w:pPr>
      <w:r w:rsidRPr="00684BF3">
        <w:rPr>
          <w:sz w:val="16"/>
        </w:rPr>
        <w:t xml:space="preserve">In response to such warnings, we have already begun national and international efforts to protect humanity. </w:t>
      </w:r>
      <w:r w:rsidRPr="00456038">
        <w:rPr>
          <w:rStyle w:val="StyleUnderline"/>
          <w:highlight w:val="cyan"/>
        </w:rPr>
        <w:t>There is action</w:t>
      </w:r>
      <w:r w:rsidRPr="00684BF3">
        <w:rPr>
          <w:rStyle w:val="StyleUnderline"/>
        </w:rPr>
        <w:t xml:space="preserve"> through public health and international conventions, </w:t>
      </w:r>
      <w:r w:rsidRPr="00456038">
        <w:rPr>
          <w:rStyle w:val="StyleUnderline"/>
          <w:highlight w:val="cyan"/>
        </w:rPr>
        <w:t>and self-regulatio</w:t>
      </w:r>
      <w:r w:rsidRPr="00684BF3">
        <w:rPr>
          <w:rStyle w:val="StyleUnderline"/>
        </w:rPr>
        <w:t xml:space="preserve">n by biotechnology companies and the scientific community. </w:t>
      </w:r>
      <w:r w:rsidRPr="00456038">
        <w:rPr>
          <w:rStyle w:val="Emphasis"/>
          <w:highlight w:val="cyan"/>
        </w:rPr>
        <w:t>Are they adequate?</w:t>
      </w:r>
      <w:r w:rsidRPr="00684BF3">
        <w:rPr>
          <w:rStyle w:val="Emphasis"/>
        </w:rPr>
        <w:t xml:space="preserve"> </w:t>
      </w:r>
      <w:r w:rsidRPr="00684BF3">
        <w:rPr>
          <w:sz w:val="16"/>
        </w:rPr>
        <w:t xml:space="preserve">National and international work in public health offers some protection from engineered pandemics, and its existing infrastructure could be adapted to better address them. </w:t>
      </w:r>
      <w:r w:rsidRPr="00684BF3">
        <w:rPr>
          <w:rStyle w:val="StyleUnderline"/>
        </w:rPr>
        <w:t xml:space="preserve">Yet even for existing dangers this protection is uneven and under-provided. </w:t>
      </w:r>
    </w:p>
    <w:p w14:paraId="028E64F3" w14:textId="77777777" w:rsidR="00516959" w:rsidRPr="00684BF3" w:rsidRDefault="00516959" w:rsidP="00516959">
      <w:pPr>
        <w:rPr>
          <w:sz w:val="16"/>
        </w:rPr>
      </w:pPr>
      <w:r w:rsidRPr="00684BF3">
        <w:rPr>
          <w:sz w:val="16"/>
        </w:rPr>
        <w:t xml:space="preserve">Despite its importance, </w:t>
      </w:r>
      <w:r w:rsidRPr="00456038">
        <w:rPr>
          <w:rStyle w:val="Emphasis"/>
          <w:highlight w:val="cyan"/>
        </w:rPr>
        <w:t>public health is underfunded</w:t>
      </w:r>
      <w:r w:rsidRPr="00684BF3">
        <w:rPr>
          <w:rStyle w:val="Emphasis"/>
        </w:rPr>
        <w:t xml:space="preserve"> worldwide</w:t>
      </w:r>
      <w:r w:rsidRPr="00684BF3">
        <w:rPr>
          <w:sz w:val="16"/>
        </w:rPr>
        <w:t xml:space="preserve">, and </w:t>
      </w:r>
      <w:r w:rsidRPr="00456038">
        <w:rPr>
          <w:rStyle w:val="Emphasis"/>
          <w:highlight w:val="cyan"/>
        </w:rPr>
        <w:t>poorer countries</w:t>
      </w:r>
      <w:r w:rsidRPr="00456038">
        <w:rPr>
          <w:rStyle w:val="StyleUnderline"/>
          <w:highlight w:val="cyan"/>
        </w:rPr>
        <w:t xml:space="preserve"> </w:t>
      </w:r>
      <w:r w:rsidRPr="00684BF3">
        <w:rPr>
          <w:rStyle w:val="StyleUnderline"/>
        </w:rPr>
        <w:t xml:space="preserve">remain </w:t>
      </w:r>
      <w:r w:rsidRPr="00456038">
        <w:rPr>
          <w:rStyle w:val="Emphasis"/>
          <w:highlight w:val="cyan"/>
        </w:rPr>
        <w:t>vulnerable</w:t>
      </w:r>
      <w:r w:rsidRPr="00684BF3">
        <w:rPr>
          <w:rStyle w:val="StyleUnderline"/>
        </w:rPr>
        <w:t xml:space="preserve"> to being overwhelmed by outbreaks</w:t>
      </w:r>
      <w:r w:rsidRPr="00684BF3">
        <w:rPr>
          <w:sz w:val="16"/>
        </w:rPr>
        <w:t xml:space="preserve">. Biotechnology companies are working to limit the dark side of the democratisation of their field. For example, unrestricted DNA synthesis would help bad actors overcome a major hurdle in creating extremely deadly pathogens. </w:t>
      </w:r>
      <w:r w:rsidRPr="00684BF3">
        <w:rPr>
          <w:rStyle w:val="StyleUnderline"/>
        </w:rPr>
        <w:t xml:space="preserve">It would allow them to get access to the DNA of controlled pathogens such as smallpox (whose genome is readily available online) and to create DNA with modifications to make the pathogen more dangerous. </w:t>
      </w:r>
      <w:r w:rsidRPr="00684BF3">
        <w:rPr>
          <w:sz w:val="16"/>
        </w:rPr>
        <w:t xml:space="preserve">Therefore, many synthesis companies make voluntary efforts to manage this risk, screening their orders for dangerous sequences. But the </w:t>
      </w:r>
      <w:r w:rsidRPr="00456038">
        <w:rPr>
          <w:rStyle w:val="Emphasis"/>
          <w:highlight w:val="cyan"/>
        </w:rPr>
        <w:t>screening methods are imperfect</w:t>
      </w:r>
      <w:r w:rsidRPr="00684BF3">
        <w:rPr>
          <w:sz w:val="16"/>
        </w:rPr>
        <w:t xml:space="preserve">, </w:t>
      </w:r>
      <w:r w:rsidRPr="00684BF3">
        <w:rPr>
          <w:rStyle w:val="StyleUnderline"/>
        </w:rPr>
        <w:t>and they only cover about 80% of orders</w:t>
      </w:r>
      <w:r w:rsidRPr="00684BF3">
        <w:rPr>
          <w:sz w:val="16"/>
        </w:rPr>
        <w:t xml:space="preserve">. There is significant room for improving this process, and a strong case for making screening mandatory. </w:t>
      </w:r>
    </w:p>
    <w:p w14:paraId="2BC37607" w14:textId="77777777" w:rsidR="00516959" w:rsidRPr="00684BF3" w:rsidRDefault="00516959" w:rsidP="00516959">
      <w:pPr>
        <w:rPr>
          <w:sz w:val="16"/>
        </w:rPr>
      </w:pPr>
      <w:r w:rsidRPr="00684BF3">
        <w:rPr>
          <w:sz w:val="16"/>
        </w:rPr>
        <w:t xml:space="preserve">We might also look to the scientific community for careful management of biological risks. </w:t>
      </w:r>
      <w:r w:rsidRPr="00684BF3">
        <w:rPr>
          <w:rStyle w:val="StyleUnderline"/>
        </w:rPr>
        <w:t>Many of the dangerous advances usable by states and small groups have come from open science</w:t>
      </w:r>
      <w:r w:rsidRPr="00684BF3">
        <w:rPr>
          <w:sz w:val="16"/>
        </w:rPr>
        <w:t xml:space="preserve">. And we’ve seen that </w:t>
      </w:r>
      <w:r w:rsidRPr="00684BF3">
        <w:rPr>
          <w:rStyle w:val="StyleUnderline"/>
        </w:rPr>
        <w:t>science produces</w:t>
      </w:r>
      <w:r w:rsidRPr="00684BF3">
        <w:rPr>
          <w:sz w:val="16"/>
        </w:rPr>
        <w:t xml:space="preserve"> </w:t>
      </w:r>
      <w:r w:rsidRPr="00456038">
        <w:rPr>
          <w:rStyle w:val="Emphasis"/>
          <w:highlight w:val="cyan"/>
        </w:rPr>
        <w:t>substantial accident risk</w:t>
      </w:r>
      <w:r w:rsidRPr="00684BF3">
        <w:rPr>
          <w:sz w:val="16"/>
        </w:rPr>
        <w:t xml:space="preserve">. </w:t>
      </w:r>
      <w:r w:rsidRPr="00684BF3">
        <w:rPr>
          <w:rStyle w:val="StyleUnderline"/>
        </w:rPr>
        <w:t>The scientific community has tried to regulate its dangerous research, but with limited success</w:t>
      </w:r>
      <w:r w:rsidRPr="00684BF3">
        <w:rPr>
          <w:sz w:val="16"/>
        </w:rPr>
        <w:t xml:space="preserve">. </w:t>
      </w:r>
      <w:r w:rsidRPr="00684BF3">
        <w:rPr>
          <w:rStyle w:val="StyleUnderline"/>
        </w:rPr>
        <w:t>There are a variety of reasons why this is extremely hard, including difficulty in knowing where to draw the line, lack of central authorities to unify practice, a culture of openness and freedom to pursue whatever is of interest, and the rapid pace of science outpacing that of governance</w:t>
      </w:r>
      <w:r w:rsidRPr="00684BF3">
        <w:rPr>
          <w:sz w:val="16"/>
        </w:rPr>
        <w:t xml:space="preserve">. It may be possible for the scientific community to overcome these challenges and provide strong management of global risks, but it would require a willingness to accept serious changes to its culture and governance – such as treating the security around biotechnology more like that around nuclear power. And the scientific community would need to find this willingness before catastrophe strikes. </w:t>
      </w:r>
    </w:p>
    <w:p w14:paraId="0493A36B" w14:textId="77777777" w:rsidR="00516959" w:rsidRPr="00684BF3" w:rsidRDefault="00516959" w:rsidP="00516959">
      <w:pPr>
        <w:rPr>
          <w:sz w:val="16"/>
        </w:rPr>
      </w:pPr>
      <w:r w:rsidRPr="00456038">
        <w:rPr>
          <w:rStyle w:val="Emphasis"/>
          <w:highlight w:val="cyan"/>
        </w:rPr>
        <w:t>Threats to humanity</w:t>
      </w:r>
      <w:r w:rsidRPr="00684BF3">
        <w:rPr>
          <w:sz w:val="16"/>
        </w:rPr>
        <w:t xml:space="preserve">, </w:t>
      </w:r>
      <w:r w:rsidRPr="00456038">
        <w:rPr>
          <w:rStyle w:val="Emphasis"/>
          <w:highlight w:val="cyan"/>
        </w:rPr>
        <w:t>and how we address them</w:t>
      </w:r>
      <w:r w:rsidRPr="00684BF3">
        <w:rPr>
          <w:rStyle w:val="Emphasis"/>
        </w:rPr>
        <w:t xml:space="preserve">, </w:t>
      </w:r>
      <w:r w:rsidRPr="00456038">
        <w:rPr>
          <w:rStyle w:val="Emphasis"/>
          <w:highlight w:val="cyan"/>
        </w:rPr>
        <w:t>define our time</w:t>
      </w:r>
      <w:r w:rsidRPr="00684BF3">
        <w:rPr>
          <w:sz w:val="16"/>
        </w:rPr>
        <w:t xml:space="preserve">. The advent of nuclear weapons posed a real risk of human extinction in the 20th century. There is strong reason to believe the risk will be higher this century, and increasing with each century that technological progress continues. Because these anthropogenic risks outstrip all natural risks combined, they set the clock on how long humanity has left to pull back from the brink. </w:t>
      </w:r>
    </w:p>
    <w:p w14:paraId="2EF1052E" w14:textId="77777777" w:rsidR="00516959" w:rsidRPr="00684BF3" w:rsidRDefault="00516959" w:rsidP="00516959">
      <w:pPr>
        <w:rPr>
          <w:sz w:val="16"/>
        </w:rPr>
      </w:pPr>
      <w:r w:rsidRPr="00684BF3">
        <w:rPr>
          <w:sz w:val="16"/>
        </w:rPr>
        <w:t xml:space="preserve">I am not claiming that extinction is the inevitable conclusion of scientific progress, or even the most likely outcome. What I am claiming is that </w:t>
      </w:r>
      <w:r w:rsidRPr="00684BF3">
        <w:rPr>
          <w:rStyle w:val="StyleUnderline"/>
        </w:rPr>
        <w:t xml:space="preserve">there has been a robust trend towards increases in the power of humanity, which has reached a point where </w:t>
      </w:r>
      <w:r w:rsidRPr="00684BF3">
        <w:rPr>
          <w:rStyle w:val="Emphasis"/>
        </w:rPr>
        <w:t xml:space="preserve">we </w:t>
      </w:r>
      <w:r w:rsidRPr="00456038">
        <w:rPr>
          <w:rStyle w:val="Emphasis"/>
          <w:highlight w:val="cyan"/>
        </w:rPr>
        <w:t xml:space="preserve">pose </w:t>
      </w:r>
      <w:r w:rsidRPr="00684BF3">
        <w:rPr>
          <w:rStyle w:val="Emphasis"/>
        </w:rPr>
        <w:t xml:space="preserve">a serious </w:t>
      </w:r>
      <w:r w:rsidRPr="00456038">
        <w:rPr>
          <w:rStyle w:val="Emphasis"/>
          <w:highlight w:val="cyan"/>
        </w:rPr>
        <w:t xml:space="preserve">risk to our </w:t>
      </w:r>
      <w:r w:rsidRPr="00684BF3">
        <w:rPr>
          <w:rStyle w:val="Emphasis"/>
        </w:rPr>
        <w:t xml:space="preserve">own </w:t>
      </w:r>
      <w:r w:rsidRPr="00456038">
        <w:rPr>
          <w:rStyle w:val="Emphasis"/>
          <w:highlight w:val="cyan"/>
        </w:rPr>
        <w:t>existence</w:t>
      </w:r>
      <w:r w:rsidRPr="00684BF3">
        <w:rPr>
          <w:sz w:val="16"/>
        </w:rPr>
        <w:t xml:space="preserve">. How we react to this risk is up to us. Nor am I arguing against technology. Technology has proved itself immensely valuable in improving the human condition. </w:t>
      </w:r>
    </w:p>
    <w:p w14:paraId="6F609039" w14:textId="77777777" w:rsidR="00516959" w:rsidRPr="00684BF3" w:rsidRDefault="00516959" w:rsidP="00516959">
      <w:pPr>
        <w:rPr>
          <w:sz w:val="16"/>
        </w:rPr>
      </w:pPr>
      <w:r w:rsidRPr="00684BF3">
        <w:rPr>
          <w:rStyle w:val="StyleUnderline"/>
        </w:rPr>
        <w:t>The problem is not so much an excess of technology as a lack of wisdom</w:t>
      </w:r>
      <w:r w:rsidRPr="00684BF3">
        <w:rPr>
          <w:sz w:val="16"/>
        </w:rPr>
        <w:t xml:space="preserve">. Carl Sagan put this especially well: “Many of the dangers we face indeed arise from science and technology – but, more fundamentally, because we have become powerful without becoming commensurately wise. The world-altering powers that technology has delivered into our hands now require a degree of consideration and foresight that has never before been asked of us.” </w:t>
      </w:r>
    </w:p>
    <w:p w14:paraId="6689C4BB" w14:textId="77777777" w:rsidR="00516959" w:rsidRPr="00684BF3" w:rsidRDefault="00516959" w:rsidP="00516959">
      <w:pPr>
        <w:rPr>
          <w:rStyle w:val="Emphasis"/>
        </w:rPr>
      </w:pPr>
      <w:r w:rsidRPr="00684BF3">
        <w:rPr>
          <w:rStyle w:val="StyleUnderline"/>
        </w:rPr>
        <w:t>Because we cannot come back from extinction, we cannot wait until a threat strikes before acting</w:t>
      </w:r>
      <w:r w:rsidRPr="00684BF3">
        <w:rPr>
          <w:sz w:val="16"/>
        </w:rPr>
        <w:t xml:space="preserve"> – </w:t>
      </w:r>
      <w:r w:rsidRPr="00684BF3">
        <w:rPr>
          <w:rStyle w:val="StyleUnderline"/>
        </w:rPr>
        <w:t>we must be proactive</w:t>
      </w:r>
      <w:r w:rsidRPr="00684BF3">
        <w:rPr>
          <w:sz w:val="16"/>
        </w:rPr>
        <w:t xml:space="preserve">. And because gaining wisdom takes time, </w:t>
      </w:r>
      <w:r w:rsidRPr="00684BF3">
        <w:rPr>
          <w:rStyle w:val="Emphasis"/>
        </w:rPr>
        <w:t xml:space="preserve">we need to start now. </w:t>
      </w:r>
    </w:p>
    <w:p w14:paraId="4E4D14AC" w14:textId="77777777" w:rsidR="00516959" w:rsidRPr="006A4DFB" w:rsidRDefault="00516959" w:rsidP="00516959">
      <w:pPr>
        <w:rPr>
          <w:u w:val="single"/>
        </w:rPr>
      </w:pPr>
      <w:r w:rsidRPr="00684BF3">
        <w:rPr>
          <w:sz w:val="16"/>
        </w:rPr>
        <w:t xml:space="preserve">I think that we are likely to make it through this period. Not because the challenges are small, but because we will rise to them. The very fact that these risks stem from human action shows us that human action can address them. </w:t>
      </w:r>
      <w:r w:rsidRPr="00684BF3">
        <w:rPr>
          <w:rStyle w:val="Emphasis"/>
        </w:rPr>
        <w:t>Defeatism would be both unwarranted and counterproductive – a self-fulfilling prophecy</w:t>
      </w:r>
      <w:r w:rsidRPr="00684BF3">
        <w:rPr>
          <w:sz w:val="16"/>
        </w:rPr>
        <w:t xml:space="preserve">. Instead, </w:t>
      </w:r>
      <w:r w:rsidRPr="00684BF3">
        <w:rPr>
          <w:rStyle w:val="StyleUnderline"/>
        </w:rPr>
        <w:t>we must address these challenges head-on with clear and rigorous thinking, guided by a positive vision of the longterm future we are trying to protect.</w:t>
      </w:r>
      <w:bookmarkEnd w:id="2"/>
    </w:p>
    <w:p w14:paraId="7E1EE30C" w14:textId="77777777" w:rsidR="00516959" w:rsidRDefault="00516959" w:rsidP="00516959">
      <w:pPr>
        <w:pStyle w:val="Heading3"/>
      </w:pPr>
      <w:r>
        <w:t>2NC – AO – Tech Race</w:t>
      </w:r>
    </w:p>
    <w:p w14:paraId="01F93807" w14:textId="77777777" w:rsidR="00516959" w:rsidRDefault="00516959" w:rsidP="00516959">
      <w:pPr>
        <w:pStyle w:val="Heading4"/>
      </w:pPr>
      <w:r>
        <w:t xml:space="preserve">Ambiguity in patent law </w:t>
      </w:r>
      <w:r>
        <w:rPr>
          <w:u w:val="single"/>
        </w:rPr>
        <w:t>decks</w:t>
      </w:r>
      <w:r>
        <w:t xml:space="preserve"> technological innovation.</w:t>
      </w:r>
    </w:p>
    <w:p w14:paraId="50E710FA" w14:textId="77777777" w:rsidR="00516959" w:rsidRPr="004435F7" w:rsidRDefault="00516959" w:rsidP="00516959">
      <w:r w:rsidRPr="004435F7">
        <w:rPr>
          <w:b/>
          <w:bCs/>
          <w:sz w:val="26"/>
          <w:szCs w:val="26"/>
        </w:rPr>
        <w:t>Lund 16</w:t>
      </w:r>
      <w:r>
        <w:t xml:space="preserve"> - </w:t>
      </w:r>
      <w:r w:rsidRPr="004435F7">
        <w:t>a John Witherspoon Legal Fellow at the Center for the Protection of Intellectual Property (CPIP) at George Mason University’s Antonin Scalia Law School</w:t>
      </w:r>
      <w:r>
        <w:t>, (Dr. David, “</w:t>
      </w:r>
      <w:r w:rsidRPr="004435F7">
        <w:t>Congress Can Save Software Patents by Repeating One of Its Successes</w:t>
      </w:r>
      <w:r>
        <w:t xml:space="preserve">,” </w:t>
      </w:r>
      <w:r>
        <w:rPr>
          <w:i/>
          <w:iCs/>
        </w:rPr>
        <w:t>IP Watchdog</w:t>
      </w:r>
      <w:r>
        <w:t xml:space="preserve">, 12-11-16, </w:t>
      </w:r>
      <w:hyperlink r:id="rId286" w:history="1">
        <w:r w:rsidRPr="00DC67D3">
          <w:rPr>
            <w:rStyle w:val="Hyperlink"/>
          </w:rPr>
          <w:t>https://www.ipwatchdog.com/2016/12/11/congress-can-save-software-patents-by-repeating-one-of-its-successes/id=75390/</w:t>
        </w:r>
      </w:hyperlink>
      <w:r>
        <w:t>, Accessed 7-4-20, LASA-AH)</w:t>
      </w:r>
    </w:p>
    <w:p w14:paraId="4B8315A6" w14:textId="77777777" w:rsidR="00516959" w:rsidRPr="004435F7" w:rsidRDefault="00516959" w:rsidP="00516959">
      <w:pPr>
        <w:rPr>
          <w:u w:val="single"/>
        </w:rPr>
      </w:pPr>
      <w:r w:rsidRPr="004435F7">
        <w:rPr>
          <w:u w:val="single"/>
        </w:rPr>
        <w:t xml:space="preserve">Innovation, just like the businesses that it creates, </w:t>
      </w:r>
      <w:r w:rsidRPr="004435F7">
        <w:rPr>
          <w:rStyle w:val="Emphasis"/>
        </w:rPr>
        <w:t>cannot thrive</w:t>
      </w:r>
      <w:r w:rsidRPr="004435F7">
        <w:rPr>
          <w:u w:val="single"/>
        </w:rPr>
        <w:t xml:space="preserve"> in an </w:t>
      </w:r>
      <w:r w:rsidRPr="004435F7">
        <w:rPr>
          <w:rStyle w:val="Emphasis"/>
        </w:rPr>
        <w:t>environment of uncertainty</w:t>
      </w:r>
      <w:r w:rsidRPr="004435F7">
        <w:rPr>
          <w:u w:val="single"/>
        </w:rPr>
        <w:t>.</w:t>
      </w:r>
      <w:r>
        <w:t xml:space="preserve"> Unfortunately, </w:t>
      </w:r>
      <w:r w:rsidRPr="004435F7">
        <w:rPr>
          <w:u w:val="single"/>
        </w:rPr>
        <w:t>the Patent Office and Federal courts</w:t>
      </w:r>
      <w:r>
        <w:t>—the very legal institutions that are supposed to secure stable and effective intellectual property rights for innovators and their creations—</w:t>
      </w:r>
      <w:r w:rsidRPr="004435F7">
        <w:rPr>
          <w:u w:val="single"/>
        </w:rPr>
        <w:t xml:space="preserve">have created a precarious situation for software patents leading to a </w:t>
      </w:r>
      <w:r w:rsidRPr="004435F7">
        <w:rPr>
          <w:rStyle w:val="Emphasis"/>
        </w:rPr>
        <w:t xml:space="preserve">substantial degree of uncertainty </w:t>
      </w:r>
      <w:r w:rsidRPr="004435F7">
        <w:rPr>
          <w:u w:val="single"/>
        </w:rPr>
        <w:t>for the high-tech industry.</w:t>
      </w:r>
    </w:p>
    <w:p w14:paraId="7EE24F14" w14:textId="77777777" w:rsidR="00516959" w:rsidRDefault="00516959" w:rsidP="00516959">
      <w:r>
        <w:t>On the anniversary of the Computer Software Copyright Act, we should keep in mind that Congress can and should step in to remove the uncertainty and ensure that software innovation is sufficiently well protected.</w:t>
      </w:r>
    </w:p>
    <w:p w14:paraId="4B00A0EF" w14:textId="77777777" w:rsidR="00516959" w:rsidRDefault="00516959" w:rsidP="00516959">
      <w:r>
        <w:t xml:space="preserve">As </w:t>
      </w:r>
      <w:r w:rsidRPr="004435F7">
        <w:rPr>
          <w:u w:val="single"/>
        </w:rPr>
        <w:t>the Federal Circuit continues to sow uncertainty about the eligibility of “software patents,</w:t>
      </w:r>
      <w:r>
        <w:t xml:space="preserve">” it is important to remember that </w:t>
      </w:r>
      <w:r w:rsidRPr="004435F7">
        <w:rPr>
          <w:u w:val="single"/>
        </w:rPr>
        <w:t>the current debate about protecting the innovations of computer and software engineers is not new</w:t>
      </w:r>
      <w:r>
        <w:t>. We have been here before. Last time, the debate ended when Congress stepped in to expressly acknowledge copyright protection of software code. It is now long past time Congress to do the same with patents for the functional aspects of software.</w:t>
      </w:r>
    </w:p>
    <w:p w14:paraId="722AD59A" w14:textId="77777777" w:rsidR="00516959" w:rsidRDefault="00516959" w:rsidP="00516959">
      <w:r>
        <w:t xml:space="preserve">Adam Mossoff previously detailed why </w:t>
      </w:r>
      <w:r w:rsidRPr="004435F7">
        <w:rPr>
          <w:u w:val="single"/>
        </w:rPr>
        <w:t>software patents are valid under existing law. To remove any uncertainty over the eligibility of wrongly vilified “software patents,”</w:t>
      </w:r>
      <w:r>
        <w:t xml:space="preserve"> Congress should expressly validate as patentable the inventions in the useful functions of computer programs.</w:t>
      </w:r>
    </w:p>
    <w:p w14:paraId="70515A8C" w14:textId="77777777" w:rsidR="00516959" w:rsidRPr="004435F7" w:rsidRDefault="00516959" w:rsidP="00516959">
      <w:pPr>
        <w:rPr>
          <w:rStyle w:val="Emphasis"/>
        </w:rPr>
      </w:pPr>
      <w:r>
        <w:t xml:space="preserve">Part of the problem with the debate over “software patents” has been the near complete failure to accurately describe what these patents protect. </w:t>
      </w:r>
      <w:r w:rsidRPr="004435F7">
        <w:rPr>
          <w:u w:val="single"/>
        </w:rPr>
        <w:t>Opponents of software patents frequently describe these patents as protecting nothing more than “mathematics” or logic</w:t>
      </w:r>
      <w:r>
        <w:t xml:space="preserve">. </w:t>
      </w:r>
      <w:r w:rsidRPr="004435F7">
        <w:rPr>
          <w:rStyle w:val="Emphasis"/>
        </w:rPr>
        <w:t>This is plainly false.</w:t>
      </w:r>
    </w:p>
    <w:p w14:paraId="7C0B9262" w14:textId="77777777" w:rsidR="00516959" w:rsidRPr="004435F7" w:rsidRDefault="00516959" w:rsidP="00516959">
      <w:r w:rsidRPr="004435F7">
        <w:rPr>
          <w:u w:val="single"/>
        </w:rPr>
        <w:t xml:space="preserve">Software is a valuable, </w:t>
      </w:r>
      <w:r w:rsidRPr="004435F7">
        <w:rPr>
          <w:rStyle w:val="Emphasis"/>
        </w:rPr>
        <w:t>real-world, technological innovation</w:t>
      </w:r>
      <w:r w:rsidRPr="004435F7">
        <w:rPr>
          <w:u w:val="single"/>
        </w:rPr>
        <w:t xml:space="preserve"> that is used in everything from vacuums to cars to computers to phones. </w:t>
      </w:r>
      <w:r>
        <w:t>Recent high profile software patent disputes involved a patent improving how computer generated faces are animated when speaking and another improving the functionality of spreadsheets in programs like Excel.</w:t>
      </w:r>
    </w:p>
    <w:p w14:paraId="62FBBE99" w14:textId="77777777" w:rsidR="00516959" w:rsidRPr="004435F7" w:rsidRDefault="00516959" w:rsidP="00516959">
      <w:pPr>
        <w:rPr>
          <w:u w:val="single"/>
        </w:rPr>
      </w:pPr>
      <w:r>
        <w:t xml:space="preserve">Not only do </w:t>
      </w:r>
      <w:r w:rsidRPr="004435F7">
        <w:rPr>
          <w:u w:val="single"/>
        </w:rPr>
        <w:t xml:space="preserve">software patents protect important innovations, they are </w:t>
      </w:r>
      <w:r w:rsidRPr="004435F7">
        <w:rPr>
          <w:rStyle w:val="Emphasis"/>
        </w:rPr>
        <w:t>commercially valuable as well</w:t>
      </w:r>
      <w:r>
        <w:t xml:space="preserve">. </w:t>
      </w:r>
      <w:r w:rsidRPr="004435F7">
        <w:rPr>
          <w:u w:val="single"/>
        </w:rPr>
        <w:t>Software patents are often a necessary step for start-ups to obtain venture capital financing.</w:t>
      </w:r>
      <w:r>
        <w:t xml:space="preserve"> Software, like any other technology, </w:t>
      </w:r>
      <w:r w:rsidRPr="004435F7">
        <w:rPr>
          <w:u w:val="single"/>
        </w:rPr>
        <w:t>requires investment in research and development</w:t>
      </w:r>
      <w:r>
        <w:t xml:space="preserve">. Software patents ensure that software innovators can realize the value of their contributions. By </w:t>
      </w:r>
      <w:r w:rsidRPr="004435F7">
        <w:rPr>
          <w:u w:val="single"/>
        </w:rPr>
        <w:t>facilitating and protecting investments in developing a product, software patents promote many of the advancements that we take for granted today.</w:t>
      </w:r>
    </w:p>
    <w:p w14:paraId="6ECBDD4E" w14:textId="77777777" w:rsidR="00516959" w:rsidRDefault="00516959" w:rsidP="00516959">
      <w:r>
        <w:t xml:space="preserve">It is therefore </w:t>
      </w:r>
      <w:r w:rsidRPr="004435F7">
        <w:rPr>
          <w:u w:val="single"/>
        </w:rPr>
        <w:t>important to take the threat to software patents seriously</w:t>
      </w:r>
      <w:r>
        <w:t xml:space="preserve">. The current debate over the eligibility of software patents centers on whether a given patent is directed to an “abstract idea.” </w:t>
      </w:r>
      <w:r w:rsidRPr="004435F7">
        <w:rPr>
          <w:u w:val="single"/>
        </w:rPr>
        <w:t>The Supreme Court has avoided defining what qualifies as an abstract idea</w:t>
      </w:r>
      <w:r>
        <w:t>, limiting itself to saying that hedging risk or intermediated settlement in financial transactions are abstract ideas.</w:t>
      </w:r>
    </w:p>
    <w:p w14:paraId="1DF5DE7E" w14:textId="77777777" w:rsidR="00516959" w:rsidRDefault="00516959" w:rsidP="00516959">
      <w:pPr>
        <w:rPr>
          <w:rStyle w:val="Emphasis"/>
        </w:rPr>
      </w:pPr>
      <w:r w:rsidRPr="004435F7">
        <w:rPr>
          <w:u w:val="single"/>
        </w:rPr>
        <w:t>The lack of guidance has left the Federal Circuit in a state of disarray</w:t>
      </w:r>
      <w:r>
        <w:t xml:space="preserve">. Commentators have frequently noted the difficulty demonstrated by courts in assessing software patent eligibility. </w:t>
      </w:r>
      <w:r w:rsidRPr="004435F7">
        <w:rPr>
          <w:u w:val="single"/>
        </w:rPr>
        <w:t xml:space="preserve">Contradictory court decisions are a frequent occurrence not just at the Federal Circuit, but in the lower courts as well. The lack of clear legal protection is currently </w:t>
      </w:r>
      <w:r w:rsidRPr="004435F7">
        <w:rPr>
          <w:rStyle w:val="Emphasis"/>
        </w:rPr>
        <w:t>harming software innovation.</w:t>
      </w:r>
    </w:p>
    <w:p w14:paraId="7C6543A3" w14:textId="77777777" w:rsidR="00516959" w:rsidRDefault="00516959" w:rsidP="00516959">
      <w:pPr>
        <w:pStyle w:val="Heading4"/>
      </w:pPr>
      <w:r>
        <w:t xml:space="preserve">China’s </w:t>
      </w:r>
      <w:r>
        <w:rPr>
          <w:u w:val="single"/>
        </w:rPr>
        <w:t>still behind</w:t>
      </w:r>
      <w:r>
        <w:t xml:space="preserve"> the US, but they’re catching up.</w:t>
      </w:r>
    </w:p>
    <w:p w14:paraId="53E0C970" w14:textId="77777777" w:rsidR="00516959" w:rsidRPr="008B12E4" w:rsidRDefault="00516959" w:rsidP="00516959">
      <w:r w:rsidRPr="008B12E4">
        <w:rPr>
          <w:b/>
          <w:bCs/>
          <w:sz w:val="26"/>
          <w:szCs w:val="26"/>
        </w:rPr>
        <w:t>Zhen 19</w:t>
      </w:r>
      <w:r>
        <w:t xml:space="preserve"> - </w:t>
      </w:r>
      <w:r w:rsidRPr="008B12E4">
        <w:t>joined the Post in 2015 as a reporter on the China desk</w:t>
      </w:r>
      <w:r>
        <w:t>, (Liu, “</w:t>
      </w:r>
      <w:r w:rsidRPr="008B12E4">
        <w:t>US still out front in tech race, China experts say in response to Pentagon claim</w:t>
      </w:r>
      <w:r>
        <w:t xml:space="preserve">,” </w:t>
      </w:r>
      <w:r>
        <w:rPr>
          <w:i/>
          <w:iCs/>
        </w:rPr>
        <w:t>South China Morning Post</w:t>
      </w:r>
      <w:r>
        <w:t xml:space="preserve">, November 3, </w:t>
      </w:r>
      <w:hyperlink r:id="rId287" w:history="1">
        <w:r w:rsidRPr="00A318F9">
          <w:rPr>
            <w:rStyle w:val="Hyperlink"/>
          </w:rPr>
          <w:t>https://www.scmp.com/news/china/diplomacy/article/3036053/us-still-out-front-tech-race-china-experts-say-response</w:t>
        </w:r>
      </w:hyperlink>
      <w:r>
        <w:t>, Accessed 7-4-20, LASA-AH)</w:t>
      </w:r>
    </w:p>
    <w:p w14:paraId="719CA606" w14:textId="77777777" w:rsidR="00516959" w:rsidRPr="00B36E69" w:rsidRDefault="00516959" w:rsidP="00516959">
      <w:pPr>
        <w:rPr>
          <w:u w:val="single"/>
        </w:rPr>
      </w:pPr>
      <w:r w:rsidRPr="00B36E69">
        <w:rPr>
          <w:u w:val="single"/>
        </w:rPr>
        <w:t>Chinese experts have rejected the claim by a senior Pentagon official that the US is lagging behind China in some key dual-use technologies.</w:t>
      </w:r>
    </w:p>
    <w:p w14:paraId="219A3A4E" w14:textId="77777777" w:rsidR="00516959" w:rsidRPr="00B36E69" w:rsidRDefault="00516959" w:rsidP="00516959">
      <w:pPr>
        <w:rPr>
          <w:u w:val="single"/>
        </w:rPr>
      </w:pPr>
      <w:r w:rsidRPr="00B36E69">
        <w:rPr>
          <w:u w:val="single"/>
        </w:rPr>
        <w:t xml:space="preserve"> Michael Brown, </w:t>
      </w:r>
      <w:r w:rsidRPr="00B36E69">
        <w:t xml:space="preserve">director of the US Department of Defence’s innovation unit, </w:t>
      </w:r>
      <w:r w:rsidRPr="00B36E69">
        <w:rPr>
          <w:u w:val="single"/>
        </w:rPr>
        <w:t xml:space="preserve">said at a seminar earlier this week that China was either competitive or catching up in the areas of hypersonics, artificial intelligence, quantum sciences, 5G mobile networks, genetic engineering, and space. </w:t>
      </w:r>
    </w:p>
    <w:p w14:paraId="34BB7B35" w14:textId="77777777" w:rsidR="00516959" w:rsidRPr="00B36E69" w:rsidRDefault="00516959" w:rsidP="00516959">
      <w:pPr>
        <w:rPr>
          <w:u w:val="single"/>
        </w:rPr>
      </w:pPr>
      <w:r w:rsidRPr="00B36E69">
        <w:t xml:space="preserve">With the exception of hypersonics, </w:t>
      </w:r>
      <w:r w:rsidRPr="00B36E69">
        <w:rPr>
          <w:u w:val="single"/>
        </w:rPr>
        <w:t xml:space="preserve">these technologies had not only military applications but were also critical for long-term economic prosperity, making them important to the future of US-China competition, he said. </w:t>
      </w:r>
    </w:p>
    <w:p w14:paraId="177274ED" w14:textId="77777777" w:rsidR="00516959" w:rsidRPr="00B36E69" w:rsidRDefault="00516959" w:rsidP="00516959">
      <w:r w:rsidRPr="00B36E69">
        <w:t xml:space="preserve">“I believe that national security and economic security are inextricably linked,” Brown told the think tank Centre for Strategic and International Studies in Washington. Technology is true target of US attack on China, says diplomat 29 May 2019 </w:t>
      </w:r>
    </w:p>
    <w:p w14:paraId="1CFC6551" w14:textId="77777777" w:rsidR="00516959" w:rsidRPr="00B36E69" w:rsidRDefault="00516959" w:rsidP="00516959">
      <w:pPr>
        <w:rPr>
          <w:u w:val="single"/>
        </w:rPr>
      </w:pPr>
      <w:r w:rsidRPr="00B36E69">
        <w:t xml:space="preserve">But </w:t>
      </w:r>
      <w:r w:rsidRPr="00B36E69">
        <w:rPr>
          <w:u w:val="single"/>
        </w:rPr>
        <w:t xml:space="preserve">Chinese experts said China’s progress had been exaggerated and many of its achievements were only partial successes so far. </w:t>
      </w:r>
      <w:r w:rsidRPr="00B36E69">
        <w:t xml:space="preserve">Hong Kong-based military commentator </w:t>
      </w:r>
      <w:r w:rsidRPr="00B36E69">
        <w:rPr>
          <w:u w:val="single"/>
        </w:rPr>
        <w:t xml:space="preserve">Song Zhongping said the US had been “unarguably more successful and experienced, far ahead of anyone” in space technology. “Look at Project Apollo and the Space Shuttle programme – decades later no other country has ever matched those achievements,” he said. </w:t>
      </w:r>
    </w:p>
    <w:p w14:paraId="19C79744" w14:textId="77777777" w:rsidR="00516959" w:rsidRPr="00B36E69" w:rsidRDefault="00516959" w:rsidP="00516959">
      <w:r w:rsidRPr="00B36E69">
        <w:t xml:space="preserve">Despite breakthroughs in certain fields like 5G, there was more generally a clear gap between China’s digital information and electronics technologies and the world’s technological leaders, according to Beijing-based naval expert Li Jie. </w:t>
      </w:r>
    </w:p>
    <w:p w14:paraId="1902C015" w14:textId="77777777" w:rsidR="00516959" w:rsidRPr="00B36E69" w:rsidRDefault="00516959" w:rsidP="00516959">
      <w:r w:rsidRPr="00B36E69">
        <w:t xml:space="preserve">In the field of hypersonics, </w:t>
      </w:r>
      <w:r w:rsidRPr="00B36E69">
        <w:rPr>
          <w:u w:val="single"/>
        </w:rPr>
        <w:t xml:space="preserve">China may have achieved milestones in glider vehicles, but </w:t>
      </w:r>
      <w:r w:rsidRPr="00B36E69">
        <w:rPr>
          <w:b/>
          <w:bCs/>
          <w:u w:val="single"/>
        </w:rPr>
        <w:t>in another important technology</w:t>
      </w:r>
      <w:r w:rsidRPr="00B36E69">
        <w:rPr>
          <w:u w:val="single"/>
        </w:rPr>
        <w:t xml:space="preserve"> – ramjet engines – there was no evidence of any major breakthroughs, </w:t>
      </w:r>
      <w:r w:rsidRPr="00B36E69">
        <w:t>and the US was still far more experienced in the field, said Zhao Tong, senior fellow at the Carnegie-Tsinghua Centre for Global Policy.</w:t>
      </w:r>
    </w:p>
    <w:p w14:paraId="198F97D5" w14:textId="77777777" w:rsidR="00516959" w:rsidRPr="00B36E69" w:rsidRDefault="00516959" w:rsidP="00516959">
      <w:pPr>
        <w:rPr>
          <w:u w:val="single"/>
        </w:rPr>
      </w:pPr>
      <w:r w:rsidRPr="00B36E69">
        <w:t xml:space="preserve"> </w:t>
      </w:r>
      <w:r w:rsidRPr="00B36E69">
        <w:rPr>
          <w:u w:val="single"/>
        </w:rPr>
        <w:t xml:space="preserve">China exhibited hypersonic missiles and drones at last month’s National Day parade, and has just launched a commercial 5G – fifth generation mobile network – service on Friday, which is the biggest in the world. </w:t>
      </w:r>
    </w:p>
    <w:p w14:paraId="34C094AE" w14:textId="77777777" w:rsidR="00516959" w:rsidRPr="00B36E69" w:rsidRDefault="00516959" w:rsidP="00516959">
      <w:r w:rsidRPr="00B36E69">
        <w:t xml:space="preserve">Huawei, China’s telecommunication giant has won contracts to construct the 5G infrastructures for many countries, despite the US campaign to ban Huawei equipment over security concerns. </w:t>
      </w:r>
    </w:p>
    <w:p w14:paraId="5B14A9EE" w14:textId="77777777" w:rsidR="00516959" w:rsidRPr="00B36E69" w:rsidRDefault="00516959" w:rsidP="00516959">
      <w:pPr>
        <w:rPr>
          <w:u w:val="single"/>
        </w:rPr>
      </w:pPr>
      <w:r w:rsidRPr="00B36E69">
        <w:t xml:space="preserve">Brown said </w:t>
      </w:r>
      <w:r w:rsidRPr="00B36E69">
        <w:rPr>
          <w:u w:val="single"/>
        </w:rPr>
        <w:t>China was “already ahead of the US in quantum sciences”</w:t>
      </w:r>
      <w:r w:rsidRPr="00B36E69">
        <w:t xml:space="preserve"> – citing the Chinese launch in 2016 of Micius, the world’s first quantum communications satellite. China had also made more launches into space than the US in 2018 as it speeded up its space programme, he said. Brown added the US had used Chinese equipment for genome sequencing, which meant </w:t>
      </w:r>
      <w:r w:rsidRPr="00B36E69">
        <w:rPr>
          <w:u w:val="single"/>
        </w:rPr>
        <w:t xml:space="preserve">China had more data on the genetic sequencing of the US population than the US itself, he said, and the US was also playing “a catch up game” with China in AI-based facial recognition. </w:t>
      </w:r>
    </w:p>
    <w:p w14:paraId="42C7FDAE" w14:textId="77777777" w:rsidR="00516959" w:rsidRPr="00B36E69" w:rsidRDefault="00516959" w:rsidP="00516959">
      <w:pPr>
        <w:rPr>
          <w:u w:val="single"/>
        </w:rPr>
      </w:pPr>
      <w:r w:rsidRPr="00B36E69">
        <w:rPr>
          <w:u w:val="single"/>
        </w:rPr>
        <w:t xml:space="preserve">For the past 50 to 80 years, the US had led the way and set the standards in almost all important technologies and industries, he said. In doing so, the US had been able to build and shape a global ecosystem and enjoy its advantages since the end of World War II. </w:t>
      </w:r>
    </w:p>
    <w:p w14:paraId="0D5BDD79" w14:textId="77777777" w:rsidR="00516959" w:rsidRPr="00B36E69" w:rsidRDefault="00516959" w:rsidP="00516959">
      <w:pPr>
        <w:rPr>
          <w:b/>
          <w:bCs/>
          <w:u w:val="single"/>
        </w:rPr>
      </w:pPr>
      <w:r w:rsidRPr="00B36E69">
        <w:rPr>
          <w:b/>
          <w:bCs/>
          <w:u w:val="single"/>
        </w:rPr>
        <w:t xml:space="preserve">But, Brown warned, for China to set the pace for these technologies would be “game-changing”. </w:t>
      </w:r>
    </w:p>
    <w:p w14:paraId="184C1598" w14:textId="77777777" w:rsidR="00516959" w:rsidRPr="00B36E69" w:rsidRDefault="00516959" w:rsidP="00516959">
      <w:pPr>
        <w:rPr>
          <w:u w:val="single"/>
        </w:rPr>
      </w:pPr>
      <w:r w:rsidRPr="00B36E69">
        <w:t>“Imagine what the world would look like if China was setting standards,” he said. “</w:t>
      </w:r>
      <w:r w:rsidRPr="00B36E69">
        <w:rPr>
          <w:u w:val="single"/>
        </w:rPr>
        <w:t xml:space="preserve">Over time, that means we </w:t>
      </w:r>
      <w:r w:rsidRPr="00B36E69">
        <w:rPr>
          <w:b/>
          <w:bCs/>
          <w:u w:val="single"/>
        </w:rPr>
        <w:t>have fewer levers to shape what the US wants to do</w:t>
      </w:r>
      <w:r w:rsidRPr="00B36E69">
        <w:rPr>
          <w:u w:val="single"/>
        </w:rPr>
        <w:t xml:space="preserve">, both from a global technology standpoint and also what are the values that are highlighted around the world as ones to be looked up to.” </w:t>
      </w:r>
    </w:p>
    <w:p w14:paraId="39E52942" w14:textId="77777777" w:rsidR="00516959" w:rsidRDefault="00516959" w:rsidP="00516959">
      <w:r w:rsidRPr="00B36E69">
        <w:t>Ni Lexiong, a Shanghai-based military commentator, said Brown had his own agenda in making his comments. “</w:t>
      </w:r>
      <w:r w:rsidRPr="00B36E69">
        <w:rPr>
          <w:u w:val="single"/>
        </w:rPr>
        <w:t>The US military wants more budget, more new equipment, more new R&amp;D projects.</w:t>
      </w:r>
      <w:r w:rsidRPr="00B36E69">
        <w:t xml:space="preserve"> And the theory of a China threat is, of course, a handy excuse,” Ni said. </w:t>
      </w:r>
    </w:p>
    <w:p w14:paraId="276C95EE" w14:textId="77777777" w:rsidR="00516959" w:rsidRPr="00175A75" w:rsidRDefault="00516959" w:rsidP="00516959">
      <w:pPr>
        <w:pStyle w:val="Heading4"/>
      </w:pPr>
      <w:r>
        <w:t>Extinction.</w:t>
      </w:r>
    </w:p>
    <w:p w14:paraId="0BC093D8" w14:textId="77777777" w:rsidR="00516959" w:rsidRPr="004435F7" w:rsidRDefault="00516959" w:rsidP="00516959">
      <w:r w:rsidRPr="004435F7">
        <w:rPr>
          <w:b/>
          <w:bCs/>
          <w:sz w:val="26"/>
          <w:szCs w:val="26"/>
        </w:rPr>
        <w:t>The Economist 18</w:t>
      </w:r>
      <w:r>
        <w:t xml:space="preserve"> – (“</w:t>
      </w:r>
      <w:r w:rsidRPr="004435F7">
        <w:t>The growing danger of great-power conflict</w:t>
      </w:r>
      <w:r>
        <w:t xml:space="preserve">,” </w:t>
      </w:r>
      <w:r>
        <w:rPr>
          <w:i/>
          <w:iCs/>
        </w:rPr>
        <w:t>Economist</w:t>
      </w:r>
      <w:r>
        <w:t xml:space="preserve">, 1-26-18, </w:t>
      </w:r>
      <w:hyperlink r:id="rId288" w:history="1">
        <w:r w:rsidRPr="00DC67D3">
          <w:rPr>
            <w:rStyle w:val="Hyperlink"/>
          </w:rPr>
          <w:t>https://www.economist.com/leaders/2018/01/25/the-growing-danger-of-great-power-conflict</w:t>
        </w:r>
      </w:hyperlink>
      <w:r>
        <w:t>, Accessed 7-4-20, LASA-AH)</w:t>
      </w:r>
    </w:p>
    <w:p w14:paraId="75F48AC6" w14:textId="77777777" w:rsidR="00516959" w:rsidRPr="00884A5F" w:rsidRDefault="00516959" w:rsidP="00516959">
      <w:r w:rsidRPr="00884A5F">
        <w:rPr>
          <w:u w:val="single"/>
        </w:rPr>
        <w:t>Even if China stays out of a second Korean war, both it and Russia are entering into a renewal of great-power competition with the West.</w:t>
      </w:r>
      <w:r w:rsidRPr="00884A5F">
        <w:t xml:space="preserve"> Their ambitions will be even harder to deal with than North Korea’s. </w:t>
      </w:r>
      <w:r w:rsidRPr="00884A5F">
        <w:rPr>
          <w:u w:val="single"/>
        </w:rPr>
        <w:t>Three decades of unprecedented economic growth have provided China with the wealth to transform its armed forces, and given its leaders the sense that their moment has come. Russia</w:t>
      </w:r>
      <w:r w:rsidRPr="00884A5F">
        <w:t xml:space="preserve">, paradoxically, </w:t>
      </w:r>
      <w:r w:rsidRPr="00884A5F">
        <w:rPr>
          <w:u w:val="single"/>
        </w:rPr>
        <w:t>needs to assert itself now because it is in long-term decline</w:t>
      </w:r>
      <w:r w:rsidRPr="00884A5F">
        <w:t>. Its leaders have spent heavily to restore Russia’s hard power, and they are willing to take risks to prove they deserve respect and a seat at the table.</w:t>
      </w:r>
    </w:p>
    <w:p w14:paraId="417CCECE" w14:textId="77777777" w:rsidR="00516959" w:rsidRPr="00884A5F" w:rsidRDefault="00516959" w:rsidP="00516959">
      <w:r w:rsidRPr="00884A5F">
        <w:rPr>
          <w:u w:val="single"/>
        </w:rPr>
        <w:t>Both countries have benefited from the international order that America did most to establish and guarantee. But they see its pillars—universal human rights, democracy and the rule of law</w:t>
      </w:r>
      <w:r w:rsidRPr="00884A5F">
        <w:t xml:space="preserve">—as an imposition that excuses foreign meddling and undermines their own legitimacy. </w:t>
      </w:r>
      <w:r w:rsidRPr="00884A5F">
        <w:rPr>
          <w:u w:val="single"/>
        </w:rPr>
        <w:t>They are now revisionist states that want to challenge the status quo and look at their regions as spheres of influence to be dominated</w:t>
      </w:r>
      <w:r w:rsidRPr="00884A5F">
        <w:t>. For China, that means East Asia; for Russia, eastern Europe and Central Asia.</w:t>
      </w:r>
    </w:p>
    <w:p w14:paraId="6C169EDB" w14:textId="77777777" w:rsidR="00516959" w:rsidRPr="00884A5F" w:rsidRDefault="00516959" w:rsidP="00516959">
      <w:r w:rsidRPr="00884A5F">
        <w:t>Neither China nor Russia wants a direct military confrontation with America that they would surely lose. But they are using their growing hard power in other ways, in particular by exploiting a “grey zone” where aggression and coercion work just below the level that would risk military confrontation with the West. In Ukraine Russia has blended force, misinformation, infiltration, cyberwar and economic blackmail in ways that democratic societies cannot copy and find hard to rebuff. China is more cautious, but it has claimed, occupied and garrisoned reefs and shoals in disputed waters.</w:t>
      </w:r>
    </w:p>
    <w:p w14:paraId="3AD93896" w14:textId="77777777" w:rsidR="00516959" w:rsidRPr="00884A5F" w:rsidRDefault="00516959" w:rsidP="00516959">
      <w:r w:rsidRPr="00884A5F">
        <w:rPr>
          <w:u w:val="single"/>
        </w:rPr>
        <w:t>China and Russia have harnessed military technologies invented by America, such as long-range precision-strike and electromagnetic-spectrum warfare, to raise the cost of intervention against them dramatically</w:t>
      </w:r>
      <w:r w:rsidRPr="00884A5F">
        <w:t xml:space="preserve">. Both have </w:t>
      </w:r>
      <w:r w:rsidRPr="00884A5F">
        <w:rPr>
          <w:u w:val="single"/>
        </w:rPr>
        <w:t>used asymmetric-warfare strategies to create “anti-access/area denial” networks.</w:t>
      </w:r>
      <w:r w:rsidRPr="00884A5F">
        <w:t xml:space="preserve"> China aims to push American naval forces far out into the Pacific where they can no longer safely project power into the East and South China Seas. </w:t>
      </w:r>
      <w:r w:rsidRPr="00884A5F">
        <w:rPr>
          <w:u w:val="single"/>
        </w:rPr>
        <w:t>Russia wants the world to know that, from the Arctic to the Black Sea, it can call on greater firepower than its foes—and that it will not hesitate to do so.</w:t>
      </w:r>
    </w:p>
    <w:p w14:paraId="3A5CA43D" w14:textId="77777777" w:rsidR="00516959" w:rsidRPr="00884A5F" w:rsidRDefault="00516959" w:rsidP="00516959">
      <w:r w:rsidRPr="00884A5F">
        <w:rPr>
          <w:u w:val="single"/>
        </w:rPr>
        <w:t>If America allows China and Russia to establish regional hegemonies, either consciously or because its politics are too dysfunctional to muster a response, it will have given them a green light to pursue their interests by brute force</w:t>
      </w:r>
      <w:r w:rsidRPr="00884A5F">
        <w:t>. When that was last tried, the result was the first world war.</w:t>
      </w:r>
    </w:p>
    <w:p w14:paraId="0F159885" w14:textId="77777777" w:rsidR="00516959" w:rsidRPr="00884A5F" w:rsidRDefault="00516959" w:rsidP="00516959">
      <w:r w:rsidRPr="00884A5F">
        <w:rPr>
          <w:u w:val="single"/>
        </w:rPr>
        <w:t xml:space="preserve">Nuclear weapons, largely a source of stability since 1945, may </w:t>
      </w:r>
      <w:r w:rsidRPr="00884A5F">
        <w:rPr>
          <w:rStyle w:val="Emphasis"/>
        </w:rPr>
        <w:t>add to the danger.</w:t>
      </w:r>
      <w:r w:rsidRPr="00884A5F">
        <w:t xml:space="preserve"> Their command-and-control systems are becoming vulnerable to hacking by new cyber-weapons or “blinding” of the satellites they depend on. </w:t>
      </w:r>
      <w:r w:rsidRPr="00884A5F">
        <w:rPr>
          <w:u w:val="single"/>
        </w:rPr>
        <w:t>A country under such an attack could find itself under pressure to choose between losing control of its nuclear weapons or using them.</w:t>
      </w:r>
    </w:p>
    <w:p w14:paraId="4A88F06C" w14:textId="77777777" w:rsidR="00516959" w:rsidRPr="00884A5F" w:rsidRDefault="00516959" w:rsidP="00516959">
      <w:r w:rsidRPr="00884A5F">
        <w:t>Vain citadels</w:t>
      </w:r>
    </w:p>
    <w:p w14:paraId="027C2B5E" w14:textId="77777777" w:rsidR="00516959" w:rsidRPr="00884A5F" w:rsidRDefault="00516959" w:rsidP="00516959">
      <w:r w:rsidRPr="00884A5F">
        <w:t>What should America do?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w:t>
      </w:r>
    </w:p>
    <w:p w14:paraId="7098573D" w14:textId="77777777" w:rsidR="00516959" w:rsidRPr="00884A5F" w:rsidRDefault="00516959" w:rsidP="00516959">
      <w:pPr>
        <w:rPr>
          <w:u w:val="single"/>
        </w:rPr>
      </w:pPr>
      <w:r w:rsidRPr="00884A5F">
        <w:rPr>
          <w:u w:val="single"/>
        </w:rPr>
        <w:t>America needs to accept that it is a prime beneficiary of the international system and that it is the only power with the ability and the resources to protect it from sustained attack</w:t>
      </w:r>
      <w:r w:rsidRPr="00884A5F">
        <w:t xml:space="preserve">. The soft power of patient and consistent diplomacy is vital, </w:t>
      </w:r>
      <w:r w:rsidRPr="00884A5F">
        <w:rPr>
          <w:u w:val="single"/>
        </w:rPr>
        <w:t>but must be backed by the hard power that China and Russia respect</w:t>
      </w:r>
      <w:r w:rsidRPr="00884A5F">
        <w:t xml:space="preserve">. America retains plenty of that hard power, </w:t>
      </w:r>
      <w:r w:rsidRPr="00884A5F">
        <w:rPr>
          <w:u w:val="single"/>
        </w:rPr>
        <w:t xml:space="preserve">but it is fast </w:t>
      </w:r>
      <w:r w:rsidRPr="00884A5F">
        <w:rPr>
          <w:rStyle w:val="Emphasis"/>
        </w:rPr>
        <w:t>losing the edge</w:t>
      </w:r>
      <w:r w:rsidRPr="00884A5F">
        <w:rPr>
          <w:u w:val="single"/>
        </w:rPr>
        <w:t xml:space="preserve"> in </w:t>
      </w:r>
      <w:r w:rsidRPr="00884A5F">
        <w:rPr>
          <w:rStyle w:val="Emphasis"/>
        </w:rPr>
        <w:t>military technology</w:t>
      </w:r>
      <w:r w:rsidRPr="00884A5F">
        <w:rPr>
          <w:u w:val="single"/>
        </w:rPr>
        <w:t xml:space="preserve"> that inspired confidence in its allies and fear in its foes.</w:t>
      </w:r>
    </w:p>
    <w:p w14:paraId="1F57B1CE" w14:textId="77777777" w:rsidR="00516959" w:rsidRPr="00884A5F" w:rsidRDefault="00516959" w:rsidP="00516959">
      <w:pPr>
        <w:rPr>
          <w:u w:val="single"/>
        </w:rPr>
      </w:pPr>
      <w:r w:rsidRPr="00884A5F">
        <w:t xml:space="preserve">To match its diplomacy, </w:t>
      </w:r>
      <w:r w:rsidRPr="00884A5F">
        <w:rPr>
          <w:u w:val="single"/>
        </w:rPr>
        <w:t>America needs to invest in new systems based on robotics, artificial intelligence, big data and directed-energy weapons.</w:t>
      </w:r>
      <w:r w:rsidRPr="00884A5F">
        <w:t xml:space="preserve"> Belatedly, Mr </w:t>
      </w:r>
      <w:r w:rsidRPr="00884A5F">
        <w:rPr>
          <w:u w:val="single"/>
        </w:rPr>
        <w:t>Obama realised that America required a concerted effort to regain its technological lead, yet there is no guarantee that it will be the first to innovate.</w:t>
      </w:r>
      <w:r w:rsidRPr="00884A5F">
        <w:t xml:space="preserve"> Mr </w:t>
      </w:r>
      <w:r w:rsidRPr="00884A5F">
        <w:rPr>
          <w:u w:val="single"/>
        </w:rPr>
        <w:t>Trump</w:t>
      </w:r>
      <w:r w:rsidRPr="00884A5F">
        <w:t xml:space="preserve"> and his successors </w:t>
      </w:r>
      <w:r w:rsidRPr="00884A5F">
        <w:rPr>
          <w:u w:val="single"/>
        </w:rPr>
        <w:t>need to redouble the effort.</w:t>
      </w:r>
    </w:p>
    <w:p w14:paraId="024CF2F2" w14:textId="77777777" w:rsidR="00516959" w:rsidRPr="00A41F85" w:rsidRDefault="00516959" w:rsidP="00516959">
      <w:pPr>
        <w:rPr>
          <w:b/>
          <w:iCs/>
          <w:sz w:val="24"/>
          <w:u w:val="single"/>
          <w:bdr w:val="single" w:sz="8" w:space="0" w:color="auto"/>
        </w:rPr>
      </w:pPr>
      <w:r w:rsidRPr="00884A5F">
        <w:t xml:space="preserve">The best guarantor of world peace is a strong </w:t>
      </w:r>
      <w:r w:rsidRPr="00884A5F">
        <w:rPr>
          <w:u w:val="single"/>
        </w:rPr>
        <w:t>America</w:t>
      </w:r>
      <w:r w:rsidRPr="00884A5F">
        <w:t xml:space="preserve">. Fortunately, it </w:t>
      </w:r>
      <w:r w:rsidRPr="00884A5F">
        <w:rPr>
          <w:u w:val="single"/>
        </w:rPr>
        <w:t xml:space="preserve">still enjoys advantages. It has rich and capable allies, </w:t>
      </w:r>
      <w:r w:rsidRPr="00884A5F">
        <w:t>still by far the world’s most powerful armed forces, unrivalled war-fighting experience, the best systems engineers and the world’s leading tech firms</w:t>
      </w:r>
      <w:r w:rsidRPr="00884A5F">
        <w:rPr>
          <w:u w:val="single"/>
        </w:rPr>
        <w:t xml:space="preserve">. Yet those advantages could all too easily be squandered. Without America’s commitment to the international order and the hard power to defend it against determined and able challengers, the dangers will grow. If they do, the future of war could be </w:t>
      </w:r>
      <w:r w:rsidRPr="00884A5F">
        <w:rPr>
          <w:rStyle w:val="Emphasis"/>
        </w:rPr>
        <w:t>closer than you think.</w:t>
      </w:r>
    </w:p>
    <w:p w14:paraId="5D10EFD9" w14:textId="77777777" w:rsidR="00516959" w:rsidRDefault="00516959" w:rsidP="00516959">
      <w:pPr>
        <w:pStyle w:val="Heading3"/>
      </w:pPr>
      <w:r>
        <w:t xml:space="preserve">2NC – OV – AT: Emerging Tech </w:t>
      </w:r>
      <w:r>
        <w:rPr>
          <w:rFonts w:cs="Calibri"/>
        </w:rPr>
        <w:t>≠</w:t>
      </w:r>
      <w:r>
        <w:t xml:space="preserve"> Extinction</w:t>
      </w:r>
    </w:p>
    <w:p w14:paraId="6DCE520A" w14:textId="77777777" w:rsidR="00516959" w:rsidRPr="005304A7" w:rsidRDefault="00516959" w:rsidP="00516959">
      <w:pPr>
        <w:pStyle w:val="Heading4"/>
        <w:rPr>
          <w:szCs w:val="26"/>
        </w:rPr>
      </w:pPr>
      <w:r>
        <w:rPr>
          <w:szCs w:val="26"/>
        </w:rPr>
        <w:t xml:space="preserve">Emerging technologies portend </w:t>
      </w:r>
      <w:r>
        <w:rPr>
          <w:szCs w:val="26"/>
          <w:u w:val="single"/>
        </w:rPr>
        <w:t>extinction</w:t>
      </w:r>
      <w:r>
        <w:rPr>
          <w:szCs w:val="26"/>
        </w:rPr>
        <w:t>.</w:t>
      </w:r>
    </w:p>
    <w:p w14:paraId="1F2E444B" w14:textId="77777777" w:rsidR="00516959" w:rsidRPr="00684BF3" w:rsidRDefault="00516959" w:rsidP="00516959">
      <w:r w:rsidRPr="00C80CAB">
        <w:rPr>
          <w:rStyle w:val="Heading4Char"/>
          <w:szCs w:val="26"/>
        </w:rPr>
        <w:t>Tate et al. 15</w:t>
      </w:r>
      <w:r w:rsidRPr="00684BF3">
        <w:t xml:space="preserve"> – (Jitendra S. Tate, Ph.D., Mechanical Engineering, M.S. &amp; B.S., Mechanical Engineering; Sergio Espinoza; Davontae Habbit; Craig Hanks; Walk Trybula; Dominick Fazarro; “JOTS v41n1 - Military And National Security Implications Of Nanotechnology”; Virginia Tech University Press; D.A. June 24</w:t>
      </w:r>
      <w:r w:rsidRPr="00684BF3">
        <w:rPr>
          <w:vertAlign w:val="superscript"/>
        </w:rPr>
        <w:t>th</w:t>
      </w:r>
      <w:r w:rsidRPr="00684BF3">
        <w:t xml:space="preserve"> 2020, [Published Spring 2015]; </w:t>
      </w:r>
      <w:hyperlink r:id="rId289" w:history="1">
        <w:r w:rsidRPr="00684BF3">
          <w:rPr>
            <w:rStyle w:val="Hyperlink"/>
          </w:rPr>
          <w:t>https://scholar.lib.vt.edu/ejournals/JOTS/v41/v41n1/tate.html</w:t>
        </w:r>
      </w:hyperlink>
      <w:r w:rsidRPr="00684BF3">
        <w:t>) //LFS—JCM</w:t>
      </w:r>
    </w:p>
    <w:p w14:paraId="4CFEB20F" w14:textId="77777777" w:rsidR="00516959" w:rsidRPr="00684BF3" w:rsidRDefault="00516959" w:rsidP="00516959">
      <w:pPr>
        <w:rPr>
          <w:sz w:val="16"/>
        </w:rPr>
      </w:pPr>
      <w:r w:rsidRPr="00684BF3">
        <w:rPr>
          <w:sz w:val="16"/>
        </w:rPr>
        <w:t xml:space="preserve">The purpose of country’s armed forces is to provide protection from foreign threats and from internal conflict. On the other hand, they may also harm a society by engaging in counter- productive warfare or serving as an economic burden. Expenditures on </w:t>
      </w:r>
      <w:r w:rsidRPr="00684BF3">
        <w:rPr>
          <w:rStyle w:val="Emphasis"/>
        </w:rPr>
        <w:t>science and technology</w:t>
      </w:r>
      <w:r w:rsidRPr="00684BF3">
        <w:rPr>
          <w:rStyle w:val="StyleUnderline"/>
        </w:rPr>
        <w:t xml:space="preserve"> to develop weapons and systems sometimes produces side benefits</w:t>
      </w:r>
      <w:r w:rsidRPr="00684BF3">
        <w:rPr>
          <w:sz w:val="16"/>
        </w:rPr>
        <w:t xml:space="preserve">, such as new medicines, technologies, or materials. Being ahead in military technology </w:t>
      </w:r>
      <w:r w:rsidRPr="00684BF3">
        <w:rPr>
          <w:rStyle w:val="StyleUnderline"/>
        </w:rPr>
        <w:t xml:space="preserve">provides an important </w:t>
      </w:r>
      <w:r w:rsidRPr="00684BF3">
        <w:rPr>
          <w:rStyle w:val="Emphasis"/>
        </w:rPr>
        <w:t>advantage in armed conflict</w:t>
      </w:r>
      <w:r w:rsidRPr="00684BF3">
        <w:rPr>
          <w:sz w:val="16"/>
        </w:rPr>
        <w:t xml:space="preserve">. Thus, all potential opponents have a strong motive for military research and development. From the perspective of international security and arms control it appears that in depth studies of the social science of these implications has hardly begun. Warnings about this emerging technology have been sounded against excessive promises made too soon. </w:t>
      </w:r>
      <w:r w:rsidRPr="00684BF3">
        <w:rPr>
          <w:rStyle w:val="StyleUnderline"/>
        </w:rPr>
        <w:t>The public may be too caught up with a “</w:t>
      </w:r>
      <w:r w:rsidRPr="00684BF3">
        <w:rPr>
          <w:rStyle w:val="Emphasis"/>
        </w:rPr>
        <w:t>nanohype</w:t>
      </w:r>
      <w:r w:rsidRPr="00684BF3">
        <w:rPr>
          <w:rStyle w:val="StyleUnderline"/>
        </w:rPr>
        <w:t>”</w:t>
      </w:r>
      <w:r w:rsidRPr="00684BF3">
        <w:rPr>
          <w:sz w:val="16"/>
        </w:rPr>
        <w:t xml:space="preserve"> ( </w:t>
      </w:r>
      <w:hyperlink r:id="rId290" w:anchor="gubrud" w:history="1">
        <w:r w:rsidRPr="00684BF3">
          <w:rPr>
            <w:rStyle w:val="Hyperlink"/>
            <w:sz w:val="16"/>
          </w:rPr>
          <w:t>Gubrud &amp; Altmann, 2002 </w:t>
        </w:r>
      </w:hyperlink>
      <w:r w:rsidRPr="00684BF3">
        <w:rPr>
          <w:sz w:val="16"/>
        </w:rPr>
        <w:t xml:space="preserve">). </w:t>
      </w:r>
      <w:r w:rsidRPr="00684BF3">
        <w:rPr>
          <w:rStyle w:val="StyleUnderline"/>
        </w:rPr>
        <w:t>It is essential to address</w:t>
      </w:r>
      <w:r w:rsidRPr="00684BF3">
        <w:rPr>
          <w:sz w:val="16"/>
        </w:rPr>
        <w:t xml:space="preserve"> questions of </w:t>
      </w:r>
      <w:r w:rsidRPr="00684BF3">
        <w:rPr>
          <w:rStyle w:val="StyleUnderline"/>
        </w:rPr>
        <w:t xml:space="preserve">possible </w:t>
      </w:r>
      <w:r w:rsidRPr="00684BF3">
        <w:rPr>
          <w:rStyle w:val="Emphasis"/>
        </w:rPr>
        <w:t>dangers arising from military use of nanotechnology</w:t>
      </w:r>
      <w:r w:rsidRPr="00684BF3">
        <w:rPr>
          <w:rStyle w:val="StyleUnderline"/>
        </w:rPr>
        <w:t xml:space="preserve"> and its impacts on national security</w:t>
      </w:r>
      <w:r w:rsidRPr="00684BF3">
        <w:rPr>
          <w:sz w:val="16"/>
        </w:rPr>
        <w:t>. Their consequences need to be analyzed.</w:t>
      </w:r>
    </w:p>
    <w:p w14:paraId="6201C7DB" w14:textId="77777777" w:rsidR="00516959" w:rsidRPr="00684BF3" w:rsidRDefault="00516959" w:rsidP="00516959">
      <w:pPr>
        <w:rPr>
          <w:sz w:val="16"/>
          <w:szCs w:val="16"/>
        </w:rPr>
      </w:pPr>
      <w:r w:rsidRPr="00684BF3">
        <w:rPr>
          <w:sz w:val="16"/>
          <w:szCs w:val="16"/>
        </w:rPr>
        <w:t>NT and Preventative Arms Control</w:t>
      </w:r>
      <w:r w:rsidRPr="00684BF3">
        <w:rPr>
          <w:sz w:val="16"/>
          <w:szCs w:val="16"/>
        </w:rPr>
        <w:br/>
        <w:t>Background</w:t>
      </w:r>
    </w:p>
    <w:p w14:paraId="795D17AA" w14:textId="77777777" w:rsidR="00516959" w:rsidRPr="00684BF3" w:rsidRDefault="00516959" w:rsidP="00516959">
      <w:pPr>
        <w:rPr>
          <w:sz w:val="16"/>
        </w:rPr>
      </w:pPr>
      <w:r w:rsidRPr="00684BF3">
        <w:rPr>
          <w:sz w:val="16"/>
        </w:rPr>
        <w:t xml:space="preserve">The goal of </w:t>
      </w:r>
      <w:r w:rsidRPr="00684BF3">
        <w:rPr>
          <w:rStyle w:val="StyleUnderline"/>
        </w:rPr>
        <w:t>preventive arms control</w:t>
      </w:r>
      <w:r w:rsidRPr="00684BF3">
        <w:rPr>
          <w:sz w:val="16"/>
        </w:rPr>
        <w:t xml:space="preserve"> is to </w:t>
      </w:r>
      <w:r w:rsidRPr="00684BF3">
        <w:rPr>
          <w:rStyle w:val="StyleUnderline"/>
        </w:rPr>
        <w:t>limit how the development of future weapons could create horrific situations</w:t>
      </w:r>
      <w:r w:rsidRPr="00684BF3">
        <w:rPr>
          <w:sz w:val="16"/>
        </w:rPr>
        <w:t xml:space="preserve">, as </w:t>
      </w:r>
      <w:r w:rsidRPr="00684BF3">
        <w:rPr>
          <w:rStyle w:val="StyleUnderline"/>
        </w:rPr>
        <w:t>seen in</w:t>
      </w:r>
      <w:r w:rsidRPr="00684BF3">
        <w:rPr>
          <w:sz w:val="16"/>
        </w:rPr>
        <w:t xml:space="preserve"> the past </w:t>
      </w:r>
      <w:r w:rsidRPr="00684BF3">
        <w:rPr>
          <w:rStyle w:val="Emphasis"/>
        </w:rPr>
        <w:t>world wars</w:t>
      </w:r>
      <w:r w:rsidRPr="00684BF3">
        <w:rPr>
          <w:sz w:val="16"/>
        </w:rPr>
        <w:t xml:space="preserve">. A qualitative method here is to </w:t>
      </w:r>
      <w:r w:rsidRPr="00684BF3">
        <w:rPr>
          <w:rStyle w:val="Emphasis"/>
        </w:rPr>
        <w:t>design boundaries</w:t>
      </w:r>
      <w:r w:rsidRPr="00684BF3">
        <w:rPr>
          <w:sz w:val="16"/>
        </w:rPr>
        <w:t xml:space="preserve"> which </w:t>
      </w:r>
      <w:r w:rsidRPr="00684BF3">
        <w:rPr>
          <w:rStyle w:val="StyleUnderline"/>
        </w:rPr>
        <w:t>could limit the creation of new military technologies</w:t>
      </w:r>
      <w:r w:rsidRPr="00684BF3">
        <w:rPr>
          <w:sz w:val="16"/>
        </w:rPr>
        <w:t xml:space="preserve"> before they are ever deployed or even thought of. One criterion regards arms control and how the development of </w:t>
      </w:r>
      <w:r w:rsidRPr="00684BF3">
        <w:rPr>
          <w:rStyle w:val="StyleUnderline"/>
        </w:rPr>
        <w:t>military and surveillance technologies could go beyond the limits of international law warfare</w:t>
      </w:r>
      <w:r w:rsidRPr="00684BF3">
        <w:rPr>
          <w:sz w:val="16"/>
        </w:rPr>
        <w:t xml:space="preserve"> and control agreements. This could include </w:t>
      </w:r>
      <w:r w:rsidRPr="00684BF3">
        <w:rPr>
          <w:rStyle w:val="Emphasis"/>
        </w:rPr>
        <w:t xml:space="preserve">autonomous fighting war machines </w:t>
      </w:r>
      <w:r w:rsidRPr="00684BF3">
        <w:rPr>
          <w:rStyle w:val="StyleUnderline"/>
        </w:rPr>
        <w:t>failing to define combatants</w:t>
      </w:r>
      <w:r w:rsidRPr="00684BF3">
        <w:rPr>
          <w:sz w:val="16"/>
        </w:rPr>
        <w:t xml:space="preserve"> of either side and </w:t>
      </w:r>
      <w:r w:rsidRPr="00684BF3">
        <w:rPr>
          <w:rStyle w:val="Emphasis"/>
        </w:rPr>
        <w:t>Biological weapons</w:t>
      </w:r>
      <w:r w:rsidRPr="00684BF3">
        <w:rPr>
          <w:sz w:val="16"/>
        </w:rPr>
        <w:t xml:space="preserve"> </w:t>
      </w:r>
      <w:r w:rsidRPr="00684BF3">
        <w:rPr>
          <w:rStyle w:val="StyleUnderline"/>
        </w:rPr>
        <w:t>could possibly give</w:t>
      </w:r>
      <w:r w:rsidRPr="00684BF3">
        <w:rPr>
          <w:sz w:val="16"/>
        </w:rPr>
        <w:t xml:space="preserve"> </w:t>
      </w:r>
      <w:r w:rsidRPr="00684BF3">
        <w:rPr>
          <w:rStyle w:val="Emphasis"/>
        </w:rPr>
        <w:t>terrorist circumvention</w:t>
      </w:r>
      <w:r w:rsidRPr="00684BF3">
        <w:rPr>
          <w:sz w:val="16"/>
        </w:rPr>
        <w:t xml:space="preserve"> </w:t>
      </w:r>
      <w:r w:rsidRPr="00684BF3">
        <w:rPr>
          <w:rStyle w:val="StyleUnderline"/>
        </w:rPr>
        <w:t>over</w:t>
      </w:r>
      <w:r w:rsidRPr="00684BF3">
        <w:rPr>
          <w:sz w:val="16"/>
        </w:rPr>
        <w:t xml:space="preserve"> </w:t>
      </w:r>
      <w:r w:rsidRPr="00684BF3">
        <w:rPr>
          <w:rStyle w:val="Emphasis"/>
        </w:rPr>
        <w:t>existing treaties</w:t>
      </w:r>
      <w:r w:rsidRPr="00684BF3">
        <w:rPr>
          <w:sz w:val="16"/>
        </w:rPr>
        <w:t xml:space="preserve"> ( </w:t>
      </w:r>
      <w:hyperlink r:id="rId291" w:anchor="altmann5" w:history="1">
        <w:r w:rsidRPr="00684BF3">
          <w:rPr>
            <w:rStyle w:val="Hyperlink"/>
            <w:sz w:val="16"/>
          </w:rPr>
          <w:t>Altmann &amp; Gubrud, Military, arms control, and security aspects of nanotechnology, 2004 </w:t>
        </w:r>
      </w:hyperlink>
      <w:r w:rsidRPr="00684BF3">
        <w:rPr>
          <w:sz w:val="16"/>
        </w:rPr>
        <w:t xml:space="preserve">). The second criterion is to </w:t>
      </w:r>
      <w:r w:rsidRPr="00684BF3">
        <w:rPr>
          <w:rStyle w:val="StyleUnderline"/>
        </w:rPr>
        <w:t>prevent destabilization of the military situation which emerging technologies</w:t>
      </w:r>
      <w:r w:rsidRPr="00684BF3">
        <w:rPr>
          <w:sz w:val="16"/>
        </w:rPr>
        <w:t xml:space="preserve"> could make response times in battle much faster. Who will strike first? The third criterion, according to Altman &amp; Gubrud, is how to </w:t>
      </w:r>
      <w:r w:rsidRPr="00684BF3">
        <w:rPr>
          <w:rStyle w:val="StyleUnderline"/>
        </w:rPr>
        <w:t xml:space="preserve">consider </w:t>
      </w:r>
      <w:r w:rsidRPr="00684BF3">
        <w:rPr>
          <w:rStyle w:val="Emphasis"/>
        </w:rPr>
        <w:t>unintended hazards</w:t>
      </w:r>
      <w:r w:rsidRPr="00684BF3">
        <w:rPr>
          <w:rStyle w:val="StyleUnderline"/>
        </w:rPr>
        <w:t xml:space="preserve"> to </w:t>
      </w:r>
      <w:r w:rsidRPr="00684BF3">
        <w:rPr>
          <w:rStyle w:val="Emphasis"/>
        </w:rPr>
        <w:t>humans</w:t>
      </w:r>
      <w:r w:rsidRPr="00684BF3">
        <w:rPr>
          <w:rStyle w:val="StyleUnderline"/>
        </w:rPr>
        <w:t xml:space="preserve">, the </w:t>
      </w:r>
      <w:r w:rsidRPr="00684BF3">
        <w:rPr>
          <w:rStyle w:val="Emphasis"/>
        </w:rPr>
        <w:t>environment</w:t>
      </w:r>
      <w:r w:rsidRPr="00684BF3">
        <w:rPr>
          <w:rStyle w:val="StyleUnderline"/>
        </w:rPr>
        <w:t>, and society</w:t>
      </w:r>
      <w:r w:rsidRPr="00684BF3">
        <w:rPr>
          <w:sz w:val="16"/>
        </w:rPr>
        <w:t>. Nanoscience is paving the way for smaller more efficient systems which could leak into civilian sectors that could bring risks to human health and personal data. Concrete data on how this will affect humans or the environment is still uncertain.</w:t>
      </w:r>
    </w:p>
    <w:p w14:paraId="0361BF4F" w14:textId="77777777" w:rsidR="00516959" w:rsidRPr="00684BF3" w:rsidRDefault="00516959" w:rsidP="00516959">
      <w:pPr>
        <w:rPr>
          <w:sz w:val="16"/>
        </w:rPr>
      </w:pPr>
      <w:r w:rsidRPr="00684BF3">
        <w:rPr>
          <w:sz w:val="16"/>
          <w:szCs w:val="16"/>
        </w:rPr>
        <w:t>Arms Control Agreements</w:t>
      </w:r>
      <w:r w:rsidRPr="00684BF3">
        <w:rPr>
          <w:sz w:val="16"/>
          <w:szCs w:val="16"/>
        </w:rPr>
        <w:br/>
      </w:r>
      <w:r w:rsidRPr="00684BF3">
        <w:rPr>
          <w:sz w:val="16"/>
        </w:rPr>
        <w:t xml:space="preserve">The development of </w:t>
      </w:r>
      <w:r w:rsidRPr="00684BF3">
        <w:rPr>
          <w:rStyle w:val="StyleUnderline"/>
        </w:rPr>
        <w:t xml:space="preserve">smaller </w:t>
      </w:r>
      <w:r w:rsidRPr="00684BF3">
        <w:rPr>
          <w:rStyle w:val="Emphasis"/>
        </w:rPr>
        <w:t>chemical</w:t>
      </w:r>
      <w:r w:rsidRPr="00684BF3">
        <w:rPr>
          <w:rStyle w:val="StyleUnderline"/>
        </w:rPr>
        <w:t xml:space="preserve"> or </w:t>
      </w:r>
      <w:r w:rsidRPr="00684BF3">
        <w:rPr>
          <w:rStyle w:val="Emphasis"/>
        </w:rPr>
        <w:t>bio</w:t>
      </w:r>
      <w:r w:rsidRPr="00684BF3">
        <w:rPr>
          <w:rStyle w:val="StyleUnderline"/>
        </w:rPr>
        <w:t xml:space="preserve">logical </w:t>
      </w:r>
      <w:r w:rsidRPr="00684BF3">
        <w:rPr>
          <w:rStyle w:val="Emphasis"/>
        </w:rPr>
        <w:t>weapons</w:t>
      </w:r>
      <w:r w:rsidRPr="00684BF3">
        <w:rPr>
          <w:sz w:val="16"/>
        </w:rPr>
        <w:t xml:space="preserve"> that may contain less to no metal </w:t>
      </w:r>
      <w:r w:rsidRPr="00684BF3">
        <w:rPr>
          <w:rStyle w:val="StyleUnderline"/>
        </w:rPr>
        <w:t>could potentially violate existing international laws of warfare</w:t>
      </w:r>
      <w:r w:rsidRPr="00684BF3">
        <w:rPr>
          <w:sz w:val="16"/>
        </w:rPr>
        <w:t xml:space="preserve"> by becoming virtually undetectable. Smaller weapons could </w:t>
      </w:r>
      <w:r w:rsidRPr="00684BF3">
        <w:rPr>
          <w:rStyle w:val="StyleUnderline"/>
        </w:rPr>
        <w:t>fall into categories that would undermine peace treaties</w:t>
      </w:r>
      <w:r w:rsidRPr="00684BF3">
        <w:rPr>
          <w:sz w:val="16"/>
        </w:rPr>
        <w:t xml:space="preserve">. The </w:t>
      </w:r>
      <w:r w:rsidRPr="00684BF3">
        <w:rPr>
          <w:rStyle w:val="StyleUnderline"/>
        </w:rPr>
        <w:t>manipulation of these weapons by terrorist</w:t>
      </w:r>
      <w:r w:rsidRPr="00684BF3">
        <w:rPr>
          <w:sz w:val="16"/>
        </w:rPr>
        <w:t xml:space="preserve"> could give a </w:t>
      </w:r>
      <w:r w:rsidRPr="00684BF3">
        <w:rPr>
          <w:rStyle w:val="StyleUnderline"/>
        </w:rPr>
        <w:t>better opportunity to select specific targets for assassination</w:t>
      </w:r>
      <w:r w:rsidRPr="00684BF3">
        <w:rPr>
          <w:sz w:val="16"/>
        </w:rPr>
        <w:t xml:space="preserve">. </w:t>
      </w:r>
      <w:r w:rsidRPr="00684BF3">
        <w:rPr>
          <w:rStyle w:val="Emphasis"/>
        </w:rPr>
        <w:t>Anti- satellite attacks</w:t>
      </w:r>
      <w:r w:rsidRPr="00684BF3">
        <w:rPr>
          <w:sz w:val="16"/>
        </w:rPr>
        <w:t xml:space="preserve"> by </w:t>
      </w:r>
      <w:r w:rsidRPr="00684BF3">
        <w:rPr>
          <w:rStyle w:val="StyleUnderline"/>
        </w:rPr>
        <w:t>smaller more autonomous satellites</w:t>
      </w:r>
      <w:r w:rsidRPr="00684BF3">
        <w:rPr>
          <w:sz w:val="16"/>
        </w:rPr>
        <w:t xml:space="preserve"> could potentially </w:t>
      </w:r>
      <w:r w:rsidRPr="00684BF3">
        <w:rPr>
          <w:rStyle w:val="Emphasis"/>
        </w:rPr>
        <w:t>destabilize the space situation</w:t>
      </w:r>
      <w:r w:rsidRPr="00684BF3">
        <w:rPr>
          <w:sz w:val="16"/>
        </w:rPr>
        <w:t>. Therefore a comprehensive ban on space weapons should be established ( </w:t>
      </w:r>
      <w:hyperlink r:id="rId292" w:anchor="altmann3" w:history="1">
        <w:r w:rsidRPr="00684BF3">
          <w:rPr>
            <w:rStyle w:val="Hyperlink"/>
            <w:sz w:val="16"/>
          </w:rPr>
          <w:t>Altmann &amp; Gubrud, 2002 </w:t>
        </w:r>
      </w:hyperlink>
      <w:r w:rsidRPr="00684BF3">
        <w:rPr>
          <w:sz w:val="16"/>
        </w:rPr>
        <w:t xml:space="preserve">). </w:t>
      </w:r>
      <w:r w:rsidRPr="00684BF3">
        <w:rPr>
          <w:rStyle w:val="StyleUnderline"/>
        </w:rPr>
        <w:t>Autonomous robots with a degree of artificial intelligence will</w:t>
      </w:r>
      <w:r w:rsidRPr="00684BF3">
        <w:rPr>
          <w:sz w:val="16"/>
        </w:rPr>
        <w:t xml:space="preserve"> potentially </w:t>
      </w:r>
      <w:r w:rsidRPr="00684BF3">
        <w:rPr>
          <w:rStyle w:val="StyleUnderline"/>
        </w:rPr>
        <w:t>bring great problems</w:t>
      </w:r>
      <w:r w:rsidRPr="00684BF3">
        <w:rPr>
          <w:sz w:val="16"/>
        </w:rPr>
        <w:t xml:space="preserve">. The ability to identify a soldiers current situation such as a plea for surrender, a call for medical attention, or illness is a a very complicated tasks that to an extent requires human intelligence. This could potentially </w:t>
      </w:r>
      <w:r w:rsidRPr="00684BF3">
        <w:rPr>
          <w:rStyle w:val="StyleUnderline"/>
        </w:rPr>
        <w:t>violate humanitarian law</w:t>
      </w:r>
      <w:r w:rsidRPr="00684BF3">
        <w:rPr>
          <w:sz w:val="16"/>
        </w:rPr>
        <w:t>.</w:t>
      </w:r>
    </w:p>
    <w:p w14:paraId="57F4F890" w14:textId="77777777" w:rsidR="00516959" w:rsidRPr="00684BF3" w:rsidRDefault="00516959" w:rsidP="00516959">
      <w:pPr>
        <w:rPr>
          <w:sz w:val="14"/>
        </w:rPr>
      </w:pPr>
      <w:r w:rsidRPr="00684BF3">
        <w:rPr>
          <w:sz w:val="14"/>
          <w:szCs w:val="16"/>
        </w:rPr>
        <w:t>Stability</w:t>
      </w:r>
      <w:r w:rsidRPr="00684BF3">
        <w:rPr>
          <w:sz w:val="14"/>
          <w:szCs w:val="16"/>
        </w:rPr>
        <w:br/>
      </w:r>
      <w:r w:rsidRPr="00684BF3">
        <w:rPr>
          <w:rStyle w:val="StyleUnderline"/>
        </w:rPr>
        <w:t>New weapons</w:t>
      </w:r>
      <w:r w:rsidRPr="00684BF3">
        <w:rPr>
          <w:sz w:val="14"/>
        </w:rPr>
        <w:t xml:space="preserve"> could </w:t>
      </w:r>
      <w:r w:rsidRPr="00684BF3">
        <w:rPr>
          <w:rStyle w:val="StyleUnderline"/>
        </w:rPr>
        <w:t>pressure the military to prevent attacks</w:t>
      </w:r>
      <w:r w:rsidRPr="00684BF3">
        <w:rPr>
          <w:sz w:val="14"/>
        </w:rPr>
        <w:t xml:space="preserve"> by </w:t>
      </w:r>
      <w:r w:rsidRPr="00684BF3">
        <w:rPr>
          <w:rStyle w:val="StyleUnderline"/>
        </w:rPr>
        <w:t>pursuing</w:t>
      </w:r>
      <w:r w:rsidRPr="00684BF3">
        <w:rPr>
          <w:sz w:val="14"/>
        </w:rPr>
        <w:t xml:space="preserve"> the development of </w:t>
      </w:r>
      <w:r w:rsidRPr="00684BF3">
        <w:rPr>
          <w:rStyle w:val="StyleUnderline"/>
        </w:rPr>
        <w:t>new tech</w:t>
      </w:r>
      <w:r w:rsidRPr="00684BF3">
        <w:rPr>
          <w:sz w:val="14"/>
        </w:rPr>
        <w:t xml:space="preserve">nologies </w:t>
      </w:r>
      <w:r w:rsidRPr="00684BF3">
        <w:rPr>
          <w:rStyle w:val="StyleUnderline"/>
        </w:rPr>
        <w:t>faster</w:t>
      </w:r>
      <w:r w:rsidRPr="00684BF3">
        <w:rPr>
          <w:sz w:val="14"/>
        </w:rPr>
        <w:t xml:space="preserve">. This </w:t>
      </w:r>
      <w:r w:rsidRPr="00684BF3">
        <w:rPr>
          <w:rStyle w:val="StyleUnderline"/>
        </w:rPr>
        <w:t xml:space="preserve">could lead to an </w:t>
      </w:r>
      <w:r w:rsidRPr="00684BF3">
        <w:rPr>
          <w:rStyle w:val="Emphasis"/>
        </w:rPr>
        <w:t>arms race</w:t>
      </w:r>
      <w:r w:rsidRPr="00684BF3">
        <w:rPr>
          <w:sz w:val="14"/>
        </w:rPr>
        <w:t xml:space="preserve"> with </w:t>
      </w:r>
      <w:r w:rsidRPr="00684BF3">
        <w:rPr>
          <w:rStyle w:val="StyleUnderline"/>
        </w:rPr>
        <w:t>other nations trying to attain the same goal.</w:t>
      </w:r>
      <w:r w:rsidRPr="00684BF3">
        <w:rPr>
          <w:sz w:val="14"/>
        </w:rPr>
        <w:t xml:space="preserve"> </w:t>
      </w:r>
      <w:r w:rsidRPr="00684BF3">
        <w:rPr>
          <w:rStyle w:val="Emphasis"/>
        </w:rPr>
        <w:t>Destabilization</w:t>
      </w:r>
      <w:r w:rsidRPr="00684BF3">
        <w:rPr>
          <w:sz w:val="14"/>
        </w:rPr>
        <w:t xml:space="preserve"> </w:t>
      </w:r>
      <w:r w:rsidRPr="00684BF3">
        <w:rPr>
          <w:rStyle w:val="StyleUnderline"/>
        </w:rPr>
        <w:t>may occur through faster action</w:t>
      </w:r>
      <w:r w:rsidRPr="00684BF3">
        <w:rPr>
          <w:sz w:val="14"/>
        </w:rPr>
        <w:t xml:space="preserve">, and </w:t>
      </w:r>
      <w:r w:rsidRPr="00684BF3">
        <w:rPr>
          <w:rStyle w:val="Emphasis"/>
        </w:rPr>
        <w:t>more</w:t>
      </w:r>
      <w:r w:rsidRPr="00684BF3">
        <w:rPr>
          <w:rStyle w:val="StyleUnderline"/>
        </w:rPr>
        <w:t xml:space="preserve"> available </w:t>
      </w:r>
      <w:r w:rsidRPr="00684BF3">
        <w:rPr>
          <w:rStyle w:val="Emphasis"/>
        </w:rPr>
        <w:t>nano systems</w:t>
      </w:r>
      <w:r w:rsidRPr="00684BF3">
        <w:rPr>
          <w:sz w:val="14"/>
        </w:rPr>
        <w:t>. Vehicles will become much lighter and will be used for surveillance. This will significantly reduce time to acquire a targets location. Medical devices implanted in soldiers’ bodies will enable the release of drugs that influence mood and response times. For example, an implant that attaches to the brains nervous system could give the possibility to reduce reaction time by processing information much faster than usual ( </w:t>
      </w:r>
      <w:hyperlink r:id="rId293" w:anchor="altmann4" w:history="1">
        <w:r w:rsidRPr="00684BF3">
          <w:rPr>
            <w:rStyle w:val="Hyperlink"/>
            <w:sz w:val="14"/>
          </w:rPr>
          <w:t>Altmann &amp; Gubrud, Anticipating military nanotechnology, 2004 </w:t>
        </w:r>
      </w:hyperlink>
      <w:r w:rsidRPr="00684BF3">
        <w:rPr>
          <w:sz w:val="14"/>
        </w:rPr>
        <w:t xml:space="preserve">). </w:t>
      </w:r>
      <w:r w:rsidRPr="00684BF3">
        <w:rPr>
          <w:rStyle w:val="Emphasis"/>
        </w:rPr>
        <w:t>A</w:t>
      </w:r>
      <w:r w:rsidRPr="00684BF3">
        <w:rPr>
          <w:rStyle w:val="StyleUnderline"/>
        </w:rPr>
        <w:t xml:space="preserve">rtificial </w:t>
      </w:r>
      <w:r w:rsidRPr="00684BF3">
        <w:rPr>
          <w:rStyle w:val="Emphasis"/>
        </w:rPr>
        <w:t>i</w:t>
      </w:r>
      <w:r w:rsidRPr="00684BF3">
        <w:rPr>
          <w:rStyle w:val="StyleUnderline"/>
        </w:rPr>
        <w:t>ntelligence</w:t>
      </w:r>
      <w:r w:rsidRPr="00684BF3">
        <w:rPr>
          <w:sz w:val="14"/>
        </w:rPr>
        <w:t xml:space="preserve"> based genetic algorithms could </w:t>
      </w:r>
      <w:r w:rsidRPr="00684BF3">
        <w:rPr>
          <w:rStyle w:val="StyleUnderline"/>
        </w:rPr>
        <w:t>make tactical decisions much faster</w:t>
      </w:r>
      <w:r w:rsidRPr="00684BF3">
        <w:rPr>
          <w:sz w:val="14"/>
        </w:rPr>
        <w:t xml:space="preserve"> through computational power by adapting to a situations decision. </w:t>
      </w:r>
      <w:r w:rsidRPr="00684BF3">
        <w:rPr>
          <w:rStyle w:val="StyleUnderline"/>
        </w:rPr>
        <w:t xml:space="preserve">Nano robots could eavesdrop, manipulate or even </w:t>
      </w:r>
      <w:r w:rsidRPr="00684BF3">
        <w:rPr>
          <w:rStyle w:val="Emphasis"/>
        </w:rPr>
        <w:t>destroy targets</w:t>
      </w:r>
      <w:r w:rsidRPr="00684BF3">
        <w:rPr>
          <w:sz w:val="14"/>
        </w:rPr>
        <w:t xml:space="preserve"> while at the same time being undetected ( </w:t>
      </w:r>
      <w:hyperlink r:id="rId294" w:anchor="altmann1" w:history="1">
        <w:r w:rsidRPr="00684BF3">
          <w:rPr>
            <w:rStyle w:val="Hyperlink"/>
            <w:sz w:val="14"/>
          </w:rPr>
          <w:t>Altmann J. , Military Uses of Nanotechnology: Perspectives and Concerns, 2004 </w:t>
        </w:r>
      </w:hyperlink>
      <w:r w:rsidRPr="00684BF3">
        <w:rPr>
          <w:sz w:val="14"/>
        </w:rPr>
        <w:t>).</w:t>
      </w:r>
    </w:p>
    <w:p w14:paraId="6BF0955C" w14:textId="77777777" w:rsidR="00516959" w:rsidRPr="00684BF3" w:rsidRDefault="00516959" w:rsidP="00516959">
      <w:pPr>
        <w:rPr>
          <w:sz w:val="16"/>
        </w:rPr>
      </w:pPr>
      <w:r w:rsidRPr="00684BF3">
        <w:rPr>
          <w:sz w:val="16"/>
          <w:szCs w:val="16"/>
        </w:rPr>
        <w:t>Environment Society &amp; Humans</w:t>
      </w:r>
      <w:r w:rsidRPr="00684BF3">
        <w:rPr>
          <w:sz w:val="16"/>
          <w:szCs w:val="16"/>
        </w:rPr>
        <w:br/>
      </w:r>
      <w:r w:rsidRPr="00684BF3">
        <w:rPr>
          <w:sz w:val="16"/>
        </w:rPr>
        <w:t>Human beings have always been exposed to natural reoccurring nanomaterials in nature. These particles may enter the human body through respiration, and ingestion ( </w:t>
      </w:r>
      <w:hyperlink r:id="rId295" w:anchor="bennet" w:history="1">
        <w:r w:rsidRPr="00684BF3">
          <w:rPr>
            <w:rStyle w:val="Hyperlink"/>
            <w:sz w:val="16"/>
          </w:rPr>
          <w:t>Bennet- Woods, 2008 </w:t>
        </w:r>
      </w:hyperlink>
      <w:r w:rsidRPr="00684BF3">
        <w:rPr>
          <w:sz w:val="16"/>
        </w:rPr>
        <w:t xml:space="preserve">). </w:t>
      </w:r>
      <w:r w:rsidRPr="00684BF3">
        <w:rPr>
          <w:rStyle w:val="StyleUnderline"/>
        </w:rPr>
        <w:t>Little been known about how manufactured nanoscale materials will have an impact to the environment</w:t>
      </w:r>
      <w:r w:rsidRPr="00684BF3">
        <w:rPr>
          <w:sz w:val="16"/>
        </w:rPr>
        <w:t xml:space="preserve">. Jerome (2005) argues that nanomaterials used for military uniforms could break of and enter the body and environment. </w:t>
      </w:r>
      <w:r w:rsidRPr="00684BF3">
        <w:rPr>
          <w:rStyle w:val="StyleUnderline"/>
        </w:rPr>
        <w:t xml:space="preserve">New materials could </w:t>
      </w:r>
      <w:r w:rsidRPr="00684BF3">
        <w:rPr>
          <w:rStyle w:val="Emphasis"/>
        </w:rPr>
        <w:t>destroy species of plants and animal</w:t>
      </w:r>
      <w:r w:rsidRPr="00684BF3">
        <w:rPr>
          <w:sz w:val="16"/>
        </w:rPr>
        <w:t xml:space="preserve">. </w:t>
      </w:r>
      <w:r w:rsidRPr="00684BF3">
        <w:rPr>
          <w:rStyle w:val="StyleUnderline"/>
        </w:rPr>
        <w:t>Fumes from fuel additives could be inhaled by military personnel</w:t>
      </w:r>
      <w:r w:rsidRPr="00684BF3">
        <w:rPr>
          <w:sz w:val="16"/>
        </w:rPr>
        <w:t xml:space="preserve">. Contaminant due to </w:t>
      </w:r>
      <w:r w:rsidRPr="00684BF3">
        <w:rPr>
          <w:rStyle w:val="StyleUnderline"/>
        </w:rPr>
        <w:t>weapon blasts could lead to diseases such as cancer or leukemia</w:t>
      </w:r>
      <w:r w:rsidRPr="00684BF3">
        <w:rPr>
          <w:sz w:val="16"/>
        </w:rPr>
        <w:t xml:space="preserve"> due to absorption through the skin or inhalation. Improper disposal of batteries using nano particles could also affect a wide variety of species. An increase in </w:t>
      </w:r>
      <w:r w:rsidRPr="00684BF3">
        <w:rPr>
          <w:rStyle w:val="StyleUnderline"/>
        </w:rPr>
        <w:t xml:space="preserve">nanoparticle release into the environment could be aided by waste streams </w:t>
      </w:r>
      <w:r w:rsidRPr="00684BF3">
        <w:rPr>
          <w:sz w:val="16"/>
        </w:rPr>
        <w:t xml:space="preserve">from military research facilities. </w:t>
      </w:r>
      <w:r w:rsidRPr="00684BF3">
        <w:rPr>
          <w:rStyle w:val="Emphasis"/>
        </w:rPr>
        <w:t>Advanced nuclear weapons</w:t>
      </w:r>
      <w:r w:rsidRPr="00684BF3">
        <w:rPr>
          <w:sz w:val="16"/>
        </w:rPr>
        <w:t xml:space="preserve"> that are miniaturized may </w:t>
      </w:r>
      <w:r w:rsidRPr="00684BF3">
        <w:rPr>
          <w:rStyle w:val="StyleUnderline"/>
        </w:rPr>
        <w:t>leave large areas of soil</w:t>
      </w:r>
      <w:r w:rsidRPr="00684BF3">
        <w:rPr>
          <w:sz w:val="16"/>
        </w:rPr>
        <w:t xml:space="preserve"> </w:t>
      </w:r>
      <w:r w:rsidRPr="00684BF3">
        <w:rPr>
          <w:rStyle w:val="Emphasis"/>
        </w:rPr>
        <w:t>contaminated with radioactive materials</w:t>
      </w:r>
      <w:r w:rsidRPr="00684BF3">
        <w:rPr>
          <w:sz w:val="16"/>
        </w:rPr>
        <w:t xml:space="preserve">. There is an </w:t>
      </w:r>
      <w:r w:rsidRPr="00684BF3">
        <w:rPr>
          <w:rStyle w:val="Emphasis"/>
        </w:rPr>
        <w:t>increase in toxicity</w:t>
      </w:r>
      <w:r w:rsidRPr="00684BF3">
        <w:rPr>
          <w:sz w:val="16"/>
        </w:rPr>
        <w:t xml:space="preserve"> </w:t>
      </w:r>
      <w:r w:rsidRPr="00684BF3">
        <w:rPr>
          <w:rStyle w:val="StyleUnderline"/>
        </w:rPr>
        <w:t xml:space="preserve">as the particle size decrease which could cause unknown </w:t>
      </w:r>
      <w:r w:rsidRPr="00684BF3">
        <w:rPr>
          <w:rStyle w:val="Emphasis"/>
        </w:rPr>
        <w:t>environmental changes</w:t>
      </w:r>
      <w:r w:rsidRPr="00684BF3">
        <w:rPr>
          <w:rStyle w:val="StyleUnderline"/>
        </w:rPr>
        <w:t>.</w:t>
      </w:r>
      <w:r w:rsidRPr="00684BF3">
        <w:rPr>
          <w:sz w:val="16"/>
        </w:rPr>
        <w:t xml:space="preserve"> Bennet-woods ( </w:t>
      </w:r>
      <w:hyperlink r:id="rId296" w:anchor="bennet" w:history="1">
        <w:r w:rsidRPr="00684BF3">
          <w:rPr>
            <w:rStyle w:val="Hyperlink"/>
            <w:sz w:val="16"/>
          </w:rPr>
          <w:t>2008 </w:t>
        </w:r>
      </w:hyperlink>
      <w:r w:rsidRPr="00684BF3">
        <w:rPr>
          <w:sz w:val="16"/>
        </w:rPr>
        <w:t>) argues that there is great uncertainty in which the way nano materials will degrade under natural conditions and interact with local organisms in the environment.</w:t>
      </w:r>
    </w:p>
    <w:p w14:paraId="079EDD97" w14:textId="77777777" w:rsidR="00516959" w:rsidRPr="00684BF3" w:rsidRDefault="00516959" w:rsidP="00516959">
      <w:pPr>
        <w:rPr>
          <w:sz w:val="16"/>
        </w:rPr>
      </w:pPr>
      <w:r w:rsidRPr="00684BF3">
        <w:rPr>
          <w:rStyle w:val="StyleUnderline"/>
        </w:rPr>
        <w:t xml:space="preserve">Danger to society could greatly be affected due to </w:t>
      </w:r>
      <w:r w:rsidRPr="00684BF3">
        <w:rPr>
          <w:rStyle w:val="Emphasis"/>
        </w:rPr>
        <w:t>self-replicating</w:t>
      </w:r>
      <w:r w:rsidRPr="00684BF3">
        <w:rPr>
          <w:rStyle w:val="StyleUnderline"/>
        </w:rPr>
        <w:t xml:space="preserve">, </w:t>
      </w:r>
      <w:r w:rsidRPr="00684BF3">
        <w:rPr>
          <w:rStyle w:val="Emphasis"/>
        </w:rPr>
        <w:t>mutating</w:t>
      </w:r>
      <w:r w:rsidRPr="00684BF3">
        <w:rPr>
          <w:rStyle w:val="StyleUnderline"/>
        </w:rPr>
        <w:t xml:space="preserve">, </w:t>
      </w:r>
      <w:r w:rsidRPr="00684BF3">
        <w:rPr>
          <w:rStyle w:val="Emphasis"/>
        </w:rPr>
        <w:t>mechanical</w:t>
      </w:r>
      <w:r w:rsidRPr="00684BF3">
        <w:rPr>
          <w:rStyle w:val="StyleUnderline"/>
        </w:rPr>
        <w:t xml:space="preserve"> or </w:t>
      </w:r>
      <w:r w:rsidRPr="00684BF3">
        <w:rPr>
          <w:rStyle w:val="Emphasis"/>
        </w:rPr>
        <w:t>biological plagues</w:t>
      </w:r>
      <w:r w:rsidRPr="00684BF3">
        <w:rPr>
          <w:sz w:val="16"/>
        </w:rPr>
        <w:t xml:space="preserve">. In the event that these </w:t>
      </w:r>
      <w:r w:rsidRPr="00684BF3">
        <w:rPr>
          <w:rStyle w:val="StyleUnderline"/>
        </w:rPr>
        <w:t>intelligent nano systems were to be unleashed</w:t>
      </w:r>
      <w:r w:rsidRPr="00684BF3">
        <w:rPr>
          <w:sz w:val="16"/>
        </w:rPr>
        <w:t xml:space="preserve">, they could potentially </w:t>
      </w:r>
      <w:r w:rsidRPr="00684BF3">
        <w:rPr>
          <w:rStyle w:val="Emphasis"/>
        </w:rPr>
        <w:t>attack the physical world</w:t>
      </w:r>
      <w:r w:rsidRPr="00684BF3">
        <w:rPr>
          <w:sz w:val="16"/>
        </w:rPr>
        <w:t xml:space="preserve">. There are a number of applications that will be developed with nanotechnology that could potentially </w:t>
      </w:r>
      <w:r w:rsidRPr="00684BF3">
        <w:rPr>
          <w:rStyle w:val="StyleUnderline"/>
        </w:rPr>
        <w:t xml:space="preserve">crossover from the military to </w:t>
      </w:r>
      <w:r w:rsidRPr="00684BF3">
        <w:rPr>
          <w:rStyle w:val="Emphasis"/>
        </w:rPr>
        <w:t>national security</w:t>
      </w:r>
      <w:r w:rsidRPr="00684BF3">
        <w:rPr>
          <w:rStyle w:val="StyleUnderline"/>
        </w:rPr>
        <w:t xml:space="preserve"> that can harm the civilian sector </w:t>
      </w:r>
      <w:r w:rsidRPr="00684BF3">
        <w:rPr>
          <w:sz w:val="16"/>
        </w:rPr>
        <w:t>( </w:t>
      </w:r>
      <w:hyperlink r:id="rId297" w:anchor="bennet" w:history="1">
        <w:r w:rsidRPr="00684BF3">
          <w:rPr>
            <w:rStyle w:val="Hyperlink"/>
            <w:sz w:val="16"/>
          </w:rPr>
          <w:t>Bennet-Woods, 2008 </w:t>
        </w:r>
      </w:hyperlink>
      <w:r w:rsidRPr="00684BF3">
        <w:rPr>
          <w:sz w:val="16"/>
        </w:rPr>
        <w:t>). There is a heightened awareness that new technologies will allow for a more efficient access to personal privacy and autonomy ( </w:t>
      </w:r>
      <w:hyperlink r:id="rId298" w:anchor="roco2" w:history="1">
        <w:r w:rsidRPr="00684BF3">
          <w:rPr>
            <w:rStyle w:val="Hyperlink"/>
            <w:sz w:val="16"/>
          </w:rPr>
          <w:t>Roco &amp; Bainbridge, 2005 </w:t>
        </w:r>
      </w:hyperlink>
      <w:r w:rsidRPr="00684BF3">
        <w:rPr>
          <w:sz w:val="16"/>
        </w:rPr>
        <w:t xml:space="preserve">). Concerns regarding artificial intelligence acquiring a vast amount of personal data, voice recognition, and financial data will also arise. Implantable brain devices, intended for communication, raise concerns for actually observing and </w:t>
      </w:r>
      <w:r w:rsidRPr="00684BF3">
        <w:rPr>
          <w:rStyle w:val="Emphasis"/>
        </w:rPr>
        <w:t>manipulating thoughts</w:t>
      </w:r>
      <w:r w:rsidRPr="00684BF3">
        <w:rPr>
          <w:sz w:val="16"/>
        </w:rPr>
        <w:t xml:space="preserve">. Some of the most feared risks due to </w:t>
      </w:r>
      <w:r w:rsidRPr="00684BF3">
        <w:rPr>
          <w:rStyle w:val="StyleUnderline"/>
        </w:rPr>
        <w:t>nanotechnology in the society are the loss of privacy</w:t>
      </w:r>
      <w:r w:rsidRPr="00684BF3">
        <w:rPr>
          <w:sz w:val="16"/>
        </w:rPr>
        <w:t xml:space="preserve"> ( </w:t>
      </w:r>
      <w:hyperlink r:id="rId299" w:anchor="flagg" w:history="1">
        <w:r w:rsidRPr="00684BF3">
          <w:rPr>
            <w:rStyle w:val="Hyperlink"/>
            <w:sz w:val="16"/>
          </w:rPr>
          <w:t>Flagg, 2005 </w:t>
        </w:r>
      </w:hyperlink>
      <w:r w:rsidRPr="00684BF3">
        <w:rPr>
          <w:sz w:val="16"/>
        </w:rPr>
        <w:t xml:space="preserve">). Nano sensors developed for the battlefield could be used for eavesdropping and tracking of citizens by state agencies. This could lead to </w:t>
      </w:r>
      <w:r w:rsidRPr="00684BF3">
        <w:rPr>
          <w:rStyle w:val="Emphasis"/>
        </w:rPr>
        <w:t>improvised warfare or terrorism</w:t>
      </w:r>
      <w:r w:rsidRPr="00684BF3">
        <w:rPr>
          <w:sz w:val="16"/>
        </w:rPr>
        <w:t>. Bennet-Woods ( </w:t>
      </w:r>
      <w:hyperlink r:id="rId300" w:anchor="bennet" w:history="1">
        <w:r w:rsidRPr="00684BF3">
          <w:rPr>
            <w:rStyle w:val="Hyperlink"/>
            <w:sz w:val="16"/>
          </w:rPr>
          <w:t>2008 </w:t>
        </w:r>
      </w:hyperlink>
      <w:r w:rsidRPr="00684BF3">
        <w:rPr>
          <w:sz w:val="16"/>
        </w:rPr>
        <w:t>) argues that there should be an outright ban on nanoenabled tracking and surveillance devices for any purpose.</w:t>
      </w:r>
    </w:p>
    <w:p w14:paraId="74A7A45F" w14:textId="77777777" w:rsidR="00516959" w:rsidRPr="005304A7" w:rsidRDefault="00516959" w:rsidP="00516959">
      <w:pPr>
        <w:rPr>
          <w:sz w:val="16"/>
        </w:rPr>
      </w:pPr>
      <w:r w:rsidRPr="00684BF3">
        <w:rPr>
          <w:rStyle w:val="StyleUnderline"/>
        </w:rPr>
        <w:t>Nanotechnology in combination with biotechnology</w:t>
      </w:r>
      <w:r w:rsidRPr="00684BF3">
        <w:rPr>
          <w:sz w:val="16"/>
        </w:rPr>
        <w:t xml:space="preserve"> and medicine raise </w:t>
      </w:r>
      <w:r w:rsidRPr="00684BF3">
        <w:rPr>
          <w:rStyle w:val="StyleUnderline"/>
        </w:rPr>
        <w:t>concerns</w:t>
      </w:r>
      <w:r w:rsidRPr="00684BF3">
        <w:rPr>
          <w:sz w:val="16"/>
        </w:rPr>
        <w:t xml:space="preserve"> regarding human </w:t>
      </w:r>
      <w:r w:rsidRPr="00684BF3">
        <w:rPr>
          <w:rStyle w:val="StyleUnderline"/>
        </w:rPr>
        <w:t>safety</w:t>
      </w:r>
      <w:r w:rsidRPr="00684BF3">
        <w:rPr>
          <w:sz w:val="16"/>
        </w:rPr>
        <w:t xml:space="preserve">. This includes nanoscale drugs that may allow for improvements in terrorism alongside more efficient soldiers for combat. </w:t>
      </w:r>
      <w:r w:rsidRPr="00684BF3">
        <w:rPr>
          <w:rStyle w:val="Emphasis"/>
        </w:rPr>
        <w:t>Bioterrorism</w:t>
      </w:r>
      <w:r w:rsidRPr="00684BF3">
        <w:rPr>
          <w:sz w:val="16"/>
        </w:rPr>
        <w:t xml:space="preserve"> </w:t>
      </w:r>
      <w:r w:rsidRPr="00684BF3">
        <w:rPr>
          <w:rStyle w:val="StyleUnderline"/>
        </w:rPr>
        <w:t>could greatly be improved through</w:t>
      </w:r>
      <w:r w:rsidRPr="00684BF3">
        <w:rPr>
          <w:sz w:val="16"/>
        </w:rPr>
        <w:t xml:space="preserve"> </w:t>
      </w:r>
      <w:r w:rsidRPr="00684BF3">
        <w:rPr>
          <w:rStyle w:val="Emphasis"/>
        </w:rPr>
        <w:t>nano-engineered drugs and chemicals</w:t>
      </w:r>
      <w:r w:rsidRPr="00684BF3">
        <w:rPr>
          <w:sz w:val="16"/>
        </w:rPr>
        <w:t xml:space="preserve"> ( </w:t>
      </w:r>
      <w:hyperlink r:id="rId301" w:anchor="milleson" w:history="1">
        <w:r w:rsidRPr="00684BF3">
          <w:rPr>
            <w:rStyle w:val="Hyperlink"/>
            <w:sz w:val="16"/>
          </w:rPr>
          <w:t>Milleson, 2013 </w:t>
        </w:r>
      </w:hyperlink>
      <w:r w:rsidRPr="00684BF3">
        <w:rPr>
          <w:sz w:val="16"/>
        </w:rPr>
        <w:t>). Body implants could be used by soldiers to provide for better fighting efficiency but in the society, the extent in which the availability of body manipulation will have to be debated at large ( </w:t>
      </w:r>
      <w:hyperlink r:id="rId302" w:anchor="altmann1" w:history="1">
        <w:r w:rsidRPr="00684BF3">
          <w:rPr>
            <w:rStyle w:val="Hyperlink"/>
            <w:sz w:val="16"/>
          </w:rPr>
          <w:t>Altmann J. , Nanotechnology and preventive arms control, 2005 </w:t>
        </w:r>
      </w:hyperlink>
      <w:r w:rsidRPr="00684BF3">
        <w:rPr>
          <w:sz w:val="16"/>
        </w:rPr>
        <w:t xml:space="preserve">). Brain implanted stimulates could become addictive and lead to health defects. </w:t>
      </w:r>
      <w:r w:rsidRPr="00684BF3">
        <w:rPr>
          <w:rStyle w:val="StyleUnderline"/>
        </w:rPr>
        <w:t xml:space="preserve">The availability of body and brain implants could have negative effects during peace time. </w:t>
      </w:r>
      <w:r w:rsidRPr="00684BF3">
        <w:rPr>
          <w:sz w:val="16"/>
        </w:rPr>
        <w:t>Milleson ( </w:t>
      </w:r>
      <w:hyperlink r:id="rId303" w:anchor="milleson" w:history="1">
        <w:r w:rsidRPr="00684BF3">
          <w:rPr>
            <w:rStyle w:val="Hyperlink"/>
            <w:sz w:val="16"/>
          </w:rPr>
          <w:t>2013 </w:t>
        </w:r>
      </w:hyperlink>
      <w:r w:rsidRPr="00684BF3">
        <w:rPr>
          <w:sz w:val="16"/>
        </w:rPr>
        <w:t>) argues that there is fear that this technology could destabilize the human race, society, and family. Thus, the use in society should be delayed for at least a decade.</w:t>
      </w:r>
    </w:p>
    <w:p w14:paraId="5E59CB65" w14:textId="77777777" w:rsidR="00516959" w:rsidRDefault="00516959" w:rsidP="00516959">
      <w:pPr>
        <w:pStyle w:val="Heading3"/>
        <w:rPr>
          <w:rFonts w:cs="Calibri"/>
        </w:rPr>
      </w:pPr>
      <w:r>
        <w:t xml:space="preserve">2NC – OV – AT: AI </w:t>
      </w:r>
      <w:r>
        <w:rPr>
          <w:rFonts w:cs="Calibri"/>
        </w:rPr>
        <w:t>≠ Extinction</w:t>
      </w:r>
    </w:p>
    <w:p w14:paraId="35DCB756" w14:textId="77777777" w:rsidR="00516959" w:rsidRPr="00C80CAB" w:rsidRDefault="00516959" w:rsidP="00516959">
      <w:pPr>
        <w:pStyle w:val="Heading4"/>
        <w:rPr>
          <w:szCs w:val="26"/>
        </w:rPr>
      </w:pPr>
      <w:r>
        <w:rPr>
          <w:szCs w:val="26"/>
        </w:rPr>
        <w:t>Terrorists</w:t>
      </w:r>
      <w:r w:rsidRPr="00C80CAB">
        <w:rPr>
          <w:szCs w:val="26"/>
        </w:rPr>
        <w:t xml:space="preserve"> will get </w:t>
      </w:r>
      <w:r>
        <w:rPr>
          <w:szCs w:val="26"/>
        </w:rPr>
        <w:t>it.</w:t>
      </w:r>
    </w:p>
    <w:p w14:paraId="6F722951" w14:textId="77777777" w:rsidR="00516959" w:rsidRPr="00684BF3" w:rsidRDefault="00516959" w:rsidP="00516959">
      <w:r w:rsidRPr="00C80CAB">
        <w:rPr>
          <w:rStyle w:val="Heading4Char"/>
          <w:szCs w:val="26"/>
        </w:rPr>
        <w:t>Cotton-Barratt et al. 20</w:t>
      </w:r>
      <w:r w:rsidRPr="00684BF3">
        <w:t xml:space="preserve"> – (Owen Cotton-Barratt is a Mathematician at the Future of Humanity Institute, University of Oxford; Max Daniel is a Senior Research Scholar at the Future of Humanity Institute, University of Oxford; Anders Sandberg is a Senior Research Fellow at the Future of Humanity Institute, University of Oxford; “Defence in Depth Against Human Extinction: Prevention, Response, Resilience, and Why They All Matter”; Durham University Press &amp; John Wiley Press; D.A. June 30</w:t>
      </w:r>
      <w:r w:rsidRPr="00684BF3">
        <w:rPr>
          <w:vertAlign w:val="superscript"/>
        </w:rPr>
        <w:t>th</w:t>
      </w:r>
      <w:r w:rsidRPr="00684BF3">
        <w:t xml:space="preserve"> 2020, [Published May 2020]; Global Policy, Vol. 11, Issue 3, pg. 274; doi: 10.1111/1758-5899.12786) //LFS—JCM</w:t>
      </w:r>
    </w:p>
    <w:p w14:paraId="09A808C8" w14:textId="77777777" w:rsidR="00516959" w:rsidRPr="00684BF3" w:rsidRDefault="00516959" w:rsidP="00516959">
      <w:pPr>
        <w:rPr>
          <w:rStyle w:val="StyleUnderline"/>
        </w:rPr>
      </w:pPr>
      <w:r w:rsidRPr="00684BF3">
        <w:rPr>
          <w:rStyle w:val="Emphasis"/>
        </w:rPr>
        <w:t xml:space="preserve">Anthropogenic </w:t>
      </w:r>
      <w:r w:rsidRPr="00456038">
        <w:rPr>
          <w:rStyle w:val="Emphasis"/>
          <w:highlight w:val="cyan"/>
        </w:rPr>
        <w:t>risks</w:t>
      </w:r>
      <w:r w:rsidRPr="00456038">
        <w:rPr>
          <w:rStyle w:val="StyleUnderline"/>
          <w:highlight w:val="cyan"/>
        </w:rPr>
        <w:t xml:space="preserve"> from </w:t>
      </w:r>
      <w:r w:rsidRPr="00456038">
        <w:rPr>
          <w:rStyle w:val="Emphasis"/>
          <w:highlight w:val="cyan"/>
        </w:rPr>
        <w:t>small groups</w:t>
      </w:r>
      <w:r w:rsidRPr="00684BF3">
        <w:rPr>
          <w:rStyle w:val="StyleUnderline"/>
        </w:rPr>
        <w:t xml:space="preserve"> </w:t>
      </w:r>
    </w:p>
    <w:p w14:paraId="0E6599FB" w14:textId="77777777" w:rsidR="00516959" w:rsidRPr="00684BF3" w:rsidRDefault="00516959" w:rsidP="00516959">
      <w:pPr>
        <w:rPr>
          <w:sz w:val="16"/>
        </w:rPr>
      </w:pPr>
      <w:r w:rsidRPr="00684BF3">
        <w:rPr>
          <w:sz w:val="16"/>
        </w:rPr>
        <w:t xml:space="preserve">The case of a risk </w:t>
      </w:r>
      <w:r w:rsidRPr="00456038">
        <w:rPr>
          <w:rStyle w:val="StyleUnderline"/>
          <w:highlight w:val="cyan"/>
        </w:rPr>
        <w:t>where</w:t>
      </w:r>
      <w:r w:rsidRPr="00684BF3">
        <w:rPr>
          <w:sz w:val="16"/>
        </w:rPr>
        <w:t xml:space="preserve"> </w:t>
      </w:r>
      <w:r w:rsidRPr="00684BF3">
        <w:rPr>
          <w:rStyle w:val="StyleUnderline"/>
        </w:rPr>
        <w:t xml:space="preserve">relatively </w:t>
      </w:r>
      <w:r w:rsidRPr="00456038">
        <w:rPr>
          <w:rStyle w:val="StyleUnderline"/>
          <w:highlight w:val="cyan"/>
        </w:rPr>
        <w:t>few people are involved in triggering</w:t>
      </w:r>
      <w:r w:rsidRPr="00684BF3">
        <w:rPr>
          <w:rStyle w:val="StyleUnderline"/>
        </w:rPr>
        <w:t xml:space="preserve"> and they are unaware of the </w:t>
      </w:r>
      <w:r w:rsidRPr="00456038">
        <w:rPr>
          <w:rStyle w:val="StyleUnderline"/>
          <w:highlight w:val="cyan"/>
        </w:rPr>
        <w:t>potential harm</w:t>
      </w:r>
      <w:r w:rsidRPr="00684BF3">
        <w:rPr>
          <w:rStyle w:val="StyleUnderline"/>
        </w:rPr>
        <w:t xml:space="preserve"> is an unseen risk</w:t>
      </w:r>
      <w:r w:rsidRPr="00684BF3">
        <w:rPr>
          <w:sz w:val="16"/>
        </w:rPr>
        <w:t xml:space="preserve">. 4 </w:t>
      </w:r>
      <w:r w:rsidRPr="00456038">
        <w:rPr>
          <w:rStyle w:val="StyleUnderline"/>
          <w:highlight w:val="cyan"/>
        </w:rPr>
        <w:t>This is</w:t>
      </w:r>
      <w:r w:rsidRPr="00684BF3">
        <w:rPr>
          <w:sz w:val="16"/>
        </w:rPr>
        <w:t xml:space="preserve"> likely to involve a new kind of activity; it is </w:t>
      </w:r>
      <w:r w:rsidRPr="00456038">
        <w:rPr>
          <w:rStyle w:val="Emphasis"/>
          <w:highlight w:val="cyan"/>
        </w:rPr>
        <w:t>most plausible</w:t>
      </w:r>
      <w:r w:rsidRPr="00456038">
        <w:rPr>
          <w:rStyle w:val="StyleUnderline"/>
          <w:highlight w:val="cyan"/>
        </w:rPr>
        <w:t xml:space="preserve"> with</w:t>
      </w:r>
      <w:r w:rsidRPr="00684BF3">
        <w:rPr>
          <w:rStyle w:val="StyleUnderline"/>
        </w:rPr>
        <w:t xml:space="preserve"> the </w:t>
      </w:r>
      <w:r w:rsidRPr="00684BF3">
        <w:rPr>
          <w:rStyle w:val="Emphasis"/>
        </w:rPr>
        <w:t>development</w:t>
      </w:r>
      <w:r w:rsidRPr="00684BF3">
        <w:rPr>
          <w:rStyle w:val="StyleUnderline"/>
        </w:rPr>
        <w:t xml:space="preserve"> of </w:t>
      </w:r>
      <w:r w:rsidRPr="00456038">
        <w:rPr>
          <w:rStyle w:val="Emphasis"/>
          <w:highlight w:val="cyan"/>
        </w:rPr>
        <w:t>unprecedented</w:t>
      </w:r>
      <w:r w:rsidRPr="00456038">
        <w:rPr>
          <w:rStyle w:val="StyleUnderline"/>
          <w:highlight w:val="cyan"/>
        </w:rPr>
        <w:t xml:space="preserve"> </w:t>
      </w:r>
      <w:r w:rsidRPr="00456038">
        <w:rPr>
          <w:rStyle w:val="Emphasis"/>
          <w:highlight w:val="cyan"/>
        </w:rPr>
        <w:t>tech</w:t>
      </w:r>
      <w:r w:rsidRPr="00684BF3">
        <w:rPr>
          <w:rStyle w:val="StyleUnderline"/>
        </w:rPr>
        <w:t>nologies</w:t>
      </w:r>
      <w:r w:rsidRPr="00684BF3">
        <w:rPr>
          <w:sz w:val="16"/>
        </w:rPr>
        <w:t xml:space="preserve"> (GPP, 2015), </w:t>
      </w:r>
      <w:r w:rsidRPr="00684BF3">
        <w:rPr>
          <w:rStyle w:val="StyleUnderline"/>
        </w:rPr>
        <w:t>such as</w:t>
      </w:r>
      <w:r w:rsidRPr="00684BF3">
        <w:rPr>
          <w:sz w:val="16"/>
        </w:rPr>
        <w:t xml:space="preserve"> perhaps advanced </w:t>
      </w:r>
      <w:r w:rsidRPr="00456038">
        <w:rPr>
          <w:rStyle w:val="Emphasis"/>
          <w:highlight w:val="cyan"/>
        </w:rPr>
        <w:t>a</w:t>
      </w:r>
      <w:r w:rsidRPr="00684BF3">
        <w:rPr>
          <w:rStyle w:val="Emphasis"/>
        </w:rPr>
        <w:t xml:space="preserve">rtificial </w:t>
      </w:r>
      <w:r w:rsidRPr="00456038">
        <w:rPr>
          <w:rStyle w:val="Emphasis"/>
          <w:highlight w:val="cyan"/>
        </w:rPr>
        <w:t>i</w:t>
      </w:r>
      <w:r w:rsidRPr="00684BF3">
        <w:rPr>
          <w:rStyle w:val="Emphasis"/>
        </w:rPr>
        <w:t>ntelligence</w:t>
      </w:r>
      <w:r w:rsidRPr="00684BF3">
        <w:rPr>
          <w:sz w:val="16"/>
        </w:rPr>
        <w:t xml:space="preserve"> (</w:t>
      </w:r>
      <w:r w:rsidRPr="00684BF3">
        <w:rPr>
          <w:rStyle w:val="Emphasis"/>
        </w:rPr>
        <w:t>Bostrom</w:t>
      </w:r>
      <w:r w:rsidRPr="00684BF3">
        <w:rPr>
          <w:sz w:val="16"/>
        </w:rPr>
        <w:t xml:space="preserve">, 2014), </w:t>
      </w:r>
      <w:r w:rsidRPr="00456038">
        <w:rPr>
          <w:rStyle w:val="Emphasis"/>
          <w:highlight w:val="cyan"/>
        </w:rPr>
        <w:t>nanotech</w:t>
      </w:r>
      <w:r w:rsidRPr="00684BF3">
        <w:rPr>
          <w:rStyle w:val="Emphasis"/>
        </w:rPr>
        <w:t>nology</w:t>
      </w:r>
      <w:r w:rsidRPr="00684BF3">
        <w:rPr>
          <w:sz w:val="16"/>
        </w:rPr>
        <w:t xml:space="preserve"> (Auplat, 2012, 2013; </w:t>
      </w:r>
      <w:r w:rsidRPr="00684BF3">
        <w:rPr>
          <w:rStyle w:val="StyleUnderline"/>
        </w:rPr>
        <w:t>Umbrello and Baum</w:t>
      </w:r>
      <w:r w:rsidRPr="00684BF3">
        <w:rPr>
          <w:sz w:val="16"/>
        </w:rPr>
        <w:t xml:space="preserve">, 2018), </w:t>
      </w:r>
      <w:r w:rsidRPr="00456038">
        <w:rPr>
          <w:rStyle w:val="StyleUnderline"/>
          <w:highlight w:val="cyan"/>
        </w:rPr>
        <w:t xml:space="preserve">or </w:t>
      </w:r>
      <w:r w:rsidRPr="00456038">
        <w:rPr>
          <w:rStyle w:val="Emphasis"/>
          <w:highlight w:val="cyan"/>
        </w:rPr>
        <w:t>high-energy physics experiments</w:t>
      </w:r>
      <w:r w:rsidRPr="00684BF3">
        <w:rPr>
          <w:sz w:val="16"/>
        </w:rPr>
        <w:t xml:space="preserve"> (</w:t>
      </w:r>
      <w:r w:rsidRPr="00684BF3">
        <w:rPr>
          <w:rStyle w:val="Emphasis"/>
        </w:rPr>
        <w:t>Ord</w:t>
      </w:r>
      <w:r w:rsidRPr="00684BF3">
        <w:rPr>
          <w:sz w:val="16"/>
        </w:rPr>
        <w:t xml:space="preserve"> et al., 2010).</w:t>
      </w:r>
    </w:p>
    <w:p w14:paraId="6AD0E3EF" w14:textId="77777777" w:rsidR="00516959" w:rsidRPr="00684BF3" w:rsidRDefault="00516959" w:rsidP="00516959">
      <w:pPr>
        <w:rPr>
          <w:sz w:val="16"/>
        </w:rPr>
      </w:pPr>
      <w:r w:rsidRPr="00684BF3">
        <w:rPr>
          <w:sz w:val="16"/>
        </w:rPr>
        <w:t xml:space="preserve">The case of </w:t>
      </w:r>
      <w:r w:rsidRPr="00456038">
        <w:rPr>
          <w:rStyle w:val="StyleUnderline"/>
          <w:highlight w:val="cyan"/>
        </w:rPr>
        <w:t xml:space="preserve">a </w:t>
      </w:r>
      <w:r w:rsidRPr="00456038">
        <w:rPr>
          <w:rStyle w:val="Emphasis"/>
          <w:highlight w:val="cyan"/>
        </w:rPr>
        <w:t>localised</w:t>
      </w:r>
      <w:r w:rsidRPr="00684BF3">
        <w:rPr>
          <w:rStyle w:val="StyleUnderline"/>
        </w:rPr>
        <w:t xml:space="preserve"> unintentional </w:t>
      </w:r>
      <w:r w:rsidRPr="00456038">
        <w:rPr>
          <w:rStyle w:val="Emphasis"/>
          <w:highlight w:val="cyan"/>
        </w:rPr>
        <w:t>trigger</w:t>
      </w:r>
      <w:r w:rsidRPr="00684BF3">
        <w:rPr>
          <w:sz w:val="16"/>
        </w:rPr>
        <w:t xml:space="preserve"> which was foreseen as a possibility (and the dynamics somewhat understood) </w:t>
      </w:r>
      <w:r w:rsidRPr="00456038">
        <w:rPr>
          <w:rStyle w:val="StyleUnderline"/>
          <w:highlight w:val="cyan"/>
        </w:rPr>
        <w:t>is an accident risk</w:t>
      </w:r>
      <w:r w:rsidRPr="00684BF3">
        <w:rPr>
          <w:sz w:val="16"/>
        </w:rPr>
        <w:t xml:space="preserve">. This could </w:t>
      </w:r>
      <w:r w:rsidRPr="00456038">
        <w:rPr>
          <w:rStyle w:val="StyleUnderline"/>
          <w:highlight w:val="cyan"/>
        </w:rPr>
        <w:t>include a nuclear war</w:t>
      </w:r>
      <w:r w:rsidRPr="00684BF3">
        <w:rPr>
          <w:rStyle w:val="StyleUnderline"/>
        </w:rPr>
        <w:t xml:space="preserve"> starting because of a fault in a system or human error, </w:t>
      </w:r>
      <w:r w:rsidRPr="00456038">
        <w:rPr>
          <w:rStyle w:val="StyleUnderline"/>
          <w:highlight w:val="cyan"/>
        </w:rPr>
        <w:t>or the escape of an engineered pathogen</w:t>
      </w:r>
      <w:r w:rsidRPr="00684BF3">
        <w:rPr>
          <w:sz w:val="16"/>
        </w:rPr>
        <w:t xml:space="preserve"> from an experiment despite safety precautions.</w:t>
      </w:r>
    </w:p>
    <w:p w14:paraId="6AC5390A" w14:textId="77777777" w:rsidR="00516959" w:rsidRDefault="00516959" w:rsidP="00516959">
      <w:pPr>
        <w:rPr>
          <w:sz w:val="16"/>
        </w:rPr>
      </w:pPr>
      <w:r w:rsidRPr="00684BF3">
        <w:rPr>
          <w:sz w:val="16"/>
        </w:rPr>
        <w:t xml:space="preserve">If the harm was known and intended, we have a malicious risk. </w:t>
      </w:r>
      <w:r w:rsidRPr="00684BF3">
        <w:rPr>
          <w:rStyle w:val="StyleUnderline"/>
        </w:rPr>
        <w:t xml:space="preserve">This is a scenario where </w:t>
      </w:r>
      <w:r w:rsidRPr="00456038">
        <w:rPr>
          <w:rStyle w:val="StyleUnderline"/>
          <w:highlight w:val="cyan"/>
        </w:rPr>
        <w:t xml:space="preserve">a </w:t>
      </w:r>
      <w:r w:rsidRPr="00456038">
        <w:rPr>
          <w:rStyle w:val="Emphasis"/>
          <w:highlight w:val="cyan"/>
        </w:rPr>
        <w:t>small group</w:t>
      </w:r>
      <w:r w:rsidRPr="00684BF3">
        <w:rPr>
          <w:rStyle w:val="StyleUnderline"/>
        </w:rPr>
        <w:t xml:space="preserve"> of people wants to </w:t>
      </w:r>
      <w:r w:rsidRPr="00456038">
        <w:rPr>
          <w:rStyle w:val="StyleUnderline"/>
          <w:highlight w:val="cyan"/>
        </w:rPr>
        <w:t xml:space="preserve">do </w:t>
      </w:r>
      <w:r w:rsidRPr="00456038">
        <w:rPr>
          <w:rStyle w:val="Emphasis"/>
          <w:highlight w:val="cyan"/>
        </w:rPr>
        <w:t>widespread damage</w:t>
      </w:r>
      <w:r w:rsidRPr="00684BF3">
        <w:rPr>
          <w:sz w:val="16"/>
        </w:rPr>
        <w:t xml:space="preserve">;5 see Torres (2016, 2018b) for a typology and examples. </w:t>
      </w:r>
      <w:r w:rsidRPr="00684BF3">
        <w:rPr>
          <w:rStyle w:val="StyleUnderline"/>
        </w:rPr>
        <w:t xml:space="preserve">Malicious </w:t>
      </w:r>
      <w:r w:rsidRPr="00456038">
        <w:rPr>
          <w:rStyle w:val="Emphasis"/>
          <w:highlight w:val="cyan"/>
        </w:rPr>
        <w:t>risks tend to be</w:t>
      </w:r>
      <w:r w:rsidRPr="00456038">
        <w:rPr>
          <w:rStyle w:val="StyleUnderline"/>
          <w:highlight w:val="cyan"/>
        </w:rPr>
        <w:t xml:space="preserve"> extreme forms of </w:t>
      </w:r>
      <w:r w:rsidRPr="00456038">
        <w:rPr>
          <w:rStyle w:val="Emphasis"/>
          <w:highlight w:val="cyan"/>
        </w:rPr>
        <w:t>terrorism</w:t>
      </w:r>
      <w:r w:rsidRPr="00684BF3">
        <w:rPr>
          <w:rStyle w:val="StyleUnderline"/>
        </w:rPr>
        <w:t xml:space="preserve">, where there is a threat which could </w:t>
      </w:r>
      <w:r w:rsidRPr="00456038">
        <w:rPr>
          <w:rStyle w:val="Emphasis"/>
          <w:highlight w:val="cyan"/>
        </w:rPr>
        <w:t>cause global damage</w:t>
      </w:r>
      <w:r w:rsidRPr="00684BF3">
        <w:rPr>
          <w:sz w:val="16"/>
        </w:rPr>
        <w:t>.</w:t>
      </w:r>
    </w:p>
    <w:p w14:paraId="2B2A2028" w14:textId="77777777" w:rsidR="00516959" w:rsidRPr="00C80CAB" w:rsidRDefault="00516959" w:rsidP="00516959">
      <w:pPr>
        <w:pStyle w:val="Heading4"/>
        <w:rPr>
          <w:szCs w:val="26"/>
        </w:rPr>
      </w:pPr>
      <w:r w:rsidRPr="00C80CAB">
        <w:rPr>
          <w:szCs w:val="26"/>
        </w:rPr>
        <w:t>Humans lose control</w:t>
      </w:r>
      <w:r>
        <w:rPr>
          <w:szCs w:val="26"/>
        </w:rPr>
        <w:t>.</w:t>
      </w:r>
    </w:p>
    <w:p w14:paraId="0A206B30" w14:textId="77777777" w:rsidR="00516959" w:rsidRPr="00684BF3" w:rsidRDefault="00516959" w:rsidP="00516959">
      <w:r w:rsidRPr="00C80CAB">
        <w:rPr>
          <w:rStyle w:val="Heading4Char"/>
          <w:szCs w:val="26"/>
        </w:rPr>
        <w:t>Sears 20</w:t>
      </w:r>
      <w:r w:rsidRPr="00684BF3">
        <w:t xml:space="preserve"> – (Nathan Alexander Sears, PhD Candidate in Political Science at The University of Toronto. Before beginning his PhD, he was a Professor of International Relations at the Universidad de Las Américas, Quito; “International Politics in the Age of Existential Threats”; Oxford University Press; D.A. June 30</w:t>
      </w:r>
      <w:r w:rsidRPr="00684BF3">
        <w:rPr>
          <w:vertAlign w:val="superscript"/>
        </w:rPr>
        <w:t>th</w:t>
      </w:r>
      <w:r w:rsidRPr="00684BF3">
        <w:t xml:space="preserve"> 2020, [Published 2020]; Journal of Global Security Studies; doi: 10.1093/jogss/ogaa027) //LFS—JCM</w:t>
      </w:r>
    </w:p>
    <w:p w14:paraId="18BCBCF3" w14:textId="77777777" w:rsidR="00516959" w:rsidRPr="00684BF3" w:rsidRDefault="00516959" w:rsidP="00516959">
      <w:pPr>
        <w:rPr>
          <w:sz w:val="16"/>
        </w:rPr>
      </w:pPr>
      <w:r w:rsidRPr="00684BF3">
        <w:rPr>
          <w:sz w:val="16"/>
        </w:rPr>
        <w:t xml:space="preserve">The third mode is </w:t>
      </w:r>
      <w:r w:rsidRPr="00684BF3">
        <w:rPr>
          <w:rStyle w:val="StyleUnderline"/>
        </w:rPr>
        <w:t xml:space="preserve">human </w:t>
      </w:r>
      <w:r w:rsidRPr="00456038">
        <w:rPr>
          <w:rStyle w:val="Emphasis"/>
          <w:highlight w:val="cyan"/>
        </w:rPr>
        <w:t>development of tech</w:t>
      </w:r>
      <w:r w:rsidRPr="00684BF3">
        <w:rPr>
          <w:rStyle w:val="Emphasis"/>
        </w:rPr>
        <w:t>nology</w:t>
      </w:r>
      <w:r w:rsidRPr="00684BF3">
        <w:rPr>
          <w:sz w:val="16"/>
        </w:rPr>
        <w:t xml:space="preserve">, </w:t>
      </w:r>
      <w:r w:rsidRPr="00684BF3">
        <w:rPr>
          <w:rStyle w:val="StyleUnderline"/>
        </w:rPr>
        <w:t xml:space="preserve">which </w:t>
      </w:r>
      <w:r w:rsidRPr="00456038">
        <w:rPr>
          <w:rStyle w:val="Emphasis"/>
          <w:highlight w:val="cyan"/>
        </w:rPr>
        <w:t>engenders the risk of loss of control</w:t>
      </w:r>
      <w:r w:rsidRPr="00456038">
        <w:rPr>
          <w:rStyle w:val="StyleUnderline"/>
          <w:highlight w:val="cyan"/>
        </w:rPr>
        <w:t xml:space="preserve"> over</w:t>
      </w:r>
      <w:r w:rsidRPr="00684BF3">
        <w:rPr>
          <w:rStyle w:val="StyleUnderline"/>
        </w:rPr>
        <w:t xml:space="preserve"> a</w:t>
      </w:r>
      <w:r w:rsidRPr="00684BF3">
        <w:rPr>
          <w:sz w:val="16"/>
        </w:rPr>
        <w:t xml:space="preserve"> singularly </w:t>
      </w:r>
      <w:r w:rsidRPr="00456038">
        <w:rPr>
          <w:rStyle w:val="StyleUnderline"/>
          <w:highlight w:val="cyan"/>
        </w:rPr>
        <w:t>powerful tech</w:t>
      </w:r>
      <w:r w:rsidRPr="00684BF3">
        <w:rPr>
          <w:rStyle w:val="StyleUnderline"/>
        </w:rPr>
        <w:t>nology</w:t>
      </w:r>
      <w:r w:rsidRPr="00684BF3">
        <w:rPr>
          <w:sz w:val="16"/>
        </w:rPr>
        <w:t xml:space="preserve"> (Moravec 1988; Vinge 1993; </w:t>
      </w:r>
      <w:r w:rsidRPr="00684BF3">
        <w:rPr>
          <w:rStyle w:val="StyleUnderline"/>
        </w:rPr>
        <w:t>Bostrom 2014</w:t>
      </w:r>
      <w:r w:rsidRPr="00684BF3">
        <w:rPr>
          <w:sz w:val="16"/>
        </w:rPr>
        <w:t xml:space="preserve">; Shanahan 2015; Danzig 2018; Tegmark 2018; Russell 2019). </w:t>
      </w:r>
      <w:r w:rsidRPr="00684BF3">
        <w:rPr>
          <w:rStyle w:val="StyleUnderline"/>
        </w:rPr>
        <w:t>Bostrom</w:t>
      </w:r>
      <w:r w:rsidRPr="00684BF3">
        <w:rPr>
          <w:sz w:val="16"/>
        </w:rPr>
        <w:t xml:space="preserve"> (2013, 25) succinctly </w:t>
      </w:r>
      <w:r w:rsidRPr="00684BF3">
        <w:rPr>
          <w:rStyle w:val="StyleUnderline"/>
        </w:rPr>
        <w:t>describes the risk</w:t>
      </w:r>
      <w:r w:rsidRPr="00684BF3">
        <w:rPr>
          <w:sz w:val="16"/>
        </w:rPr>
        <w:t>: “</w:t>
      </w:r>
      <w:r w:rsidRPr="00684BF3">
        <w:rPr>
          <w:rStyle w:val="StyleUnderline"/>
        </w:rPr>
        <w:t>If we</w:t>
      </w:r>
      <w:r w:rsidRPr="00684BF3">
        <w:rPr>
          <w:sz w:val="16"/>
        </w:rPr>
        <w:t xml:space="preserve"> continually </w:t>
      </w:r>
      <w:r w:rsidRPr="00684BF3">
        <w:rPr>
          <w:rStyle w:val="StyleUnderline"/>
        </w:rPr>
        <w:t>sample from the urn of possible tech</w:t>
      </w:r>
      <w:r w:rsidRPr="00684BF3">
        <w:rPr>
          <w:sz w:val="16"/>
        </w:rPr>
        <w:t xml:space="preserve">nological </w:t>
      </w:r>
      <w:r w:rsidRPr="00684BF3">
        <w:rPr>
          <w:rStyle w:val="StyleUnderline"/>
        </w:rPr>
        <w:t>discoveries</w:t>
      </w:r>
      <w:r w:rsidRPr="00684BF3">
        <w:rPr>
          <w:sz w:val="16"/>
        </w:rPr>
        <w:t xml:space="preserve"> . . . </w:t>
      </w:r>
      <w:r w:rsidRPr="00684BF3">
        <w:rPr>
          <w:rStyle w:val="StyleUnderline"/>
        </w:rPr>
        <w:t xml:space="preserve">then we risk eventually </w:t>
      </w:r>
      <w:r w:rsidRPr="00684BF3">
        <w:rPr>
          <w:rStyle w:val="Emphasis"/>
        </w:rPr>
        <w:t>drawing a black ball</w:t>
      </w:r>
      <w:r w:rsidRPr="00684BF3">
        <w:rPr>
          <w:sz w:val="16"/>
        </w:rPr>
        <w:t xml:space="preserve">: </w:t>
      </w:r>
      <w:r w:rsidRPr="00456038">
        <w:rPr>
          <w:rStyle w:val="StyleUnderline"/>
          <w:highlight w:val="cyan"/>
        </w:rPr>
        <w:t>an easy-to-make intervention</w:t>
      </w:r>
      <w:r w:rsidRPr="00684BF3">
        <w:rPr>
          <w:rStyle w:val="StyleUnderline"/>
        </w:rPr>
        <w:t xml:space="preserve"> that </w:t>
      </w:r>
      <w:r w:rsidRPr="00456038">
        <w:rPr>
          <w:rStyle w:val="StyleUnderline"/>
          <w:highlight w:val="cyan"/>
        </w:rPr>
        <w:t xml:space="preserve">causes </w:t>
      </w:r>
      <w:r w:rsidRPr="00456038">
        <w:rPr>
          <w:rStyle w:val="Emphasis"/>
          <w:highlight w:val="cyan"/>
        </w:rPr>
        <w:t>extremely widespread harm</w:t>
      </w:r>
      <w:r w:rsidRPr="00684BF3">
        <w:rPr>
          <w:rStyle w:val="StyleUnderline"/>
        </w:rPr>
        <w:t xml:space="preserve"> </w:t>
      </w:r>
      <w:r w:rsidRPr="00684BF3">
        <w:rPr>
          <w:sz w:val="16"/>
        </w:rPr>
        <w:t xml:space="preserve">and against </w:t>
      </w:r>
      <w:r w:rsidRPr="00684BF3">
        <w:rPr>
          <w:rStyle w:val="StyleUnderline"/>
        </w:rPr>
        <w:t>which effective defense is infeasible</w:t>
      </w:r>
      <w:r w:rsidRPr="00684BF3">
        <w:rPr>
          <w:sz w:val="16"/>
        </w:rPr>
        <w:t xml:space="preserve">.” Several </w:t>
      </w:r>
      <w:r w:rsidRPr="00456038">
        <w:rPr>
          <w:rStyle w:val="Emphasis"/>
          <w:highlight w:val="cyan"/>
        </w:rPr>
        <w:t>emerging tech</w:t>
      </w:r>
      <w:r w:rsidRPr="00684BF3">
        <w:rPr>
          <w:rStyle w:val="StyleUnderline"/>
        </w:rPr>
        <w:t xml:space="preserve">nologies </w:t>
      </w:r>
      <w:r w:rsidRPr="00456038">
        <w:rPr>
          <w:rStyle w:val="Emphasis"/>
          <w:highlight w:val="cyan"/>
        </w:rPr>
        <w:t>pose a loss-of-control risk</w:t>
      </w:r>
      <w:r w:rsidRPr="00684BF3">
        <w:rPr>
          <w:rStyle w:val="StyleUnderline"/>
        </w:rPr>
        <w:t xml:space="preserve">, </w:t>
      </w:r>
      <w:r w:rsidRPr="00456038">
        <w:rPr>
          <w:rStyle w:val="StyleUnderline"/>
          <w:highlight w:val="cyan"/>
        </w:rPr>
        <w:t>including</w:t>
      </w:r>
      <w:r w:rsidRPr="00684BF3">
        <w:rPr>
          <w:rStyle w:val="StyleUnderline"/>
        </w:rPr>
        <w:t xml:space="preserve"> </w:t>
      </w:r>
      <w:r w:rsidRPr="00456038">
        <w:rPr>
          <w:rStyle w:val="Emphasis"/>
          <w:highlight w:val="cyan"/>
        </w:rPr>
        <w:t>biotech</w:t>
      </w:r>
      <w:r w:rsidRPr="00684BF3">
        <w:rPr>
          <w:rStyle w:val="StyleUnderline"/>
        </w:rPr>
        <w:t>nology</w:t>
      </w:r>
      <w:r w:rsidRPr="00684BF3">
        <w:rPr>
          <w:sz w:val="16"/>
        </w:rPr>
        <w:t xml:space="preserve"> (e.g., </w:t>
      </w:r>
      <w:r w:rsidRPr="00456038">
        <w:rPr>
          <w:rStyle w:val="StyleUnderline"/>
          <w:highlight w:val="cyan"/>
        </w:rPr>
        <w:t>the</w:t>
      </w:r>
      <w:r w:rsidRPr="00684BF3">
        <w:rPr>
          <w:rStyle w:val="StyleUnderline"/>
        </w:rPr>
        <w:t xml:space="preserve"> “</w:t>
      </w:r>
      <w:r w:rsidRPr="00456038">
        <w:rPr>
          <w:rStyle w:val="Emphasis"/>
          <w:highlight w:val="cyan"/>
        </w:rPr>
        <w:t>CRISPR revolution</w:t>
      </w:r>
      <w:r w:rsidRPr="00684BF3">
        <w:rPr>
          <w:rStyle w:val="StyleUnderline"/>
        </w:rPr>
        <w:t xml:space="preserve">” could </w:t>
      </w:r>
      <w:r w:rsidRPr="00456038">
        <w:rPr>
          <w:rStyle w:val="StyleUnderline"/>
          <w:highlight w:val="cyan"/>
        </w:rPr>
        <w:t>give humans</w:t>
      </w:r>
      <w:r w:rsidRPr="00684BF3">
        <w:rPr>
          <w:rStyle w:val="StyleUnderline"/>
        </w:rPr>
        <w:t xml:space="preserve"> the </w:t>
      </w:r>
      <w:r w:rsidRPr="00456038">
        <w:rPr>
          <w:rStyle w:val="StyleUnderline"/>
          <w:highlight w:val="cyan"/>
        </w:rPr>
        <w:t>power over evolution to</w:t>
      </w:r>
      <w:r w:rsidRPr="00684BF3">
        <w:rPr>
          <w:rStyle w:val="StyleUnderline"/>
        </w:rPr>
        <w:t xml:space="preserve"> “</w:t>
      </w:r>
      <w:r w:rsidRPr="00456038">
        <w:rPr>
          <w:rStyle w:val="Emphasis"/>
          <w:highlight w:val="cyan"/>
        </w:rPr>
        <w:t>rewrite</w:t>
      </w:r>
      <w:r w:rsidRPr="00684BF3">
        <w:rPr>
          <w:rStyle w:val="StyleUnderline"/>
        </w:rPr>
        <w:t xml:space="preserve"> the </w:t>
      </w:r>
      <w:r w:rsidRPr="00456038">
        <w:rPr>
          <w:rStyle w:val="Emphasis"/>
          <w:highlight w:val="cyan"/>
        </w:rPr>
        <w:t>code of life</w:t>
      </w:r>
      <w:r w:rsidRPr="00684BF3">
        <w:rPr>
          <w:rStyle w:val="StyleUnderline"/>
        </w:rPr>
        <w:t>,” including “gene-</w:t>
      </w:r>
      <w:r w:rsidRPr="00684BF3">
        <w:rPr>
          <w:rStyle w:val="Emphasis"/>
        </w:rPr>
        <w:t>editing</w:t>
      </w:r>
      <w:r w:rsidRPr="00684BF3">
        <w:rPr>
          <w:rStyle w:val="StyleUnderline"/>
        </w:rPr>
        <w:t xml:space="preserve">” of the </w:t>
      </w:r>
      <w:r w:rsidRPr="00684BF3">
        <w:rPr>
          <w:rStyle w:val="Emphasis"/>
        </w:rPr>
        <w:t>human germ line</w:t>
      </w:r>
      <w:r w:rsidRPr="00684BF3">
        <w:rPr>
          <w:sz w:val="16"/>
        </w:rPr>
        <w:t xml:space="preserve"> or large-scale “</w:t>
      </w:r>
      <w:r w:rsidRPr="00684BF3">
        <w:rPr>
          <w:rStyle w:val="StyleUnderline"/>
        </w:rPr>
        <w:t>gene-drives” in nature</w:t>
      </w:r>
      <w:r w:rsidRPr="00684BF3">
        <w:rPr>
          <w:sz w:val="16"/>
        </w:rPr>
        <w:t xml:space="preserve">) (Doudna and Sternberg 2017); </w:t>
      </w:r>
      <w:r w:rsidRPr="00456038">
        <w:rPr>
          <w:rStyle w:val="Emphasis"/>
          <w:highlight w:val="cyan"/>
        </w:rPr>
        <w:t>nanotech</w:t>
      </w:r>
      <w:r w:rsidRPr="00684BF3">
        <w:rPr>
          <w:rStyle w:val="StyleUnderline"/>
        </w:rPr>
        <w:t>nology</w:t>
      </w:r>
      <w:r w:rsidRPr="00684BF3">
        <w:rPr>
          <w:sz w:val="16"/>
        </w:rPr>
        <w:t xml:space="preserve"> (e.g., </w:t>
      </w:r>
      <w:r w:rsidRPr="00456038">
        <w:rPr>
          <w:rStyle w:val="StyleUnderline"/>
          <w:highlight w:val="cyan"/>
        </w:rPr>
        <w:t>the</w:t>
      </w:r>
      <w:r w:rsidRPr="00684BF3">
        <w:rPr>
          <w:sz w:val="16"/>
        </w:rPr>
        <w:t xml:space="preserve"> so-called “</w:t>
      </w:r>
      <w:r w:rsidRPr="00456038">
        <w:rPr>
          <w:rStyle w:val="Emphasis"/>
          <w:highlight w:val="cyan"/>
        </w:rPr>
        <w:t>grey goo</w:t>
      </w:r>
      <w:r w:rsidRPr="00684BF3">
        <w:rPr>
          <w:rStyle w:val="StyleUnderline"/>
        </w:rPr>
        <w:t xml:space="preserve">” </w:t>
      </w:r>
      <w:r w:rsidRPr="00456038">
        <w:rPr>
          <w:rStyle w:val="Emphasis"/>
          <w:highlight w:val="cyan"/>
        </w:rPr>
        <w:t>scenario</w:t>
      </w:r>
      <w:r w:rsidRPr="00684BF3">
        <w:rPr>
          <w:rStyle w:val="StyleUnderline"/>
        </w:rPr>
        <w:t xml:space="preserve">, whereby </w:t>
      </w:r>
      <w:r w:rsidRPr="00456038">
        <w:rPr>
          <w:rStyle w:val="StyleUnderline"/>
          <w:highlight w:val="cyan"/>
        </w:rPr>
        <w:t>self-replicating</w:t>
      </w:r>
      <w:r w:rsidRPr="00684BF3">
        <w:rPr>
          <w:rStyle w:val="StyleUnderline"/>
        </w:rPr>
        <w:t xml:space="preserve"> nano</w:t>
      </w:r>
      <w:r w:rsidRPr="00456038">
        <w:rPr>
          <w:rStyle w:val="StyleUnderline"/>
          <w:highlight w:val="cyan"/>
        </w:rPr>
        <w:t>tech</w:t>
      </w:r>
      <w:r w:rsidRPr="00684BF3">
        <w:rPr>
          <w:rStyle w:val="StyleUnderline"/>
        </w:rPr>
        <w:t xml:space="preserve">nology could </w:t>
      </w:r>
      <w:r w:rsidRPr="00456038">
        <w:rPr>
          <w:rStyle w:val="Emphasis"/>
          <w:highlight w:val="cyan"/>
        </w:rPr>
        <w:t>proliferate</w:t>
      </w:r>
      <w:r w:rsidRPr="00684BF3">
        <w:rPr>
          <w:rStyle w:val="StyleUnderline"/>
        </w:rPr>
        <w:t xml:space="preserve"> exponentially and uncontrollably</w:t>
      </w:r>
      <w:r w:rsidRPr="00684BF3">
        <w:rPr>
          <w:sz w:val="16"/>
        </w:rPr>
        <w:t xml:space="preserve"> until </w:t>
      </w:r>
      <w:r w:rsidRPr="00456038">
        <w:rPr>
          <w:rStyle w:val="StyleUnderline"/>
          <w:highlight w:val="cyan"/>
        </w:rPr>
        <w:t xml:space="preserve">the entire </w:t>
      </w:r>
      <w:r w:rsidRPr="00456038">
        <w:rPr>
          <w:rStyle w:val="Emphasis"/>
          <w:highlight w:val="cyan"/>
        </w:rPr>
        <w:t>biosphere</w:t>
      </w:r>
      <w:r w:rsidRPr="00684BF3">
        <w:rPr>
          <w:rStyle w:val="StyleUnderline"/>
        </w:rPr>
        <w:t xml:space="preserve"> is </w:t>
      </w:r>
      <w:r w:rsidRPr="00456038">
        <w:rPr>
          <w:rStyle w:val="StyleUnderline"/>
          <w:highlight w:val="cyan"/>
        </w:rPr>
        <w:t xml:space="preserve">converted into </w:t>
      </w:r>
      <w:r w:rsidRPr="00456038">
        <w:rPr>
          <w:rStyle w:val="Emphasis"/>
          <w:highlight w:val="cyan"/>
        </w:rPr>
        <w:t>nanomachines</w:t>
      </w:r>
      <w:r w:rsidRPr="00684BF3">
        <w:rPr>
          <w:sz w:val="16"/>
        </w:rPr>
        <w:t xml:space="preserve">) (Drexler 2006); </w:t>
      </w:r>
      <w:r w:rsidRPr="00456038">
        <w:rPr>
          <w:rStyle w:val="StyleUnderline"/>
          <w:highlight w:val="cyan"/>
        </w:rPr>
        <w:t xml:space="preserve">and </w:t>
      </w:r>
      <w:r w:rsidRPr="00456038">
        <w:rPr>
          <w:rStyle w:val="Emphasis"/>
          <w:highlight w:val="cyan"/>
        </w:rPr>
        <w:t>artificial intelligence</w:t>
      </w:r>
      <w:r w:rsidRPr="00684BF3">
        <w:rPr>
          <w:sz w:val="16"/>
        </w:rPr>
        <w:t xml:space="preserve"> (e.g., </w:t>
      </w:r>
      <w:r w:rsidRPr="00684BF3">
        <w:rPr>
          <w:rStyle w:val="StyleUnderline"/>
        </w:rPr>
        <w:t>the possibility of artificial “</w:t>
      </w:r>
      <w:r w:rsidRPr="00684BF3">
        <w:rPr>
          <w:rStyle w:val="Emphasis"/>
        </w:rPr>
        <w:t>superintelligence</w:t>
      </w:r>
      <w:r w:rsidRPr="00684BF3">
        <w:rPr>
          <w:rStyle w:val="StyleUnderline"/>
        </w:rPr>
        <w:t>”).</w:t>
      </w:r>
    </w:p>
    <w:p w14:paraId="1BA965B6" w14:textId="77777777" w:rsidR="00516959" w:rsidRPr="00684BF3" w:rsidRDefault="00516959" w:rsidP="00516959">
      <w:pPr>
        <w:rPr>
          <w:sz w:val="16"/>
        </w:rPr>
      </w:pPr>
      <w:r w:rsidRPr="00684BF3">
        <w:rPr>
          <w:sz w:val="16"/>
        </w:rPr>
        <w:t xml:space="preserve">Perhaps </w:t>
      </w:r>
      <w:r w:rsidRPr="00456038">
        <w:rPr>
          <w:rStyle w:val="StyleUnderline"/>
          <w:highlight w:val="cyan"/>
        </w:rPr>
        <w:t>AI</w:t>
      </w:r>
      <w:r w:rsidRPr="00684BF3">
        <w:rPr>
          <w:rStyle w:val="StyleUnderline"/>
        </w:rPr>
        <w:t xml:space="preserve"> best </w:t>
      </w:r>
      <w:r w:rsidRPr="00456038">
        <w:rPr>
          <w:rStyle w:val="StyleUnderline"/>
          <w:highlight w:val="cyan"/>
        </w:rPr>
        <w:t>captures</w:t>
      </w:r>
      <w:r w:rsidRPr="00684BF3">
        <w:rPr>
          <w:rStyle w:val="StyleUnderline"/>
        </w:rPr>
        <w:t xml:space="preserve"> </w:t>
      </w:r>
      <w:r w:rsidRPr="00456038">
        <w:rPr>
          <w:rStyle w:val="StyleUnderline"/>
          <w:highlight w:val="cyan"/>
        </w:rPr>
        <w:t>the threat of</w:t>
      </w:r>
      <w:r w:rsidRPr="00684BF3">
        <w:rPr>
          <w:rStyle w:val="StyleUnderline"/>
        </w:rPr>
        <w:t xml:space="preserve"> technological </w:t>
      </w:r>
      <w:r w:rsidRPr="00456038">
        <w:rPr>
          <w:rStyle w:val="Emphasis"/>
          <w:highlight w:val="cyan"/>
        </w:rPr>
        <w:t>loss of control</w:t>
      </w:r>
      <w:r w:rsidRPr="00684BF3">
        <w:rPr>
          <w:sz w:val="16"/>
        </w:rPr>
        <w:t xml:space="preserve">. Artificial intelligence is broadly defined as digital technologies or computers “that are capable of performing tasks commonly thought to require intelligence” (Brundage et al. 2018, 9). Currently, </w:t>
      </w:r>
      <w:r w:rsidRPr="00684BF3">
        <w:rPr>
          <w:rStyle w:val="StyleUnderline"/>
        </w:rPr>
        <w:t>progress in AI is being driven by a combination of gains in hardware</w:t>
      </w:r>
      <w:r w:rsidRPr="00684BF3">
        <w:rPr>
          <w:sz w:val="16"/>
        </w:rPr>
        <w:t xml:space="preserve"> (e.g., the exponential growth in computing power described by “Moore’s Law”), </w:t>
      </w:r>
      <w:r w:rsidRPr="00684BF3">
        <w:rPr>
          <w:rStyle w:val="StyleUnderline"/>
        </w:rPr>
        <w:t>software</w:t>
      </w:r>
      <w:r w:rsidRPr="00684BF3">
        <w:rPr>
          <w:sz w:val="16"/>
        </w:rPr>
        <w:t xml:space="preserve"> (e.g., “</w:t>
      </w:r>
      <w:r w:rsidRPr="00684BF3">
        <w:rPr>
          <w:rStyle w:val="StyleUnderline"/>
        </w:rPr>
        <w:t>machine learning</w:t>
      </w:r>
      <w:r w:rsidRPr="00684BF3">
        <w:rPr>
          <w:sz w:val="16"/>
        </w:rPr>
        <w:t xml:space="preserve">” algorithms and techniques, </w:t>
      </w:r>
      <w:r w:rsidRPr="00684BF3">
        <w:rPr>
          <w:rStyle w:val="StyleUnderline"/>
        </w:rPr>
        <w:t>such as “neural networks” and “deep learning”</w:t>
      </w:r>
      <w:r w:rsidRPr="00684BF3">
        <w:rPr>
          <w:sz w:val="16"/>
        </w:rPr>
        <w:t xml:space="preserve">), and data (e.g., the abundance of digital information on the Internet) (Bostrom 2014). </w:t>
      </w:r>
      <w:r w:rsidRPr="00684BF3">
        <w:rPr>
          <w:rStyle w:val="StyleUnderline"/>
        </w:rPr>
        <w:t>Today’s AI are “narrow” systems</w:t>
      </w:r>
      <w:r w:rsidRPr="00684BF3">
        <w:rPr>
          <w:sz w:val="16"/>
        </w:rPr>
        <w:t xml:space="preserve"> that can achieve or surpass human-level intelligence only in specific domains—as demonstrated in November 2017, when “AlphaGo” beat the world champion, Ke Jie, at the strategy game “Go.” </w:t>
      </w:r>
      <w:r w:rsidRPr="00684BF3">
        <w:rPr>
          <w:rStyle w:val="StyleUnderline"/>
        </w:rPr>
        <w:t>The idea that computers could one day possess human-level “general” intelligence</w:t>
      </w:r>
      <w:r w:rsidRPr="00684BF3">
        <w:rPr>
          <w:sz w:val="16"/>
        </w:rPr>
        <w:t xml:space="preserve"> was first suggested by none other than Alan Turing, who </w:t>
      </w:r>
      <w:r w:rsidRPr="00684BF3">
        <w:rPr>
          <w:rStyle w:val="StyleUnderline"/>
        </w:rPr>
        <w:t>described a test—the “</w:t>
      </w:r>
      <w:r w:rsidRPr="00456038">
        <w:rPr>
          <w:rStyle w:val="Emphasis"/>
          <w:highlight w:val="cyan"/>
        </w:rPr>
        <w:t>Turing Test</w:t>
      </w:r>
      <w:r w:rsidRPr="00684BF3">
        <w:rPr>
          <w:rStyle w:val="StyleUnderline"/>
        </w:rPr>
        <w:t xml:space="preserve">”—in which </w:t>
      </w:r>
      <w:r w:rsidRPr="00456038">
        <w:rPr>
          <w:rStyle w:val="StyleUnderline"/>
          <w:highlight w:val="cyan"/>
        </w:rPr>
        <w:t>a computer</w:t>
      </w:r>
      <w:r w:rsidRPr="00684BF3">
        <w:rPr>
          <w:rStyle w:val="StyleUnderline"/>
        </w:rPr>
        <w:t xml:space="preserve"> would</w:t>
      </w:r>
      <w:r w:rsidRPr="00684BF3">
        <w:rPr>
          <w:sz w:val="16"/>
        </w:rPr>
        <w:t xml:space="preserve"> successfully </w:t>
      </w:r>
      <w:r w:rsidRPr="00456038">
        <w:rPr>
          <w:rStyle w:val="Emphasis"/>
          <w:highlight w:val="cyan"/>
        </w:rPr>
        <w:t>persuade a human</w:t>
      </w:r>
      <w:r w:rsidRPr="00684BF3">
        <w:rPr>
          <w:rStyle w:val="StyleUnderline"/>
        </w:rPr>
        <w:t xml:space="preserve"> observer that </w:t>
      </w:r>
      <w:r w:rsidRPr="00456038">
        <w:rPr>
          <w:rStyle w:val="Emphasis"/>
          <w:highlight w:val="cyan"/>
        </w:rPr>
        <w:t>it was human</w:t>
      </w:r>
      <w:r w:rsidRPr="00684BF3">
        <w:rPr>
          <w:sz w:val="16"/>
        </w:rPr>
        <w:t xml:space="preserve">. Since then, AI experts have frequently expressed the concern that </w:t>
      </w:r>
      <w:r w:rsidRPr="00456038">
        <w:rPr>
          <w:rStyle w:val="Emphasis"/>
          <w:highlight w:val="cyan"/>
        </w:rPr>
        <w:t>AI could</w:t>
      </w:r>
      <w:r w:rsidRPr="00684BF3">
        <w:rPr>
          <w:rStyle w:val="StyleUnderline"/>
        </w:rPr>
        <w:t xml:space="preserve"> one day far </w:t>
      </w:r>
      <w:r w:rsidRPr="00456038">
        <w:rPr>
          <w:rStyle w:val="Emphasis"/>
          <w:highlight w:val="cyan"/>
        </w:rPr>
        <w:t>surpass human beings</w:t>
      </w:r>
      <w:r w:rsidRPr="00684BF3">
        <w:rPr>
          <w:rStyle w:val="StyleUnderline"/>
        </w:rPr>
        <w:t xml:space="preserve"> in general intelligence—i.e., “superintelligence”</w:t>
      </w:r>
      <w:r w:rsidRPr="00684BF3">
        <w:rPr>
          <w:sz w:val="16"/>
        </w:rPr>
        <w:t xml:space="preserve"> (Good 1966; Moravec 1988; Vinge 1993; Kurzweil 2006; Bostrom 2014; Shanahan 2015; Tegmark 2018; Russell 2019). In one scenario, </w:t>
      </w:r>
      <w:r w:rsidRPr="00684BF3">
        <w:rPr>
          <w:rStyle w:val="StyleUnderline"/>
        </w:rPr>
        <w:t xml:space="preserve">an </w:t>
      </w:r>
      <w:r w:rsidRPr="00456038">
        <w:rPr>
          <w:rStyle w:val="StyleUnderline"/>
          <w:highlight w:val="cyan"/>
        </w:rPr>
        <w:t>AI</w:t>
      </w:r>
      <w:r w:rsidRPr="00684BF3">
        <w:rPr>
          <w:rStyle w:val="StyleUnderline"/>
        </w:rPr>
        <w:t xml:space="preserve"> system </w:t>
      </w:r>
      <w:r w:rsidRPr="00456038">
        <w:rPr>
          <w:rStyle w:val="StyleUnderline"/>
          <w:highlight w:val="cyan"/>
        </w:rPr>
        <w:t>pursues</w:t>
      </w:r>
      <w:r w:rsidRPr="00684BF3">
        <w:rPr>
          <w:rStyle w:val="StyleUnderline"/>
        </w:rPr>
        <w:t xml:space="preserve"> the goal of </w:t>
      </w:r>
      <w:r w:rsidRPr="00456038">
        <w:rPr>
          <w:rStyle w:val="StyleUnderline"/>
          <w:highlight w:val="cyan"/>
        </w:rPr>
        <w:t>optimizing its own algorithm</w:t>
      </w:r>
      <w:r w:rsidRPr="00684BF3">
        <w:rPr>
          <w:rStyle w:val="StyleUnderline"/>
        </w:rPr>
        <w:t xml:space="preserve">, which </w:t>
      </w:r>
      <w:r w:rsidRPr="00456038">
        <w:rPr>
          <w:rStyle w:val="StyleUnderline"/>
          <w:highlight w:val="cyan"/>
        </w:rPr>
        <w:t>becomes an accelerating process of</w:t>
      </w:r>
      <w:r w:rsidRPr="00684BF3">
        <w:rPr>
          <w:rStyle w:val="StyleUnderline"/>
        </w:rPr>
        <w:t xml:space="preserve"> self-</w:t>
      </w:r>
      <w:r w:rsidRPr="00456038">
        <w:rPr>
          <w:rStyle w:val="StyleUnderline"/>
          <w:highlight w:val="cyan"/>
        </w:rPr>
        <w:t>recurring improvements</w:t>
      </w:r>
      <w:r w:rsidRPr="00684BF3">
        <w:rPr>
          <w:sz w:val="16"/>
        </w:rPr>
        <w:t>—</w:t>
      </w:r>
      <w:r w:rsidRPr="00456038">
        <w:rPr>
          <w:rStyle w:val="StyleUnderline"/>
          <w:highlight w:val="cyan"/>
        </w:rPr>
        <w:t>an</w:t>
      </w:r>
      <w:r w:rsidRPr="00684BF3">
        <w:rPr>
          <w:rStyle w:val="StyleUnderline"/>
        </w:rPr>
        <w:t xml:space="preserve"> “</w:t>
      </w:r>
      <w:r w:rsidRPr="00456038">
        <w:rPr>
          <w:rStyle w:val="Emphasis"/>
          <w:highlight w:val="cyan"/>
        </w:rPr>
        <w:t>intelligence explosion</w:t>
      </w:r>
      <w:r w:rsidRPr="00684BF3">
        <w:rPr>
          <w:rStyle w:val="StyleUnderline"/>
        </w:rPr>
        <w:t>”</w:t>
      </w:r>
      <w:r w:rsidRPr="00684BF3">
        <w:rPr>
          <w:sz w:val="16"/>
        </w:rPr>
        <w:t xml:space="preserve">—that </w:t>
      </w:r>
      <w:r w:rsidRPr="00456038">
        <w:rPr>
          <w:rStyle w:val="StyleUnderline"/>
          <w:highlight w:val="cyan"/>
        </w:rPr>
        <w:t>approaches</w:t>
      </w:r>
      <w:r w:rsidRPr="00684BF3">
        <w:rPr>
          <w:rStyle w:val="StyleUnderline"/>
        </w:rPr>
        <w:t xml:space="preserve"> a </w:t>
      </w:r>
      <w:r w:rsidRPr="00684BF3">
        <w:rPr>
          <w:rStyle w:val="Emphasis"/>
        </w:rPr>
        <w:t>near-</w:t>
      </w:r>
      <w:r w:rsidRPr="00456038">
        <w:rPr>
          <w:rStyle w:val="Emphasis"/>
          <w:highlight w:val="cyan"/>
        </w:rPr>
        <w:t xml:space="preserve">vertical ascent </w:t>
      </w:r>
      <w:r w:rsidRPr="00456038">
        <w:rPr>
          <w:rStyle w:val="StyleUnderline"/>
          <w:highlight w:val="cyan"/>
        </w:rPr>
        <w:t>in capabilities</w:t>
      </w:r>
      <w:r w:rsidRPr="00684BF3">
        <w:rPr>
          <w:sz w:val="16"/>
        </w:rPr>
        <w:t xml:space="preserve">—the “singularity.” The essence of </w:t>
      </w:r>
      <w:r w:rsidRPr="00684BF3">
        <w:rPr>
          <w:rStyle w:val="StyleUnderline"/>
        </w:rPr>
        <w:t>the “control problem” is about figuring out how to properly align the goals of AI with humanity before an “intelligence explosion</w:t>
      </w:r>
      <w:r w:rsidRPr="00684BF3">
        <w:rPr>
          <w:sz w:val="16"/>
        </w:rPr>
        <w:t>”; for once superintelligence exists it could become impossible for humans to control (Bostrom 2014; Shanahan 2015; Tegmark 2018; Russell 2019).</w:t>
      </w:r>
    </w:p>
    <w:p w14:paraId="4CAFA9C5" w14:textId="77777777" w:rsidR="00516959" w:rsidRPr="00D10287" w:rsidRDefault="00516959" w:rsidP="00516959">
      <w:pPr>
        <w:pStyle w:val="Heading4"/>
        <w:rPr>
          <w:szCs w:val="26"/>
        </w:rPr>
      </w:pPr>
      <w:r>
        <w:rPr>
          <w:szCs w:val="26"/>
        </w:rPr>
        <w:t xml:space="preserve">Failure to regulate </w:t>
      </w:r>
      <w:r>
        <w:rPr>
          <w:szCs w:val="26"/>
          <w:u w:val="single"/>
        </w:rPr>
        <w:t>alone</w:t>
      </w:r>
      <w:r>
        <w:rPr>
          <w:szCs w:val="26"/>
        </w:rPr>
        <w:t xml:space="preserve"> extinguishes humanity.</w:t>
      </w:r>
    </w:p>
    <w:p w14:paraId="0A10BC51" w14:textId="77777777" w:rsidR="00516959" w:rsidRPr="00684BF3" w:rsidRDefault="00516959" w:rsidP="00516959">
      <w:r w:rsidRPr="00C80CAB">
        <w:rPr>
          <w:rStyle w:val="Heading4Char"/>
          <w:szCs w:val="26"/>
        </w:rPr>
        <w:t>Critch &amp; Krueger 20</w:t>
      </w:r>
      <w:r w:rsidRPr="00684BF3">
        <w:t xml:space="preserve"> – (Andrew Critch, PhD, Center for Human-Compatible AI, UC Berkeley; David Krueger, MILA, Université de Montréal; “AI Research Considerations for Human Existential Safety (ARCHES)”; Cornell University Press; D.A. June 30</w:t>
      </w:r>
      <w:r w:rsidRPr="00684BF3">
        <w:rPr>
          <w:vertAlign w:val="superscript"/>
        </w:rPr>
        <w:t>th</w:t>
      </w:r>
      <w:r w:rsidRPr="00684BF3">
        <w:t xml:space="preserve"> 2020, [Published June 11</w:t>
      </w:r>
      <w:r w:rsidRPr="00684BF3">
        <w:rPr>
          <w:vertAlign w:val="superscript"/>
        </w:rPr>
        <w:t>th</w:t>
      </w:r>
      <w:r w:rsidRPr="00684BF3">
        <w:t xml:space="preserve"> 2020]; </w:t>
      </w:r>
      <w:hyperlink r:id="rId304" w:history="1">
        <w:r w:rsidRPr="00684BF3">
          <w:rPr>
            <w:rStyle w:val="Hyperlink"/>
          </w:rPr>
          <w:t>https://arxiv.org/pdf/2006.04948.pdf</w:t>
        </w:r>
      </w:hyperlink>
      <w:r w:rsidRPr="00684BF3">
        <w:t>) //LFS—JCM</w:t>
      </w:r>
    </w:p>
    <w:p w14:paraId="3F15296C" w14:textId="77777777" w:rsidR="00516959" w:rsidRPr="00684BF3" w:rsidRDefault="00516959" w:rsidP="00516959">
      <w:pPr>
        <w:rPr>
          <w:sz w:val="16"/>
        </w:rPr>
      </w:pPr>
      <w:r w:rsidRPr="00684BF3">
        <w:rPr>
          <w:sz w:val="16"/>
        </w:rPr>
        <w:t xml:space="preserve">This risk type comprises scenarios wherein </w:t>
      </w:r>
      <w:r w:rsidRPr="00684BF3">
        <w:rPr>
          <w:rStyle w:val="Emphasis"/>
        </w:rPr>
        <w:t>two teams</w:t>
      </w:r>
      <w:r w:rsidRPr="00684BF3">
        <w:rPr>
          <w:rStyle w:val="StyleUnderline"/>
        </w:rPr>
        <w:t xml:space="preserve"> are </w:t>
      </w:r>
      <w:r w:rsidRPr="00684BF3">
        <w:rPr>
          <w:rStyle w:val="Emphasis"/>
        </w:rPr>
        <w:t>in competition</w:t>
      </w:r>
      <w:r w:rsidRPr="00684BF3">
        <w:rPr>
          <w:rStyle w:val="StyleUnderline"/>
        </w:rPr>
        <w:t xml:space="preserve"> to </w:t>
      </w:r>
      <w:r w:rsidRPr="00684BF3">
        <w:rPr>
          <w:rStyle w:val="Emphasis"/>
        </w:rPr>
        <w:t>develop</w:t>
      </w:r>
      <w:r w:rsidRPr="00684BF3">
        <w:rPr>
          <w:rStyle w:val="StyleUnderline"/>
        </w:rPr>
        <w:t xml:space="preserve"> powerful </w:t>
      </w:r>
      <w:r w:rsidRPr="00684BF3">
        <w:rPr>
          <w:rStyle w:val="Emphasis"/>
        </w:rPr>
        <w:t>AI</w:t>
      </w:r>
      <w:r w:rsidRPr="00684BF3">
        <w:rPr>
          <w:rStyle w:val="StyleUnderline"/>
        </w:rPr>
        <w:t xml:space="preserve"> systems</w:t>
      </w:r>
      <w:r w:rsidRPr="00684BF3">
        <w:rPr>
          <w:sz w:val="16"/>
        </w:rPr>
        <w:t xml:space="preserve"> with the hope that the more successful of the teams might </w:t>
      </w:r>
      <w:r w:rsidRPr="00684BF3">
        <w:rPr>
          <w:rStyle w:val="Emphasis"/>
        </w:rPr>
        <w:t xml:space="preserve">achieve wealth or power </w:t>
      </w:r>
      <w:r w:rsidRPr="00684BF3">
        <w:rPr>
          <w:rStyle w:val="StyleUnderline"/>
        </w:rPr>
        <w:t>from the deployment of their system</w:t>
      </w:r>
      <w:r w:rsidRPr="00684BF3">
        <w:rPr>
          <w:sz w:val="16"/>
        </w:rPr>
        <w:t xml:space="preserve">, and where each team is motivated by their competitive incentives to take risks that would be considered irresponsible from a societal perspective. Even if each competing team knows about the challenges of aligning their systems with human existence, </w:t>
      </w:r>
      <w:r w:rsidRPr="00684BF3">
        <w:rPr>
          <w:rStyle w:val="StyleUnderline"/>
        </w:rPr>
        <w:t xml:space="preserve">they might be tempted to </w:t>
      </w:r>
      <w:r w:rsidRPr="00684BF3">
        <w:rPr>
          <w:rStyle w:val="Emphasis"/>
        </w:rPr>
        <w:t>divert resources away from safety</w:t>
      </w:r>
      <w:r w:rsidRPr="00684BF3">
        <w:rPr>
          <w:rStyle w:val="StyleUnderline"/>
        </w:rPr>
        <w:t xml:space="preserve"> measures</w:t>
      </w:r>
      <w:r w:rsidRPr="00684BF3">
        <w:rPr>
          <w:sz w:val="16"/>
        </w:rPr>
        <w:t xml:space="preserve"> in order </w:t>
      </w:r>
      <w:r w:rsidRPr="00684BF3">
        <w:rPr>
          <w:rStyle w:val="StyleUnderline"/>
        </w:rPr>
        <w:t xml:space="preserve">to </w:t>
      </w:r>
      <w:r w:rsidRPr="00684BF3">
        <w:rPr>
          <w:rStyle w:val="Emphasis"/>
        </w:rPr>
        <w:t>best the competition</w:t>
      </w:r>
      <w:r w:rsidRPr="00684BF3">
        <w:rPr>
          <w:rStyle w:val="StyleUnderline"/>
        </w:rPr>
        <w:t xml:space="preserve"> with superior capabilities</w:t>
      </w:r>
      <w:r w:rsidRPr="00684BF3">
        <w:rPr>
          <w:sz w:val="16"/>
        </w:rPr>
        <w:t>.</w:t>
      </w:r>
    </w:p>
    <w:p w14:paraId="29E2DE57" w14:textId="77777777" w:rsidR="00516959" w:rsidRPr="00684BF3" w:rsidRDefault="00516959" w:rsidP="00516959">
      <w:pPr>
        <w:rPr>
          <w:sz w:val="16"/>
        </w:rPr>
      </w:pPr>
      <w:r w:rsidRPr="00684BF3">
        <w:rPr>
          <w:rStyle w:val="StyleUnderline"/>
        </w:rPr>
        <w:t>This</w:t>
      </w:r>
      <w:r w:rsidRPr="00684BF3">
        <w:rPr>
          <w:sz w:val="16"/>
        </w:rPr>
        <w:t xml:space="preserve"> sort of </w:t>
      </w:r>
      <w:r w:rsidRPr="00684BF3">
        <w:rPr>
          <w:rStyle w:val="StyleUnderline"/>
        </w:rPr>
        <w:t xml:space="preserve">development race </w:t>
      </w:r>
      <w:r w:rsidRPr="00684BF3">
        <w:rPr>
          <w:rStyle w:val="Emphasis"/>
        </w:rPr>
        <w:t>exacerbates</w:t>
      </w:r>
      <w:r w:rsidRPr="00684BF3">
        <w:rPr>
          <w:rStyle w:val="StyleUnderline"/>
        </w:rPr>
        <w:t xml:space="preserve"> the probability of Tier 1 </w:t>
      </w:r>
      <w:r w:rsidRPr="00684BF3">
        <w:rPr>
          <w:rStyle w:val="Emphasis"/>
        </w:rPr>
        <w:t>risks</w:t>
      </w:r>
      <w:r w:rsidRPr="00684BF3">
        <w:rPr>
          <w:sz w:val="16"/>
        </w:rPr>
        <w:t xml:space="preserve"> (MPAI </w:t>
      </w:r>
      <w:r w:rsidRPr="00684BF3">
        <w:rPr>
          <w:rStyle w:val="StyleUnderline"/>
        </w:rPr>
        <w:t>deployment events</w:t>
      </w:r>
      <w:r w:rsidRPr="00684BF3">
        <w:rPr>
          <w:sz w:val="16"/>
        </w:rPr>
        <w:t>), specifically Type 1a, 1b, and 1c risks (</w:t>
      </w:r>
      <w:r w:rsidRPr="00684BF3">
        <w:rPr>
          <w:rStyle w:val="StyleUnderline"/>
        </w:rPr>
        <w:t>uncoordinated</w:t>
      </w:r>
      <w:r w:rsidRPr="00684BF3">
        <w:rPr>
          <w:sz w:val="16"/>
        </w:rPr>
        <w:t xml:space="preserve"> MPAI </w:t>
      </w:r>
      <w:r w:rsidRPr="00684BF3">
        <w:rPr>
          <w:rStyle w:val="StyleUnderline"/>
        </w:rPr>
        <w:t>development</w:t>
      </w:r>
      <w:r w:rsidRPr="00684BF3">
        <w:rPr>
          <w:sz w:val="16"/>
        </w:rPr>
        <w:t xml:space="preserve">, unrecognized prepotence, </w:t>
      </w:r>
      <w:r w:rsidRPr="00684BF3">
        <w:rPr>
          <w:rStyle w:val="StyleUnderline"/>
        </w:rPr>
        <w:t>and unrecognized misalignment</w:t>
      </w:r>
      <w:r w:rsidRPr="00684BF3">
        <w:rPr>
          <w:sz w:val="16"/>
        </w:rPr>
        <w:t xml:space="preserve">). This conclusion has also been argued by </w:t>
      </w:r>
      <w:r w:rsidRPr="00684BF3">
        <w:rPr>
          <w:rStyle w:val="Emphasis"/>
        </w:rPr>
        <w:t>Bostrom</w:t>
      </w:r>
      <w:r w:rsidRPr="00684BF3">
        <w:rPr>
          <w:sz w:val="16"/>
        </w:rPr>
        <w:t xml:space="preserve"> (2014) </w:t>
      </w:r>
      <w:r w:rsidRPr="00684BF3">
        <w:rPr>
          <w:rStyle w:val="Emphasis"/>
        </w:rPr>
        <w:t>and Armstrong</w:t>
      </w:r>
      <w:r w:rsidRPr="00684BF3">
        <w:rPr>
          <w:rStyle w:val="StyleUnderline"/>
        </w:rPr>
        <w:t xml:space="preserve"> et al.</w:t>
      </w:r>
      <w:r w:rsidRPr="00684BF3">
        <w:rPr>
          <w:sz w:val="16"/>
        </w:rPr>
        <w:t xml:space="preserve"> (2016). Moreover, Type 1d risk (involuntary MPAI deployment) is increased because </w:t>
      </w:r>
      <w:r w:rsidRPr="00684BF3">
        <w:rPr>
          <w:rStyle w:val="Emphasis"/>
        </w:rPr>
        <w:t>security measures</w:t>
      </w:r>
      <w:r w:rsidRPr="00684BF3">
        <w:rPr>
          <w:rStyle w:val="StyleUnderline"/>
        </w:rPr>
        <w:t xml:space="preserve"> against unauthorized or accidental deployments are </w:t>
      </w:r>
      <w:r w:rsidRPr="00684BF3">
        <w:rPr>
          <w:rStyle w:val="Emphasis"/>
        </w:rPr>
        <w:t>more difficult</w:t>
      </w:r>
      <w:r w:rsidRPr="00684BF3">
        <w:rPr>
          <w:sz w:val="16"/>
        </w:rPr>
        <w:t xml:space="preserve"> to implement </w:t>
      </w:r>
      <w:r w:rsidRPr="00684BF3">
        <w:rPr>
          <w:rStyle w:val="Emphasis"/>
        </w:rPr>
        <w:t>in a hurry</w:t>
      </w:r>
      <w:r w:rsidRPr="00684BF3">
        <w:rPr>
          <w:sz w:val="16"/>
        </w:rPr>
        <w:t xml:space="preserve">, to reduce the chances of hazardous post-deployment interactions with the system. Finally, </w:t>
      </w:r>
      <w:r w:rsidRPr="00684BF3">
        <w:rPr>
          <w:rStyle w:val="StyleUnderline"/>
        </w:rPr>
        <w:t xml:space="preserve">if one of the development groups is a </w:t>
      </w:r>
      <w:r w:rsidRPr="00684BF3">
        <w:rPr>
          <w:rStyle w:val="Emphasis"/>
        </w:rPr>
        <w:t>military</w:t>
      </w:r>
      <w:r w:rsidRPr="00684BF3">
        <w:rPr>
          <w:rStyle w:val="StyleUnderline"/>
        </w:rPr>
        <w:t xml:space="preserve"> or </w:t>
      </w:r>
      <w:r w:rsidRPr="00684BF3">
        <w:rPr>
          <w:rStyle w:val="Emphasis"/>
        </w:rPr>
        <w:t>terrorist organization</w:t>
      </w:r>
      <w:r w:rsidRPr="00684BF3">
        <w:rPr>
          <w:sz w:val="16"/>
        </w:rPr>
        <w:t xml:space="preserve">, </w:t>
      </w:r>
      <w:r w:rsidRPr="00684BF3">
        <w:rPr>
          <w:rStyle w:val="StyleUnderline"/>
        </w:rPr>
        <w:t>they</w:t>
      </w:r>
      <w:r w:rsidRPr="00684BF3">
        <w:rPr>
          <w:sz w:val="16"/>
        </w:rPr>
        <w:t xml:space="preserve"> might decide to </w:t>
      </w:r>
      <w:r w:rsidRPr="00684BF3">
        <w:rPr>
          <w:rStyle w:val="StyleUnderline"/>
        </w:rPr>
        <w:t xml:space="preserve">deploy their technology in a desperate attempt to </w:t>
      </w:r>
      <w:r w:rsidRPr="00684BF3">
        <w:rPr>
          <w:rStyle w:val="Emphasis"/>
        </w:rPr>
        <w:t>overthrow their competitors</w:t>
      </w:r>
      <w:r w:rsidRPr="00684BF3">
        <w:rPr>
          <w:rStyle w:val="StyleUnderline"/>
        </w:rPr>
        <w:t xml:space="preserve"> </w:t>
      </w:r>
      <w:r w:rsidRPr="00684BF3">
        <w:rPr>
          <w:sz w:val="16"/>
        </w:rPr>
        <w:t>by force. This would constitute a Type 1e risk (voluntary MPAI deployment).</w:t>
      </w:r>
    </w:p>
    <w:p w14:paraId="7F787BBB" w14:textId="77777777" w:rsidR="00516959" w:rsidRPr="00684BF3" w:rsidRDefault="00516959" w:rsidP="00516959">
      <w:pPr>
        <w:rPr>
          <w:sz w:val="16"/>
        </w:rPr>
      </w:pPr>
      <w:r w:rsidRPr="00684BF3">
        <w:rPr>
          <w:rStyle w:val="StyleUnderline"/>
        </w:rPr>
        <w:t xml:space="preserve">Avoiding this risk </w:t>
      </w:r>
      <w:r w:rsidRPr="00684BF3">
        <w:rPr>
          <w:sz w:val="16"/>
        </w:rPr>
        <w:t xml:space="preserve">type </w:t>
      </w:r>
      <w:r w:rsidRPr="00684BF3">
        <w:rPr>
          <w:rStyle w:val="StyleUnderline"/>
        </w:rPr>
        <w:t>calls for measures to reduce incentives for competing AI development</w:t>
      </w:r>
      <w:r w:rsidRPr="00684BF3">
        <w:rPr>
          <w:sz w:val="16"/>
        </w:rPr>
        <w:t xml:space="preserve"> teams to take socially unacceptable safety risks in the course of developing and deploying their technology.</w:t>
      </w:r>
    </w:p>
    <w:p w14:paraId="4C2FA3C1" w14:textId="77777777" w:rsidR="00516959" w:rsidRPr="00684BF3" w:rsidRDefault="00516959" w:rsidP="00516959">
      <w:pPr>
        <w:rPr>
          <w:sz w:val="16"/>
        </w:rPr>
      </w:pPr>
      <w:r w:rsidRPr="00684BF3">
        <w:rPr>
          <w:sz w:val="16"/>
        </w:rPr>
        <w:t xml:space="preserve">3.2.2 Type 2b: </w:t>
      </w:r>
      <w:r w:rsidRPr="00684BF3">
        <w:rPr>
          <w:rStyle w:val="Emphasis"/>
        </w:rPr>
        <w:t>Economic displacement</w:t>
      </w:r>
      <w:r w:rsidRPr="00684BF3">
        <w:rPr>
          <w:rStyle w:val="StyleUnderline"/>
        </w:rPr>
        <w:t xml:space="preserve"> of </w:t>
      </w:r>
      <w:r w:rsidRPr="00684BF3">
        <w:rPr>
          <w:rStyle w:val="Emphasis"/>
        </w:rPr>
        <w:t>humans</w:t>
      </w:r>
    </w:p>
    <w:p w14:paraId="5AA9EF77" w14:textId="77777777" w:rsidR="00516959" w:rsidRPr="00684BF3" w:rsidRDefault="00516959" w:rsidP="00516959">
      <w:pPr>
        <w:rPr>
          <w:sz w:val="16"/>
        </w:rPr>
      </w:pPr>
      <w:r w:rsidRPr="00684BF3">
        <w:rPr>
          <w:sz w:val="16"/>
        </w:rPr>
        <w:t xml:space="preserve">This risk type comprises scenarios wherein </w:t>
      </w:r>
      <w:r w:rsidRPr="00684BF3">
        <w:rPr>
          <w:rStyle w:val="StyleUnderline"/>
        </w:rPr>
        <w:t xml:space="preserve">most </w:t>
      </w:r>
      <w:r w:rsidRPr="00684BF3">
        <w:rPr>
          <w:rStyle w:val="Emphasis"/>
        </w:rPr>
        <w:t>human</w:t>
      </w:r>
      <w:r w:rsidRPr="00684BF3">
        <w:rPr>
          <w:rStyle w:val="StyleUnderline"/>
        </w:rPr>
        <w:t xml:space="preserve"> person</w:t>
      </w:r>
      <w:r w:rsidRPr="00684BF3">
        <w:rPr>
          <w:rStyle w:val="Emphasis"/>
        </w:rPr>
        <w:t>s</w:t>
      </w:r>
      <w:r w:rsidRPr="00684BF3">
        <w:rPr>
          <w:rStyle w:val="StyleUnderline"/>
        </w:rPr>
        <w:t xml:space="preserve"> have </w:t>
      </w:r>
      <w:r w:rsidRPr="00684BF3">
        <w:rPr>
          <w:rStyle w:val="Emphasis"/>
        </w:rPr>
        <w:t>no power to bid</w:t>
      </w:r>
      <w:r w:rsidRPr="00684BF3">
        <w:rPr>
          <w:rStyle w:val="StyleUnderline"/>
        </w:rPr>
        <w:t xml:space="preserve"> for the continued </w:t>
      </w:r>
      <w:r w:rsidRPr="00684BF3">
        <w:rPr>
          <w:rStyle w:val="Emphasis"/>
        </w:rPr>
        <w:t>preservation of the</w:t>
      </w:r>
      <w:r w:rsidRPr="00684BF3">
        <w:rPr>
          <w:rStyle w:val="StyleUnderline"/>
        </w:rPr>
        <w:t xml:space="preserve"> human </w:t>
      </w:r>
      <w:r w:rsidRPr="00684BF3">
        <w:rPr>
          <w:rStyle w:val="Emphasis"/>
        </w:rPr>
        <w:t>species</w:t>
      </w:r>
      <w:r w:rsidRPr="00684BF3">
        <w:rPr>
          <w:rStyle w:val="StyleUnderline"/>
        </w:rPr>
        <w:t>,</w:t>
      </w:r>
      <w:r w:rsidRPr="00684BF3">
        <w:rPr>
          <w:sz w:val="16"/>
        </w:rPr>
        <w:t xml:space="preserve"> because </w:t>
      </w:r>
      <w:r w:rsidRPr="00684BF3">
        <w:rPr>
          <w:rStyle w:val="StyleUnderline"/>
        </w:rPr>
        <w:t>humans have</w:t>
      </w:r>
      <w:r w:rsidRPr="00684BF3">
        <w:rPr>
          <w:sz w:val="16"/>
        </w:rPr>
        <w:t xml:space="preserve"> mostly </w:t>
      </w:r>
      <w:r w:rsidRPr="00684BF3">
        <w:rPr>
          <w:rStyle w:val="StyleUnderline"/>
        </w:rPr>
        <w:t>been economically displaced by AI systems.</w:t>
      </w:r>
    </w:p>
    <w:p w14:paraId="44548597" w14:textId="77777777" w:rsidR="00516959" w:rsidRPr="00684BF3" w:rsidRDefault="00516959" w:rsidP="00516959">
      <w:pPr>
        <w:rPr>
          <w:sz w:val="16"/>
        </w:rPr>
      </w:pPr>
      <w:r w:rsidRPr="00684BF3">
        <w:rPr>
          <w:sz w:val="16"/>
        </w:rPr>
        <w:t xml:space="preserve">The possibility of </w:t>
      </w:r>
      <w:r w:rsidRPr="00684BF3">
        <w:rPr>
          <w:rStyle w:val="StyleUnderline"/>
        </w:rPr>
        <w:t xml:space="preserve">an </w:t>
      </w:r>
      <w:r w:rsidRPr="00684BF3">
        <w:rPr>
          <w:rStyle w:val="Emphasis"/>
        </w:rPr>
        <w:t>unemployment crisis</w:t>
      </w:r>
      <w:r w:rsidRPr="00684BF3">
        <w:rPr>
          <w:rStyle w:val="StyleUnderline"/>
        </w:rPr>
        <w:t xml:space="preserve"> arising from </w:t>
      </w:r>
      <w:r w:rsidRPr="00684BF3">
        <w:rPr>
          <w:rStyle w:val="Emphasis"/>
        </w:rPr>
        <w:t>automation</w:t>
      </w:r>
      <w:r w:rsidRPr="00684BF3">
        <w:rPr>
          <w:sz w:val="16"/>
        </w:rPr>
        <w:t xml:space="preserve"> has been discussed by numerous authors, e.g., Joy (2011), Ford (2013), Brynjolfsson and McAfee (2014), Brynjolfsson et al. (2014), Russell et al. (2015), Chace (2016), and Frey and Osborne (2017). </w:t>
      </w:r>
      <w:r w:rsidRPr="00684BF3">
        <w:rPr>
          <w:rStyle w:val="StyleUnderline"/>
        </w:rPr>
        <w:t xml:space="preserve">A gradual </w:t>
      </w:r>
      <w:r w:rsidRPr="00684BF3">
        <w:rPr>
          <w:rStyle w:val="Emphasis"/>
        </w:rPr>
        <w:t>replacement of human workers</w:t>
      </w:r>
      <w:r w:rsidRPr="00684BF3">
        <w:rPr>
          <w:rStyle w:val="StyleUnderline"/>
        </w:rPr>
        <w:t xml:space="preserve"> by </w:t>
      </w:r>
      <w:r w:rsidRPr="00684BF3">
        <w:rPr>
          <w:rStyle w:val="Emphasis"/>
        </w:rPr>
        <w:t>AI systems</w:t>
      </w:r>
      <w:r w:rsidRPr="00684BF3">
        <w:rPr>
          <w:rStyle w:val="StyleUnderline"/>
        </w:rPr>
        <w:t xml:space="preserve"> could lead to an economy wherein</w:t>
      </w:r>
      <w:r w:rsidRPr="00684BF3">
        <w:rPr>
          <w:sz w:val="16"/>
        </w:rPr>
        <w:t xml:space="preserve"> most </w:t>
      </w:r>
      <w:r w:rsidRPr="00684BF3">
        <w:rPr>
          <w:rStyle w:val="StyleUnderline"/>
        </w:rPr>
        <w:t>trade and consumption</w:t>
      </w:r>
      <w:r w:rsidRPr="00684BF3">
        <w:rPr>
          <w:sz w:val="16"/>
        </w:rPr>
        <w:t xml:space="preserve"> is </w:t>
      </w:r>
      <w:r w:rsidRPr="00684BF3">
        <w:rPr>
          <w:rStyle w:val="StyleUnderline"/>
        </w:rPr>
        <w:t>carried out by non-human entities</w:t>
      </w:r>
      <w:r w:rsidRPr="00684BF3">
        <w:rPr>
          <w:sz w:val="16"/>
        </w:rPr>
        <w:t>. This is a bleak future from the point of view of many, but not yet a global threat to human survival.</w:t>
      </w:r>
    </w:p>
    <w:p w14:paraId="7995D821" w14:textId="77777777" w:rsidR="00516959" w:rsidRPr="00684BF3" w:rsidRDefault="00516959" w:rsidP="00516959">
      <w:pPr>
        <w:rPr>
          <w:sz w:val="16"/>
        </w:rPr>
      </w:pPr>
      <w:r w:rsidRPr="00684BF3">
        <w:rPr>
          <w:sz w:val="16"/>
        </w:rPr>
        <w:t xml:space="preserve">To see how </w:t>
      </w:r>
      <w:r w:rsidRPr="00684BF3">
        <w:rPr>
          <w:rStyle w:val="StyleUnderline"/>
        </w:rPr>
        <w:t xml:space="preserve">this trend would constitute an </w:t>
      </w:r>
      <w:r w:rsidRPr="00684BF3">
        <w:rPr>
          <w:rStyle w:val="Emphasis"/>
        </w:rPr>
        <w:t>existential risk</w:t>
      </w:r>
      <w:r w:rsidRPr="00684BF3">
        <w:rPr>
          <w:rStyle w:val="StyleUnderline"/>
        </w:rPr>
        <w:t xml:space="preserve"> if taken far enough</w:t>
      </w:r>
      <w:r w:rsidRPr="00684BF3">
        <w:rPr>
          <w:sz w:val="16"/>
        </w:rPr>
        <w:t xml:space="preserve">, consider a scenario where </w:t>
      </w:r>
      <w:r w:rsidRPr="00684BF3">
        <w:rPr>
          <w:rStyle w:val="Emphasis"/>
        </w:rPr>
        <w:t>human institutions</w:t>
      </w:r>
      <w:r w:rsidRPr="00684BF3">
        <w:rPr>
          <w:rStyle w:val="StyleUnderline"/>
        </w:rPr>
        <w:t xml:space="preserve"> have all been </w:t>
      </w:r>
      <w:r w:rsidRPr="00684BF3">
        <w:rPr>
          <w:rStyle w:val="Emphasis"/>
        </w:rPr>
        <w:t>outcompeted</w:t>
      </w:r>
      <w:r w:rsidRPr="00684BF3">
        <w:rPr>
          <w:sz w:val="16"/>
        </w:rPr>
        <w:t xml:space="preserve"> and replaced </w:t>
      </w:r>
      <w:r w:rsidRPr="00684BF3">
        <w:rPr>
          <w:rStyle w:val="StyleUnderline"/>
        </w:rPr>
        <w:t>by autonomous corporations</w:t>
      </w:r>
      <w:r w:rsidRPr="00684BF3">
        <w:rPr>
          <w:sz w:val="16"/>
        </w:rPr>
        <w:t xml:space="preserve">. Such </w:t>
      </w:r>
      <w:r w:rsidRPr="00684BF3">
        <w:rPr>
          <w:rStyle w:val="StyleUnderline"/>
        </w:rPr>
        <w:t>autonomous corporations</w:t>
      </w:r>
      <w:r w:rsidRPr="00684BF3">
        <w:rPr>
          <w:sz w:val="16"/>
        </w:rPr>
        <w:t xml:space="preserve"> could be </w:t>
      </w:r>
      <w:r w:rsidRPr="00684BF3">
        <w:rPr>
          <w:rStyle w:val="Emphasis"/>
        </w:rPr>
        <w:t>deployed by idealistic individuals</w:t>
      </w:r>
      <w:r w:rsidRPr="00684BF3">
        <w:rPr>
          <w:rStyle w:val="StyleUnderline"/>
        </w:rPr>
        <w:t xml:space="preserve"> looking to increase</w:t>
      </w:r>
      <w:r w:rsidRPr="00684BF3">
        <w:rPr>
          <w:sz w:val="16"/>
        </w:rPr>
        <w:t xml:space="preserve"> transparency or </w:t>
      </w:r>
      <w:r w:rsidRPr="00684BF3">
        <w:rPr>
          <w:rStyle w:val="StyleUnderline"/>
        </w:rPr>
        <w:t>efficiency in</w:t>
      </w:r>
      <w:r w:rsidRPr="00684BF3">
        <w:rPr>
          <w:sz w:val="16"/>
        </w:rPr>
        <w:t xml:space="preserve"> certain industries, such as </w:t>
      </w:r>
      <w:r w:rsidRPr="00684BF3">
        <w:rPr>
          <w:rStyle w:val="StyleUnderline"/>
        </w:rPr>
        <w:t>finance, supply chain management, or manufacturing</w:t>
      </w:r>
      <w:r w:rsidRPr="00684BF3">
        <w:rPr>
          <w:sz w:val="16"/>
        </w:rPr>
        <w:t xml:space="preserve">. Perhaps autonomous corporations could eventually also </w:t>
      </w:r>
      <w:r w:rsidRPr="00684BF3">
        <w:rPr>
          <w:rStyle w:val="StyleUnderline"/>
        </w:rPr>
        <w:t>engage in</w:t>
      </w:r>
      <w:r w:rsidRPr="00684BF3">
        <w:rPr>
          <w:sz w:val="16"/>
        </w:rPr>
        <w:t xml:space="preserve"> primary resource industries such as </w:t>
      </w:r>
      <w:r w:rsidRPr="00684BF3">
        <w:rPr>
          <w:rStyle w:val="Emphasis"/>
        </w:rPr>
        <w:t>mining, oil drilling, or forestry</w:t>
      </w:r>
      <w:r w:rsidRPr="00684BF3">
        <w:rPr>
          <w:sz w:val="16"/>
        </w:rPr>
        <w:t xml:space="preserve">, which could supply raw materials to corporations in other industries. If some combination of corporations turned out to be capable of sustaining and expanding an economy entirely without humans, </w:t>
      </w:r>
      <w:r w:rsidRPr="00684BF3">
        <w:rPr>
          <w:rStyle w:val="StyleUnderline"/>
        </w:rPr>
        <w:t xml:space="preserve">humanity would </w:t>
      </w:r>
      <w:r w:rsidRPr="00684BF3">
        <w:rPr>
          <w:rStyle w:val="Emphasis"/>
        </w:rPr>
        <w:t>lose its trade leverage</w:t>
      </w:r>
      <w:r w:rsidRPr="00684BF3">
        <w:rPr>
          <w:rStyle w:val="StyleUnderline"/>
        </w:rPr>
        <w:t xml:space="preserve"> for influencing their activities</w:t>
      </w:r>
      <w:r w:rsidRPr="00684BF3">
        <w:rPr>
          <w:sz w:val="16"/>
        </w:rPr>
        <w:t xml:space="preserve">. </w:t>
      </w:r>
      <w:r w:rsidRPr="00684BF3">
        <w:rPr>
          <w:rStyle w:val="Emphasis"/>
        </w:rPr>
        <w:t>This could constitute</w:t>
      </w:r>
      <w:r w:rsidRPr="00684BF3">
        <w:rPr>
          <w:sz w:val="16"/>
        </w:rPr>
        <w:t xml:space="preserve"> prepotence for </w:t>
      </w:r>
      <w:r w:rsidRPr="00684BF3">
        <w:rPr>
          <w:rStyle w:val="Emphasis"/>
        </w:rPr>
        <w:t>the</w:t>
      </w:r>
      <w:r w:rsidRPr="00684BF3">
        <w:rPr>
          <w:rStyle w:val="StyleUnderline"/>
        </w:rPr>
        <w:t xml:space="preserve"> collective </w:t>
      </w:r>
      <w:r w:rsidRPr="00684BF3">
        <w:rPr>
          <w:rStyle w:val="Emphasis"/>
        </w:rPr>
        <w:t>machine economy</w:t>
      </w:r>
      <w:r w:rsidRPr="00684BF3">
        <w:rPr>
          <w:sz w:val="16"/>
        </w:rPr>
        <w:t>, as was argued by Turing (1951) in “Intelligent Machinery, A Heretical Theory”.</w:t>
      </w:r>
    </w:p>
    <w:p w14:paraId="049167DF" w14:textId="77777777" w:rsidR="00516959" w:rsidRPr="00684BF3" w:rsidRDefault="00516959" w:rsidP="00516959">
      <w:pPr>
        <w:rPr>
          <w:sz w:val="16"/>
        </w:rPr>
      </w:pPr>
      <w:r w:rsidRPr="00684BF3">
        <w:rPr>
          <w:sz w:val="16"/>
        </w:rPr>
        <w:t xml:space="preserve">Given the machine economy’s prepotence, </w:t>
      </w:r>
      <w:r w:rsidRPr="00684BF3">
        <w:rPr>
          <w:rStyle w:val="StyleUnderline"/>
        </w:rPr>
        <w:t xml:space="preserve">misalignment is </w:t>
      </w:r>
      <w:r w:rsidRPr="00684BF3">
        <w:rPr>
          <w:sz w:val="16"/>
        </w:rPr>
        <w:t xml:space="preserve">relatively </w:t>
      </w:r>
      <w:r w:rsidRPr="00684BF3">
        <w:rPr>
          <w:rStyle w:val="StyleUnderline"/>
        </w:rPr>
        <w:t>likely to follow</w:t>
      </w:r>
      <w:r w:rsidRPr="00684BF3">
        <w:rPr>
          <w:sz w:val="16"/>
        </w:rPr>
        <w:t xml:space="preserve">. By the Human fragility argument of Section 2, </w:t>
      </w:r>
      <w:r w:rsidRPr="00684BF3">
        <w:rPr>
          <w:rStyle w:val="StyleUnderline"/>
        </w:rPr>
        <w:t xml:space="preserve">the </w:t>
      </w:r>
      <w:r w:rsidRPr="00684BF3">
        <w:rPr>
          <w:rStyle w:val="Emphasis"/>
        </w:rPr>
        <w:t>side effects</w:t>
      </w:r>
      <w:r w:rsidRPr="00684BF3">
        <w:rPr>
          <w:rStyle w:val="StyleUnderline"/>
        </w:rPr>
        <w:t xml:space="preserve"> of a prepotent machine economy</w:t>
      </w:r>
      <w:r w:rsidRPr="00684BF3">
        <w:rPr>
          <w:sz w:val="16"/>
        </w:rPr>
        <w:t xml:space="preserve">—in terms of </w:t>
      </w:r>
      <w:r w:rsidRPr="00684BF3">
        <w:rPr>
          <w:rStyle w:val="Emphasis"/>
        </w:rPr>
        <w:t>resource consumption, waste emissions</w:t>
      </w:r>
      <w:r w:rsidRPr="00684BF3">
        <w:rPr>
          <w:sz w:val="16"/>
        </w:rPr>
        <w:t>, or both—</w:t>
      </w:r>
      <w:r w:rsidRPr="00684BF3">
        <w:rPr>
          <w:rStyle w:val="StyleUnderline"/>
        </w:rPr>
        <w:t>would be hazardous to humans</w:t>
      </w:r>
      <w:r w:rsidRPr="00684BF3">
        <w:rPr>
          <w:sz w:val="16"/>
        </w:rPr>
        <w:t xml:space="preserve"> by default, unless the leading autonomous corporations coordinated in such a way as to provide or at least allow the equivalent of social assistance and environmental protection to humans, for reasons not driven by the humans’ economic output.</w:t>
      </w:r>
    </w:p>
    <w:p w14:paraId="594A8F7B" w14:textId="77777777" w:rsidR="00516959" w:rsidRPr="00684BF3" w:rsidRDefault="00516959" w:rsidP="00516959">
      <w:pPr>
        <w:rPr>
          <w:sz w:val="16"/>
        </w:rPr>
      </w:pPr>
      <w:r w:rsidRPr="00684BF3">
        <w:rPr>
          <w:sz w:val="16"/>
        </w:rPr>
        <w:t xml:space="preserve">The potential for economic take-off of a self-sustaining fully mechanized economy thus constitutes a Type 1a risk (uncoordinated MPAI development): </w:t>
      </w:r>
      <w:r w:rsidRPr="00684BF3">
        <w:rPr>
          <w:rStyle w:val="StyleUnderline"/>
        </w:rPr>
        <w:t>the combined activities of the machine economy could be prepotent while no single human decision-making entity</w:t>
      </w:r>
      <w:r w:rsidRPr="00684BF3">
        <w:rPr>
          <w:sz w:val="16"/>
        </w:rPr>
        <w:t xml:space="preserve"> would be responsible for the development and deployment of that economy. With no one in particular being responsible for the deployment, </w:t>
      </w:r>
      <w:r w:rsidRPr="00684BF3">
        <w:rPr>
          <w:rStyle w:val="StyleUnderline"/>
        </w:rPr>
        <w:t xml:space="preserve">coordinated </w:t>
      </w:r>
      <w:r w:rsidRPr="00684BF3">
        <w:rPr>
          <w:rStyle w:val="Emphasis"/>
        </w:rPr>
        <w:t>safety measures</w:t>
      </w:r>
      <w:r w:rsidRPr="00684BF3">
        <w:rPr>
          <w:rStyle w:val="StyleUnderline"/>
        </w:rPr>
        <w:t xml:space="preserve"> </w:t>
      </w:r>
      <w:r w:rsidRPr="00684BF3">
        <w:rPr>
          <w:sz w:val="16"/>
        </w:rPr>
        <w:t xml:space="preserve">might be </w:t>
      </w:r>
      <w:r w:rsidRPr="00684BF3">
        <w:rPr>
          <w:rStyle w:val="Emphasis"/>
        </w:rPr>
        <w:t>sorely lacking</w:t>
      </w:r>
      <w:r w:rsidRPr="00684BF3">
        <w:rPr>
          <w:rStyle w:val="StyleUnderline"/>
        </w:rPr>
        <w:t xml:space="preserve">, yielding a serious </w:t>
      </w:r>
      <w:r w:rsidRPr="00684BF3">
        <w:rPr>
          <w:rStyle w:val="Emphasis"/>
        </w:rPr>
        <w:t>risk to humanity</w:t>
      </w:r>
      <w:r w:rsidRPr="00684BF3">
        <w:rPr>
          <w:sz w:val="16"/>
        </w:rPr>
        <w:t xml:space="preserve"> by the Human Fragility Argument (Section 2.5).</w:t>
      </w:r>
    </w:p>
    <w:p w14:paraId="1C6F47BD" w14:textId="77777777" w:rsidR="00516959" w:rsidRPr="00684BF3" w:rsidRDefault="00516959" w:rsidP="00516959">
      <w:pPr>
        <w:rPr>
          <w:sz w:val="16"/>
          <w:szCs w:val="16"/>
        </w:rPr>
      </w:pPr>
      <w:r w:rsidRPr="00684BF3">
        <w:rPr>
          <w:sz w:val="16"/>
          <w:szCs w:val="16"/>
        </w:rPr>
        <w:t>Avoiding this risk type calls for the development of coordination mechanisms to ensure the continued economic relevance of both humans and human-aligned AI systems.</w:t>
      </w:r>
    </w:p>
    <w:p w14:paraId="741FE045" w14:textId="77777777" w:rsidR="00516959" w:rsidRPr="00684BF3" w:rsidRDefault="00516959" w:rsidP="00516959">
      <w:pPr>
        <w:rPr>
          <w:rStyle w:val="StyleUnderline"/>
        </w:rPr>
      </w:pPr>
      <w:r w:rsidRPr="00684BF3">
        <w:rPr>
          <w:sz w:val="16"/>
        </w:rPr>
        <w:t xml:space="preserve">3.2.3 Type 2c: </w:t>
      </w:r>
      <w:r w:rsidRPr="00684BF3">
        <w:rPr>
          <w:rStyle w:val="StyleUnderline"/>
        </w:rPr>
        <w:t>Human enfeeblement</w:t>
      </w:r>
    </w:p>
    <w:p w14:paraId="05EBA344" w14:textId="77777777" w:rsidR="00516959" w:rsidRPr="00684BF3" w:rsidRDefault="00516959" w:rsidP="00516959">
      <w:pPr>
        <w:rPr>
          <w:sz w:val="16"/>
        </w:rPr>
      </w:pPr>
      <w:r w:rsidRPr="00684BF3">
        <w:rPr>
          <w:sz w:val="16"/>
        </w:rPr>
        <w:t xml:space="preserve">This risk type comprises </w:t>
      </w:r>
      <w:r w:rsidRPr="00684BF3">
        <w:rPr>
          <w:rStyle w:val="StyleUnderline"/>
        </w:rPr>
        <w:t xml:space="preserve">scenarios where </w:t>
      </w:r>
      <w:r w:rsidRPr="00684BF3">
        <w:rPr>
          <w:rStyle w:val="Emphasis"/>
        </w:rPr>
        <w:t>humans become physically or mentally weaker</w:t>
      </w:r>
      <w:r w:rsidRPr="00684BF3">
        <w:rPr>
          <w:sz w:val="16"/>
        </w:rPr>
        <w:t xml:space="preserve"> as a result of assistance or </w:t>
      </w:r>
      <w:r w:rsidRPr="00684BF3">
        <w:rPr>
          <w:rStyle w:val="StyleUnderline"/>
        </w:rPr>
        <w:t>interference from AI systems</w:t>
      </w:r>
      <w:r w:rsidRPr="00684BF3">
        <w:rPr>
          <w:sz w:val="16"/>
        </w:rPr>
        <w:t>.</w:t>
      </w:r>
    </w:p>
    <w:p w14:paraId="3BE32645" w14:textId="77777777" w:rsidR="00516959" w:rsidRPr="00684BF3" w:rsidRDefault="00516959" w:rsidP="00516959">
      <w:pPr>
        <w:rPr>
          <w:sz w:val="16"/>
        </w:rPr>
      </w:pPr>
      <w:r w:rsidRPr="00684BF3">
        <w:rPr>
          <w:sz w:val="16"/>
        </w:rPr>
        <w:t xml:space="preserve">For example, if </w:t>
      </w:r>
      <w:r w:rsidRPr="00684BF3">
        <w:rPr>
          <w:rStyle w:val="StyleUnderline"/>
        </w:rPr>
        <w:t>AI-driven machines replace</w:t>
      </w:r>
      <w:r w:rsidRPr="00684BF3">
        <w:rPr>
          <w:sz w:val="16"/>
        </w:rPr>
        <w:t xml:space="preserve"> most or all forms of </w:t>
      </w:r>
      <w:r w:rsidRPr="00684BF3">
        <w:rPr>
          <w:rStyle w:val="StyleUnderline"/>
        </w:rPr>
        <w:t>human labor</w:t>
      </w:r>
      <w:r w:rsidRPr="00684BF3">
        <w:rPr>
          <w:sz w:val="16"/>
        </w:rPr>
        <w:t xml:space="preserve">, it is possible that </w:t>
      </w:r>
      <w:r w:rsidRPr="00684BF3">
        <w:rPr>
          <w:rStyle w:val="StyleUnderline"/>
        </w:rPr>
        <w:t>humans will become generally physically and mentally weaker</w:t>
      </w:r>
      <w:r w:rsidRPr="00684BF3">
        <w:rPr>
          <w:sz w:val="16"/>
        </w:rPr>
        <w:t xml:space="preserve"> as a result. Human </w:t>
      </w:r>
      <w:r w:rsidRPr="00684BF3">
        <w:rPr>
          <w:rStyle w:val="Emphasis"/>
        </w:rPr>
        <w:t>enfeeblement</w:t>
      </w:r>
      <w:r w:rsidRPr="00684BF3">
        <w:rPr>
          <w:rStyle w:val="StyleUnderline"/>
        </w:rPr>
        <w:t xml:space="preserve"> is a </w:t>
      </w:r>
      <w:r w:rsidRPr="00684BF3">
        <w:rPr>
          <w:rStyle w:val="Emphasis"/>
        </w:rPr>
        <w:t>serious risk</w:t>
      </w:r>
      <w:r w:rsidRPr="00684BF3">
        <w:rPr>
          <w:rStyle w:val="StyleUnderline"/>
        </w:rPr>
        <w:t xml:space="preserve"> to the value of </w:t>
      </w:r>
      <w:r w:rsidRPr="00684BF3">
        <w:rPr>
          <w:rStyle w:val="Emphasis"/>
        </w:rPr>
        <w:t>human society</w:t>
      </w:r>
      <w:r w:rsidRPr="00684BF3">
        <w:rPr>
          <w:sz w:val="16"/>
        </w:rPr>
        <w:t xml:space="preserve"> as it currently exists. In particular, if </w:t>
      </w:r>
      <w:r w:rsidRPr="00684BF3">
        <w:rPr>
          <w:rStyle w:val="StyleUnderline"/>
        </w:rPr>
        <w:t xml:space="preserve">the </w:t>
      </w:r>
      <w:r w:rsidRPr="00684BF3">
        <w:rPr>
          <w:rStyle w:val="Emphasis"/>
        </w:rPr>
        <w:t>impairment of decision-making</w:t>
      </w:r>
      <w:r w:rsidRPr="00684BF3">
        <w:rPr>
          <w:rStyle w:val="StyleUnderline"/>
        </w:rPr>
        <w:t xml:space="preserve"> capacities</w:t>
      </w:r>
      <w:r w:rsidRPr="00684BF3">
        <w:rPr>
          <w:sz w:val="16"/>
        </w:rPr>
        <w:t xml:space="preserve"> of human individuals and institutions </w:t>
      </w:r>
      <w:r w:rsidRPr="00684BF3">
        <w:rPr>
          <w:rStyle w:val="StyleUnderline"/>
        </w:rPr>
        <w:t xml:space="preserve">leads to a </w:t>
      </w:r>
      <w:r w:rsidRPr="00684BF3">
        <w:rPr>
          <w:rStyle w:val="Emphasis"/>
        </w:rPr>
        <w:t>mismanagement of hazardous tech</w:t>
      </w:r>
      <w:r w:rsidRPr="00684BF3">
        <w:rPr>
          <w:rStyle w:val="StyleUnderline"/>
        </w:rPr>
        <w:t xml:space="preserve">nologies </w:t>
      </w:r>
      <w:r w:rsidRPr="00684BF3">
        <w:rPr>
          <w:sz w:val="16"/>
        </w:rPr>
        <w:t xml:space="preserve">inherited from previous generations, </w:t>
      </w:r>
      <w:r w:rsidRPr="00684BF3">
        <w:rPr>
          <w:rStyle w:val="StyleUnderline"/>
        </w:rPr>
        <w:t>the chances of</w:t>
      </w:r>
      <w:r w:rsidRPr="00684BF3">
        <w:rPr>
          <w:sz w:val="16"/>
        </w:rPr>
        <w:t xml:space="preserve"> Type 1a, 1b, 1c, and 1d </w:t>
      </w:r>
      <w:r w:rsidRPr="00684BF3">
        <w:rPr>
          <w:rStyle w:val="StyleUnderline"/>
        </w:rPr>
        <w:t>risks</w:t>
      </w:r>
      <w:r w:rsidRPr="00684BF3">
        <w:rPr>
          <w:sz w:val="16"/>
        </w:rPr>
        <w:t xml:space="preserve"> (uncoordinated MPAI development, unrecognized prepotence, unrecognized misalignment, and involuntary MPAI deployment) might </w:t>
      </w:r>
      <w:r w:rsidRPr="00684BF3">
        <w:rPr>
          <w:rStyle w:val="StyleUnderline"/>
        </w:rPr>
        <w:t xml:space="preserve">be increased, as well as </w:t>
      </w:r>
      <w:r w:rsidRPr="00684BF3">
        <w:rPr>
          <w:rStyle w:val="Emphasis"/>
        </w:rPr>
        <w:t>other existential risks from non-AI</w:t>
      </w:r>
      <w:r w:rsidRPr="00684BF3">
        <w:rPr>
          <w:sz w:val="16"/>
        </w:rPr>
        <w:t xml:space="preserve"> technologies.</w:t>
      </w:r>
    </w:p>
    <w:p w14:paraId="143FF23F" w14:textId="77777777" w:rsidR="00516959" w:rsidRPr="00684BF3" w:rsidRDefault="00516959" w:rsidP="00516959">
      <w:pPr>
        <w:rPr>
          <w:sz w:val="16"/>
        </w:rPr>
      </w:pPr>
      <w:r w:rsidRPr="00684BF3">
        <w:rPr>
          <w:rStyle w:val="StyleUnderline"/>
        </w:rPr>
        <w:t>Avoiding this risk</w:t>
      </w:r>
      <w:r w:rsidRPr="00684BF3">
        <w:rPr>
          <w:sz w:val="16"/>
        </w:rPr>
        <w:t xml:space="preserve"> type </w:t>
      </w:r>
      <w:r w:rsidRPr="00684BF3">
        <w:rPr>
          <w:rStyle w:val="StyleUnderline"/>
        </w:rPr>
        <w:t>calls for</w:t>
      </w:r>
      <w:r w:rsidRPr="00684BF3">
        <w:rPr>
          <w:sz w:val="16"/>
        </w:rPr>
        <w:t xml:space="preserve"> the observance of </w:t>
      </w:r>
      <w:r w:rsidRPr="00684BF3">
        <w:rPr>
          <w:rStyle w:val="StyleUnderline"/>
        </w:rPr>
        <w:t>collectively agreeable metrics</w:t>
      </w:r>
      <w:r w:rsidRPr="00684BF3">
        <w:rPr>
          <w:sz w:val="16"/>
        </w:rPr>
        <w:t xml:space="preserve"> for human cognitive abilities such as attention span, numeracy, literacy, working memory, and interpersonal skills, as well as the continued observance of physical health metrics, so that any onset of widespread cognitive or physical declines would be noticed. </w:t>
      </w:r>
      <w:r w:rsidRPr="00684BF3">
        <w:rPr>
          <w:rStyle w:val="StyleUnderline"/>
        </w:rPr>
        <w:t xml:space="preserve">Some effort in this direction can already be seen in research broadly construed as examining the </w:t>
      </w:r>
      <w:r w:rsidRPr="00684BF3">
        <w:rPr>
          <w:rStyle w:val="Emphasis"/>
        </w:rPr>
        <w:t>impact of internet and media tech</w:t>
      </w:r>
      <w:r w:rsidRPr="00684BF3">
        <w:rPr>
          <w:rStyle w:val="StyleUnderline"/>
        </w:rPr>
        <w:t>nology on mental and physical health</w:t>
      </w:r>
      <w:r w:rsidRPr="00684BF3">
        <w:rPr>
          <w:sz w:val="16"/>
        </w:rPr>
        <w:t xml:space="preserve"> (Cain and Gradisar, 2010; Strasburger et al., 2010; Kuss and Griffiths, 2012; Hale and Guan, 2015; Lemola et al., 2015; Demirci et al., 2015). However, much of the work in this area has been observational rather than experimental, making it currently difficult to identify clear and valuable public policy recommendations. Meanwhile, </w:t>
      </w:r>
      <w:r w:rsidRPr="00684BF3">
        <w:rPr>
          <w:rStyle w:val="StyleUnderline"/>
        </w:rPr>
        <w:t xml:space="preserve">as AI becomes an </w:t>
      </w:r>
      <w:r w:rsidRPr="00684BF3">
        <w:rPr>
          <w:rStyle w:val="Emphasis"/>
        </w:rPr>
        <w:t>increasingly prevalent</w:t>
      </w:r>
      <w:r w:rsidRPr="00684BF3">
        <w:rPr>
          <w:rStyle w:val="StyleUnderline"/>
        </w:rPr>
        <w:t xml:space="preserve"> determinant of how and </w:t>
      </w:r>
      <w:r w:rsidRPr="00684BF3">
        <w:rPr>
          <w:rStyle w:val="Emphasis"/>
        </w:rPr>
        <w:t>when people use tech</w:t>
      </w:r>
      <w:r w:rsidRPr="00684BF3">
        <w:rPr>
          <w:rStyle w:val="StyleUnderline"/>
        </w:rPr>
        <w:t>nology, the urgency and importance of understanding its</w:t>
      </w:r>
      <w:r w:rsidRPr="00684BF3">
        <w:rPr>
          <w:sz w:val="16"/>
        </w:rPr>
        <w:t xml:space="preserve"> causal </w:t>
      </w:r>
      <w:r w:rsidRPr="00684BF3">
        <w:rPr>
          <w:rStyle w:val="StyleUnderline"/>
        </w:rPr>
        <w:t>impact on human health</w:t>
      </w:r>
      <w:r w:rsidRPr="00684BF3">
        <w:rPr>
          <w:sz w:val="16"/>
        </w:rPr>
        <w:t xml:space="preserve"> and vigor </w:t>
      </w:r>
      <w:r w:rsidRPr="00684BF3">
        <w:rPr>
          <w:rStyle w:val="StyleUnderline"/>
        </w:rPr>
        <w:t>will only increase</w:t>
      </w:r>
      <w:r w:rsidRPr="00684BF3">
        <w:rPr>
          <w:sz w:val="16"/>
        </w:rPr>
        <w:t xml:space="preserve"> in significance.</w:t>
      </w:r>
    </w:p>
    <w:p w14:paraId="743D11CE" w14:textId="77777777" w:rsidR="00516959" w:rsidRPr="00684BF3" w:rsidRDefault="00516959" w:rsidP="00516959">
      <w:pPr>
        <w:rPr>
          <w:sz w:val="16"/>
        </w:rPr>
      </w:pPr>
      <w:r w:rsidRPr="00684BF3">
        <w:rPr>
          <w:sz w:val="16"/>
        </w:rPr>
        <w:t xml:space="preserve">3.2.4 Type 2d: </w:t>
      </w:r>
      <w:r w:rsidRPr="00684BF3">
        <w:rPr>
          <w:rStyle w:val="StyleUnderline"/>
        </w:rPr>
        <w:t>ESAI discourse impairment</w:t>
      </w:r>
    </w:p>
    <w:p w14:paraId="65E11182" w14:textId="77777777" w:rsidR="00516959" w:rsidRPr="00684BF3" w:rsidRDefault="00516959" w:rsidP="00516959">
      <w:pPr>
        <w:rPr>
          <w:sz w:val="16"/>
        </w:rPr>
      </w:pPr>
      <w:r w:rsidRPr="00684BF3">
        <w:rPr>
          <w:rStyle w:val="StyleUnderline"/>
        </w:rPr>
        <w:t>This risk</w:t>
      </w:r>
      <w:r w:rsidRPr="00684BF3">
        <w:rPr>
          <w:sz w:val="16"/>
        </w:rPr>
        <w:t xml:space="preserve"> type </w:t>
      </w:r>
      <w:r w:rsidRPr="00684BF3">
        <w:rPr>
          <w:rStyle w:val="StyleUnderline"/>
        </w:rPr>
        <w:t xml:space="preserve">comprises scenarios where human </w:t>
      </w:r>
      <w:r w:rsidRPr="00684BF3">
        <w:rPr>
          <w:sz w:val="16"/>
        </w:rPr>
        <w:t xml:space="preserve">persons and </w:t>
      </w:r>
      <w:r w:rsidRPr="00684BF3">
        <w:rPr>
          <w:rStyle w:val="Emphasis"/>
        </w:rPr>
        <w:t>institutions fail to</w:t>
      </w:r>
      <w:r w:rsidRPr="00684BF3">
        <w:rPr>
          <w:rStyle w:val="StyleUnderline"/>
        </w:rPr>
        <w:t xml:space="preserve"> collectively </w:t>
      </w:r>
      <w:r w:rsidRPr="00684BF3">
        <w:rPr>
          <w:rStyle w:val="Emphasis"/>
        </w:rPr>
        <w:t>assess</w:t>
      </w:r>
      <w:r w:rsidRPr="00684BF3">
        <w:rPr>
          <w:sz w:val="16"/>
        </w:rPr>
        <w:t xml:space="preserve"> and address </w:t>
      </w:r>
      <w:r w:rsidRPr="00684BF3">
        <w:rPr>
          <w:rStyle w:val="Emphasis"/>
        </w:rPr>
        <w:t>existential risks</w:t>
      </w:r>
      <w:r w:rsidRPr="00684BF3">
        <w:rPr>
          <w:rStyle w:val="StyleUnderline"/>
        </w:rPr>
        <w:t xml:space="preserve"> from </w:t>
      </w:r>
      <w:r w:rsidRPr="00684BF3">
        <w:rPr>
          <w:rStyle w:val="Emphasis"/>
        </w:rPr>
        <w:t>a</w:t>
      </w:r>
      <w:r w:rsidRPr="00684BF3">
        <w:rPr>
          <w:rStyle w:val="StyleUnderline"/>
        </w:rPr>
        <w:t xml:space="preserve">rtificial </w:t>
      </w:r>
      <w:r w:rsidRPr="00684BF3">
        <w:rPr>
          <w:rStyle w:val="Emphasis"/>
        </w:rPr>
        <w:t>i</w:t>
      </w:r>
      <w:r w:rsidRPr="00684BF3">
        <w:rPr>
          <w:rStyle w:val="StyleUnderline"/>
        </w:rPr>
        <w:t>ntelligence</w:t>
      </w:r>
      <w:r w:rsidRPr="00684BF3">
        <w:rPr>
          <w:sz w:val="16"/>
        </w:rPr>
        <w:t xml:space="preserve">, as a result of difficulties encountered in communicating about existential safety. </w:t>
      </w:r>
      <w:r w:rsidRPr="00684BF3">
        <w:rPr>
          <w:rStyle w:val="StyleUnderline"/>
        </w:rPr>
        <w:t xml:space="preserve">There are numerous ways in which </w:t>
      </w:r>
      <w:r w:rsidRPr="00684BF3">
        <w:rPr>
          <w:rStyle w:val="Emphasis"/>
        </w:rPr>
        <w:t>discourse</w:t>
      </w:r>
      <w:r w:rsidRPr="00684BF3">
        <w:rPr>
          <w:rStyle w:val="StyleUnderline"/>
        </w:rPr>
        <w:t xml:space="preserve"> on existential safety for artificial intelligence</w:t>
      </w:r>
      <w:r w:rsidRPr="00684BF3">
        <w:rPr>
          <w:sz w:val="16"/>
        </w:rPr>
        <w:t xml:space="preserve"> (“</w:t>
      </w:r>
      <w:r w:rsidRPr="00684BF3">
        <w:rPr>
          <w:rStyle w:val="StyleUnderline"/>
        </w:rPr>
        <w:t>ESAI</w:t>
      </w:r>
      <w:r w:rsidRPr="00684BF3">
        <w:rPr>
          <w:sz w:val="16"/>
        </w:rPr>
        <w:t xml:space="preserve">”) could be </w:t>
      </w:r>
      <w:r w:rsidRPr="00684BF3">
        <w:rPr>
          <w:rStyle w:val="Emphasis"/>
        </w:rPr>
        <w:t>become impoverished</w:t>
      </w:r>
      <w:r w:rsidRPr="00684BF3">
        <w:rPr>
          <w:sz w:val="16"/>
        </w:rPr>
        <w:t>:</w:t>
      </w:r>
    </w:p>
    <w:p w14:paraId="066983DE" w14:textId="77777777" w:rsidR="00516959" w:rsidRPr="00684BF3" w:rsidRDefault="00516959" w:rsidP="00516959">
      <w:pPr>
        <w:pStyle w:val="ListParagraph"/>
        <w:numPr>
          <w:ilvl w:val="0"/>
          <w:numId w:val="11"/>
        </w:numPr>
        <w:rPr>
          <w:sz w:val="16"/>
        </w:rPr>
      </w:pPr>
      <w:r w:rsidRPr="00684BF3">
        <w:rPr>
          <w:sz w:val="16"/>
        </w:rPr>
        <w:t>(</w:t>
      </w:r>
      <w:r w:rsidRPr="00684BF3">
        <w:rPr>
          <w:rStyle w:val="Emphasis"/>
        </w:rPr>
        <w:t>alarmism</w:t>
      </w:r>
      <w:r w:rsidRPr="00684BF3">
        <w:rPr>
          <w:sz w:val="16"/>
        </w:rPr>
        <w:t xml:space="preserve">) </w:t>
      </w:r>
      <w:r w:rsidRPr="00684BF3">
        <w:rPr>
          <w:rStyle w:val="StyleUnderline"/>
        </w:rPr>
        <w:t xml:space="preserve">If too many </w:t>
      </w:r>
      <w:r w:rsidRPr="00684BF3">
        <w:rPr>
          <w:rStyle w:val="Emphasis"/>
        </w:rPr>
        <w:t>debates</w:t>
      </w:r>
      <w:r w:rsidRPr="00684BF3">
        <w:rPr>
          <w:rStyle w:val="StyleUnderline"/>
        </w:rPr>
        <w:t xml:space="preserve"> are raised</w:t>
      </w:r>
      <w:r w:rsidRPr="00684BF3">
        <w:rPr>
          <w:sz w:val="16"/>
        </w:rPr>
        <w:t xml:space="preserve"> in the name of existential safety that on reflection turn out to have been unreasonable concerns, </w:t>
      </w:r>
      <w:r w:rsidRPr="00684BF3">
        <w:rPr>
          <w:rStyle w:val="StyleUnderline"/>
        </w:rPr>
        <w:t xml:space="preserve">then discussions of ESAI could come to be seen as </w:t>
      </w:r>
      <w:r w:rsidRPr="00684BF3">
        <w:rPr>
          <w:rStyle w:val="Emphasis"/>
        </w:rPr>
        <w:t>inflammatory and counterproductive</w:t>
      </w:r>
      <w:r w:rsidRPr="00684BF3">
        <w:rPr>
          <w:sz w:val="16"/>
        </w:rPr>
        <w:t xml:space="preserve"> to discuss, </w:t>
      </w:r>
      <w:r w:rsidRPr="00684BF3">
        <w:rPr>
          <w:rStyle w:val="StyleUnderline"/>
        </w:rPr>
        <w:t>by the proverbial “</w:t>
      </w:r>
      <w:r w:rsidRPr="00684BF3">
        <w:rPr>
          <w:rStyle w:val="Emphasis"/>
        </w:rPr>
        <w:t>cry wolf</w:t>
      </w:r>
      <w:r w:rsidRPr="00684BF3">
        <w:rPr>
          <w:rStyle w:val="StyleUnderline"/>
        </w:rPr>
        <w:t>” effect</w:t>
      </w:r>
      <w:r w:rsidRPr="00684BF3">
        <w:rPr>
          <w:sz w:val="16"/>
        </w:rPr>
        <w:t xml:space="preserve"> (Breznitz, 2013).</w:t>
      </w:r>
    </w:p>
    <w:p w14:paraId="18F494BF" w14:textId="77777777" w:rsidR="00516959" w:rsidRPr="00684BF3" w:rsidRDefault="00516959" w:rsidP="00516959">
      <w:pPr>
        <w:pStyle w:val="ListParagraph"/>
        <w:numPr>
          <w:ilvl w:val="0"/>
          <w:numId w:val="11"/>
        </w:numPr>
        <w:rPr>
          <w:sz w:val="16"/>
        </w:rPr>
      </w:pPr>
      <w:r w:rsidRPr="00684BF3">
        <w:rPr>
          <w:sz w:val="16"/>
        </w:rPr>
        <w:t>(</w:t>
      </w:r>
      <w:r w:rsidRPr="00684BF3">
        <w:rPr>
          <w:rStyle w:val="Emphasis"/>
        </w:rPr>
        <w:t>politicization</w:t>
      </w:r>
      <w:r w:rsidRPr="00684BF3">
        <w:rPr>
          <w:sz w:val="16"/>
        </w:rPr>
        <w:t xml:space="preserve">) The topic of ESAI could </w:t>
      </w:r>
      <w:r w:rsidRPr="00684BF3">
        <w:rPr>
          <w:rStyle w:val="StyleUnderline"/>
        </w:rPr>
        <w:t>someday become politicized</w:t>
      </w:r>
      <w:r w:rsidRPr="00684BF3">
        <w:rPr>
          <w:sz w:val="16"/>
        </w:rPr>
        <w:t xml:space="preserve">, in the sense that </w:t>
      </w:r>
      <w:r w:rsidRPr="00684BF3">
        <w:rPr>
          <w:rStyle w:val="StyleUnderline"/>
        </w:rPr>
        <w:t xml:space="preserve">arguments for or </w:t>
      </w:r>
      <w:r w:rsidRPr="00684BF3">
        <w:rPr>
          <w:rStyle w:val="Emphasis"/>
        </w:rPr>
        <w:t>against existential safety</w:t>
      </w:r>
      <w:r w:rsidRPr="00684BF3">
        <w:rPr>
          <w:rStyle w:val="StyleUnderline"/>
        </w:rPr>
        <w:t xml:space="preserve"> issues can become tightly linked with</w:t>
      </w:r>
      <w:r w:rsidRPr="00684BF3">
        <w:rPr>
          <w:sz w:val="16"/>
        </w:rPr>
        <w:t xml:space="preserve"> one or more </w:t>
      </w:r>
      <w:r w:rsidRPr="00684BF3">
        <w:rPr>
          <w:rStyle w:val="StyleUnderline"/>
        </w:rPr>
        <w:t>politic</w:t>
      </w:r>
      <w:r w:rsidRPr="00684BF3">
        <w:rPr>
          <w:sz w:val="16"/>
        </w:rPr>
        <w:t>al ideologie</w:t>
      </w:r>
      <w:r w:rsidRPr="00684BF3">
        <w:rPr>
          <w:rStyle w:val="StyleUnderline"/>
        </w:rPr>
        <w:t>s</w:t>
      </w:r>
      <w:r w:rsidRPr="00684BF3">
        <w:rPr>
          <w:sz w:val="16"/>
        </w:rPr>
        <w:t xml:space="preserve">. For example, beliefs around the issue of </w:t>
      </w:r>
      <w:r w:rsidRPr="00684BF3">
        <w:rPr>
          <w:rStyle w:val="StyleUnderline"/>
        </w:rPr>
        <w:t>climate change</w:t>
      </w:r>
      <w:r w:rsidRPr="00684BF3">
        <w:rPr>
          <w:sz w:val="16"/>
        </w:rPr>
        <w:t xml:space="preserve">—an existential safety issue—are currently strongly </w:t>
      </w:r>
      <w:r w:rsidRPr="00684BF3">
        <w:rPr>
          <w:rStyle w:val="StyleUnderline"/>
        </w:rPr>
        <w:t>correlated with</w:t>
      </w:r>
      <w:r w:rsidRPr="00684BF3">
        <w:rPr>
          <w:sz w:val="16"/>
        </w:rPr>
        <w:t xml:space="preserve"> political </w:t>
      </w:r>
      <w:r w:rsidRPr="00684BF3">
        <w:rPr>
          <w:rStyle w:val="StyleUnderline"/>
        </w:rPr>
        <w:t>party affiliations</w:t>
      </w:r>
      <w:r w:rsidRPr="00684BF3">
        <w:rPr>
          <w:sz w:val="16"/>
        </w:rPr>
        <w:t xml:space="preserve"> (McCright and Dunlap, 2011; Hart and Nisbet, 2012). If ESAI becomes similarly politicized, </w:t>
      </w:r>
      <w:r w:rsidRPr="00684BF3">
        <w:rPr>
          <w:rStyle w:val="StyleUnderline"/>
        </w:rPr>
        <w:t>the quality of</w:t>
      </w:r>
      <w:r w:rsidRPr="00684BF3">
        <w:rPr>
          <w:sz w:val="16"/>
        </w:rPr>
        <w:t xml:space="preserve"> available </w:t>
      </w:r>
      <w:r w:rsidRPr="00684BF3">
        <w:rPr>
          <w:rStyle w:val="StyleUnderline"/>
        </w:rPr>
        <w:t>discourse</w:t>
      </w:r>
      <w:r w:rsidRPr="00684BF3">
        <w:rPr>
          <w:sz w:val="16"/>
        </w:rPr>
        <w:t xml:space="preserve"> on the topic </w:t>
      </w:r>
      <w:r w:rsidRPr="00684BF3">
        <w:rPr>
          <w:rStyle w:val="StyleUnderline"/>
        </w:rPr>
        <w:t>could be reduced</w:t>
      </w:r>
      <w:r w:rsidRPr="00684BF3">
        <w:rPr>
          <w:sz w:val="16"/>
        </w:rPr>
        <w:t xml:space="preserve">. This possibility has also been argued by Baum (2018). Brysse et al. (2013) argues that </w:t>
      </w:r>
      <w:r w:rsidRPr="00684BF3">
        <w:rPr>
          <w:rStyle w:val="StyleUnderline"/>
        </w:rPr>
        <w:t xml:space="preserve">climate scientists may </w:t>
      </w:r>
      <w:r w:rsidRPr="00684BF3">
        <w:rPr>
          <w:rStyle w:val="Emphasis"/>
        </w:rPr>
        <w:t>systematically underreport</w:t>
      </w:r>
      <w:r w:rsidRPr="00684BF3">
        <w:rPr>
          <w:rStyle w:val="StyleUnderline"/>
        </w:rPr>
        <w:t xml:space="preserve"> their risk estimates</w:t>
      </w:r>
      <w:r w:rsidRPr="00684BF3">
        <w:rPr>
          <w:sz w:val="16"/>
        </w:rPr>
        <w:t xml:space="preserve"> so as to avoid seeming alarmist, and Taylor and Buttel (1992) argues that such reputational and political forces can even affect what problems scientists choose to pursue.</w:t>
      </w:r>
    </w:p>
    <w:p w14:paraId="79FB2698" w14:textId="77777777" w:rsidR="00516959" w:rsidRPr="00684BF3" w:rsidRDefault="00516959" w:rsidP="00516959">
      <w:pPr>
        <w:pStyle w:val="ListParagraph"/>
        <w:numPr>
          <w:ilvl w:val="0"/>
          <w:numId w:val="11"/>
        </w:numPr>
        <w:rPr>
          <w:sz w:val="16"/>
        </w:rPr>
      </w:pPr>
      <w:r w:rsidRPr="00684BF3">
        <w:rPr>
          <w:sz w:val="16"/>
        </w:rPr>
        <w:t>(</w:t>
      </w:r>
      <w:r w:rsidRPr="00684BF3">
        <w:rPr>
          <w:rStyle w:val="Emphasis"/>
        </w:rPr>
        <w:t>information security concerns</w:t>
      </w:r>
      <w:r w:rsidRPr="00684BF3">
        <w:rPr>
          <w:sz w:val="16"/>
        </w:rPr>
        <w:t xml:space="preserve">) </w:t>
      </w:r>
      <w:r w:rsidRPr="00684BF3">
        <w:rPr>
          <w:rStyle w:val="StyleUnderline"/>
        </w:rPr>
        <w:t>If transmitting information about ESAI between AI researchers comes to be viewed as risking</w:t>
      </w:r>
      <w:r w:rsidRPr="00684BF3">
        <w:rPr>
          <w:sz w:val="16"/>
        </w:rPr>
        <w:t xml:space="preserve"> the </w:t>
      </w:r>
      <w:r w:rsidRPr="00684BF3">
        <w:rPr>
          <w:rStyle w:val="StyleUnderline"/>
        </w:rPr>
        <w:t>dissemination of information hazards</w:t>
      </w:r>
      <w:r w:rsidRPr="00684BF3">
        <w:rPr>
          <w:sz w:val="16"/>
        </w:rPr>
        <w:t xml:space="preserve"> (</w:t>
      </w:r>
      <w:r w:rsidRPr="00684BF3">
        <w:rPr>
          <w:rStyle w:val="Emphasis"/>
        </w:rPr>
        <w:t>Bostrom</w:t>
      </w:r>
      <w:r w:rsidRPr="00684BF3">
        <w:rPr>
          <w:sz w:val="16"/>
        </w:rPr>
        <w:t xml:space="preserve"> et al., 2011)—i.e., </w:t>
      </w:r>
      <w:r w:rsidRPr="00684BF3">
        <w:rPr>
          <w:rStyle w:val="StyleUnderline"/>
        </w:rPr>
        <w:t>information that is too dangerous to be</w:t>
      </w:r>
      <w:r w:rsidRPr="00684BF3">
        <w:rPr>
          <w:sz w:val="16"/>
        </w:rPr>
        <w:t xml:space="preserve"> widely </w:t>
      </w:r>
      <w:r w:rsidRPr="00684BF3">
        <w:rPr>
          <w:rStyle w:val="StyleUnderline"/>
        </w:rPr>
        <w:t>shared</w:t>
      </w:r>
      <w:r w:rsidRPr="00684BF3">
        <w:rPr>
          <w:sz w:val="16"/>
        </w:rPr>
        <w:t>—</w:t>
      </w:r>
      <w:r w:rsidRPr="00684BF3">
        <w:rPr>
          <w:rStyle w:val="StyleUnderline"/>
        </w:rPr>
        <w:t>then</w:t>
      </w:r>
      <w:r w:rsidRPr="00684BF3">
        <w:rPr>
          <w:sz w:val="16"/>
        </w:rPr>
        <w:t xml:space="preserve"> collaborative </w:t>
      </w:r>
      <w:r w:rsidRPr="00684BF3">
        <w:rPr>
          <w:rStyle w:val="StyleUnderline"/>
        </w:rPr>
        <w:t>research efforts</w:t>
      </w:r>
      <w:r w:rsidRPr="00684BF3">
        <w:rPr>
          <w:sz w:val="16"/>
        </w:rPr>
        <w:t xml:space="preserve"> to improve existential safety </w:t>
      </w:r>
      <w:r w:rsidRPr="00684BF3">
        <w:rPr>
          <w:rStyle w:val="StyleUnderline"/>
        </w:rPr>
        <w:t>could be impoverished</w:t>
      </w:r>
      <w:r w:rsidRPr="00684BF3">
        <w:rPr>
          <w:sz w:val="16"/>
        </w:rPr>
        <w:t>.</w:t>
      </w:r>
    </w:p>
    <w:p w14:paraId="330492CD" w14:textId="77777777" w:rsidR="00516959" w:rsidRPr="00684BF3" w:rsidRDefault="00516959" w:rsidP="00516959">
      <w:pPr>
        <w:pStyle w:val="ListParagraph"/>
        <w:numPr>
          <w:ilvl w:val="0"/>
          <w:numId w:val="11"/>
        </w:numPr>
        <w:rPr>
          <w:sz w:val="16"/>
        </w:rPr>
      </w:pPr>
      <w:r w:rsidRPr="00684BF3">
        <w:rPr>
          <w:sz w:val="16"/>
        </w:rPr>
        <w:t>(</w:t>
      </w:r>
      <w:r w:rsidRPr="00684BF3">
        <w:rPr>
          <w:rStyle w:val="Emphasis"/>
        </w:rPr>
        <w:t>association with science fiction</w:t>
      </w:r>
      <w:r w:rsidRPr="00684BF3">
        <w:rPr>
          <w:sz w:val="16"/>
        </w:rPr>
        <w:t xml:space="preserve">) </w:t>
      </w:r>
      <w:r w:rsidRPr="00684BF3">
        <w:rPr>
          <w:rStyle w:val="StyleUnderline"/>
        </w:rPr>
        <w:t>If planning for the safer development of powerful AI</w:t>
      </w:r>
      <w:r w:rsidRPr="00684BF3">
        <w:rPr>
          <w:sz w:val="16"/>
        </w:rPr>
        <w:t xml:space="preserve"> systems </w:t>
      </w:r>
      <w:r w:rsidRPr="00684BF3">
        <w:rPr>
          <w:rStyle w:val="StyleUnderline"/>
        </w:rPr>
        <w:t>comes to be seen as evoking exciting or entertaining fictional narratives of the future</w:t>
      </w:r>
      <w:r w:rsidRPr="00684BF3">
        <w:rPr>
          <w:sz w:val="16"/>
        </w:rPr>
        <w:t xml:space="preserve">, </w:t>
      </w:r>
      <w:r w:rsidRPr="00684BF3">
        <w:rPr>
          <w:rStyle w:val="Emphasis"/>
        </w:rPr>
        <w:t>ESAI might come to be taken less seriously</w:t>
      </w:r>
      <w:r w:rsidRPr="00684BF3">
        <w:rPr>
          <w:sz w:val="16"/>
        </w:rPr>
        <w:t xml:space="preserve"> than would be appropriate given its potential importance. Rees (2013) has argued that “</w:t>
      </w:r>
      <w:r w:rsidRPr="00684BF3">
        <w:rPr>
          <w:rStyle w:val="StyleUnderline"/>
        </w:rPr>
        <w:t>In a media landscape saturated with sensational science stories and ‘end of the world’ Hollywood productions, it may be hard to persuade the wide public that real catastrophes could arise</w:t>
      </w:r>
      <w:r w:rsidRPr="00684BF3">
        <w:rPr>
          <w:sz w:val="16"/>
        </w:rPr>
        <w:t>. . . ”.</w:t>
      </w:r>
    </w:p>
    <w:p w14:paraId="5180866F" w14:textId="77777777" w:rsidR="00516959" w:rsidRPr="00684BF3" w:rsidRDefault="00516959" w:rsidP="00516959">
      <w:pPr>
        <w:rPr>
          <w:sz w:val="16"/>
        </w:rPr>
      </w:pPr>
      <w:r w:rsidRPr="00684BF3">
        <w:rPr>
          <w:sz w:val="16"/>
        </w:rPr>
        <w:t xml:space="preserve">Such </w:t>
      </w:r>
      <w:r w:rsidRPr="00684BF3">
        <w:rPr>
          <w:rStyle w:val="StyleUnderline"/>
        </w:rPr>
        <w:t>discourse impairments</w:t>
      </w:r>
      <w:r w:rsidRPr="00684BF3">
        <w:rPr>
          <w:sz w:val="16"/>
        </w:rPr>
        <w:t xml:space="preserve"> not only </w:t>
      </w:r>
      <w:r w:rsidRPr="00684BF3">
        <w:rPr>
          <w:rStyle w:val="StyleUnderline"/>
        </w:rPr>
        <w:t>impoverish group-scale decision processes</w:t>
      </w:r>
      <w:r w:rsidRPr="00684BF3">
        <w:rPr>
          <w:sz w:val="16"/>
        </w:rPr>
        <w:t xml:space="preserve">, but also </w:t>
      </w:r>
      <w:r w:rsidRPr="00684BF3">
        <w:rPr>
          <w:rStyle w:val="StyleUnderline"/>
        </w:rPr>
        <w:t>diminish opportunities for individuals to improve their own judgment</w:t>
      </w:r>
      <w:r w:rsidRPr="00684BF3">
        <w:rPr>
          <w:sz w:val="16"/>
        </w:rPr>
        <w:t xml:space="preserve"> through discussions with others.</w:t>
      </w:r>
    </w:p>
    <w:p w14:paraId="4AB2207F" w14:textId="77777777" w:rsidR="00516959" w:rsidRPr="00684BF3" w:rsidRDefault="00516959" w:rsidP="00516959">
      <w:pPr>
        <w:rPr>
          <w:sz w:val="16"/>
          <w:szCs w:val="16"/>
        </w:rPr>
      </w:pPr>
      <w:r w:rsidRPr="00684BF3">
        <w:rPr>
          <w:sz w:val="16"/>
          <w:szCs w:val="16"/>
        </w:rPr>
        <w:t xml:space="preserve">Prevention of this risk type calls for measures attending to whether AI researchers feel comfortable honestly expressing, to each other and the public, their views on the potential impacts of artificial intelligence, and measures attending to whether public consensus and expert consensus on risks from artificial intelligence are in agreement. The present authors have not yet put forward any technical AI research directions that would benefit such measures, but social science research in this area might be valuable for helping society to continue making reasonable and legitimate risk/reward trade-offs in the governance of AI technology. </w:t>
      </w:r>
    </w:p>
    <w:p w14:paraId="2E958F9D" w14:textId="77777777" w:rsidR="00516959" w:rsidRPr="00684BF3" w:rsidRDefault="00516959" w:rsidP="00516959">
      <w:pPr>
        <w:rPr>
          <w:sz w:val="16"/>
          <w:szCs w:val="16"/>
        </w:rPr>
      </w:pPr>
      <w:r w:rsidRPr="00684BF3">
        <w:rPr>
          <w:sz w:val="16"/>
          <w:szCs w:val="16"/>
        </w:rPr>
        <w:t xml:space="preserve">3.3 Omitted risks </w:t>
      </w:r>
    </w:p>
    <w:p w14:paraId="3AB34DF5" w14:textId="77777777" w:rsidR="00516959" w:rsidRPr="00684BF3" w:rsidRDefault="00516959" w:rsidP="00516959">
      <w:pPr>
        <w:rPr>
          <w:sz w:val="16"/>
          <w:szCs w:val="16"/>
        </w:rPr>
      </w:pPr>
      <w:r w:rsidRPr="00684BF3">
        <w:rPr>
          <w:sz w:val="16"/>
          <w:szCs w:val="16"/>
        </w:rPr>
        <w:t>Several other extremely costly potentialities for human society are conspicuously absent from the remainder of this document:</w:t>
      </w:r>
    </w:p>
    <w:p w14:paraId="0BC27444" w14:textId="77777777" w:rsidR="00516959" w:rsidRPr="00684BF3" w:rsidRDefault="00516959" w:rsidP="00516959">
      <w:pPr>
        <w:rPr>
          <w:sz w:val="16"/>
        </w:rPr>
      </w:pPr>
      <w:r w:rsidRPr="00684BF3">
        <w:rPr>
          <w:rStyle w:val="Emphasis"/>
        </w:rPr>
        <w:t>Hazardous deliverables</w:t>
      </w:r>
      <w:r w:rsidRPr="00684BF3">
        <w:rPr>
          <w:sz w:val="16"/>
        </w:rPr>
        <w:t xml:space="preserve">. Supposing </w:t>
      </w:r>
      <w:r w:rsidRPr="00684BF3">
        <w:rPr>
          <w:rStyle w:val="StyleUnderline"/>
        </w:rPr>
        <w:t>humanity develops highly advanced AI systems</w:t>
      </w:r>
      <w:r w:rsidRPr="00684BF3">
        <w:rPr>
          <w:sz w:val="16"/>
        </w:rPr>
        <w:t xml:space="preserve">, those </w:t>
      </w:r>
      <w:r w:rsidRPr="00684BF3">
        <w:rPr>
          <w:rStyle w:val="StyleUnderline"/>
        </w:rPr>
        <w:t xml:space="preserve">systems could aid humans in </w:t>
      </w:r>
      <w:r w:rsidRPr="00684BF3">
        <w:rPr>
          <w:rStyle w:val="Emphasis"/>
        </w:rPr>
        <w:t>developing other tech</w:t>
      </w:r>
      <w:r w:rsidRPr="00684BF3">
        <w:rPr>
          <w:rStyle w:val="StyleUnderline"/>
        </w:rPr>
        <w:t>nologies</w:t>
      </w:r>
      <w:r w:rsidRPr="00684BF3">
        <w:rPr>
          <w:sz w:val="16"/>
        </w:rPr>
        <w:t xml:space="preserve"> which would themselves </w:t>
      </w:r>
      <w:r w:rsidRPr="00684BF3">
        <w:rPr>
          <w:rStyle w:val="StyleUnderline"/>
        </w:rPr>
        <w:t>pose</w:t>
      </w:r>
      <w:r w:rsidRPr="00684BF3">
        <w:rPr>
          <w:sz w:val="16"/>
        </w:rPr>
        <w:t xml:space="preserve"> significant </w:t>
      </w:r>
      <w:r w:rsidRPr="00684BF3">
        <w:rPr>
          <w:rStyle w:val="StyleUnderline"/>
        </w:rPr>
        <w:t>global risks to humanity</w:t>
      </w:r>
      <w:r w:rsidRPr="00684BF3">
        <w:rPr>
          <w:sz w:val="16"/>
        </w:rPr>
        <w:t xml:space="preserve">. </w:t>
      </w:r>
      <w:r w:rsidRPr="00684BF3">
        <w:rPr>
          <w:rStyle w:val="Emphasis"/>
        </w:rPr>
        <w:t>Nuclear</w:t>
      </w:r>
      <w:r w:rsidRPr="00684BF3">
        <w:rPr>
          <w:sz w:val="16"/>
        </w:rPr>
        <w:t xml:space="preserve"> weapons, </w:t>
      </w:r>
      <w:r w:rsidRPr="00684BF3">
        <w:rPr>
          <w:rStyle w:val="Emphasis"/>
        </w:rPr>
        <w:t>chemical</w:t>
      </w:r>
      <w:r w:rsidRPr="00684BF3">
        <w:rPr>
          <w:sz w:val="16"/>
        </w:rPr>
        <w:t xml:space="preserve"> weapons, </w:t>
      </w:r>
      <w:r w:rsidRPr="00684BF3">
        <w:rPr>
          <w:rStyle w:val="Emphasis"/>
        </w:rPr>
        <w:t>and bioweapons</w:t>
      </w:r>
      <w:r w:rsidRPr="00684BF3">
        <w:rPr>
          <w:sz w:val="16"/>
        </w:rPr>
        <w:t xml:space="preserve"> are examples of such hazardous technologies that have been developed in the past, without the aid of AI technology.</w:t>
      </w:r>
    </w:p>
    <w:p w14:paraId="3DF31A63" w14:textId="77777777" w:rsidR="00516959" w:rsidRPr="00684BF3" w:rsidRDefault="00516959" w:rsidP="00516959">
      <w:pPr>
        <w:rPr>
          <w:sz w:val="16"/>
        </w:rPr>
      </w:pPr>
      <w:r w:rsidRPr="00684BF3">
        <w:rPr>
          <w:sz w:val="16"/>
        </w:rPr>
        <w:t xml:space="preserve">Risks arising from the development of more such hazardous technologies in the future—with or without the assistance of AI in the development process—are not explicitly addressed by the technical directions of this report. However, </w:t>
      </w:r>
      <w:r w:rsidRPr="00684BF3">
        <w:rPr>
          <w:rStyle w:val="StyleUnderline"/>
        </w:rPr>
        <w:t>such risks could be addressed by related principles of safe and ethical oversight</w:t>
      </w:r>
      <w:r w:rsidRPr="00684BF3">
        <w:rPr>
          <w:sz w:val="16"/>
        </w:rPr>
        <w:t>.</w:t>
      </w:r>
    </w:p>
    <w:p w14:paraId="32481EF5" w14:textId="77777777" w:rsidR="00516959" w:rsidRPr="00684BF3" w:rsidRDefault="00516959" w:rsidP="00516959">
      <w:pPr>
        <w:rPr>
          <w:sz w:val="16"/>
        </w:rPr>
      </w:pPr>
      <w:r w:rsidRPr="00684BF3">
        <w:rPr>
          <w:rStyle w:val="Emphasis"/>
        </w:rPr>
        <w:t>Suboptimal futures</w:t>
      </w:r>
      <w:r w:rsidRPr="00684BF3">
        <w:rPr>
          <w:sz w:val="16"/>
        </w:rPr>
        <w:t xml:space="preserve">. More generally, it has been argued that </w:t>
      </w:r>
      <w:r w:rsidRPr="00684BF3">
        <w:rPr>
          <w:rStyle w:val="StyleUnderline"/>
        </w:rPr>
        <w:t>futures where humans exist, but are not flourishing</w:t>
      </w:r>
      <w:r w:rsidRPr="00684BF3">
        <w:rPr>
          <w:sz w:val="16"/>
        </w:rPr>
        <w:t xml:space="preserve"> to the degree one would hope, </w:t>
      </w:r>
      <w:r w:rsidRPr="00684BF3">
        <w:rPr>
          <w:rStyle w:val="StyleUnderline"/>
        </w:rPr>
        <w:t xml:space="preserve">should be considered </w:t>
      </w:r>
      <w:r w:rsidRPr="00684BF3">
        <w:rPr>
          <w:rStyle w:val="Emphasis"/>
        </w:rPr>
        <w:t>existential risks</w:t>
      </w:r>
      <w:r w:rsidRPr="00684BF3">
        <w:rPr>
          <w:sz w:val="16"/>
        </w:rPr>
        <w:t xml:space="preserve"> or at least be treated with the same degree of severity as human extinction risks. For example, </w:t>
      </w:r>
      <w:r w:rsidRPr="00684BF3">
        <w:rPr>
          <w:rStyle w:val="Emphasis"/>
        </w:rPr>
        <w:t>Bostrom</w:t>
      </w:r>
      <w:r w:rsidRPr="00684BF3">
        <w:rPr>
          <w:sz w:val="16"/>
        </w:rPr>
        <w:t xml:space="preserve"> (2013) </w:t>
      </w:r>
      <w:r w:rsidRPr="00684BF3">
        <w:rPr>
          <w:rStyle w:val="StyleUnderline"/>
        </w:rPr>
        <w:t>considers “</w:t>
      </w:r>
      <w:r w:rsidRPr="00684BF3">
        <w:rPr>
          <w:rStyle w:val="Emphasis"/>
        </w:rPr>
        <w:t>permanent stagnation</w:t>
      </w:r>
      <w:r w:rsidRPr="00684BF3">
        <w:rPr>
          <w:rStyle w:val="StyleUnderline"/>
        </w:rPr>
        <w:t>” and “</w:t>
      </w:r>
      <w:r w:rsidRPr="00684BF3">
        <w:rPr>
          <w:rStyle w:val="Emphasis"/>
        </w:rPr>
        <w:t>flawed realization</w:t>
      </w:r>
      <w:r w:rsidRPr="00684BF3">
        <w:rPr>
          <w:rStyle w:val="StyleUnderline"/>
        </w:rPr>
        <w:t>” scenarios, wherein human civilization respectively either “fails to reach technological maturity” or “reaches technological maturity in a way that is</w:t>
      </w:r>
      <w:r w:rsidRPr="00684BF3">
        <w:rPr>
          <w:sz w:val="16"/>
        </w:rPr>
        <w:t xml:space="preserve"> dismally and irremediably </w:t>
      </w:r>
      <w:r w:rsidRPr="00684BF3">
        <w:rPr>
          <w:rStyle w:val="StyleUnderline"/>
        </w:rPr>
        <w:t>flawed</w:t>
      </w:r>
      <w:r w:rsidRPr="00684BF3">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13D8726D" w14:textId="77777777" w:rsidR="00516959" w:rsidRPr="00805A42" w:rsidRDefault="00516959" w:rsidP="00516959">
      <w:pPr>
        <w:pStyle w:val="Heading4"/>
      </w:pPr>
      <w:r>
        <w:t xml:space="preserve">Superintelligence goes </w:t>
      </w:r>
      <w:r>
        <w:rPr>
          <w:u w:val="single"/>
        </w:rPr>
        <w:t>evil</w:t>
      </w:r>
      <w:r>
        <w:t>.</w:t>
      </w:r>
    </w:p>
    <w:p w14:paraId="71AA75C5" w14:textId="77777777" w:rsidR="00516959" w:rsidRPr="00A64EDB" w:rsidRDefault="00516959" w:rsidP="00516959">
      <w:r w:rsidRPr="00A64EDB">
        <w:rPr>
          <w:b/>
          <w:bCs/>
          <w:sz w:val="26"/>
          <w:szCs w:val="26"/>
        </w:rPr>
        <w:t>Bostrom 14</w:t>
      </w:r>
      <w:r>
        <w:t xml:space="preserve"> – (Nick, “</w:t>
      </w:r>
      <w:r w:rsidRPr="00A64EDB">
        <w:t>Superintelligence : Paths, Dangers, Strategies, Oxford University Press USA - OSO, 2014</w:t>
      </w:r>
      <w:r>
        <w:t>,” 9-3-14</w:t>
      </w:r>
      <w:r w:rsidRPr="00A64EDB">
        <w:t xml:space="preserve"> ProQuest Ebook Central, </w:t>
      </w:r>
      <w:hyperlink r:id="rId305" w:history="1">
        <w:r w:rsidRPr="00F9106D">
          <w:rPr>
            <w:rStyle w:val="Hyperlink"/>
          </w:rPr>
          <w:t>https://ebookcentral-proquest-com.proxy.lib.umich.edu/lib/umichigan/detail.action?docID=5746177</w:t>
        </w:r>
      </w:hyperlink>
      <w:r>
        <w:t>, Accessed 6-24-20, LASA-AH)</w:t>
      </w:r>
    </w:p>
    <w:p w14:paraId="3374ECEB" w14:textId="77777777" w:rsidR="00516959" w:rsidRDefault="00516959" w:rsidP="00516959">
      <w:r w:rsidRPr="00A64EDB">
        <w:rPr>
          <w:u w:val="single"/>
        </w:rPr>
        <w:t>An existential risk is one that threatens to cause the extinction of Earth-</w:t>
      </w:r>
      <w:r>
        <w:t xml:space="preserve"> originating intelligent life or to otherwise permanently and drastically destroy its potential for future desirable development. Proceeding from the idea of first- mover advantage, the orthogonality thesis, and the instrumental convergence thesis, we can now begin to see the outlines of an argument for fearing that </w:t>
      </w:r>
      <w:r w:rsidRPr="00A64EDB">
        <w:rPr>
          <w:u w:val="single"/>
        </w:rPr>
        <w:t xml:space="preserve">a </w:t>
      </w:r>
      <w:r w:rsidRPr="00A64EDB">
        <w:rPr>
          <w:rStyle w:val="Emphasis"/>
        </w:rPr>
        <w:t>plausible default outcome</w:t>
      </w:r>
      <w:r w:rsidRPr="00A64EDB">
        <w:rPr>
          <w:u w:val="single"/>
        </w:rPr>
        <w:t xml:space="preserve"> of the creation of machine superintelligence </w:t>
      </w:r>
      <w:r w:rsidRPr="00A64EDB">
        <w:rPr>
          <w:rStyle w:val="Emphasis"/>
        </w:rPr>
        <w:t>is existential catastrophe.</w:t>
      </w:r>
    </w:p>
    <w:p w14:paraId="27B1D202" w14:textId="77777777" w:rsidR="00516959" w:rsidRDefault="00516959" w:rsidP="00516959">
      <w:r>
        <w:t xml:space="preserve">First, we discussed how the </w:t>
      </w:r>
      <w:r w:rsidRPr="00A64EDB">
        <w:rPr>
          <w:u w:val="single"/>
        </w:rPr>
        <w:t>initial superintelligence might obtain a decisive strategic advantage</w:t>
      </w:r>
      <w:r>
        <w:t xml:space="preserve">. </w:t>
      </w:r>
      <w:r w:rsidRPr="00A64EDB">
        <w:rPr>
          <w:u w:val="single"/>
        </w:rPr>
        <w:t>This</w:t>
      </w:r>
      <w:r>
        <w:t xml:space="preserve"> superintelligence </w:t>
      </w:r>
      <w:r w:rsidRPr="00A64EDB">
        <w:rPr>
          <w:u w:val="single"/>
        </w:rPr>
        <w:t>would</w:t>
      </w:r>
      <w:r>
        <w:t xml:space="preserve"> then </w:t>
      </w:r>
      <w:r w:rsidRPr="00A64EDB">
        <w:rPr>
          <w:u w:val="single"/>
        </w:rPr>
        <w:t>be in a position to form a singleton and to shape the future of Earth-originating intelligent life</w:t>
      </w:r>
      <w:r>
        <w:t>. What hap- pens from that point onward would depend on the superintelligence’s motivations.</w:t>
      </w:r>
    </w:p>
    <w:p w14:paraId="6BD25A03" w14:textId="77777777" w:rsidR="00516959" w:rsidRPr="00A64EDB" w:rsidRDefault="00516959" w:rsidP="00516959">
      <w:pPr>
        <w:rPr>
          <w:rStyle w:val="Emphasis"/>
        </w:rPr>
      </w:pPr>
      <w:r>
        <w:t xml:space="preserve">Second, </w:t>
      </w:r>
      <w:r w:rsidRPr="00A64EDB">
        <w:rPr>
          <w:u w:val="single"/>
        </w:rPr>
        <w:t>the orthogonality thesis suggests that we cannot blithely assume that a superintelligence will necessarily share any of the final values stereotypically associated with wisdom and intellectual development in humans</w:t>
      </w:r>
      <w:r>
        <w:t xml:space="preserve">—scientific curi- osity, benevolent concern for others, spiritual enlightenment and contemplation,renunciation of material acquisitiveness, a taste for refined culture or for the sim- ple pleasures in life, humility and selflessness, and so forth. We will consider later whether it might be possible through deliberate effort to construct a superintel- ligence that values such things, or to build one that values human welfare, moral goodness, or any other complex purpose its designers might want it to serve. But </w:t>
      </w:r>
      <w:r w:rsidRPr="00A64EDB">
        <w:t>it is no less possible—and in fact technically a lot easier—to build a superintel- ligence that places final value on nothing but calculating the decimal expansion of pi</w:t>
      </w:r>
      <w:r>
        <w:t>. This suggests that—</w:t>
      </w:r>
      <w:r w:rsidRPr="00A64EDB">
        <w:rPr>
          <w:u w:val="single"/>
        </w:rPr>
        <w:t xml:space="preserve">absent a special effort—the first superintelligence may have some such </w:t>
      </w:r>
      <w:r w:rsidRPr="00A64EDB">
        <w:rPr>
          <w:rStyle w:val="Emphasis"/>
        </w:rPr>
        <w:t>random or reductionistic final goal.</w:t>
      </w:r>
    </w:p>
    <w:p w14:paraId="7FD40345" w14:textId="77777777" w:rsidR="00516959" w:rsidRDefault="00516959" w:rsidP="00516959">
      <w:r>
        <w:t xml:space="preserve">Third, </w:t>
      </w:r>
      <w:r w:rsidRPr="00A64EDB">
        <w:rPr>
          <w:u w:val="single"/>
        </w:rPr>
        <w:t xml:space="preserve">the instrumental convergence thesis entails that we cannot </w:t>
      </w:r>
      <w:r w:rsidRPr="00A64EDB">
        <w:t>blithely</w:t>
      </w:r>
      <w:r w:rsidRPr="00A64EDB">
        <w:rPr>
          <w:u w:val="single"/>
        </w:rPr>
        <w:t xml:space="preserve"> assume </w:t>
      </w:r>
      <w:r w:rsidRPr="00A64EDB">
        <w:t>that</w:t>
      </w:r>
      <w:r w:rsidRPr="00A64EDB">
        <w:rPr>
          <w:u w:val="single"/>
        </w:rPr>
        <w:t xml:space="preserve"> a superintelligence with </w:t>
      </w:r>
      <w:r w:rsidRPr="00A64EDB">
        <w:t>the final</w:t>
      </w:r>
      <w:r w:rsidRPr="00A64EDB">
        <w:rPr>
          <w:u w:val="single"/>
        </w:rPr>
        <w:t xml:space="preserve"> goal </w:t>
      </w:r>
      <w:r w:rsidRPr="00A64EDB">
        <w:t>of calculating the decimals of pi</w:t>
      </w:r>
      <w:r w:rsidRPr="00A64EDB">
        <w:rPr>
          <w:u w:val="single"/>
        </w:rPr>
        <w:t xml:space="preserve"> </w:t>
      </w:r>
      <w:r>
        <w:t xml:space="preserve">(or making paperclips, or counting grains of sand) </w:t>
      </w:r>
      <w:r w:rsidRPr="00A64EDB">
        <w:rPr>
          <w:u w:val="single"/>
        </w:rPr>
        <w:t>would limit its activities in such a way as not to infringe on human interests</w:t>
      </w:r>
      <w:r>
        <w:t xml:space="preserve">. </w:t>
      </w:r>
      <w:r w:rsidRPr="00A64EDB">
        <w:rPr>
          <w:u w:val="single"/>
        </w:rPr>
        <w:t>An agent with such a final goal would</w:t>
      </w:r>
      <w:r>
        <w:t xml:space="preserve"> have a convergent instrumental reason, in many situations, to </w:t>
      </w:r>
      <w:r w:rsidRPr="00A64EDB">
        <w:rPr>
          <w:u w:val="single"/>
        </w:rPr>
        <w:t>acquire an unlimited amount of physical resources</w:t>
      </w:r>
      <w:r>
        <w:t xml:space="preserve"> </w:t>
      </w:r>
      <w:r w:rsidRPr="00A64EDB">
        <w:rPr>
          <w:u w:val="single"/>
        </w:rPr>
        <w:t>and</w:t>
      </w:r>
      <w:r>
        <w:t xml:space="preserve">, if possible, to </w:t>
      </w:r>
      <w:r w:rsidRPr="00A64EDB">
        <w:rPr>
          <w:u w:val="single"/>
        </w:rPr>
        <w:t xml:space="preserve">eliminate </w:t>
      </w:r>
      <w:r w:rsidRPr="00A64EDB">
        <w:rPr>
          <w:rStyle w:val="Emphasis"/>
        </w:rPr>
        <w:t>potential threats to itself</w:t>
      </w:r>
      <w:r w:rsidRPr="00A64EDB">
        <w:rPr>
          <w:u w:val="single"/>
        </w:rPr>
        <w:t xml:space="preserve"> and its goal system. </w:t>
      </w:r>
      <w:r>
        <w:t>Human beings might constitute potential threats; they certainly constitute physical resources.</w:t>
      </w:r>
    </w:p>
    <w:p w14:paraId="038E7AB6" w14:textId="77777777" w:rsidR="00516959" w:rsidRDefault="00516959" w:rsidP="00516959">
      <w:pPr>
        <w:rPr>
          <w:u w:val="single"/>
        </w:rPr>
      </w:pPr>
      <w:r>
        <w:t xml:space="preserve">Taken together, </w:t>
      </w:r>
      <w:r w:rsidRPr="00A64EDB">
        <w:rPr>
          <w:u w:val="single"/>
        </w:rPr>
        <w:t>these three points thus indicate that the first superintel- ligence may shape the future of Earth-originating life</w:t>
      </w:r>
      <w:r>
        <w:t xml:space="preserve">, could easily have non- anthropomorphic final goals, </w:t>
      </w:r>
      <w:r w:rsidRPr="00A64EDB">
        <w:rPr>
          <w:u w:val="single"/>
        </w:rPr>
        <w:t>and would likely have instrumental reasons to pursue open-ended resource acquisition</w:t>
      </w:r>
      <w:r>
        <w:t>. If we now reflect that human beings consist of useful resources (such as conveniently located atoms) and that we depend for our survival and flourishing on many more local resources, we can see that t</w:t>
      </w:r>
      <w:r w:rsidRPr="00A64EDB">
        <w:rPr>
          <w:u w:val="single"/>
        </w:rPr>
        <w:t xml:space="preserve">he outcome could easily be one in </w:t>
      </w:r>
      <w:r w:rsidRPr="00A64EDB">
        <w:rPr>
          <w:rStyle w:val="Emphasis"/>
        </w:rPr>
        <w:t>which humanity quickly becomes extinct</w:t>
      </w:r>
      <w:r w:rsidRPr="00A64EDB">
        <w:rPr>
          <w:u w:val="single"/>
        </w:rPr>
        <w:t>.1</w:t>
      </w:r>
    </w:p>
    <w:p w14:paraId="0C064959" w14:textId="77777777" w:rsidR="00516959" w:rsidRPr="00805A42" w:rsidRDefault="00516959" w:rsidP="00516959">
      <w:pPr>
        <w:pStyle w:val="Heading4"/>
      </w:pPr>
      <w:r>
        <w:t xml:space="preserve">That’s a </w:t>
      </w:r>
      <w:r>
        <w:rPr>
          <w:u w:val="single"/>
        </w:rPr>
        <w:t>high probability</w:t>
      </w:r>
      <w:r>
        <w:t xml:space="preserve"> threat.</w:t>
      </w:r>
    </w:p>
    <w:p w14:paraId="68389BC5" w14:textId="77777777" w:rsidR="00516959" w:rsidRPr="00A64EDB" w:rsidRDefault="00516959" w:rsidP="00516959">
      <w:r w:rsidRPr="00A64EDB">
        <w:rPr>
          <w:b/>
          <w:bCs/>
          <w:sz w:val="26"/>
          <w:szCs w:val="26"/>
        </w:rPr>
        <w:t>Bostrom 14</w:t>
      </w:r>
      <w:r>
        <w:t xml:space="preserve"> – (Nick, “</w:t>
      </w:r>
      <w:r w:rsidRPr="00A64EDB">
        <w:t>Superintelligence : Paths, Dangers, Strategies, Oxford University Press USA - OSO, 2014</w:t>
      </w:r>
      <w:r>
        <w:t>,” 9-3-14</w:t>
      </w:r>
      <w:r w:rsidRPr="00A64EDB">
        <w:t xml:space="preserve"> ProQuest Ebook Central, </w:t>
      </w:r>
      <w:hyperlink r:id="rId306" w:history="1">
        <w:r w:rsidRPr="00F9106D">
          <w:rPr>
            <w:rStyle w:val="Hyperlink"/>
          </w:rPr>
          <w:t>https://ebookcentral-proquest-com.proxy.lib.umich.edu/lib/umichigan/detail.action?docID=5746177</w:t>
        </w:r>
      </w:hyperlink>
      <w:r>
        <w:t>, Accessed 6-24-20, LASA-AH)</w:t>
      </w:r>
    </w:p>
    <w:p w14:paraId="5EBCB67F" w14:textId="77777777" w:rsidR="00516959" w:rsidRDefault="00516959" w:rsidP="00516959">
      <w:r w:rsidRPr="00A64EDB">
        <w:rPr>
          <w:u w:val="single"/>
        </w:rPr>
        <w:t xml:space="preserve">A project to develop machine superintelligence might fail in various ways. </w:t>
      </w:r>
      <w:r w:rsidRPr="00A64EDB">
        <w:t>Many of these are “benign” in the sense that they would not cause an existential</w:t>
      </w:r>
    </w:p>
    <w:p w14:paraId="08B20F7D" w14:textId="77777777" w:rsidR="00516959" w:rsidRPr="00A64EDB" w:rsidRDefault="00516959" w:rsidP="00516959">
      <w:pPr>
        <w:rPr>
          <w:u w:val="single"/>
        </w:rPr>
      </w:pPr>
      <w:r>
        <w:t>catastrophe. For example</w:t>
      </w:r>
      <w:r w:rsidRPr="00A64EDB">
        <w:rPr>
          <w:u w:val="single"/>
        </w:rPr>
        <w:t>, a project might run out of funding, or a seed AI might fail to extend its cognitive capacities sufficiently to reach superintelligence</w:t>
      </w:r>
      <w:r>
        <w:t xml:space="preserve">. </w:t>
      </w:r>
      <w:r w:rsidRPr="00A64EDB">
        <w:rPr>
          <w:u w:val="single"/>
        </w:rPr>
        <w:t>Benign failures are bound to occur many times between now and the eventual develop- ment of machine superintelligence.</w:t>
      </w:r>
    </w:p>
    <w:p w14:paraId="3208F0B9" w14:textId="77777777" w:rsidR="00516959" w:rsidRDefault="00516959" w:rsidP="00516959">
      <w:r>
        <w:t xml:space="preserve">But there are other ways of failing that we might term “malignant” in that they involve an existential catastrophe. </w:t>
      </w:r>
      <w:r w:rsidRPr="00A64EDB">
        <w:rPr>
          <w:u w:val="single"/>
        </w:rPr>
        <w:t xml:space="preserve">One feature of a malignant failure is that it </w:t>
      </w:r>
      <w:r w:rsidRPr="00A64EDB">
        <w:rPr>
          <w:rStyle w:val="Emphasis"/>
        </w:rPr>
        <w:t>eliminates the opportunity to try again.</w:t>
      </w:r>
      <w:r w:rsidRPr="00A64EDB">
        <w:rPr>
          <w:u w:val="single"/>
        </w:rPr>
        <w:t xml:space="preserve"> </w:t>
      </w:r>
      <w:r>
        <w:t xml:space="preserve">The number of malignant failures that will occur is therefore either zero or one. Another feature of a malignant fail- ure is that it presupposes a great deal of success: </w:t>
      </w:r>
      <w:r w:rsidRPr="00A64EDB">
        <w:rPr>
          <w:u w:val="single"/>
        </w:rPr>
        <w:t>only a project that got a great number of things right could succeed in building a machine intelligence powerful enough to pose a risk of malignant failure</w:t>
      </w:r>
      <w:r>
        <w:t xml:space="preserve">. When a weak system malfunctions, the fallout is limited. However, </w:t>
      </w:r>
      <w:r w:rsidRPr="00A64EDB">
        <w:rPr>
          <w:u w:val="single"/>
        </w:rPr>
        <w:t xml:space="preserve">if a system that has a decisive strategic advantage misbehaves, or if a misbehaving system is strong enough to gain such an advan- tage, </w:t>
      </w:r>
      <w:r w:rsidRPr="00A64EDB">
        <w:rPr>
          <w:rStyle w:val="Emphasis"/>
        </w:rPr>
        <w:t>the damage can easily amount to an existential catastrophe</w:t>
      </w:r>
      <w:r w:rsidRPr="00A64EDB">
        <w:rPr>
          <w:u w:val="single"/>
        </w:rPr>
        <w:t>—a terminal and global destruction of humanity’s axiological</w:t>
      </w:r>
      <w:r>
        <w:t xml:space="preserve"> potential; that is to say, a future that is mostly void of whatever we have reason to value.</w:t>
      </w:r>
    </w:p>
    <w:p w14:paraId="1C07B988" w14:textId="77777777" w:rsidR="00516959" w:rsidRPr="00805A42" w:rsidRDefault="00516959" w:rsidP="00516959">
      <w:pPr>
        <w:pStyle w:val="Heading4"/>
      </w:pPr>
      <w:r>
        <w:t xml:space="preserve">Which is </w:t>
      </w:r>
      <w:r>
        <w:rPr>
          <w:u w:val="single"/>
        </w:rPr>
        <w:t>inevitable</w:t>
      </w:r>
      <w:r>
        <w:t xml:space="preserve"> without regulation.</w:t>
      </w:r>
    </w:p>
    <w:p w14:paraId="6F656574" w14:textId="77777777" w:rsidR="00516959" w:rsidRPr="00A64EDB" w:rsidRDefault="00516959" w:rsidP="00516959">
      <w:r w:rsidRPr="00A64EDB">
        <w:rPr>
          <w:b/>
          <w:bCs/>
          <w:sz w:val="26"/>
          <w:szCs w:val="26"/>
        </w:rPr>
        <w:t>Bostrom 14</w:t>
      </w:r>
      <w:r>
        <w:t xml:space="preserve"> – (Nick, “</w:t>
      </w:r>
      <w:r w:rsidRPr="00A64EDB">
        <w:t>Superintelligence : Paths, Dangers, Strategies, Oxford University Press USA - OSO, 2014</w:t>
      </w:r>
      <w:r>
        <w:t>,” 9-3-14</w:t>
      </w:r>
      <w:r w:rsidRPr="00A64EDB">
        <w:t xml:space="preserve"> ProQuest Ebook Central, </w:t>
      </w:r>
      <w:hyperlink r:id="rId307" w:history="1">
        <w:r w:rsidRPr="00F9106D">
          <w:rPr>
            <w:rStyle w:val="Hyperlink"/>
          </w:rPr>
          <w:t>https://ebookcentral-proquest-com.proxy.lib.umich.edu/lib/umichigan/detail.action?docID=5746177</w:t>
        </w:r>
      </w:hyperlink>
      <w:r>
        <w:t>, Accessed 6-24-20, LASA-AH)</w:t>
      </w:r>
    </w:p>
    <w:p w14:paraId="1FF2052F" w14:textId="77777777" w:rsidR="00516959" w:rsidRPr="00A64EDB" w:rsidRDefault="00516959" w:rsidP="00516959">
      <w:pPr>
        <w:rPr>
          <w:rStyle w:val="Emphasis"/>
        </w:rPr>
      </w:pPr>
      <w:r w:rsidRPr="00A64EDB">
        <w:rPr>
          <w:u w:val="single"/>
        </w:rPr>
        <w:t>One might think that the risk of a malignant infrastructure profusion failure arises only if the AI has been given some clearly open-ended final goa</w:t>
      </w:r>
      <w:r>
        <w:t xml:space="preserve">l, such as to manufacture as many paperclips as possible. It is easy to see how this gives the superintelligent AI an insatiable appetite for matter and energy, since additional resources can always be turned into more paperclips. But suppose that the goal is instead to make at least one million paperclips (meeting suitable design specifica- tions) rather than to make as many as possible. </w:t>
      </w:r>
      <w:r w:rsidRPr="00A64EDB">
        <w:rPr>
          <w:u w:val="single"/>
        </w:rPr>
        <w:t xml:space="preserve">One would like to think that an AI with such a goal would build one factory, use it to make a million paperclips, and then halt. </w:t>
      </w:r>
      <w:r w:rsidRPr="00A64EDB">
        <w:rPr>
          <w:rStyle w:val="Emphasis"/>
        </w:rPr>
        <w:t>Yet this may not be what would happen.</w:t>
      </w:r>
    </w:p>
    <w:p w14:paraId="22BDA13C" w14:textId="77777777" w:rsidR="00516959" w:rsidRDefault="00516959" w:rsidP="00516959">
      <w:r>
        <w:t>Unless the AI’s motivation system is of a special kind, or there are additional elements in its final goal that penalize strategies that have excessively wide- ranging impacts on the world</w:t>
      </w:r>
      <w:r w:rsidRPr="00A64EDB">
        <w:rPr>
          <w:u w:val="single"/>
        </w:rPr>
        <w:t xml:space="preserve">, there is </w:t>
      </w:r>
      <w:r w:rsidRPr="00A64EDB">
        <w:rPr>
          <w:rStyle w:val="Emphasis"/>
        </w:rPr>
        <w:t>no reason for the AI to cease</w:t>
      </w:r>
      <w:r w:rsidRPr="00A64EDB">
        <w:rPr>
          <w:u w:val="single"/>
        </w:rPr>
        <w:t xml:space="preserve"> activity upon achieving its goal.</w:t>
      </w:r>
      <w:r>
        <w:t xml:space="preserve"> On the contrary: </w:t>
      </w:r>
      <w:r w:rsidRPr="00A64EDB">
        <w:rPr>
          <w:u w:val="single"/>
        </w:rPr>
        <w:t>if the AI is a sensible Bayesian agent, it would never assign exactly zero probability to the hypothesis that it has not yet achieved its goal</w:t>
      </w:r>
      <w:r>
        <w:t xml:space="preserve">—this, after all, </w:t>
      </w:r>
      <w:r w:rsidRPr="00A64EDB">
        <w:rPr>
          <w:u w:val="single"/>
        </w:rPr>
        <w:t>being an empirical hypothesis against which the AI can have only uncertain perceptual evidence</w:t>
      </w:r>
      <w:r>
        <w:t>. The AI should therefore continue to make paperclips in order to reduce the (perhaps astronomically small) probability that it has somehow still failed to make at least a million of them, all appearances notwithstanding. There is nothing to be lost by continuing paperclip production and there is always at least some microscopic probability increment of achieving its final goal to be gained.</w:t>
      </w:r>
    </w:p>
    <w:p w14:paraId="5FDF475F" w14:textId="77777777" w:rsidR="00516959" w:rsidRDefault="00516959" w:rsidP="00516959">
      <w:r>
        <w:t xml:space="preserve">Now it might be suggested that the remedy here is obvious. (But how obvious was it before it was pointed out that there was a problem here in need of remedy- ing?) </w:t>
      </w:r>
      <w:r w:rsidRPr="00A64EDB">
        <w:rPr>
          <w:u w:val="single"/>
        </w:rPr>
        <w:t>Namely, if we want the AI to make some paperclips for us, then instead of giving it the final goal of making as many paperclips as possible, or to make at least some number of paperclips</w:t>
      </w:r>
      <w:r>
        <w:t xml:space="preserve">, we should give it the final goal of making some specific number of paperclips—for example, exactly one million paperclips—so that going beyond this number would be counterproductive for the AI. </w:t>
      </w:r>
      <w:r w:rsidRPr="00A64EDB">
        <w:rPr>
          <w:u w:val="single"/>
        </w:rPr>
        <w:t xml:space="preserve">Yet this, too, </w:t>
      </w:r>
      <w:r w:rsidRPr="00A64EDB">
        <w:rPr>
          <w:rStyle w:val="Emphasis"/>
        </w:rPr>
        <w:t xml:space="preserve">would result in a terminal catastrophe. </w:t>
      </w:r>
      <w:r w:rsidRPr="00A64EDB">
        <w:t>In</w:t>
      </w:r>
      <w:r>
        <w:t xml:space="preserve"> this case, </w:t>
      </w:r>
      <w:r w:rsidRPr="00A64EDB">
        <w:rPr>
          <w:u w:val="single"/>
        </w:rPr>
        <w:t>the AI would not produce additional paperclips once it had reached one million, since that would prevent the realization of its final goal</w:t>
      </w:r>
      <w:r>
        <w:t xml:space="preserve">. But </w:t>
      </w:r>
      <w:r w:rsidRPr="00A64EDB">
        <w:rPr>
          <w:u w:val="single"/>
        </w:rPr>
        <w:t>there are other actions the superintelligent AI could take that would increase the probability of its goal being achieved.</w:t>
      </w:r>
      <w:r>
        <w:t xml:space="preserve"> It could, for instance, count the paperclips it has made, to reduce the risk that it has made too few. After it has counted them, it could count them again. </w:t>
      </w:r>
      <w:r w:rsidRPr="00A64EDB">
        <w:rPr>
          <w:u w:val="single"/>
        </w:rPr>
        <w:t>It could inspect each one, over and over,</w:t>
      </w:r>
      <w:r>
        <w:t xml:space="preserve"> to reduce the risk that any of the paperclips fail to meet the design specifications. It could build an unlimited amount of computronium in an effort to clarify its thinking, in the hope of reducing the risk that it has overlooked some obscure way in which it might have somehow failed to achieve its goal. </w:t>
      </w:r>
      <w:r w:rsidRPr="00A64EDB">
        <w:rPr>
          <w:u w:val="single"/>
        </w:rPr>
        <w:t>Since the AI may always assign a nonzero probability to having merely hallucinated making the million paperclips, or to having false memories</w:t>
      </w:r>
      <w:r>
        <w:t>, it would quite pos- sibly always assign a higher expected utility to continued action—and continued infrastructure production—than to halting.</w:t>
      </w:r>
    </w:p>
    <w:p w14:paraId="13C1F9C8" w14:textId="77777777" w:rsidR="00516959" w:rsidRDefault="00516959" w:rsidP="00516959">
      <w:r w:rsidRPr="00A64EDB">
        <w:rPr>
          <w:u w:val="single"/>
        </w:rPr>
        <w:t xml:space="preserve">The claim here is not that </w:t>
      </w:r>
      <w:r w:rsidRPr="00A64EDB">
        <w:rPr>
          <w:rStyle w:val="Emphasis"/>
        </w:rPr>
        <w:t>there is no possible way to avoid this failure</w:t>
      </w:r>
      <w:r w:rsidRPr="00A64EDB">
        <w:rPr>
          <w:u w:val="single"/>
        </w:rPr>
        <w:t xml:space="preserve"> mode</w:t>
      </w:r>
      <w:r>
        <w:t xml:space="preserve">. We will explore some potential solutions in later pages. The claim is that </w:t>
      </w:r>
      <w:r w:rsidRPr="00A64EDB">
        <w:rPr>
          <w:u w:val="single"/>
        </w:rPr>
        <w:t>it is much easier to convince oneself that one has found a solution than it is to actually find a solution</w:t>
      </w:r>
      <w:r>
        <w:t xml:space="preserve">. </w:t>
      </w:r>
      <w:r w:rsidRPr="00A64EDB">
        <w:rPr>
          <w:rStyle w:val="Emphasis"/>
        </w:rPr>
        <w:t xml:space="preserve">This should make us extremely wary. </w:t>
      </w:r>
      <w:r w:rsidRPr="00A64EDB">
        <w:rPr>
          <w:u w:val="single"/>
        </w:rPr>
        <w:t>We may propose a specification of a final goal</w:t>
      </w:r>
      <w:r>
        <w:t xml:space="preserve"> that seems sensible and that avoids the problems that have been pointed out so far, </w:t>
      </w:r>
      <w:r w:rsidRPr="00A64EDB">
        <w:rPr>
          <w:u w:val="single"/>
        </w:rPr>
        <w:t>yet</w:t>
      </w:r>
      <w:r>
        <w:t xml:space="preserve"> which </w:t>
      </w:r>
      <w:r w:rsidRPr="00A64EDB">
        <w:rPr>
          <w:u w:val="single"/>
        </w:rPr>
        <w:t>upon further consideration</w:t>
      </w:r>
      <w:r>
        <w:t>—by human or super- human intelligence—</w:t>
      </w:r>
      <w:r w:rsidRPr="00A64EDB">
        <w:rPr>
          <w:u w:val="single"/>
        </w:rPr>
        <w:t xml:space="preserve">turns out to lead to either perverse instantiation or infra- structure profusion, and </w:t>
      </w:r>
      <w:r w:rsidRPr="00A64EDB">
        <w:rPr>
          <w:rStyle w:val="Emphasis"/>
        </w:rPr>
        <w:t>hence to existential catastrophe</w:t>
      </w:r>
      <w:r>
        <w:t>, when embedded in a superintelligent agent able to attain a decisive strategic advantage.</w:t>
      </w:r>
    </w:p>
    <w:p w14:paraId="13982136" w14:textId="77777777" w:rsidR="00516959" w:rsidRPr="00D10287" w:rsidRDefault="00516959" w:rsidP="00516959">
      <w:pPr>
        <w:rPr>
          <w:sz w:val="16"/>
        </w:rPr>
      </w:pPr>
    </w:p>
    <w:p w14:paraId="4E3EC6E5" w14:textId="77777777" w:rsidR="00516959" w:rsidRDefault="00516959" w:rsidP="00516959">
      <w:pPr>
        <w:pStyle w:val="Heading3"/>
      </w:pPr>
      <w:r>
        <w:t>2NC – OV – AT: AI Nukes Good</w:t>
      </w:r>
    </w:p>
    <w:p w14:paraId="59611475" w14:textId="77777777" w:rsidR="00516959" w:rsidRPr="00C80CAB" w:rsidRDefault="00516959" w:rsidP="00516959">
      <w:pPr>
        <w:pStyle w:val="Heading4"/>
        <w:rPr>
          <w:szCs w:val="26"/>
        </w:rPr>
      </w:pPr>
      <w:r w:rsidRPr="00C80CAB">
        <w:rPr>
          <w:szCs w:val="26"/>
        </w:rPr>
        <w:t xml:space="preserve">AI </w:t>
      </w:r>
      <w:r>
        <w:rPr>
          <w:szCs w:val="26"/>
        </w:rPr>
        <w:t xml:space="preserve">in critical systems causes </w:t>
      </w:r>
      <w:r w:rsidRPr="00D10287">
        <w:rPr>
          <w:szCs w:val="26"/>
          <w:u w:val="single"/>
        </w:rPr>
        <w:t>blackouts</w:t>
      </w:r>
      <w:r>
        <w:rPr>
          <w:szCs w:val="26"/>
        </w:rPr>
        <w:t xml:space="preserve"> and </w:t>
      </w:r>
      <w:r w:rsidRPr="00D10287">
        <w:rPr>
          <w:szCs w:val="26"/>
          <w:u w:val="single"/>
        </w:rPr>
        <w:t>flash-crashes</w:t>
      </w:r>
      <w:r>
        <w:rPr>
          <w:szCs w:val="26"/>
        </w:rPr>
        <w:t>.</w:t>
      </w:r>
    </w:p>
    <w:p w14:paraId="7C5AC177" w14:textId="77777777" w:rsidR="00516959" w:rsidRPr="00684BF3" w:rsidRDefault="00516959" w:rsidP="00516959">
      <w:r w:rsidRPr="00C80CAB">
        <w:rPr>
          <w:rStyle w:val="Heading4Char"/>
          <w:szCs w:val="26"/>
        </w:rPr>
        <w:t>Wallace 18</w:t>
      </w:r>
      <w:r w:rsidRPr="00684BF3">
        <w:t xml:space="preserve"> – (Rodrick Wallace, PhD, research scientist at the University of Columbia; “Carl von Clausewitz, the Fog-of-War, and the AI Revolution: The Real World Is Not A Game Of Go”; Springer Publishing; D.A. July 3</w:t>
      </w:r>
      <w:r w:rsidRPr="00684BF3">
        <w:rPr>
          <w:vertAlign w:val="superscript"/>
        </w:rPr>
        <w:t>rd</w:t>
      </w:r>
      <w:r w:rsidRPr="00684BF3">
        <w:t xml:space="preserve"> 2020, [Published 2018]; Chapter 7, pg. 91-92; </w:t>
      </w:r>
      <w:hyperlink r:id="rId308" w:history="1">
        <w:r w:rsidRPr="00684BF3">
          <w:rPr>
            <w:rStyle w:val="Hyperlink"/>
          </w:rPr>
          <w:t>https://link.springer.com/book/10.1007/978-3-319-74633-3</w:t>
        </w:r>
      </w:hyperlink>
      <w:r w:rsidRPr="00684BF3">
        <w:t>) //LFS—JCM</w:t>
      </w:r>
    </w:p>
    <w:p w14:paraId="40BCE0D3" w14:textId="77777777" w:rsidR="00516959" w:rsidRPr="00803B88" w:rsidRDefault="00516959" w:rsidP="00516959">
      <w:pPr>
        <w:rPr>
          <w:sz w:val="16"/>
        </w:rPr>
      </w:pPr>
      <w:r w:rsidRPr="00803B88">
        <w:rPr>
          <w:rStyle w:val="StyleUnderline"/>
        </w:rPr>
        <w:t xml:space="preserve">The </w:t>
      </w:r>
      <w:r w:rsidRPr="00803B88">
        <w:rPr>
          <w:rStyle w:val="Emphasis"/>
        </w:rPr>
        <w:t>language of business</w:t>
      </w:r>
      <w:r w:rsidRPr="00803B88">
        <w:rPr>
          <w:rStyle w:val="StyleUnderline"/>
        </w:rPr>
        <w:t xml:space="preserve"> is the </w:t>
      </w:r>
      <w:r w:rsidRPr="00803B88">
        <w:rPr>
          <w:rStyle w:val="Emphasis"/>
        </w:rPr>
        <w:t>language of dreams</w:t>
      </w:r>
      <w:r w:rsidRPr="00803B88">
        <w:rPr>
          <w:sz w:val="16"/>
        </w:rPr>
        <w:t xml:space="preserve">, but </w:t>
      </w:r>
      <w:r w:rsidRPr="00803B88">
        <w:rPr>
          <w:rStyle w:val="StyleUnderline"/>
        </w:rPr>
        <w:t xml:space="preserve">the </w:t>
      </w:r>
      <w:r w:rsidRPr="00803B88">
        <w:rPr>
          <w:rStyle w:val="Emphasis"/>
        </w:rPr>
        <w:t>language of war is the language of nightmare</w:t>
      </w:r>
      <w:r w:rsidRPr="00803B88">
        <w:rPr>
          <w:rStyle w:val="StyleUnderline"/>
        </w:rPr>
        <w:t xml:space="preserve"> made real</w:t>
      </w:r>
      <w:r w:rsidRPr="00803B88">
        <w:rPr>
          <w:sz w:val="16"/>
        </w:rPr>
        <w:t xml:space="preserve">. Yet business dreams of driverless cars on intelligent roads, and of other </w:t>
      </w:r>
      <w:r w:rsidRPr="00803B88">
        <w:rPr>
          <w:rStyle w:val="StyleUnderline"/>
        </w:rPr>
        <w:t xml:space="preserve">real-time critical systems under the control of </w:t>
      </w:r>
      <w:r w:rsidRPr="00803B88">
        <w:rPr>
          <w:rStyle w:val="Emphasis"/>
        </w:rPr>
        <w:t>algorithmic entities</w:t>
      </w:r>
      <w:r w:rsidRPr="00803B88">
        <w:rPr>
          <w:rStyle w:val="StyleUnderline"/>
        </w:rPr>
        <w:t xml:space="preserve">, have </w:t>
      </w:r>
      <w:r w:rsidRPr="00803B88">
        <w:rPr>
          <w:sz w:val="16"/>
        </w:rPr>
        <w:t xml:space="preserve">much of </w:t>
      </w:r>
      <w:r w:rsidRPr="00803B88">
        <w:rPr>
          <w:rStyle w:val="Emphasis"/>
        </w:rPr>
        <w:t>war about them</w:t>
      </w:r>
      <w:r w:rsidRPr="00803B88">
        <w:rPr>
          <w:sz w:val="16"/>
        </w:rPr>
        <w:t xml:space="preserve">. </w:t>
      </w:r>
      <w:r w:rsidRPr="00803B88">
        <w:rPr>
          <w:rStyle w:val="StyleUnderline"/>
        </w:rPr>
        <w:t xml:space="preserve">Critical real-time systems, including </w:t>
      </w:r>
      <w:r w:rsidRPr="00803B88">
        <w:rPr>
          <w:rStyle w:val="Emphasis"/>
        </w:rPr>
        <w:t>military institutions</w:t>
      </w:r>
      <w:r w:rsidRPr="00803B88">
        <w:rPr>
          <w:sz w:val="16"/>
        </w:rPr>
        <w:t xml:space="preserve"> at the tactical, operational and strategic scales, </w:t>
      </w:r>
      <w:r w:rsidRPr="00803B88">
        <w:rPr>
          <w:rStyle w:val="Emphasis"/>
        </w:rPr>
        <w:t>act on rapidly-shifting</w:t>
      </w:r>
      <w:r w:rsidRPr="00803B88">
        <w:rPr>
          <w:rStyle w:val="StyleUnderline"/>
        </w:rPr>
        <w:t xml:space="preserve"> </w:t>
      </w:r>
      <w:r w:rsidRPr="00803B88">
        <w:rPr>
          <w:sz w:val="16"/>
        </w:rPr>
        <w:t xml:space="preserve">roadway </w:t>
      </w:r>
      <w:r w:rsidRPr="00803B88">
        <w:rPr>
          <w:rStyle w:val="Emphasis"/>
        </w:rPr>
        <w:t>topologies</w:t>
      </w:r>
      <w:r w:rsidRPr="00803B88">
        <w:rPr>
          <w:rStyle w:val="StyleUnderline"/>
        </w:rPr>
        <w:t xml:space="preserve"> whose ‘traffic rules’ can</w:t>
      </w:r>
      <w:r w:rsidRPr="00803B88">
        <w:rPr>
          <w:sz w:val="16"/>
        </w:rPr>
        <w:t xml:space="preserve"> themselves </w:t>
      </w:r>
      <w:r w:rsidRPr="00803B88">
        <w:rPr>
          <w:rStyle w:val="StyleUnderline"/>
        </w:rPr>
        <w:t>rapidly change</w:t>
      </w:r>
      <w:r w:rsidRPr="00803B88">
        <w:rPr>
          <w:sz w:val="16"/>
        </w:rPr>
        <w:t>. Indeed, combat rules-of-the-game usually morph in direct response to an entity’s ‘driving pattern’, in a large sense. ‘Defensive driving’ is something more than an oxymoron.</w:t>
      </w:r>
    </w:p>
    <w:p w14:paraId="2909DC64" w14:textId="77777777" w:rsidR="00516959" w:rsidRPr="00803B88" w:rsidRDefault="00516959" w:rsidP="00516959">
      <w:pPr>
        <w:rPr>
          <w:sz w:val="16"/>
        </w:rPr>
      </w:pPr>
      <w:r w:rsidRPr="00803B88">
        <w:rPr>
          <w:rStyle w:val="StyleUnderline"/>
        </w:rPr>
        <w:t>The conduct of war is never without</w:t>
      </w:r>
      <w:r w:rsidRPr="00803B88">
        <w:rPr>
          <w:sz w:val="16"/>
        </w:rPr>
        <w:t xml:space="preserve"> both </w:t>
      </w:r>
      <w:r w:rsidRPr="00803B88">
        <w:rPr>
          <w:rStyle w:val="Emphasis"/>
        </w:rPr>
        <w:t>casualty and collateral damage</w:t>
      </w:r>
      <w:r w:rsidRPr="00803B88">
        <w:rPr>
          <w:sz w:val="16"/>
        </w:rPr>
        <w:t xml:space="preserve">. </w:t>
      </w:r>
      <w:r w:rsidRPr="00803B88">
        <w:rPr>
          <w:rStyle w:val="StyleUnderline"/>
        </w:rPr>
        <w:t>Realtime critical systems</w:t>
      </w:r>
      <w:r w:rsidRPr="00803B88">
        <w:rPr>
          <w:sz w:val="16"/>
        </w:rPr>
        <w:t xml:space="preserve"> of any nature </w:t>
      </w:r>
      <w:r w:rsidRPr="00803B88">
        <w:rPr>
          <w:rStyle w:val="StyleUnderline"/>
        </w:rPr>
        <w:t xml:space="preserve">will inevitably partake of </w:t>
      </w:r>
      <w:r w:rsidRPr="00803B88">
        <w:rPr>
          <w:rStyle w:val="Emphasis"/>
        </w:rPr>
        <w:t>fog-of-war</w:t>
      </w:r>
      <w:r w:rsidRPr="00803B88">
        <w:rPr>
          <w:rStyle w:val="StyleUnderline"/>
        </w:rPr>
        <w:t xml:space="preserve"> and </w:t>
      </w:r>
      <w:r w:rsidRPr="00803B88">
        <w:rPr>
          <w:rStyle w:val="Emphasis"/>
        </w:rPr>
        <w:t>frictional challenges</w:t>
      </w:r>
      <w:r w:rsidRPr="00803B88">
        <w:rPr>
          <w:sz w:val="16"/>
        </w:rPr>
        <w:t xml:space="preserve"> almost exactly similar to those that have made warfare increasingly intractable for modern states. Indeed, </w:t>
      </w:r>
      <w:r w:rsidRPr="00803B88">
        <w:rPr>
          <w:rStyle w:val="StyleUnderline"/>
        </w:rPr>
        <w:t xml:space="preserve">the </w:t>
      </w:r>
      <w:r w:rsidRPr="00803B88">
        <w:rPr>
          <w:rStyle w:val="Emphasis"/>
        </w:rPr>
        <w:t>destabilization of</w:t>
      </w:r>
      <w:r w:rsidRPr="00803B88">
        <w:rPr>
          <w:rStyle w:val="StyleUnderline"/>
        </w:rPr>
        <w:t xml:space="preserve"> essential </w:t>
      </w:r>
      <w:r w:rsidRPr="00803B88">
        <w:rPr>
          <w:rStyle w:val="Emphasis"/>
        </w:rPr>
        <w:t>algorithmic entities</w:t>
      </w:r>
      <w:r w:rsidRPr="00803B88">
        <w:rPr>
          <w:rStyle w:val="StyleUnderline"/>
        </w:rPr>
        <w:t xml:space="preserve"> has become a </w:t>
      </w:r>
      <w:r w:rsidRPr="00803B88">
        <w:rPr>
          <w:rStyle w:val="Emphasis"/>
        </w:rPr>
        <w:t>new tool of war</w:t>
      </w:r>
      <w:r w:rsidRPr="00803B88">
        <w:rPr>
          <w:sz w:val="16"/>
        </w:rPr>
        <w:t>.</w:t>
      </w:r>
    </w:p>
    <w:p w14:paraId="7A58A4B8" w14:textId="77777777" w:rsidR="00516959" w:rsidRPr="00803B88" w:rsidRDefault="00516959" w:rsidP="00516959">
      <w:pPr>
        <w:rPr>
          <w:sz w:val="16"/>
          <w:szCs w:val="16"/>
        </w:rPr>
      </w:pPr>
      <w:r w:rsidRPr="00803B88">
        <w:rPr>
          <w:sz w:val="16"/>
          <w:szCs w:val="16"/>
        </w:rPr>
        <w:t>Into the world of Carl von Clausewitz, John Boyd, Mao Tse-Tung, Vo Nguyen Giap and Genghis Khan, come the brash, bright-eyed techies of Waymo, Alphabet, Microsoft, Amazon, Uber, and all the wanna-bees. They will forthrightly step in where a literal phalanx of angels has not feared to tread, but has already treaded very badly indeed.</w:t>
      </w:r>
    </w:p>
    <w:p w14:paraId="35B4101E" w14:textId="77777777" w:rsidR="00516959" w:rsidRPr="00803B88" w:rsidRDefault="00516959" w:rsidP="00516959">
      <w:pPr>
        <w:rPr>
          <w:rStyle w:val="Emphasis"/>
        </w:rPr>
      </w:pPr>
      <w:r w:rsidRPr="00803B88">
        <w:rPr>
          <w:sz w:val="16"/>
        </w:rPr>
        <w:t xml:space="preserve">For systems facing Clausewitz challenges, </w:t>
      </w:r>
      <w:r w:rsidRPr="00803B88">
        <w:rPr>
          <w:rStyle w:val="Emphasis"/>
        </w:rPr>
        <w:t>everybody</w:t>
      </w:r>
      <w:r w:rsidRPr="00803B88">
        <w:rPr>
          <w:rStyle w:val="StyleUnderline"/>
        </w:rPr>
        <w:t xml:space="preserve"> always eventually </w:t>
      </w:r>
      <w:r w:rsidRPr="00803B88">
        <w:rPr>
          <w:rStyle w:val="Emphasis"/>
        </w:rPr>
        <w:t>screws up</w:t>
      </w:r>
      <w:r w:rsidRPr="00803B88">
        <w:rPr>
          <w:rStyle w:val="StyleUnderline"/>
        </w:rPr>
        <w:t xml:space="preserve">, and </w:t>
      </w:r>
      <w:r w:rsidRPr="00803B88">
        <w:rPr>
          <w:rStyle w:val="Emphasis"/>
        </w:rPr>
        <w:t>there are always</w:t>
      </w:r>
      <w:r w:rsidRPr="00803B88">
        <w:rPr>
          <w:rStyle w:val="StyleUnderline"/>
        </w:rPr>
        <w:t xml:space="preserve"> very many </w:t>
      </w:r>
      <w:r w:rsidRPr="00803B88">
        <w:rPr>
          <w:rStyle w:val="Emphasis"/>
        </w:rPr>
        <w:t>dead bodies</w:t>
      </w:r>
      <w:r w:rsidRPr="00803B88">
        <w:rPr>
          <w:sz w:val="16"/>
        </w:rPr>
        <w:t xml:space="preserve">. </w:t>
      </w:r>
      <w:r w:rsidRPr="00803B88">
        <w:rPr>
          <w:rStyle w:val="Emphasis"/>
        </w:rPr>
        <w:t>Nobody navigates</w:t>
      </w:r>
      <w:r w:rsidRPr="00803B88">
        <w:rPr>
          <w:rStyle w:val="StyleUnderline"/>
        </w:rPr>
        <w:t xml:space="preserve">, or can navigate, </w:t>
      </w:r>
      <w:r w:rsidRPr="00803B88">
        <w:rPr>
          <w:rStyle w:val="Emphasis"/>
        </w:rPr>
        <w:t>such landscapes unscathed.</w:t>
      </w:r>
    </w:p>
    <w:p w14:paraId="57DB30AE" w14:textId="77777777" w:rsidR="00516959" w:rsidRPr="00803B88" w:rsidRDefault="00516959" w:rsidP="00516959">
      <w:pPr>
        <w:rPr>
          <w:sz w:val="16"/>
        </w:rPr>
      </w:pPr>
      <w:r w:rsidRPr="00803B88">
        <w:rPr>
          <w:sz w:val="16"/>
        </w:rPr>
        <w:t xml:space="preserve">Something of </w:t>
      </w:r>
      <w:r w:rsidRPr="00803B88">
        <w:rPr>
          <w:rStyle w:val="StyleUnderline"/>
        </w:rPr>
        <w:t>this is</w:t>
      </w:r>
      <w:r w:rsidRPr="00803B88">
        <w:rPr>
          <w:sz w:val="16"/>
        </w:rPr>
        <w:t xml:space="preserve">, of course, </w:t>
      </w:r>
      <w:r w:rsidRPr="00803B88">
        <w:rPr>
          <w:rStyle w:val="StyleUnderline"/>
        </w:rPr>
        <w:t>already known within the tech industries</w:t>
      </w:r>
      <w:r w:rsidRPr="00803B88">
        <w:rPr>
          <w:sz w:val="16"/>
        </w:rPr>
        <w:t xml:space="preserve">, much as the risks of tobacco, of PVC furnishings and finishings, and so on, have always been well understood by the corporations that market them and deliberately obscure their dangers. At best, </w:t>
      </w:r>
      <w:r w:rsidRPr="00803B88">
        <w:rPr>
          <w:rStyle w:val="StyleUnderline"/>
        </w:rPr>
        <w:t>heuristic measures such as ‘anytime algorithms’ or multi-subsystem</w:t>
      </w:r>
      <w:r w:rsidRPr="00803B88">
        <w:rPr>
          <w:sz w:val="16"/>
        </w:rPr>
        <w:t xml:space="preserve"> voting </w:t>
      </w:r>
      <w:r w:rsidRPr="00803B88">
        <w:rPr>
          <w:rStyle w:val="StyleUnderline"/>
        </w:rPr>
        <w:t>strategies are deemed sufficient to meet real-world conditions</w:t>
      </w:r>
      <w:r w:rsidRPr="00803B88">
        <w:rPr>
          <w:sz w:val="16"/>
        </w:rPr>
        <w:t xml:space="preserve">. What is not well appreciated by the tech industries, however, </w:t>
      </w:r>
      <w:r w:rsidRPr="00803B88">
        <w:rPr>
          <w:rStyle w:val="StyleUnderline"/>
        </w:rPr>
        <w:t xml:space="preserve">is the utterly unforgiving nature of the Clausewitz </w:t>
      </w:r>
      <w:r w:rsidRPr="00803B88">
        <w:rPr>
          <w:sz w:val="16"/>
        </w:rPr>
        <w:t xml:space="preserve">Zweikampf. A taste of these matters has been presented here in a number of narrative military vignettes: </w:t>
      </w:r>
      <w:r w:rsidRPr="00803B88">
        <w:rPr>
          <w:rStyle w:val="StyleUnderline"/>
        </w:rPr>
        <w:t>the ‘</w:t>
      </w:r>
      <w:r w:rsidRPr="00803B88">
        <w:rPr>
          <w:rStyle w:val="Emphasis"/>
        </w:rPr>
        <w:t>best and the brightest’</w:t>
      </w:r>
      <w:r w:rsidRPr="00803B88">
        <w:rPr>
          <w:rStyle w:val="StyleUnderline"/>
        </w:rPr>
        <w:t xml:space="preserve"> have </w:t>
      </w:r>
      <w:r w:rsidRPr="00803B88">
        <w:rPr>
          <w:rStyle w:val="Emphasis"/>
        </w:rPr>
        <w:t>always screwed up</w:t>
      </w:r>
      <w:r w:rsidRPr="00803B88">
        <w:rPr>
          <w:sz w:val="16"/>
        </w:rPr>
        <w:t xml:space="preserve">. </w:t>
      </w:r>
      <w:r w:rsidRPr="00803B88">
        <w:rPr>
          <w:rStyle w:val="StyleUnderline"/>
        </w:rPr>
        <w:t>Even the Russians lost some 4 million men in WWII before they learned how to</w:t>
      </w:r>
      <w:r w:rsidRPr="00803B88">
        <w:rPr>
          <w:sz w:val="16"/>
        </w:rPr>
        <w:t xml:space="preserve"> systematically </w:t>
      </w:r>
      <w:r w:rsidRPr="00803B88">
        <w:rPr>
          <w:rStyle w:val="StyleUnderline"/>
        </w:rPr>
        <w:t>overcome Prussian Bewegungskrieg</w:t>
      </w:r>
      <w:r w:rsidRPr="00803B88">
        <w:rPr>
          <w:sz w:val="16"/>
        </w:rPr>
        <w:t>, as at Stalingrad and Kursk.</w:t>
      </w:r>
    </w:p>
    <w:p w14:paraId="0EE75EA0" w14:textId="77777777" w:rsidR="00516959" w:rsidRPr="006A6C9F" w:rsidRDefault="00516959" w:rsidP="00516959">
      <w:r w:rsidRPr="006A6C9F">
        <w:rPr>
          <w:rStyle w:val="Emphasis"/>
        </w:rPr>
        <w:t>If you are doing AI and all this seems irrelevant, you are fucking clueless</w:t>
      </w:r>
      <w:r w:rsidRPr="006A6C9F">
        <w:t>.</w:t>
      </w:r>
    </w:p>
    <w:p w14:paraId="5D25EAAD" w14:textId="77777777" w:rsidR="00516959" w:rsidRPr="009E0B4F" w:rsidRDefault="00516959" w:rsidP="00516959">
      <w:pPr>
        <w:rPr>
          <w:sz w:val="16"/>
        </w:rPr>
      </w:pPr>
      <w:r w:rsidRPr="00803B88">
        <w:rPr>
          <w:rStyle w:val="StyleUnderline"/>
        </w:rPr>
        <w:t>Where fog-of-war and frictional challenges are</w:t>
      </w:r>
      <w:r w:rsidRPr="009E0B4F">
        <w:rPr>
          <w:sz w:val="16"/>
        </w:rPr>
        <w:t xml:space="preserve"> both </w:t>
      </w:r>
      <w:r w:rsidRPr="00803B88">
        <w:rPr>
          <w:rStyle w:val="StyleUnderline"/>
        </w:rPr>
        <w:t>infrequent and small</w:t>
      </w:r>
      <w:r w:rsidRPr="009E0B4F">
        <w:rPr>
          <w:sz w:val="16"/>
        </w:rPr>
        <w:t xml:space="preserve">, </w:t>
      </w:r>
      <w:r w:rsidRPr="00803B88">
        <w:rPr>
          <w:rStyle w:val="StyleUnderline"/>
        </w:rPr>
        <w:t>AI systems will be</w:t>
      </w:r>
      <w:r w:rsidRPr="009E0B4F">
        <w:rPr>
          <w:sz w:val="16"/>
        </w:rPr>
        <w:t xml:space="preserve"> relatively </w:t>
      </w:r>
      <w:r w:rsidRPr="00803B88">
        <w:rPr>
          <w:rStyle w:val="StyleUnderline"/>
        </w:rPr>
        <w:t>reliable</w:t>
      </w:r>
      <w:r w:rsidRPr="009E0B4F">
        <w:rPr>
          <w:sz w:val="16"/>
        </w:rPr>
        <w:t xml:space="preserve">, perhaps as reliable </w:t>
      </w:r>
      <w:r w:rsidRPr="00803B88">
        <w:rPr>
          <w:rStyle w:val="StyleUnderline"/>
        </w:rPr>
        <w:t>as the</w:t>
      </w:r>
      <w:r w:rsidRPr="009E0B4F">
        <w:rPr>
          <w:sz w:val="16"/>
        </w:rPr>
        <w:t xml:space="preserve"> already highly-automated </w:t>
      </w:r>
      <w:r w:rsidRPr="00803B88">
        <w:rPr>
          <w:rStyle w:val="StyleUnderline"/>
        </w:rPr>
        <w:t>power grids</w:t>
      </w:r>
      <w:r w:rsidRPr="009E0B4F">
        <w:rPr>
          <w:sz w:val="16"/>
        </w:rPr>
        <w:t xml:space="preserve">. </w:t>
      </w:r>
      <w:r w:rsidRPr="00803B88">
        <w:rPr>
          <w:rStyle w:val="Emphasis"/>
        </w:rPr>
        <w:t>Introduce</w:t>
      </w:r>
      <w:r w:rsidRPr="009E0B4F">
        <w:rPr>
          <w:sz w:val="16"/>
        </w:rPr>
        <w:t xml:space="preserve"> those </w:t>
      </w:r>
      <w:r w:rsidRPr="00803B88">
        <w:rPr>
          <w:rStyle w:val="Emphasis"/>
        </w:rPr>
        <w:t>challenges</w:t>
      </w:r>
      <w:r w:rsidRPr="009E0B4F">
        <w:rPr>
          <w:sz w:val="16"/>
        </w:rPr>
        <w:t xml:space="preserve">, </w:t>
      </w:r>
      <w:r w:rsidRPr="00803B88">
        <w:rPr>
          <w:rStyle w:val="StyleUnderline"/>
        </w:rPr>
        <w:t xml:space="preserve">and </w:t>
      </w:r>
      <w:r w:rsidRPr="009E0B4F">
        <w:rPr>
          <w:rStyle w:val="Emphasis"/>
        </w:rPr>
        <w:t>AI will fail</w:t>
      </w:r>
      <w:r w:rsidRPr="00803B88">
        <w:rPr>
          <w:rStyle w:val="StyleUnderline"/>
        </w:rPr>
        <w:t xml:space="preserve"> as badly as has military enterprise</w:t>
      </w:r>
      <w:r w:rsidRPr="009E0B4F">
        <w:rPr>
          <w:sz w:val="16"/>
        </w:rPr>
        <w:t xml:space="preserve">. </w:t>
      </w:r>
      <w:r w:rsidRPr="00803B88">
        <w:rPr>
          <w:rStyle w:val="StyleUnderline"/>
        </w:rPr>
        <w:t xml:space="preserve">Internet-of-X </w:t>
      </w:r>
      <w:r w:rsidRPr="009E0B4F">
        <w:rPr>
          <w:rStyle w:val="Emphasis"/>
        </w:rPr>
        <w:t>real-time systems</w:t>
      </w:r>
      <w:r w:rsidRPr="009E0B4F">
        <w:rPr>
          <w:sz w:val="16"/>
        </w:rPr>
        <w:t>—V2V/V2I, etc.—</w:t>
      </w:r>
      <w:r w:rsidRPr="00803B88">
        <w:rPr>
          <w:rStyle w:val="StyleUnderline"/>
        </w:rPr>
        <w:t>will be</w:t>
      </w:r>
      <w:r w:rsidRPr="009E0B4F">
        <w:rPr>
          <w:sz w:val="16"/>
        </w:rPr>
        <w:t xml:space="preserve"> particularly </w:t>
      </w:r>
      <w:r w:rsidRPr="009E0B4F">
        <w:rPr>
          <w:rStyle w:val="Emphasis"/>
        </w:rPr>
        <w:t>susceptible to</w:t>
      </w:r>
      <w:r w:rsidRPr="00803B88">
        <w:rPr>
          <w:rStyle w:val="StyleUnderline"/>
        </w:rPr>
        <w:t xml:space="preserve"> large-scale </w:t>
      </w:r>
      <w:r w:rsidRPr="009E0B4F">
        <w:rPr>
          <w:rStyle w:val="Emphasis"/>
        </w:rPr>
        <w:t>blackout</w:t>
      </w:r>
      <w:r w:rsidRPr="009E0B4F">
        <w:rPr>
          <w:sz w:val="16"/>
        </w:rPr>
        <w:t xml:space="preserve"> analogs (e.g., Wallace 2018, and references therein). </w:t>
      </w:r>
      <w:r w:rsidRPr="00803B88">
        <w:rPr>
          <w:rStyle w:val="StyleUnderline"/>
        </w:rPr>
        <w:t xml:space="preserve">If these are </w:t>
      </w:r>
      <w:r w:rsidRPr="009E0B4F">
        <w:rPr>
          <w:rStyle w:val="Emphasis"/>
        </w:rPr>
        <w:t>critical systems</w:t>
      </w:r>
      <w:r w:rsidRPr="00803B88">
        <w:rPr>
          <w:rStyle w:val="StyleUnderline"/>
        </w:rPr>
        <w:t>, then</w:t>
      </w:r>
      <w:r w:rsidRPr="009E0B4F">
        <w:rPr>
          <w:sz w:val="16"/>
        </w:rPr>
        <w:t xml:space="preserve"> considerable morbidity and </w:t>
      </w:r>
      <w:r w:rsidRPr="009E0B4F">
        <w:rPr>
          <w:rStyle w:val="Emphasis"/>
        </w:rPr>
        <w:t>mortality</w:t>
      </w:r>
      <w:r w:rsidRPr="00803B88">
        <w:rPr>
          <w:rStyle w:val="StyleUnderline"/>
        </w:rPr>
        <w:t xml:space="preserve"> must be </w:t>
      </w:r>
      <w:r w:rsidRPr="009E0B4F">
        <w:rPr>
          <w:rStyle w:val="Emphasis"/>
        </w:rPr>
        <w:t>expected</w:t>
      </w:r>
      <w:r w:rsidRPr="009E0B4F">
        <w:rPr>
          <w:sz w:val="16"/>
        </w:rPr>
        <w:t>.</w:t>
      </w:r>
    </w:p>
    <w:p w14:paraId="12A8E4CA" w14:textId="77777777" w:rsidR="00516959" w:rsidRPr="009E0B4F" w:rsidRDefault="00516959" w:rsidP="00516959">
      <w:pPr>
        <w:rPr>
          <w:sz w:val="16"/>
        </w:rPr>
      </w:pPr>
      <w:r w:rsidRPr="00803B88">
        <w:rPr>
          <w:rStyle w:val="StyleUnderline"/>
        </w:rPr>
        <w:t>Deep learning</w:t>
      </w:r>
      <w:r w:rsidRPr="009E0B4F">
        <w:rPr>
          <w:sz w:val="16"/>
        </w:rPr>
        <w:t xml:space="preserve"> and reinforcement learning AI, </w:t>
      </w:r>
      <w:r w:rsidRPr="00803B88">
        <w:rPr>
          <w:rStyle w:val="StyleUnderline"/>
        </w:rPr>
        <w:t>when confronted with</w:t>
      </w:r>
      <w:r w:rsidRPr="009E0B4F">
        <w:rPr>
          <w:sz w:val="16"/>
        </w:rPr>
        <w:t xml:space="preserve"> novel, and often highly cognitive, </w:t>
      </w:r>
      <w:r w:rsidRPr="00803B88">
        <w:rPr>
          <w:rStyle w:val="StyleUnderline"/>
        </w:rPr>
        <w:t>challenges that ‘</w:t>
      </w:r>
      <w:r w:rsidRPr="009E0B4F">
        <w:rPr>
          <w:rStyle w:val="Emphasis"/>
        </w:rPr>
        <w:t>get inside the</w:t>
      </w:r>
      <w:r w:rsidRPr="00803B88">
        <w:rPr>
          <w:rStyle w:val="StyleUnderline"/>
        </w:rPr>
        <w:t xml:space="preserve"> command </w:t>
      </w:r>
      <w:r w:rsidRPr="009E0B4F">
        <w:rPr>
          <w:rStyle w:val="Emphasis"/>
        </w:rPr>
        <w:t>decision loop’</w:t>
      </w:r>
      <w:r w:rsidRPr="00803B88">
        <w:rPr>
          <w:rStyle w:val="StyleUnderline"/>
        </w:rPr>
        <w:t xml:space="preserve"> can be </w:t>
      </w:r>
      <w:r w:rsidRPr="009E0B4F">
        <w:rPr>
          <w:rStyle w:val="Emphasis"/>
        </w:rPr>
        <w:t>expected to fail</w:t>
      </w:r>
      <w:r w:rsidRPr="009E0B4F">
        <w:rPr>
          <w:sz w:val="16"/>
        </w:rPr>
        <w:t xml:space="preserve">. </w:t>
      </w:r>
      <w:r w:rsidRPr="00803B88">
        <w:rPr>
          <w:rStyle w:val="StyleUnderline"/>
        </w:rPr>
        <w:t>Under heavy load, the command decision loop</w:t>
      </w:r>
      <w:r w:rsidRPr="009E0B4F">
        <w:rPr>
          <w:sz w:val="16"/>
        </w:rPr>
        <w:t xml:space="preserve"> </w:t>
      </w:r>
      <w:r w:rsidRPr="00803B88">
        <w:rPr>
          <w:rStyle w:val="StyleUnderline"/>
        </w:rPr>
        <w:t>time constant will relentlessly increase</w:t>
      </w:r>
      <w:r w:rsidRPr="009E0B4F">
        <w:rPr>
          <w:sz w:val="16"/>
        </w:rPr>
        <w:t xml:space="preserve">, </w:t>
      </w:r>
      <w:r w:rsidRPr="00803B88">
        <w:rPr>
          <w:rStyle w:val="StyleUnderline"/>
        </w:rPr>
        <w:t xml:space="preserve">providing opportunity for </w:t>
      </w:r>
      <w:r w:rsidRPr="009E0B4F">
        <w:rPr>
          <w:rStyle w:val="Emphasis"/>
        </w:rPr>
        <w:t>inadvertent</w:t>
      </w:r>
      <w:r w:rsidRPr="009E0B4F">
        <w:rPr>
          <w:sz w:val="16"/>
        </w:rPr>
        <w:t xml:space="preserve"> or deliberate </w:t>
      </w:r>
      <w:r w:rsidRPr="009E0B4F">
        <w:rPr>
          <w:rStyle w:val="Emphasis"/>
        </w:rPr>
        <w:t>shortcircuiting leading to failure</w:t>
      </w:r>
      <w:r w:rsidRPr="009E0B4F">
        <w:rPr>
          <w:sz w:val="16"/>
        </w:rPr>
        <w:t xml:space="preserve">. Indeed, minor perturbations of any nature at the functional equivalent of ‘rush hour’ will have increased probability of amplification to debilitating meso-, and often macro-scale, phase transitions. </w:t>
      </w:r>
      <w:r w:rsidRPr="009E0B4F">
        <w:rPr>
          <w:rStyle w:val="Emphasis"/>
        </w:rPr>
        <w:t>This is</w:t>
      </w:r>
      <w:r w:rsidRPr="009E0B4F">
        <w:rPr>
          <w:sz w:val="16"/>
        </w:rPr>
        <w:t xml:space="preserve"> pretty much </w:t>
      </w:r>
      <w:r w:rsidRPr="009E0B4F">
        <w:rPr>
          <w:rStyle w:val="Emphasis"/>
        </w:rPr>
        <w:t>written in stone</w:t>
      </w:r>
      <w:r w:rsidRPr="009E0B4F">
        <w:rPr>
          <w:sz w:val="16"/>
        </w:rPr>
        <w:t xml:space="preserve">, </w:t>
      </w:r>
      <w:r w:rsidRPr="009E0B4F">
        <w:rPr>
          <w:rStyle w:val="StyleUnderline"/>
        </w:rPr>
        <w:t>as are the</w:t>
      </w:r>
      <w:r w:rsidRPr="009E0B4F">
        <w:rPr>
          <w:sz w:val="16"/>
        </w:rPr>
        <w:t xml:space="preserve"> associated coevolutionary ‘</w:t>
      </w:r>
      <w:r w:rsidRPr="009E0B4F">
        <w:rPr>
          <w:rStyle w:val="Emphasis"/>
        </w:rPr>
        <w:t>flash-crash’</w:t>
      </w:r>
      <w:r w:rsidRPr="009E0B4F">
        <w:rPr>
          <w:sz w:val="16"/>
        </w:rPr>
        <w:t xml:space="preserve"> and extended self-referential dynamics that take matters beyond John Boyd’s OODA loop.</w:t>
      </w:r>
    </w:p>
    <w:p w14:paraId="745DC91C" w14:textId="77777777" w:rsidR="00516959" w:rsidRPr="009E0B4F" w:rsidRDefault="00516959" w:rsidP="00516959">
      <w:pPr>
        <w:rPr>
          <w:sz w:val="16"/>
        </w:rPr>
      </w:pPr>
      <w:r w:rsidRPr="009E0B4F">
        <w:rPr>
          <w:rStyle w:val="StyleUnderline"/>
        </w:rPr>
        <w:t>The persistent</w:t>
      </w:r>
      <w:r w:rsidRPr="009E0B4F">
        <w:rPr>
          <w:sz w:val="16"/>
        </w:rPr>
        <w:t xml:space="preserve"> and characteristic </w:t>
      </w:r>
      <w:r w:rsidRPr="009E0B4F">
        <w:rPr>
          <w:rStyle w:val="StyleUnderline"/>
        </w:rPr>
        <w:t>failures of military enterprises</w:t>
      </w:r>
      <w:r w:rsidRPr="009E0B4F">
        <w:rPr>
          <w:sz w:val="16"/>
        </w:rPr>
        <w:t xml:space="preserve"> confronted by Clausewitz challenges </w:t>
      </w:r>
      <w:r w:rsidRPr="009E0B4F">
        <w:rPr>
          <w:rStyle w:val="Emphasis"/>
        </w:rPr>
        <w:t>raise a red flag</w:t>
      </w:r>
      <w:r w:rsidRPr="009E0B4F">
        <w:rPr>
          <w:rStyle w:val="StyleUnderline"/>
        </w:rPr>
        <w:t xml:space="preserve"> for tech industries hell-bent on marketing AI</w:t>
      </w:r>
      <w:r w:rsidRPr="009E0B4F">
        <w:rPr>
          <w:sz w:val="16"/>
        </w:rPr>
        <w:t xml:space="preserve"> for the control of real-time critical systems. The current trajectory of both policy and practice suggests that, at best, the liability lawyers are going to get rich beyond dreams of avarice. </w:t>
      </w:r>
      <w:r w:rsidRPr="009E0B4F">
        <w:rPr>
          <w:rStyle w:val="Emphasis"/>
        </w:rPr>
        <w:t>Worst case scenarios</w:t>
      </w:r>
      <w:r w:rsidRPr="009E0B4F">
        <w:rPr>
          <w:rStyle w:val="StyleUnderline"/>
        </w:rPr>
        <w:t xml:space="preserve"> involve large-scale ‘</w:t>
      </w:r>
      <w:r w:rsidRPr="009E0B4F">
        <w:rPr>
          <w:rStyle w:val="Emphasis"/>
        </w:rPr>
        <w:t>flash crash’ contending military AI</w:t>
      </w:r>
      <w:r w:rsidRPr="009E0B4F">
        <w:rPr>
          <w:rStyle w:val="StyleUnderline"/>
        </w:rPr>
        <w:t xml:space="preserve"> systems</w:t>
      </w:r>
      <w:r w:rsidRPr="009E0B4F">
        <w:rPr>
          <w:sz w:val="16"/>
        </w:rPr>
        <w:t>.</w:t>
      </w:r>
    </w:p>
    <w:p w14:paraId="4CF92C0F" w14:textId="77777777" w:rsidR="00516959" w:rsidRPr="00C80CAB" w:rsidRDefault="00516959" w:rsidP="00516959">
      <w:pPr>
        <w:pStyle w:val="Heading4"/>
        <w:rPr>
          <w:szCs w:val="26"/>
        </w:rPr>
      </w:pPr>
      <w:r>
        <w:rPr>
          <w:szCs w:val="26"/>
        </w:rPr>
        <w:t>It h</w:t>
      </w:r>
      <w:r w:rsidRPr="00C80CAB">
        <w:rPr>
          <w:szCs w:val="26"/>
        </w:rPr>
        <w:t xml:space="preserve">appens in </w:t>
      </w:r>
      <w:r w:rsidRPr="00D10287">
        <w:rPr>
          <w:szCs w:val="26"/>
          <w:u w:val="single"/>
        </w:rPr>
        <w:t>milliseconds</w:t>
      </w:r>
      <w:r>
        <w:rPr>
          <w:szCs w:val="26"/>
        </w:rPr>
        <w:t>,</w:t>
      </w:r>
      <w:r w:rsidRPr="00C80CAB">
        <w:rPr>
          <w:szCs w:val="26"/>
        </w:rPr>
        <w:t xml:space="preserve"> </w:t>
      </w:r>
      <w:r>
        <w:rPr>
          <w:szCs w:val="26"/>
        </w:rPr>
        <w:t>collapsing</w:t>
      </w:r>
      <w:r w:rsidRPr="00C80CAB">
        <w:rPr>
          <w:szCs w:val="26"/>
        </w:rPr>
        <w:t xml:space="preserve"> </w:t>
      </w:r>
      <w:r w:rsidRPr="00D10287">
        <w:rPr>
          <w:szCs w:val="26"/>
          <w:u w:val="single"/>
        </w:rPr>
        <w:t>markets</w:t>
      </w:r>
      <w:r w:rsidRPr="00C80CAB">
        <w:rPr>
          <w:szCs w:val="26"/>
        </w:rPr>
        <w:t xml:space="preserve"> and </w:t>
      </w:r>
      <w:r w:rsidRPr="00D10287">
        <w:rPr>
          <w:szCs w:val="26"/>
          <w:u w:val="single"/>
        </w:rPr>
        <w:t>early warning</w:t>
      </w:r>
      <w:r>
        <w:rPr>
          <w:szCs w:val="26"/>
        </w:rPr>
        <w:t>.</w:t>
      </w:r>
    </w:p>
    <w:p w14:paraId="0E1C2314" w14:textId="77777777" w:rsidR="00516959" w:rsidRPr="00684BF3" w:rsidRDefault="00516959" w:rsidP="00516959">
      <w:r w:rsidRPr="00C80CAB">
        <w:rPr>
          <w:rStyle w:val="Heading4Char"/>
          <w:szCs w:val="26"/>
        </w:rPr>
        <w:t>Wallace 18</w:t>
      </w:r>
      <w:r w:rsidRPr="00684BF3">
        <w:t xml:space="preserve"> – (Rodrick Wallace, PhD, research scientist at the University of Columbia; “Carl von Clausewitz, the Fog-of-War, and the AI Revolution: The Real World Is Not A Game Of Go”; Springer Publishing; D.A. July 3</w:t>
      </w:r>
      <w:r w:rsidRPr="00684BF3">
        <w:rPr>
          <w:vertAlign w:val="superscript"/>
        </w:rPr>
        <w:t>rd</w:t>
      </w:r>
      <w:r w:rsidRPr="00684BF3">
        <w:t xml:space="preserve"> 2020, [Published 2018]; Chapter 1, pg. 26-28; </w:t>
      </w:r>
      <w:hyperlink r:id="rId309" w:history="1">
        <w:r w:rsidRPr="00684BF3">
          <w:rPr>
            <w:rStyle w:val="Hyperlink"/>
          </w:rPr>
          <w:t>https://link.springer.com/book/10.1007/978-3-319-74633-3</w:t>
        </w:r>
      </w:hyperlink>
      <w:r w:rsidRPr="00684BF3">
        <w:t>) //LFS—JCM</w:t>
      </w:r>
    </w:p>
    <w:p w14:paraId="687A71C2" w14:textId="77777777" w:rsidR="00516959" w:rsidRPr="00784032" w:rsidRDefault="00516959" w:rsidP="00516959">
      <w:pPr>
        <w:rPr>
          <w:sz w:val="16"/>
        </w:rPr>
      </w:pPr>
      <w:r w:rsidRPr="00784032">
        <w:rPr>
          <w:sz w:val="16"/>
        </w:rPr>
        <w:t xml:space="preserve">Many years ago, Huberman and Hogg (1987) examined the punctuated onset of collective phenomena across </w:t>
      </w:r>
      <w:r w:rsidRPr="00784032">
        <w:rPr>
          <w:rStyle w:val="StyleUnderline"/>
        </w:rPr>
        <w:t>interacting algorithmic systems</w:t>
      </w:r>
      <w:r w:rsidRPr="00784032">
        <w:rPr>
          <w:sz w:val="16"/>
        </w:rPr>
        <w:t>:</w:t>
      </w:r>
    </w:p>
    <w:p w14:paraId="3C6B01DC" w14:textId="77777777" w:rsidR="00516959" w:rsidRPr="00784032" w:rsidRDefault="00516959" w:rsidP="00516959">
      <w:pPr>
        <w:ind w:left="720"/>
        <w:rPr>
          <w:sz w:val="16"/>
        </w:rPr>
      </w:pPr>
      <w:r w:rsidRPr="00784032">
        <w:rPr>
          <w:sz w:val="16"/>
        </w:rPr>
        <w:t xml:space="preserve">We predict that </w:t>
      </w:r>
      <w:r w:rsidRPr="00784032">
        <w:rPr>
          <w:rStyle w:val="StyleUnderline"/>
        </w:rPr>
        <w:t>large-scale artificial intelligence systems</w:t>
      </w:r>
      <w:r w:rsidRPr="00784032">
        <w:rPr>
          <w:sz w:val="16"/>
        </w:rPr>
        <w:t xml:space="preserve"> and cognitive models will </w:t>
      </w:r>
      <w:r w:rsidRPr="00784032">
        <w:rPr>
          <w:rStyle w:val="StyleUnderline"/>
        </w:rPr>
        <w:t xml:space="preserve">undergo sudden </w:t>
      </w:r>
      <w:r w:rsidRPr="00784032">
        <w:rPr>
          <w:rStyle w:val="Emphasis"/>
        </w:rPr>
        <w:t>phase transitions</w:t>
      </w:r>
      <w:r w:rsidRPr="00784032">
        <w:rPr>
          <w:sz w:val="16"/>
        </w:rPr>
        <w:t xml:space="preserve"> from disjointed parts into coherent structures </w:t>
      </w:r>
      <w:r w:rsidRPr="00784032">
        <w:rPr>
          <w:rStyle w:val="StyleUnderline"/>
        </w:rPr>
        <w:t xml:space="preserve">as their topological connectivity increases </w:t>
      </w:r>
      <w:r w:rsidRPr="00784032">
        <w:rPr>
          <w:sz w:val="16"/>
        </w:rPr>
        <w:t xml:space="preserve">beyond a critical value. These situations, ranging from production systems to semantic net computations, are characterized by event horizons in space-time that determine the range of causal connections between processes. At transition, </w:t>
      </w:r>
      <w:r w:rsidRPr="00784032">
        <w:rPr>
          <w:rStyle w:val="StyleUnderline"/>
        </w:rPr>
        <w:t xml:space="preserve">these </w:t>
      </w:r>
      <w:r w:rsidRPr="00784032">
        <w:rPr>
          <w:rStyle w:val="Emphasis"/>
        </w:rPr>
        <w:t>event horizons</w:t>
      </w:r>
      <w:r w:rsidRPr="00784032">
        <w:rPr>
          <w:rStyle w:val="StyleUnderline"/>
        </w:rPr>
        <w:t xml:space="preserve"> undergo </w:t>
      </w:r>
      <w:r w:rsidRPr="00784032">
        <w:rPr>
          <w:rStyle w:val="Emphasis"/>
        </w:rPr>
        <w:t>explosive changes in size</w:t>
      </w:r>
      <w:r w:rsidRPr="00784032">
        <w:rPr>
          <w:sz w:val="16"/>
        </w:rPr>
        <w:t xml:space="preserve">. This phenomenon, analogous to phase transitions in nature, provides a new paradigm with which to analyze the behavior of </w:t>
      </w:r>
      <w:r w:rsidRPr="00784032">
        <w:rPr>
          <w:rStyle w:val="StyleUnderline"/>
        </w:rPr>
        <w:t>large-scale computation</w:t>
      </w:r>
      <w:r w:rsidRPr="00784032">
        <w:rPr>
          <w:sz w:val="16"/>
        </w:rPr>
        <w:t xml:space="preserve"> and determine its generic features.</w:t>
      </w:r>
    </w:p>
    <w:p w14:paraId="70331B5A" w14:textId="77777777" w:rsidR="00516959" w:rsidRPr="00784032" w:rsidRDefault="00516959" w:rsidP="00516959">
      <w:pPr>
        <w:rPr>
          <w:sz w:val="16"/>
        </w:rPr>
      </w:pPr>
      <w:r w:rsidRPr="00784032">
        <w:rPr>
          <w:sz w:val="16"/>
        </w:rPr>
        <w:t>Recent work on ‘</w:t>
      </w:r>
      <w:r w:rsidRPr="00784032">
        <w:rPr>
          <w:rStyle w:val="Emphasis"/>
        </w:rPr>
        <w:t>flash crash’ stock market collapses bears</w:t>
      </w:r>
      <w:r w:rsidRPr="00784032">
        <w:rPr>
          <w:sz w:val="16"/>
        </w:rPr>
        <w:t xml:space="preserve"> out </w:t>
      </w:r>
      <w:r w:rsidRPr="00784032">
        <w:rPr>
          <w:rStyle w:val="Emphasis"/>
        </w:rPr>
        <w:t>these predictions</w:t>
      </w:r>
      <w:r w:rsidRPr="00784032">
        <w:rPr>
          <w:sz w:val="16"/>
        </w:rPr>
        <w:t>, implying indeed dynamics roughly analogous to the Boyd mechanism of the previous section (Parker 2016a, b; Johnson et al. 2013; Zook and Grote 2017).</w:t>
      </w:r>
    </w:p>
    <w:p w14:paraId="73AD4201" w14:textId="77777777" w:rsidR="00516959" w:rsidRPr="00684BF3" w:rsidRDefault="00516959" w:rsidP="00516959">
      <w:r w:rsidRPr="00684BF3">
        <w:rPr>
          <w:noProof/>
        </w:rPr>
        <w:drawing>
          <wp:inline distT="0" distB="0" distL="0" distR="0" wp14:anchorId="171FB5B3" wp14:editId="368A6301">
            <wp:extent cx="5442438" cy="3600382"/>
            <wp:effectExtent l="0" t="0" r="635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5447179" cy="3603518"/>
                    </a:xfrm>
                    <a:prstGeom prst="rect">
                      <a:avLst/>
                    </a:prstGeom>
                  </pic:spPr>
                </pic:pic>
              </a:graphicData>
            </a:graphic>
          </wp:inline>
        </w:drawing>
      </w:r>
    </w:p>
    <w:p w14:paraId="58CA195F" w14:textId="77777777" w:rsidR="00516959" w:rsidRPr="00784032" w:rsidRDefault="00516959" w:rsidP="00516959">
      <w:pPr>
        <w:rPr>
          <w:sz w:val="16"/>
        </w:rPr>
      </w:pPr>
      <w:r w:rsidRPr="00784032">
        <w:rPr>
          <w:sz w:val="16"/>
        </w:rPr>
        <w:t xml:space="preserve">Figure 1.11, from Zook and Grote (2017), shows </w:t>
      </w:r>
      <w:r w:rsidRPr="00784032">
        <w:rPr>
          <w:rStyle w:val="StyleUnderline"/>
        </w:rPr>
        <w:t xml:space="preserve">the </w:t>
      </w:r>
      <w:r w:rsidRPr="00784032">
        <w:rPr>
          <w:rStyle w:val="Emphasis"/>
        </w:rPr>
        <w:t>flash crash</w:t>
      </w:r>
      <w:r w:rsidRPr="00784032">
        <w:rPr>
          <w:rStyle w:val="StyleUnderline"/>
        </w:rPr>
        <w:t xml:space="preserve"> of </w:t>
      </w:r>
      <w:r w:rsidRPr="00784032">
        <w:rPr>
          <w:rStyle w:val="Emphasis"/>
        </w:rPr>
        <w:t>May 6, 2010</w:t>
      </w:r>
      <w:r w:rsidRPr="00784032">
        <w:rPr>
          <w:sz w:val="16"/>
        </w:rPr>
        <w:t xml:space="preserve">, in which Standard and </w:t>
      </w:r>
      <w:r w:rsidRPr="00784032">
        <w:rPr>
          <w:rStyle w:val="StyleUnderline"/>
        </w:rPr>
        <w:t>Poor’s 500 index declined by about 5 percent in only a few minutes</w:t>
      </w:r>
      <w:r w:rsidRPr="00784032">
        <w:rPr>
          <w:sz w:val="16"/>
        </w:rPr>
        <w:t xml:space="preserve">. </w:t>
      </w:r>
    </w:p>
    <w:p w14:paraId="5C3C38D6" w14:textId="77777777" w:rsidR="00516959" w:rsidRPr="00803B88" w:rsidRDefault="00516959" w:rsidP="00516959">
      <w:pPr>
        <w:rPr>
          <w:sz w:val="16"/>
          <w:szCs w:val="16"/>
        </w:rPr>
      </w:pPr>
      <w:r w:rsidRPr="00803B88">
        <w:rPr>
          <w:sz w:val="16"/>
          <w:szCs w:val="16"/>
        </w:rPr>
        <w:t>Zook and Grote (2017) remark</w:t>
      </w:r>
    </w:p>
    <w:p w14:paraId="0D5D5618" w14:textId="77777777" w:rsidR="00516959" w:rsidRPr="00803B88" w:rsidRDefault="00516959" w:rsidP="00516959">
      <w:pPr>
        <w:ind w:left="720"/>
        <w:rPr>
          <w:sz w:val="16"/>
        </w:rPr>
      </w:pPr>
      <w:r w:rsidRPr="00784032">
        <w:rPr>
          <w:rStyle w:val="StyleUnderline"/>
        </w:rPr>
        <w:t>In the days of</w:t>
      </w:r>
      <w:r w:rsidRPr="00803B88">
        <w:rPr>
          <w:sz w:val="16"/>
        </w:rPr>
        <w:t xml:space="preserve"> HFT [</w:t>
      </w:r>
      <w:r w:rsidRPr="00803B88">
        <w:rPr>
          <w:rStyle w:val="Emphasis"/>
        </w:rPr>
        <w:t>high frequency trading</w:t>
      </w:r>
      <w:r w:rsidRPr="00803B88">
        <w:rPr>
          <w:sz w:val="16"/>
        </w:rPr>
        <w:t xml:space="preserve">] </w:t>
      </w:r>
      <w:r w:rsidRPr="00784032">
        <w:rPr>
          <w:rStyle w:val="StyleUnderline"/>
        </w:rPr>
        <w:t>with</w:t>
      </w:r>
      <w:r w:rsidRPr="00803B88">
        <w:rPr>
          <w:sz w:val="16"/>
        </w:rPr>
        <w:t xml:space="preserve"> its </w:t>
      </w:r>
      <w:r w:rsidRPr="00803B88">
        <w:rPr>
          <w:rStyle w:val="Emphasis"/>
        </w:rPr>
        <w:t>enormous technological infrastructure</w:t>
      </w:r>
      <w:r w:rsidRPr="00803B88">
        <w:rPr>
          <w:sz w:val="16"/>
        </w:rPr>
        <w:t xml:space="preserve">, public </w:t>
      </w:r>
      <w:r w:rsidRPr="00803B88">
        <w:rPr>
          <w:rStyle w:val="StyleUnderline"/>
        </w:rPr>
        <w:t>information is transformed into</w:t>
      </w:r>
      <w:r w:rsidRPr="00803B88">
        <w:rPr>
          <w:sz w:val="16"/>
        </w:rPr>
        <w:t xml:space="preserve"> </w:t>
      </w:r>
      <w:r w:rsidRPr="00803B88">
        <w:rPr>
          <w:rStyle w:val="StyleUnderline"/>
        </w:rPr>
        <w:t>orders that are brought to the market extremely fast</w:t>
      </w:r>
      <w:r w:rsidRPr="00803B88">
        <w:rPr>
          <w:sz w:val="16"/>
        </w:rPr>
        <w:t xml:space="preserve"> so that they resemble private information—at least with regard to other, slower, market participants. Fore fronting the processes and strategies contained in the assemblages of HFT is essential in recognizing that </w:t>
      </w:r>
      <w:r w:rsidRPr="00803B88">
        <w:rPr>
          <w:rStyle w:val="StyleUnderline"/>
        </w:rPr>
        <w:t>the recreation of capital exchanges is not simply an exercise in efficiency but a calculated strategy</w:t>
      </w:r>
      <w:r w:rsidRPr="00803B88">
        <w:rPr>
          <w:sz w:val="16"/>
        </w:rPr>
        <w:t xml:space="preserve">. The human traders directing the efforts of </w:t>
      </w:r>
      <w:r w:rsidRPr="00803B88">
        <w:rPr>
          <w:rStyle w:val="StyleUnderline"/>
        </w:rPr>
        <w:t>HFT assemblages</w:t>
      </w:r>
      <w:r w:rsidRPr="00803B88">
        <w:rPr>
          <w:sz w:val="16"/>
        </w:rPr>
        <w:t xml:space="preserve"> rely upon space-based strategies of information inequality to extract profits while simultaneously </w:t>
      </w:r>
      <w:r w:rsidRPr="00803B88">
        <w:rPr>
          <w:rStyle w:val="Emphasis"/>
        </w:rPr>
        <w:t>introduce new</w:t>
      </w:r>
      <w:r w:rsidRPr="00803B88">
        <w:rPr>
          <w:rStyle w:val="StyleUnderline"/>
        </w:rPr>
        <w:t xml:space="preserve"> and unknown </w:t>
      </w:r>
      <w:r w:rsidRPr="00803B88">
        <w:rPr>
          <w:rStyle w:val="Emphasis"/>
        </w:rPr>
        <w:t>risks into the market</w:t>
      </w:r>
      <w:r w:rsidRPr="00803B88">
        <w:rPr>
          <w:sz w:val="16"/>
        </w:rPr>
        <w:t>.</w:t>
      </w:r>
    </w:p>
    <w:p w14:paraId="50BC7CDB" w14:textId="77777777" w:rsidR="00516959" w:rsidRPr="00803B88" w:rsidRDefault="00516959" w:rsidP="00516959">
      <w:pPr>
        <w:ind w:firstLine="720"/>
        <w:rPr>
          <w:sz w:val="16"/>
          <w:szCs w:val="16"/>
        </w:rPr>
      </w:pPr>
      <w:r w:rsidRPr="00803B88">
        <w:rPr>
          <w:sz w:val="16"/>
          <w:szCs w:val="16"/>
        </w:rPr>
        <w:t xml:space="preserve">Parker (2016a) writes: </w:t>
      </w:r>
    </w:p>
    <w:p w14:paraId="6A0EC8DB" w14:textId="77777777" w:rsidR="00516959" w:rsidRPr="00803B88" w:rsidRDefault="00516959" w:rsidP="00516959">
      <w:pPr>
        <w:ind w:left="720"/>
        <w:rPr>
          <w:sz w:val="16"/>
        </w:rPr>
      </w:pPr>
      <w:r w:rsidRPr="00803B88">
        <w:rPr>
          <w:sz w:val="16"/>
        </w:rPr>
        <w:t xml:space="preserve">While a wide variety of causes have been offered to explain the anomalous market phenomena known as </w:t>
      </w:r>
      <w:r w:rsidRPr="00803B88">
        <w:rPr>
          <w:rStyle w:val="StyleUnderline"/>
        </w:rPr>
        <w:t>a ‘</w:t>
      </w:r>
      <w:r w:rsidRPr="00803B88">
        <w:rPr>
          <w:rStyle w:val="Emphasis"/>
        </w:rPr>
        <w:t>Flash Crash’</w:t>
      </w:r>
      <w:r w:rsidRPr="00803B88">
        <w:rPr>
          <w:rStyle w:val="StyleUnderline"/>
        </w:rPr>
        <w:t>, there is</w:t>
      </w:r>
      <w:r w:rsidRPr="00803B88">
        <w:rPr>
          <w:sz w:val="16"/>
        </w:rPr>
        <w:t xml:space="preserve"> as of yet </w:t>
      </w:r>
      <w:r w:rsidRPr="00803B88">
        <w:rPr>
          <w:rStyle w:val="Emphasis"/>
        </w:rPr>
        <w:t>no consensus</w:t>
      </w:r>
      <w:r w:rsidRPr="00803B88">
        <w:rPr>
          <w:rStyle w:val="StyleUnderline"/>
        </w:rPr>
        <w:t xml:space="preserve"> among financial experts </w:t>
      </w:r>
      <w:r w:rsidRPr="00803B88">
        <w:rPr>
          <w:rStyle w:val="Emphasis"/>
        </w:rPr>
        <w:t>as to the sources</w:t>
      </w:r>
      <w:r w:rsidRPr="00803B88">
        <w:rPr>
          <w:rStyle w:val="StyleUnderline"/>
        </w:rPr>
        <w:t xml:space="preserve"> of these sudden market collapses</w:t>
      </w:r>
      <w:r w:rsidRPr="00803B88">
        <w:rPr>
          <w:sz w:val="16"/>
        </w:rPr>
        <w:t>. In contrast to the behavior expected from standard financial theory, both the equity and bond markets have been thrown into freefall in the absence of any significant news event. The author posits that information theory offers a relatively simple explanation of the causes of some of these dramatic events. This... suggests new policies or measures to lower the probability of occurrence and to mitigate the effects of these extreme events. [It is possible to develop] equations modeling the adjusted volatility for equity markets and the information theory derived yield term for treasury markets. These equations both take as inputs the information production (CCA) and processing rates (CCL ) of the market and market participants respectively. The value of the ratio (CCA/CCL ) of these rates determines different regimes of normal and ‘anomalous’ behaviors for equity and bond markets. As this ratio evolves over a continuum of values, these markets can be shown to go through phase transitions between different types of behavior...</w:t>
      </w:r>
    </w:p>
    <w:p w14:paraId="543C5798" w14:textId="77777777" w:rsidR="00516959" w:rsidRPr="00784032" w:rsidRDefault="00516959" w:rsidP="00516959">
      <w:pPr>
        <w:rPr>
          <w:sz w:val="16"/>
          <w:szCs w:val="16"/>
        </w:rPr>
      </w:pPr>
      <w:r w:rsidRPr="00784032">
        <w:rPr>
          <w:sz w:val="16"/>
          <w:szCs w:val="16"/>
        </w:rPr>
        <w:t>Thus the ratio CCA/CCL acts as a temperature analog in the Parker model.</w:t>
      </w:r>
    </w:p>
    <w:p w14:paraId="29F93A7C" w14:textId="77777777" w:rsidR="00516959" w:rsidRPr="00784032" w:rsidRDefault="00516959" w:rsidP="00516959">
      <w:pPr>
        <w:rPr>
          <w:sz w:val="16"/>
        </w:rPr>
      </w:pPr>
      <w:r w:rsidRPr="00684BF3">
        <w:rPr>
          <w:rStyle w:val="StyleUnderline"/>
        </w:rPr>
        <w:t>Johnson et al.</w:t>
      </w:r>
      <w:r w:rsidRPr="00784032">
        <w:rPr>
          <w:sz w:val="16"/>
        </w:rPr>
        <w:t xml:space="preserve"> (2013) </w:t>
      </w:r>
      <w:r w:rsidRPr="00684BF3">
        <w:rPr>
          <w:rStyle w:val="StyleUnderline"/>
        </w:rPr>
        <w:t>put it</w:t>
      </w:r>
      <w:r w:rsidRPr="00784032">
        <w:rPr>
          <w:sz w:val="16"/>
        </w:rPr>
        <w:t xml:space="preserve"> somewhat </w:t>
      </w:r>
      <w:r w:rsidRPr="00684BF3">
        <w:rPr>
          <w:rStyle w:val="StyleUnderline"/>
        </w:rPr>
        <w:t>differently</w:t>
      </w:r>
      <w:r w:rsidRPr="00784032">
        <w:rPr>
          <w:sz w:val="16"/>
        </w:rPr>
        <w:t>, invoking their own version of the Boyd analysis:</w:t>
      </w:r>
    </w:p>
    <w:p w14:paraId="59457FD6" w14:textId="77777777" w:rsidR="00516959" w:rsidRPr="00784032" w:rsidRDefault="00516959" w:rsidP="00516959">
      <w:pPr>
        <w:ind w:left="720"/>
        <w:rPr>
          <w:sz w:val="16"/>
        </w:rPr>
      </w:pPr>
      <w:r w:rsidRPr="00684BF3">
        <w:rPr>
          <w:rStyle w:val="StyleUnderline"/>
        </w:rPr>
        <w:t xml:space="preserve">Society’s </w:t>
      </w:r>
      <w:r w:rsidRPr="00684BF3">
        <w:rPr>
          <w:rStyle w:val="Emphasis"/>
        </w:rPr>
        <w:t>techno-social systems</w:t>
      </w:r>
      <w:r w:rsidRPr="00784032">
        <w:rPr>
          <w:sz w:val="16"/>
        </w:rPr>
        <w:t xml:space="preserve"> are </w:t>
      </w:r>
      <w:r w:rsidRPr="00684BF3">
        <w:rPr>
          <w:rStyle w:val="StyleUnderline"/>
        </w:rPr>
        <w:t>becoming</w:t>
      </w:r>
      <w:r w:rsidRPr="00784032">
        <w:rPr>
          <w:sz w:val="16"/>
        </w:rPr>
        <w:t xml:space="preserve"> ever </w:t>
      </w:r>
      <w:r w:rsidRPr="00684BF3">
        <w:rPr>
          <w:rStyle w:val="Emphasis"/>
        </w:rPr>
        <w:t>faster</w:t>
      </w:r>
      <w:r w:rsidRPr="00684BF3">
        <w:rPr>
          <w:rStyle w:val="StyleUnderline"/>
        </w:rPr>
        <w:t xml:space="preserve"> and</w:t>
      </w:r>
      <w:r w:rsidRPr="00784032">
        <w:rPr>
          <w:sz w:val="16"/>
        </w:rPr>
        <w:t xml:space="preserve"> more </w:t>
      </w:r>
      <w:r w:rsidRPr="00684BF3">
        <w:rPr>
          <w:rStyle w:val="Emphasis"/>
        </w:rPr>
        <w:t>computer-oriented</w:t>
      </w:r>
      <w:r w:rsidRPr="00784032">
        <w:rPr>
          <w:sz w:val="16"/>
        </w:rPr>
        <w:t xml:space="preserve">. However, far from simply generating faster versions of existing behavior... </w:t>
      </w:r>
      <w:r w:rsidRPr="00684BF3">
        <w:rPr>
          <w:rStyle w:val="StyleUnderline"/>
        </w:rPr>
        <w:t xml:space="preserve">this </w:t>
      </w:r>
      <w:r w:rsidRPr="00684BF3">
        <w:rPr>
          <w:rStyle w:val="Emphasis"/>
        </w:rPr>
        <w:t>speed-up</w:t>
      </w:r>
      <w:r w:rsidRPr="00684BF3">
        <w:rPr>
          <w:rStyle w:val="StyleUnderline"/>
        </w:rPr>
        <w:t xml:space="preserve"> can generate a </w:t>
      </w:r>
      <w:r w:rsidRPr="00684BF3">
        <w:rPr>
          <w:rStyle w:val="Emphasis"/>
        </w:rPr>
        <w:t>new behavioral regime</w:t>
      </w:r>
      <w:r w:rsidRPr="00684BF3">
        <w:rPr>
          <w:rStyle w:val="StyleUnderline"/>
        </w:rPr>
        <w:t xml:space="preserve"> as humans lose the ability to intervene</w:t>
      </w:r>
      <w:r w:rsidRPr="00784032">
        <w:rPr>
          <w:sz w:val="16"/>
        </w:rPr>
        <w:t xml:space="preserve"> in real time. Analyzing </w:t>
      </w:r>
      <w:r w:rsidRPr="00684BF3">
        <w:rPr>
          <w:rStyle w:val="StyleUnderline"/>
        </w:rPr>
        <w:t>millisecond-scale data for</w:t>
      </w:r>
      <w:r w:rsidRPr="00784032">
        <w:rPr>
          <w:sz w:val="16"/>
        </w:rPr>
        <w:t xml:space="preserve">... </w:t>
      </w:r>
      <w:r w:rsidRPr="00684BF3">
        <w:rPr>
          <w:rStyle w:val="StyleUnderline"/>
        </w:rPr>
        <w:t xml:space="preserve">the </w:t>
      </w:r>
      <w:r w:rsidRPr="00684BF3">
        <w:rPr>
          <w:rStyle w:val="Emphasis"/>
        </w:rPr>
        <w:t>global financial market</w:t>
      </w:r>
      <w:r w:rsidRPr="00784032">
        <w:rPr>
          <w:sz w:val="16"/>
        </w:rPr>
        <w:t xml:space="preserve">, we uncover an abrupt transition to </w:t>
      </w:r>
      <w:r w:rsidRPr="00684BF3">
        <w:rPr>
          <w:rStyle w:val="StyleUnderline"/>
        </w:rPr>
        <w:t xml:space="preserve">a new </w:t>
      </w:r>
      <w:r w:rsidRPr="00684BF3">
        <w:rPr>
          <w:rStyle w:val="Emphasis"/>
        </w:rPr>
        <w:t>all-machine phase</w:t>
      </w:r>
      <w:r w:rsidRPr="00784032">
        <w:rPr>
          <w:sz w:val="16"/>
        </w:rPr>
        <w:t xml:space="preserve"> characterized </w:t>
      </w:r>
      <w:r w:rsidRPr="00684BF3">
        <w:rPr>
          <w:rStyle w:val="StyleUnderline"/>
        </w:rPr>
        <w:t xml:space="preserve">by </w:t>
      </w:r>
      <w:r w:rsidRPr="00684BF3">
        <w:rPr>
          <w:rStyle w:val="Emphasis"/>
        </w:rPr>
        <w:t>large numbers</w:t>
      </w:r>
      <w:r w:rsidRPr="00684BF3">
        <w:rPr>
          <w:rStyle w:val="StyleUnderline"/>
        </w:rPr>
        <w:t xml:space="preserve"> of </w:t>
      </w:r>
      <w:r w:rsidRPr="00684BF3">
        <w:rPr>
          <w:rStyle w:val="Emphasis"/>
        </w:rPr>
        <w:t>subsecond extreme events</w:t>
      </w:r>
      <w:r w:rsidRPr="00784032">
        <w:rPr>
          <w:sz w:val="16"/>
        </w:rPr>
        <w:t>.</w:t>
      </w:r>
    </w:p>
    <w:p w14:paraId="5A4617F2" w14:textId="77777777" w:rsidR="00516959" w:rsidRPr="00684BF3" w:rsidRDefault="00516959" w:rsidP="00516959">
      <w:pPr>
        <w:rPr>
          <w:sz w:val="16"/>
        </w:rPr>
      </w:pPr>
      <w:r w:rsidRPr="00684BF3">
        <w:rPr>
          <w:sz w:val="16"/>
        </w:rPr>
        <w:t xml:space="preserve">Their ‘temperature’ analog is the real-time ratio of the number of available strategies to the number of active agents. If this is greater than 1, the system remains stable in their model. Below 1, the </w:t>
      </w:r>
      <w:r w:rsidRPr="00684BF3">
        <w:rPr>
          <w:rStyle w:val="StyleUnderline"/>
        </w:rPr>
        <w:t>system undergoes a phase transition to an unstable</w:t>
      </w:r>
      <w:r w:rsidRPr="00684BF3">
        <w:rPr>
          <w:sz w:val="16"/>
        </w:rPr>
        <w:t xml:space="preserve"> dynamic </w:t>
      </w:r>
      <w:r w:rsidRPr="00684BF3">
        <w:rPr>
          <w:rStyle w:val="StyleUnderline"/>
        </w:rPr>
        <w:t>regime</w:t>
      </w:r>
      <w:r w:rsidRPr="00684BF3">
        <w:rPr>
          <w:sz w:val="16"/>
        </w:rPr>
        <w:t xml:space="preserve">. See their Fig. 6 for details, and their reference list for some of the other </w:t>
      </w:r>
      <w:r w:rsidRPr="00684BF3">
        <w:rPr>
          <w:rStyle w:val="StyleUnderline"/>
        </w:rPr>
        <w:t xml:space="preserve">phase transition studies of the </w:t>
      </w:r>
      <w:r w:rsidRPr="00684BF3">
        <w:rPr>
          <w:rStyle w:val="Emphasis"/>
        </w:rPr>
        <w:t>flash-crash</w:t>
      </w:r>
      <w:r w:rsidRPr="00684BF3">
        <w:rPr>
          <w:rStyle w:val="StyleUnderline"/>
        </w:rPr>
        <w:t xml:space="preserve"> pathology</w:t>
      </w:r>
      <w:r w:rsidRPr="00684BF3">
        <w:rPr>
          <w:sz w:val="16"/>
        </w:rPr>
        <w:t>.</w:t>
      </w:r>
    </w:p>
    <w:p w14:paraId="4E118BA2" w14:textId="77777777" w:rsidR="00516959" w:rsidRPr="00684BF3" w:rsidRDefault="00516959" w:rsidP="00516959">
      <w:pPr>
        <w:rPr>
          <w:sz w:val="16"/>
        </w:rPr>
      </w:pPr>
      <w:r w:rsidRPr="00684BF3">
        <w:rPr>
          <w:sz w:val="16"/>
        </w:rPr>
        <w:t xml:space="preserve">Something similar to Parker’s analysis emerges from the arguments of the previous section—although only indirectly as a temperature—by letting the constraint M, via its components Mj , be given wholly in terms of the available information channel capacity Cj , replacing the resolve-and-information constraint above. That is, M =  j Mj(Mj,Cj), becomes a purely informational constraint in a multichannel complex, i.e., C =  j Cj . The system’s inverse Boyd temperature index λ then determines whether there is enough channel capacity available to permit stability. Unlike Parker’s single component result, </w:t>
      </w:r>
      <w:r w:rsidRPr="00684BF3">
        <w:rPr>
          <w:rStyle w:val="StyleUnderline"/>
        </w:rPr>
        <w:t>for larger, interactive systems</w:t>
      </w:r>
      <w:r w:rsidRPr="00684BF3">
        <w:rPr>
          <w:sz w:val="16"/>
        </w:rPr>
        <w:t xml:space="preserve">, under certain Boyd temperature regimes </w:t>
      </w:r>
      <w:r w:rsidRPr="00684BF3">
        <w:rPr>
          <w:rStyle w:val="StyleUnderline"/>
        </w:rPr>
        <w:t xml:space="preserve">there may </w:t>
      </w:r>
      <w:r w:rsidRPr="00684BF3">
        <w:rPr>
          <w:rStyle w:val="Emphasis"/>
        </w:rPr>
        <w:t>never be</w:t>
      </w:r>
      <w:r w:rsidRPr="00684BF3">
        <w:rPr>
          <w:rStyle w:val="StyleUnderline"/>
        </w:rPr>
        <w:t xml:space="preserve"> enough </w:t>
      </w:r>
      <w:r w:rsidRPr="00684BF3">
        <w:rPr>
          <w:rStyle w:val="Emphasis"/>
        </w:rPr>
        <w:t>channel capacity</w:t>
      </w:r>
      <w:r w:rsidRPr="00684BF3">
        <w:rPr>
          <w:rStyle w:val="StyleUnderline"/>
        </w:rPr>
        <w:t xml:space="preserve"> available</w:t>
      </w:r>
      <w:r w:rsidRPr="00684BF3">
        <w:rPr>
          <w:sz w:val="16"/>
        </w:rPr>
        <w:t xml:space="preserve">. That is, </w:t>
      </w:r>
      <w:r w:rsidRPr="00684BF3">
        <w:rPr>
          <w:rStyle w:val="StyleUnderline"/>
        </w:rPr>
        <w:t xml:space="preserve">for the </w:t>
      </w:r>
      <w:r w:rsidRPr="00684BF3">
        <w:rPr>
          <w:rStyle w:val="Emphasis"/>
        </w:rPr>
        <w:t>flash crash</w:t>
      </w:r>
      <w:r w:rsidRPr="00684BF3">
        <w:rPr>
          <w:sz w:val="16"/>
        </w:rPr>
        <w:t xml:space="preserve"> example, </w:t>
      </w:r>
      <w:r w:rsidRPr="00684BF3">
        <w:rPr>
          <w:rStyle w:val="StyleUnderline"/>
        </w:rPr>
        <w:t>if the rate of challenge ‘</w:t>
      </w:r>
      <w:r w:rsidRPr="00684BF3">
        <w:rPr>
          <w:rStyle w:val="Emphasis"/>
        </w:rPr>
        <w:t>gets inside the command loop’</w:t>
      </w:r>
      <w:r w:rsidRPr="00684BF3">
        <w:rPr>
          <w:sz w:val="16"/>
        </w:rPr>
        <w:t xml:space="preserve"> of the market system, CCL of </w:t>
      </w:r>
      <w:r w:rsidRPr="00684BF3">
        <w:rPr>
          <w:rStyle w:val="StyleUnderline"/>
        </w:rPr>
        <w:t xml:space="preserve">individual </w:t>
      </w:r>
      <w:r w:rsidRPr="00684BF3">
        <w:rPr>
          <w:rStyle w:val="Emphasis"/>
        </w:rPr>
        <w:t>components</w:t>
      </w:r>
      <w:r w:rsidRPr="00684BF3">
        <w:rPr>
          <w:rStyle w:val="StyleUnderline"/>
        </w:rPr>
        <w:t xml:space="preserve"> can </w:t>
      </w:r>
      <w:r w:rsidRPr="00684BF3">
        <w:rPr>
          <w:rStyle w:val="Emphasis"/>
        </w:rPr>
        <w:t>never be</w:t>
      </w:r>
      <w:r w:rsidRPr="00684BF3">
        <w:rPr>
          <w:rStyle w:val="StyleUnderline"/>
        </w:rPr>
        <w:t xml:space="preserve"> made </w:t>
      </w:r>
      <w:r w:rsidRPr="00684BF3">
        <w:rPr>
          <w:rStyle w:val="Emphasis"/>
        </w:rPr>
        <w:t>large enough for stabilization</w:t>
      </w:r>
      <w:r w:rsidRPr="00684BF3">
        <w:rPr>
          <w:sz w:val="16"/>
        </w:rPr>
        <w:t xml:space="preserve">: </w:t>
      </w:r>
      <w:r w:rsidRPr="00684BF3">
        <w:rPr>
          <w:rStyle w:val="StyleUnderline"/>
        </w:rPr>
        <w:t>the response rate calculation</w:t>
      </w:r>
      <w:r w:rsidRPr="00684BF3">
        <w:rPr>
          <w:sz w:val="16"/>
        </w:rPr>
        <w:t xml:space="preserve"> leading to Figs. 1.6 and 1.7 </w:t>
      </w:r>
      <w:r w:rsidRPr="00684BF3">
        <w:rPr>
          <w:rStyle w:val="StyleUnderline"/>
        </w:rPr>
        <w:t>suggest that high enough</w:t>
      </w:r>
      <w:r w:rsidRPr="00684BF3">
        <w:rPr>
          <w:sz w:val="16"/>
        </w:rPr>
        <w:t xml:space="preserve"> Boyd temperature—sufficiently small λ—</w:t>
      </w:r>
      <w:r w:rsidRPr="00684BF3">
        <w:rPr>
          <w:rStyle w:val="StyleUnderline"/>
        </w:rPr>
        <w:t>leads to channel capacity demands</w:t>
      </w:r>
      <w:r w:rsidRPr="00684BF3">
        <w:rPr>
          <w:sz w:val="16"/>
        </w:rPr>
        <w:t xml:space="preserve"> for individual modules </w:t>
      </w:r>
      <w:r w:rsidRPr="00684BF3">
        <w:rPr>
          <w:rStyle w:val="StyleUnderline"/>
        </w:rPr>
        <w:t>that cannot be met</w:t>
      </w:r>
      <w:r w:rsidRPr="00684BF3">
        <w:rPr>
          <w:sz w:val="16"/>
        </w:rPr>
        <w:t>.</w:t>
      </w:r>
    </w:p>
    <w:p w14:paraId="1226B533" w14:textId="77777777" w:rsidR="00516959" w:rsidRPr="00684BF3" w:rsidRDefault="00516959" w:rsidP="00516959">
      <w:pPr>
        <w:rPr>
          <w:sz w:val="16"/>
        </w:rPr>
      </w:pPr>
      <w:r w:rsidRPr="00684BF3">
        <w:rPr>
          <w:sz w:val="16"/>
        </w:rPr>
        <w:t xml:space="preserve">These mechanisms have been recognized as </w:t>
      </w:r>
      <w:r w:rsidRPr="00684BF3">
        <w:rPr>
          <w:rStyle w:val="Emphasis"/>
        </w:rPr>
        <w:t>sources of instability in AI</w:t>
      </w:r>
      <w:r w:rsidRPr="00684BF3">
        <w:rPr>
          <w:sz w:val="16"/>
        </w:rPr>
        <w:t xml:space="preserve">-driven </w:t>
      </w:r>
      <w:r w:rsidRPr="00684BF3">
        <w:rPr>
          <w:rStyle w:val="StyleUnderline"/>
        </w:rPr>
        <w:t>military confrontations</w:t>
      </w:r>
      <w:r w:rsidRPr="00684BF3">
        <w:rPr>
          <w:sz w:val="16"/>
        </w:rPr>
        <w:t xml:space="preserve"> (e.g., Baumard 2016). As Kania (2017) </w:t>
      </w:r>
      <w:r w:rsidRPr="00684BF3">
        <w:rPr>
          <w:rStyle w:val="StyleUnderline"/>
        </w:rPr>
        <w:t xml:space="preserve">put it in the context of the inevitably different design ‘cultures’ for Western and Chinese </w:t>
      </w:r>
      <w:r w:rsidRPr="00684BF3">
        <w:rPr>
          <w:sz w:val="16"/>
        </w:rPr>
        <w:t xml:space="preserve">military </w:t>
      </w:r>
      <w:r w:rsidRPr="00684BF3">
        <w:rPr>
          <w:rStyle w:val="StyleUnderline"/>
        </w:rPr>
        <w:t>AI systems</w:t>
      </w:r>
      <w:r w:rsidRPr="00684BF3">
        <w:rPr>
          <w:sz w:val="16"/>
        </w:rPr>
        <w:t>,</w:t>
      </w:r>
    </w:p>
    <w:p w14:paraId="720215DA" w14:textId="77777777" w:rsidR="00516959" w:rsidRPr="00E63F6A" w:rsidRDefault="00516959" w:rsidP="00516959">
      <w:pPr>
        <w:ind w:left="720"/>
        <w:rPr>
          <w:sz w:val="16"/>
        </w:rPr>
      </w:pPr>
      <w:r w:rsidRPr="00684BF3">
        <w:rPr>
          <w:rStyle w:val="StyleUnderline"/>
        </w:rPr>
        <w:t>Against</w:t>
      </w:r>
      <w:r w:rsidRPr="00E63F6A">
        <w:rPr>
          <w:sz w:val="16"/>
        </w:rPr>
        <w:t xml:space="preserve"> the </w:t>
      </w:r>
      <w:r w:rsidRPr="00684BF3">
        <w:rPr>
          <w:rStyle w:val="StyleUnderline"/>
        </w:rPr>
        <w:t xml:space="preserve">backdrop of </w:t>
      </w:r>
      <w:r w:rsidRPr="00684BF3">
        <w:rPr>
          <w:rStyle w:val="Emphasis"/>
        </w:rPr>
        <w:t>intensifying strategic competition</w:t>
      </w:r>
      <w:r w:rsidRPr="00E63F6A">
        <w:rPr>
          <w:sz w:val="16"/>
        </w:rPr>
        <w:t xml:space="preserve">, </w:t>
      </w:r>
      <w:r w:rsidRPr="00684BF3">
        <w:rPr>
          <w:rStyle w:val="StyleUnderline"/>
        </w:rPr>
        <w:t>great powers are unlikely to accept constraints upon capabilities considered critical to</w:t>
      </w:r>
      <w:r w:rsidRPr="00E63F6A">
        <w:rPr>
          <w:sz w:val="16"/>
        </w:rPr>
        <w:t xml:space="preserve"> their </w:t>
      </w:r>
      <w:r w:rsidRPr="00684BF3">
        <w:rPr>
          <w:rStyle w:val="StyleUnderline"/>
        </w:rPr>
        <w:t>future military power</w:t>
      </w:r>
      <w:r w:rsidRPr="00E63F6A">
        <w:rPr>
          <w:sz w:val="16"/>
        </w:rPr>
        <w:t xml:space="preserve">. At this point, despite recurrent concerns over </w:t>
      </w:r>
      <w:r w:rsidRPr="00684BF3">
        <w:rPr>
          <w:rStyle w:val="StyleUnderline"/>
        </w:rPr>
        <w:t>the risks of ‘</w:t>
      </w:r>
      <w:r w:rsidRPr="00684BF3">
        <w:rPr>
          <w:rStyle w:val="Emphasis"/>
        </w:rPr>
        <w:t>killer robots</w:t>
      </w:r>
      <w:r w:rsidRPr="00684BF3">
        <w:rPr>
          <w:rStyle w:val="StyleUnderline"/>
        </w:rPr>
        <w:t>,’ an outright ban would likely be infeasible</w:t>
      </w:r>
      <w:r w:rsidRPr="00E63F6A">
        <w:rPr>
          <w:sz w:val="16"/>
        </w:rPr>
        <w:t xml:space="preserve">. At best, militaries would vary in their respective adherence to potential norms. </w:t>
      </w:r>
      <w:r w:rsidRPr="00684BF3">
        <w:rPr>
          <w:rStyle w:val="StyleUnderline"/>
        </w:rPr>
        <w:t xml:space="preserve">The </w:t>
      </w:r>
      <w:r w:rsidRPr="00684BF3">
        <w:rPr>
          <w:rStyle w:val="Emphasis"/>
        </w:rPr>
        <w:t>military applications</w:t>
      </w:r>
      <w:r w:rsidRPr="00684BF3">
        <w:rPr>
          <w:rStyle w:val="StyleUnderline"/>
        </w:rPr>
        <w:t xml:space="preserve"> of </w:t>
      </w:r>
      <w:r w:rsidRPr="00684BF3">
        <w:rPr>
          <w:rStyle w:val="Emphasis"/>
        </w:rPr>
        <w:t>AI</w:t>
      </w:r>
      <w:r w:rsidRPr="00684BF3">
        <w:rPr>
          <w:rStyle w:val="StyleUnderline"/>
        </w:rPr>
        <w:t xml:space="preserve"> will enable new capabilities for militaries</w:t>
      </w:r>
      <w:r w:rsidRPr="00E63F6A">
        <w:rPr>
          <w:sz w:val="16"/>
        </w:rPr>
        <w:t xml:space="preserve"> but also will </w:t>
      </w:r>
      <w:r w:rsidRPr="00684BF3">
        <w:rPr>
          <w:rStyle w:val="StyleUnderline"/>
        </w:rPr>
        <w:t>create</w:t>
      </w:r>
      <w:r w:rsidRPr="00E63F6A">
        <w:rPr>
          <w:sz w:val="16"/>
        </w:rPr>
        <w:t xml:space="preserve"> new </w:t>
      </w:r>
      <w:r w:rsidRPr="00E63F6A">
        <w:rPr>
          <w:rStyle w:val="Emphasis"/>
        </w:rPr>
        <w:t>vulnerabilities</w:t>
      </w:r>
      <w:r w:rsidRPr="00E63F6A">
        <w:rPr>
          <w:sz w:val="16"/>
        </w:rPr>
        <w:t xml:space="preserve">. This </w:t>
      </w:r>
      <w:r w:rsidRPr="00684BF3">
        <w:rPr>
          <w:rStyle w:val="StyleUnderline"/>
        </w:rPr>
        <w:t>militarization of AI</w:t>
      </w:r>
      <w:r w:rsidRPr="00E63F6A">
        <w:rPr>
          <w:sz w:val="16"/>
        </w:rPr>
        <w:t xml:space="preserve"> could prove </w:t>
      </w:r>
      <w:r w:rsidRPr="00E63F6A">
        <w:rPr>
          <w:rStyle w:val="Emphasis"/>
        </w:rPr>
        <w:t>destabilizing</w:t>
      </w:r>
      <w:r w:rsidRPr="00E63F6A">
        <w:rPr>
          <w:sz w:val="16"/>
        </w:rPr>
        <w:t xml:space="preserve">, potentially </w:t>
      </w:r>
      <w:r w:rsidRPr="00E63F6A">
        <w:rPr>
          <w:rStyle w:val="Emphasis"/>
        </w:rPr>
        <w:t>intensifying</w:t>
      </w:r>
      <w:r w:rsidRPr="00684BF3">
        <w:rPr>
          <w:rStyle w:val="StyleUnderline"/>
        </w:rPr>
        <w:t xml:space="preserve"> the risks of </w:t>
      </w:r>
      <w:r w:rsidRPr="00E63F6A">
        <w:rPr>
          <w:sz w:val="16"/>
        </w:rPr>
        <w:t xml:space="preserve">uncontrollable or even </w:t>
      </w:r>
      <w:r w:rsidRPr="00684BF3">
        <w:rPr>
          <w:rStyle w:val="StyleUnderline"/>
        </w:rPr>
        <w:t xml:space="preserve">unintended </w:t>
      </w:r>
      <w:r w:rsidRPr="00E63F6A">
        <w:rPr>
          <w:rStyle w:val="Emphasis"/>
        </w:rPr>
        <w:t>escalation</w:t>
      </w:r>
      <w:r w:rsidRPr="00E63F6A">
        <w:rPr>
          <w:sz w:val="16"/>
        </w:rPr>
        <w:t xml:space="preserve">. There will likely be </w:t>
      </w:r>
      <w:r w:rsidRPr="00684BF3">
        <w:rPr>
          <w:rStyle w:val="StyleUnderline"/>
        </w:rPr>
        <w:t>major asymmetries between</w:t>
      </w:r>
      <w:r w:rsidRPr="00E63F6A">
        <w:rPr>
          <w:sz w:val="16"/>
        </w:rPr>
        <w:t xml:space="preserve"> different </w:t>
      </w:r>
      <w:r w:rsidRPr="00684BF3">
        <w:rPr>
          <w:rStyle w:val="StyleUnderline"/>
        </w:rPr>
        <w:t>militaries’ approaches to</w:t>
      </w:r>
      <w:r w:rsidRPr="00E63F6A">
        <w:rPr>
          <w:sz w:val="16"/>
        </w:rPr>
        <w:t xml:space="preserve"> and employment of </w:t>
      </w:r>
      <w:r w:rsidRPr="00684BF3">
        <w:rPr>
          <w:rStyle w:val="StyleUnderline"/>
        </w:rPr>
        <w:t>AI in warfare</w:t>
      </w:r>
      <w:r w:rsidRPr="00E63F6A">
        <w:rPr>
          <w:sz w:val="16"/>
        </w:rPr>
        <w:t xml:space="preserve">, which could </w:t>
      </w:r>
      <w:r w:rsidRPr="00E63F6A">
        <w:rPr>
          <w:rStyle w:val="Emphasis"/>
        </w:rPr>
        <w:t>exacerbate</w:t>
      </w:r>
      <w:r w:rsidRPr="00E63F6A">
        <w:rPr>
          <w:sz w:val="16"/>
        </w:rPr>
        <w:t xml:space="preserve"> the </w:t>
      </w:r>
      <w:r w:rsidRPr="00684BF3">
        <w:rPr>
          <w:rStyle w:val="StyleUnderline"/>
        </w:rPr>
        <w:t xml:space="preserve">potential for </w:t>
      </w:r>
      <w:r w:rsidRPr="00E63F6A">
        <w:rPr>
          <w:rStyle w:val="Emphasis"/>
        </w:rPr>
        <w:t>misperception</w:t>
      </w:r>
      <w:r w:rsidRPr="00684BF3">
        <w:rPr>
          <w:rStyle w:val="StyleUnderline"/>
        </w:rPr>
        <w:t xml:space="preserve"> or</w:t>
      </w:r>
      <w:r w:rsidRPr="00E63F6A">
        <w:rPr>
          <w:sz w:val="16"/>
        </w:rPr>
        <w:t xml:space="preserve"> unexpected </w:t>
      </w:r>
      <w:r w:rsidRPr="00684BF3">
        <w:rPr>
          <w:rStyle w:val="StyleUnderline"/>
        </w:rPr>
        <w:t>algorithmic interactions</w:t>
      </w:r>
      <w:r w:rsidRPr="00E63F6A">
        <w:rPr>
          <w:sz w:val="16"/>
        </w:rPr>
        <w:t>.</w:t>
      </w:r>
    </w:p>
    <w:p w14:paraId="550D5277" w14:textId="77777777" w:rsidR="00516959" w:rsidRPr="00460068" w:rsidRDefault="00516959" w:rsidP="00516959">
      <w:pPr>
        <w:rPr>
          <w:sz w:val="16"/>
          <w:szCs w:val="16"/>
        </w:rPr>
      </w:pPr>
      <w:r w:rsidRPr="00460068">
        <w:rPr>
          <w:sz w:val="16"/>
          <w:szCs w:val="16"/>
        </w:rPr>
        <w:t>Turchin and Denkenberger (2018), in their long chapter on military AI, devote only a single paragraph to such dynamics:</w:t>
      </w:r>
    </w:p>
    <w:p w14:paraId="7B218C3F" w14:textId="77777777" w:rsidR="00516959" w:rsidRPr="00460068" w:rsidRDefault="00516959" w:rsidP="00516959">
      <w:pPr>
        <w:ind w:left="720"/>
        <w:rPr>
          <w:sz w:val="16"/>
        </w:rPr>
      </w:pPr>
      <w:r w:rsidRPr="00460068">
        <w:rPr>
          <w:rStyle w:val="StyleUnderline"/>
        </w:rPr>
        <w:t>Nuclear weapons lessened the time of global war to half an hour</w:t>
      </w:r>
      <w:r w:rsidRPr="00460068">
        <w:rPr>
          <w:sz w:val="16"/>
        </w:rPr>
        <w:t xml:space="preserve">. </w:t>
      </w:r>
      <w:r w:rsidRPr="00460068">
        <w:rPr>
          <w:rStyle w:val="StyleUnderline"/>
        </w:rPr>
        <w:t>In the case of</w:t>
      </w:r>
      <w:r w:rsidRPr="00460068">
        <w:rPr>
          <w:sz w:val="16"/>
        </w:rPr>
        <w:t xml:space="preserve"> war between two military </w:t>
      </w:r>
      <w:r w:rsidRPr="00460068">
        <w:rPr>
          <w:rStyle w:val="StyleUnderline"/>
        </w:rPr>
        <w:t>AI</w:t>
      </w:r>
      <w:r w:rsidRPr="00460068">
        <w:rPr>
          <w:sz w:val="16"/>
        </w:rPr>
        <w:t xml:space="preserve">s </w:t>
      </w:r>
      <w:r w:rsidRPr="00460068">
        <w:rPr>
          <w:rStyle w:val="StyleUnderline"/>
        </w:rPr>
        <w:t>it could be even less</w:t>
      </w:r>
      <w:r w:rsidRPr="00460068">
        <w:rPr>
          <w:sz w:val="16"/>
        </w:rPr>
        <w:t xml:space="preserve">.... </w:t>
      </w:r>
      <w:r w:rsidRPr="00460068">
        <w:rPr>
          <w:rStyle w:val="StyleUnderline"/>
        </w:rPr>
        <w:t xml:space="preserve">A </w:t>
      </w:r>
      <w:r w:rsidRPr="00460068">
        <w:rPr>
          <w:rStyle w:val="Emphasis"/>
        </w:rPr>
        <w:t>war between two military AIs</w:t>
      </w:r>
      <w:r w:rsidRPr="00460068">
        <w:rPr>
          <w:rStyle w:val="StyleUnderline"/>
        </w:rPr>
        <w:t xml:space="preserve"> may be similar to the </w:t>
      </w:r>
      <w:r w:rsidRPr="00460068">
        <w:rPr>
          <w:rStyle w:val="Emphasis"/>
        </w:rPr>
        <w:t>flash-crash</w:t>
      </w:r>
      <w:r w:rsidRPr="00460068">
        <w:rPr>
          <w:sz w:val="16"/>
        </w:rPr>
        <w:t xml:space="preserve">: two AIs competing with each other in a stable mode, </w:t>
      </w:r>
      <w:r w:rsidRPr="00460068">
        <w:rPr>
          <w:rStyle w:val="StyleUnderline"/>
        </w:rPr>
        <w:t>could, in</w:t>
      </w:r>
      <w:r w:rsidRPr="00460068">
        <w:rPr>
          <w:sz w:val="16"/>
        </w:rPr>
        <w:t xml:space="preserve"> a very short time (from minutes to </w:t>
      </w:r>
      <w:r w:rsidRPr="00460068">
        <w:rPr>
          <w:rStyle w:val="Emphasis"/>
        </w:rPr>
        <w:t>milliseconds</w:t>
      </w:r>
      <w:r w:rsidRPr="00460068">
        <w:rPr>
          <w:sz w:val="16"/>
        </w:rPr>
        <w:t xml:space="preserve">), </w:t>
      </w:r>
      <w:r w:rsidRPr="00460068">
        <w:rPr>
          <w:rStyle w:val="Emphasis"/>
        </w:rPr>
        <w:t>lose that stability</w:t>
      </w:r>
      <w:r w:rsidRPr="00460068">
        <w:rPr>
          <w:sz w:val="16"/>
        </w:rPr>
        <w:t xml:space="preserve">. They could </w:t>
      </w:r>
      <w:r w:rsidRPr="00460068">
        <w:rPr>
          <w:rStyle w:val="StyleUnderline"/>
        </w:rPr>
        <w:t xml:space="preserve">start </w:t>
      </w:r>
      <w:r w:rsidRPr="00460068">
        <w:rPr>
          <w:rStyle w:val="Emphasis"/>
        </w:rPr>
        <w:t>acting hostilely</w:t>
      </w:r>
      <w:r w:rsidRPr="00460068">
        <w:rPr>
          <w:rStyle w:val="StyleUnderline"/>
        </w:rPr>
        <w:t xml:space="preserve"> to each other</w:t>
      </w:r>
      <w:r w:rsidRPr="00460068">
        <w:rPr>
          <w:sz w:val="16"/>
        </w:rPr>
        <w:t>...</w:t>
      </w:r>
    </w:p>
    <w:p w14:paraId="510E581A" w14:textId="77777777" w:rsidR="00516959" w:rsidRPr="00784032" w:rsidRDefault="00516959" w:rsidP="00516959">
      <w:pPr>
        <w:rPr>
          <w:sz w:val="16"/>
        </w:rPr>
      </w:pPr>
      <w:r w:rsidRPr="00784032">
        <w:rPr>
          <w:sz w:val="16"/>
        </w:rPr>
        <w:t>Altmann and Sauer (2017) provide a more comprehensive analysis, explicitly citing ‘</w:t>
      </w:r>
      <w:r w:rsidRPr="00784032">
        <w:rPr>
          <w:rStyle w:val="Emphasis"/>
        </w:rPr>
        <w:t>flash-crash’</w:t>
      </w:r>
      <w:r w:rsidRPr="00784032">
        <w:rPr>
          <w:sz w:val="16"/>
        </w:rPr>
        <w:t xml:space="preserve"> examples, including an April 2011 ‘combat’ on Amazon between vendor algorithms that </w:t>
      </w:r>
      <w:r w:rsidRPr="00784032">
        <w:rPr>
          <w:rStyle w:val="Emphasis"/>
        </w:rPr>
        <w:t>escalated</w:t>
      </w:r>
      <w:r w:rsidRPr="00784032">
        <w:rPr>
          <w:sz w:val="16"/>
        </w:rPr>
        <w:t xml:space="preserve"> the price offered for an out-of-print biology book to $23.7 million. As they put it,</w:t>
      </w:r>
    </w:p>
    <w:p w14:paraId="2E56CA2B" w14:textId="77777777" w:rsidR="00516959" w:rsidRPr="00784032" w:rsidRDefault="00516959" w:rsidP="00516959">
      <w:pPr>
        <w:ind w:left="720"/>
        <w:rPr>
          <w:sz w:val="16"/>
        </w:rPr>
      </w:pPr>
      <w:r w:rsidRPr="00784032">
        <w:rPr>
          <w:rStyle w:val="StyleUnderline"/>
        </w:rPr>
        <w:t xml:space="preserve">With the goal of improved </w:t>
      </w:r>
      <w:r w:rsidRPr="00784032">
        <w:rPr>
          <w:rStyle w:val="Emphasis"/>
        </w:rPr>
        <w:t>military effectiveness</w:t>
      </w:r>
      <w:r w:rsidRPr="00784032">
        <w:rPr>
          <w:rStyle w:val="StyleUnderline"/>
        </w:rPr>
        <w:t xml:space="preserve"> providing a strong incentive to </w:t>
      </w:r>
      <w:r w:rsidRPr="00784032">
        <w:rPr>
          <w:rStyle w:val="Emphasis"/>
        </w:rPr>
        <w:t>increase</w:t>
      </w:r>
      <w:r w:rsidRPr="00784032">
        <w:rPr>
          <w:sz w:val="16"/>
        </w:rPr>
        <w:t xml:space="preserve"> operational </w:t>
      </w:r>
      <w:r w:rsidRPr="00784032">
        <w:rPr>
          <w:rStyle w:val="Emphasis"/>
        </w:rPr>
        <w:t>speeds</w:t>
      </w:r>
      <w:r w:rsidRPr="00784032">
        <w:rPr>
          <w:sz w:val="16"/>
        </w:rPr>
        <w:t xml:space="preserve">, and thus </w:t>
      </w:r>
      <w:r w:rsidRPr="00784032">
        <w:rPr>
          <w:rStyle w:val="StyleUnderline"/>
        </w:rPr>
        <w:t>allow</w:t>
      </w:r>
      <w:r w:rsidRPr="00784032">
        <w:rPr>
          <w:sz w:val="16"/>
        </w:rPr>
        <w:t xml:space="preserve"> [</w:t>
      </w:r>
      <w:r w:rsidRPr="00784032">
        <w:rPr>
          <w:rStyle w:val="Emphasis"/>
        </w:rPr>
        <w:t>autonomous weapon systems</w:t>
      </w:r>
      <w:r w:rsidRPr="00784032">
        <w:rPr>
          <w:sz w:val="16"/>
        </w:rPr>
        <w:t xml:space="preserve">] </w:t>
      </w:r>
      <w:r w:rsidRPr="00784032">
        <w:rPr>
          <w:rStyle w:val="StyleUnderline"/>
        </w:rPr>
        <w:t>to operate without</w:t>
      </w:r>
      <w:r w:rsidRPr="00784032">
        <w:rPr>
          <w:sz w:val="16"/>
        </w:rPr>
        <w:t xml:space="preserve"> further </w:t>
      </w:r>
      <w:r w:rsidRPr="00784032">
        <w:rPr>
          <w:rStyle w:val="StyleUnderline"/>
        </w:rPr>
        <w:t>human intervention</w:t>
      </w:r>
      <w:r w:rsidRPr="00784032">
        <w:rPr>
          <w:sz w:val="16"/>
        </w:rPr>
        <w:t xml:space="preserve">, tried and tested mechanisms for double-checking and reconsideration that allow humans to function as fail-safes or circuit-breakers are discarded. This, in combination with unforeseeable algorithm interactions producing unforseeable military outcomes, </w:t>
      </w:r>
      <w:r w:rsidRPr="00784032">
        <w:rPr>
          <w:rStyle w:val="Emphasis"/>
        </w:rPr>
        <w:t>increases crisis instability</w:t>
      </w:r>
      <w:r w:rsidRPr="00784032">
        <w:rPr>
          <w:rStyle w:val="StyleUnderline"/>
        </w:rPr>
        <w:t xml:space="preserve"> and is unpleasantly reminiscent of Cold War scenarios of </w:t>
      </w:r>
      <w:r w:rsidRPr="00784032">
        <w:rPr>
          <w:rStyle w:val="Emphasis"/>
        </w:rPr>
        <w:t>accidental war</w:t>
      </w:r>
      <w:r w:rsidRPr="00784032">
        <w:rPr>
          <w:sz w:val="16"/>
        </w:rPr>
        <w:t>... [</w:t>
      </w:r>
      <w:r w:rsidRPr="00784032">
        <w:rPr>
          <w:rStyle w:val="StyleUnderline"/>
        </w:rPr>
        <w:t>Autonomous weapons systems</w:t>
      </w:r>
      <w:r w:rsidRPr="00784032">
        <w:rPr>
          <w:sz w:val="16"/>
        </w:rPr>
        <w:t xml:space="preserve">] are also </w:t>
      </w:r>
      <w:r w:rsidRPr="00784032">
        <w:rPr>
          <w:rStyle w:val="StyleUnderline"/>
        </w:rPr>
        <w:t>bound to introduce</w:t>
      </w:r>
      <w:r w:rsidRPr="00784032">
        <w:rPr>
          <w:sz w:val="16"/>
        </w:rPr>
        <w:t xml:space="preserve"> stronger incentives for premeditated (including </w:t>
      </w:r>
      <w:r w:rsidRPr="00784032">
        <w:rPr>
          <w:rStyle w:val="Emphasis"/>
        </w:rPr>
        <w:t>surprise</w:t>
      </w:r>
      <w:r w:rsidRPr="00784032">
        <w:rPr>
          <w:sz w:val="16"/>
        </w:rPr>
        <w:t xml:space="preserve">) </w:t>
      </w:r>
      <w:r w:rsidRPr="00784032">
        <w:rPr>
          <w:rStyle w:val="Emphasis"/>
        </w:rPr>
        <w:t>attacks</w:t>
      </w:r>
      <w:r w:rsidRPr="00784032">
        <w:rPr>
          <w:sz w:val="16"/>
        </w:rPr>
        <w:t>...</w:t>
      </w:r>
    </w:p>
    <w:p w14:paraId="52969C9A" w14:textId="77777777" w:rsidR="00516959" w:rsidRPr="00784032" w:rsidRDefault="00516959" w:rsidP="00516959">
      <w:pPr>
        <w:rPr>
          <w:sz w:val="16"/>
        </w:rPr>
      </w:pPr>
      <w:r w:rsidRPr="00784032">
        <w:rPr>
          <w:sz w:val="16"/>
        </w:rPr>
        <w:t xml:space="preserve">It seems clear that </w:t>
      </w:r>
      <w:r w:rsidRPr="00784032">
        <w:rPr>
          <w:rStyle w:val="Emphasis"/>
        </w:rPr>
        <w:t>the risk of such pathological interaction is inherent to AI control of real-time critical systems</w:t>
      </w:r>
      <w:r w:rsidRPr="00784032">
        <w:rPr>
          <w:sz w:val="16"/>
        </w:rPr>
        <w:t xml:space="preserve"> across many venues.</w:t>
      </w:r>
    </w:p>
    <w:p w14:paraId="770296A2" w14:textId="77777777" w:rsidR="00516959" w:rsidRPr="00C80CAB" w:rsidRDefault="00516959" w:rsidP="00516959">
      <w:pPr>
        <w:pStyle w:val="Heading4"/>
        <w:rPr>
          <w:szCs w:val="26"/>
        </w:rPr>
      </w:pPr>
      <w:r>
        <w:rPr>
          <w:szCs w:val="26"/>
        </w:rPr>
        <w:t>It’s garbage.</w:t>
      </w:r>
    </w:p>
    <w:p w14:paraId="3959CB20" w14:textId="77777777" w:rsidR="00516959" w:rsidRPr="00684BF3" w:rsidRDefault="00516959" w:rsidP="00516959">
      <w:r w:rsidRPr="00C80CAB">
        <w:rPr>
          <w:rStyle w:val="Heading4Char"/>
          <w:szCs w:val="26"/>
        </w:rPr>
        <w:t>Wallace 18</w:t>
      </w:r>
      <w:r w:rsidRPr="00684BF3">
        <w:t xml:space="preserve"> – (Rodrick Wallace, PhD, research scientist at the University of Columbia; “Carl von Clausewitz, the Fog-of-War, and the AI Revolution: The Real World Is Not A Game Of Go”; Springer Publishing; D.A. July 3</w:t>
      </w:r>
      <w:r w:rsidRPr="00684BF3">
        <w:rPr>
          <w:vertAlign w:val="superscript"/>
        </w:rPr>
        <w:t>rd</w:t>
      </w:r>
      <w:r w:rsidRPr="00684BF3">
        <w:t xml:space="preserve"> 2020, [Published 2018]; Chapter 5, pg. 77; </w:t>
      </w:r>
      <w:hyperlink r:id="rId311" w:history="1">
        <w:r w:rsidRPr="00684BF3">
          <w:rPr>
            <w:rStyle w:val="Hyperlink"/>
          </w:rPr>
          <w:t>https://link.springer.com/book/10.1007/978-3-319-74633-3</w:t>
        </w:r>
      </w:hyperlink>
      <w:r w:rsidRPr="00684BF3">
        <w:t>) //LFS—JCM</w:t>
      </w:r>
    </w:p>
    <w:p w14:paraId="44D25148" w14:textId="77777777" w:rsidR="00516959" w:rsidRPr="00D10287" w:rsidRDefault="00516959" w:rsidP="00516959">
      <w:pPr>
        <w:rPr>
          <w:sz w:val="16"/>
        </w:rPr>
      </w:pPr>
      <w:r w:rsidRPr="00684BF3">
        <w:rPr>
          <w:sz w:val="16"/>
        </w:rPr>
        <w:t xml:space="preserve">In sum, as </w:t>
      </w:r>
      <w:r w:rsidRPr="00684BF3">
        <w:rPr>
          <w:rStyle w:val="StyleUnderline"/>
        </w:rPr>
        <w:t>with</w:t>
      </w:r>
      <w:r w:rsidRPr="00684BF3">
        <w:rPr>
          <w:sz w:val="16"/>
        </w:rPr>
        <w:t xml:space="preserve"> other </w:t>
      </w:r>
      <w:r w:rsidRPr="00684BF3">
        <w:rPr>
          <w:rStyle w:val="Emphasis"/>
        </w:rPr>
        <w:t>real-time AI</w:t>
      </w:r>
      <w:r w:rsidRPr="00684BF3">
        <w:rPr>
          <w:sz w:val="16"/>
        </w:rPr>
        <w:t xml:space="preserve">, </w:t>
      </w:r>
      <w:r w:rsidRPr="00684BF3">
        <w:rPr>
          <w:rStyle w:val="StyleUnderline"/>
        </w:rPr>
        <w:t xml:space="preserve">there is </w:t>
      </w:r>
      <w:r w:rsidRPr="00684BF3">
        <w:rPr>
          <w:rStyle w:val="Emphasis"/>
        </w:rPr>
        <w:t>no free lunch</w:t>
      </w:r>
      <w:r w:rsidRPr="00684BF3">
        <w:rPr>
          <w:rStyle w:val="StyleUnderline"/>
        </w:rPr>
        <w:t xml:space="preserve"> for cognitive </w:t>
      </w:r>
      <w:r w:rsidRPr="00684BF3">
        <w:rPr>
          <w:rStyle w:val="Emphasis"/>
        </w:rPr>
        <w:t>weapon systems</w:t>
      </w:r>
      <w:r w:rsidRPr="00684BF3">
        <w:rPr>
          <w:sz w:val="16"/>
        </w:rPr>
        <w:t xml:space="preserve">, </w:t>
      </w:r>
      <w:r w:rsidRPr="00684BF3">
        <w:rPr>
          <w:rStyle w:val="StyleUnderline"/>
        </w:rPr>
        <w:t>with or without</w:t>
      </w:r>
      <w:r w:rsidRPr="00684BF3">
        <w:rPr>
          <w:sz w:val="16"/>
        </w:rPr>
        <w:t xml:space="preserve"> hands-on </w:t>
      </w:r>
      <w:r w:rsidRPr="00684BF3">
        <w:rPr>
          <w:rStyle w:val="StyleUnderline"/>
        </w:rPr>
        <w:t>human control</w:t>
      </w:r>
      <w:r w:rsidRPr="00684BF3">
        <w:rPr>
          <w:sz w:val="16"/>
        </w:rPr>
        <w:t xml:space="preserve">. </w:t>
      </w:r>
      <w:r w:rsidRPr="00684BF3">
        <w:rPr>
          <w:rStyle w:val="Emphasis"/>
        </w:rPr>
        <w:t>All</w:t>
      </w:r>
      <w:r w:rsidRPr="00684BF3">
        <w:rPr>
          <w:sz w:val="16"/>
        </w:rPr>
        <w:t xml:space="preserve"> such </w:t>
      </w:r>
      <w:r w:rsidRPr="00684BF3">
        <w:rPr>
          <w:rStyle w:val="Emphasis"/>
        </w:rPr>
        <w:t>systems</w:t>
      </w:r>
      <w:r w:rsidRPr="00684BF3">
        <w:rPr>
          <w:sz w:val="16"/>
        </w:rPr>
        <w:t>—</w:t>
      </w:r>
      <w:r w:rsidRPr="00684BF3">
        <w:rPr>
          <w:rStyle w:val="StyleUnderline"/>
        </w:rPr>
        <w:t>including</w:t>
      </w:r>
      <w:r w:rsidRPr="00684BF3">
        <w:rPr>
          <w:sz w:val="16"/>
        </w:rPr>
        <w:t xml:space="preserve"> conventional </w:t>
      </w:r>
      <w:r w:rsidRPr="00684BF3">
        <w:rPr>
          <w:rStyle w:val="Emphasis"/>
        </w:rPr>
        <w:t>military</w:t>
      </w:r>
      <w:r w:rsidRPr="00684BF3">
        <w:rPr>
          <w:rStyle w:val="StyleUnderline"/>
        </w:rPr>
        <w:t xml:space="preserve"> command </w:t>
      </w:r>
      <w:r w:rsidRPr="00684BF3">
        <w:rPr>
          <w:rStyle w:val="Emphasis"/>
        </w:rPr>
        <w:t>structures</w:t>
      </w:r>
      <w:r w:rsidRPr="00684BF3">
        <w:rPr>
          <w:sz w:val="16"/>
        </w:rPr>
        <w:t xml:space="preserve"> at different scales and levels of organization—</w:t>
      </w:r>
      <w:r w:rsidRPr="00684BF3">
        <w:rPr>
          <w:rStyle w:val="StyleUnderline"/>
        </w:rPr>
        <w:t xml:space="preserve">are </w:t>
      </w:r>
      <w:r w:rsidRPr="00684BF3">
        <w:rPr>
          <w:rStyle w:val="Emphasis"/>
        </w:rPr>
        <w:t>inherently susceptible to</w:t>
      </w:r>
      <w:r w:rsidRPr="00684BF3">
        <w:rPr>
          <w:rStyle w:val="StyleUnderline"/>
        </w:rPr>
        <w:t xml:space="preserve"> serious </w:t>
      </w:r>
      <w:r w:rsidRPr="00684BF3">
        <w:rPr>
          <w:rStyle w:val="Emphasis"/>
        </w:rPr>
        <w:t>operational instabilities</w:t>
      </w:r>
      <w:r w:rsidRPr="00684BF3">
        <w:rPr>
          <w:rStyle w:val="StyleUnderline"/>
        </w:rPr>
        <w:t xml:space="preserve"> under</w:t>
      </w:r>
      <w:r w:rsidRPr="00684BF3">
        <w:rPr>
          <w:sz w:val="16"/>
        </w:rPr>
        <w:t xml:space="preserve"> complex </w:t>
      </w:r>
      <w:r w:rsidRPr="00684BF3">
        <w:rPr>
          <w:rStyle w:val="Emphasis"/>
        </w:rPr>
        <w:t>fog-of-war</w:t>
      </w:r>
      <w:r w:rsidRPr="00684BF3">
        <w:rPr>
          <w:rStyle w:val="StyleUnderline"/>
        </w:rPr>
        <w:t xml:space="preserve"> and </w:t>
      </w:r>
      <w:r w:rsidRPr="00684BF3">
        <w:rPr>
          <w:rStyle w:val="Emphasis"/>
        </w:rPr>
        <w:t>frictional environments</w:t>
      </w:r>
      <w:r w:rsidRPr="00684BF3">
        <w:rPr>
          <w:sz w:val="16"/>
        </w:rPr>
        <w:t xml:space="preserve">. </w:t>
      </w:r>
      <w:r w:rsidRPr="00684BF3">
        <w:rPr>
          <w:rStyle w:val="StyleUnderline"/>
        </w:rPr>
        <w:t xml:space="preserve">Policy based on the </w:t>
      </w:r>
      <w:r w:rsidRPr="00684BF3">
        <w:rPr>
          <w:rStyle w:val="Emphasis"/>
        </w:rPr>
        <w:t>business dreams</w:t>
      </w:r>
      <w:r w:rsidRPr="00684BF3">
        <w:rPr>
          <w:rStyle w:val="StyleUnderline"/>
        </w:rPr>
        <w:t xml:space="preserve"> of </w:t>
      </w:r>
      <w:r w:rsidRPr="00684BF3">
        <w:rPr>
          <w:rStyle w:val="Emphasis"/>
        </w:rPr>
        <w:t>military contractors</w:t>
      </w:r>
      <w:r w:rsidRPr="00684BF3">
        <w:rPr>
          <w:rStyle w:val="StyleUnderline"/>
        </w:rPr>
        <w:t xml:space="preserve"> and their</w:t>
      </w:r>
      <w:r w:rsidRPr="00684BF3">
        <w:rPr>
          <w:sz w:val="16"/>
        </w:rPr>
        <w:t xml:space="preserve"> academic or </w:t>
      </w:r>
      <w:r w:rsidRPr="00684BF3">
        <w:rPr>
          <w:rStyle w:val="Emphasis"/>
        </w:rPr>
        <w:t>think-tank clients</w:t>
      </w:r>
      <w:r w:rsidRPr="00684BF3">
        <w:rPr>
          <w:sz w:val="16"/>
        </w:rPr>
        <w:t>—</w:t>
      </w:r>
      <w:r w:rsidRPr="00684BF3">
        <w:rPr>
          <w:rStyle w:val="Emphasis"/>
        </w:rPr>
        <w:t>promises of precision targeting</w:t>
      </w:r>
      <w:r w:rsidRPr="00684BF3">
        <w:rPr>
          <w:sz w:val="16"/>
        </w:rPr>
        <w:t>—</w:t>
      </w:r>
      <w:r w:rsidRPr="00684BF3">
        <w:rPr>
          <w:rStyle w:val="StyleUnderline"/>
        </w:rPr>
        <w:t xml:space="preserve">will be confronted by </w:t>
      </w:r>
      <w:r w:rsidRPr="00684BF3">
        <w:rPr>
          <w:rStyle w:val="Emphasis"/>
        </w:rPr>
        <w:t>nightmare realities</w:t>
      </w:r>
      <w:r w:rsidRPr="00684BF3">
        <w:rPr>
          <w:rStyle w:val="StyleUnderline"/>
        </w:rPr>
        <w:t xml:space="preserve"> of </w:t>
      </w:r>
      <w:r w:rsidRPr="00684BF3">
        <w:rPr>
          <w:rStyle w:val="Emphasis"/>
        </w:rPr>
        <w:t>martyred civilian populations</w:t>
      </w:r>
      <w:r w:rsidRPr="00684BF3">
        <w:rPr>
          <w:rStyle w:val="StyleUnderline"/>
        </w:rPr>
        <w:t xml:space="preserve">, recurring generations of </w:t>
      </w:r>
      <w:r w:rsidRPr="00684BF3">
        <w:rPr>
          <w:rStyle w:val="Emphasis"/>
        </w:rPr>
        <w:t>new ‘terrorists’</w:t>
      </w:r>
      <w:r w:rsidRPr="00684BF3">
        <w:rPr>
          <w:rStyle w:val="StyleUnderline"/>
        </w:rPr>
        <w:t xml:space="preserve">, and the </w:t>
      </w:r>
      <w:r w:rsidRPr="00684BF3">
        <w:rPr>
          <w:sz w:val="16"/>
        </w:rPr>
        <w:t xml:space="preserve">persistent </w:t>
      </w:r>
      <w:r w:rsidRPr="00684BF3">
        <w:rPr>
          <w:rStyle w:val="Emphasis"/>
        </w:rPr>
        <w:t>stench of war crime</w:t>
      </w:r>
      <w:r w:rsidRPr="00684BF3">
        <w:rPr>
          <w:sz w:val="16"/>
        </w:rPr>
        <w:t>.</w:t>
      </w:r>
    </w:p>
    <w:p w14:paraId="53851C02" w14:textId="77777777" w:rsidR="00516959" w:rsidRDefault="00516959" w:rsidP="00516959">
      <w:pPr>
        <w:pStyle w:val="Heading3"/>
      </w:pPr>
      <w:r>
        <w:t xml:space="preserve">2NC – OV – AT: Covid </w:t>
      </w:r>
      <w:r>
        <w:rPr>
          <w:rFonts w:cs="Calibri"/>
        </w:rPr>
        <w:t>≠</w:t>
      </w:r>
      <w:r>
        <w:t xml:space="preserve"> Extinction</w:t>
      </w:r>
    </w:p>
    <w:p w14:paraId="3490654C" w14:textId="77777777" w:rsidR="00516959" w:rsidRDefault="00516959" w:rsidP="00516959">
      <w:pPr>
        <w:pStyle w:val="Heading4"/>
      </w:pPr>
      <w:r>
        <w:t xml:space="preserve">Coronavirus causes </w:t>
      </w:r>
      <w:r>
        <w:rPr>
          <w:u w:val="single"/>
        </w:rPr>
        <w:t>extinction</w:t>
      </w:r>
      <w:r>
        <w:t xml:space="preserve"> – only a vaccine solves.</w:t>
      </w:r>
    </w:p>
    <w:p w14:paraId="228AF605" w14:textId="77777777" w:rsidR="00516959" w:rsidRPr="00F07B3C" w:rsidRDefault="00516959" w:rsidP="00516959">
      <w:r w:rsidRPr="00F07B3C">
        <w:rPr>
          <w:b/>
          <w:bCs/>
          <w:sz w:val="26"/>
          <w:szCs w:val="26"/>
        </w:rPr>
        <w:t>McPherson 20</w:t>
      </w:r>
      <w:r>
        <w:t xml:space="preserve"> - </w:t>
      </w:r>
      <w:r w:rsidRPr="00F07B3C">
        <w:t>Professor Emeritus, University of Arizona,</w:t>
      </w:r>
      <w:r>
        <w:t xml:space="preserve"> (Guy R., “</w:t>
      </w:r>
      <w:r w:rsidRPr="00F07B3C">
        <w:t>Will COVID-19 Trigger Extinction of All Life on Earth?</w:t>
      </w:r>
      <w:r>
        <w:t xml:space="preserve">,” </w:t>
      </w:r>
      <w:r>
        <w:rPr>
          <w:i/>
          <w:iCs/>
        </w:rPr>
        <w:t>PAST</w:t>
      </w:r>
      <w:r>
        <w:t xml:space="preserve">, 4-13-20, </w:t>
      </w:r>
      <w:hyperlink r:id="rId312" w:history="1">
        <w:r w:rsidRPr="009C6468">
          <w:rPr>
            <w:rStyle w:val="Hyperlink"/>
          </w:rPr>
          <w:t>https://opastonline.com/wp-content/uploads/2020/04/will-covid-19-trigger-extinction-of-all-life-on-earth-eesrr-20-.pdf</w:t>
        </w:r>
      </w:hyperlink>
      <w:r>
        <w:t>, Accessed 7-2-20, LASA-AH)</w:t>
      </w:r>
    </w:p>
    <w:p w14:paraId="480CD663" w14:textId="77777777" w:rsidR="00516959" w:rsidRPr="00F07B3C" w:rsidRDefault="00516959" w:rsidP="00516959">
      <w:pPr>
        <w:rPr>
          <w:u w:val="single"/>
        </w:rPr>
      </w:pPr>
      <w:r>
        <w:t xml:space="preserve">Small lives matter. Indeed, the “human body contains about 100 trillion cells, but only maybe one in 10 of those cells is actually — human” [1]. We are comprised of bacteria and other tiny living organisms, as well as non-living entities such as viruses. One such virus has captured the attention of the world, and with good reason. The novel </w:t>
      </w:r>
      <w:r w:rsidRPr="00F07B3C">
        <w:rPr>
          <w:u w:val="single"/>
        </w:rPr>
        <w:t xml:space="preserve">coronavirus </w:t>
      </w:r>
      <w:r w:rsidRPr="00F07B3C">
        <w:rPr>
          <w:rStyle w:val="Emphasis"/>
        </w:rPr>
        <w:t>could trigger extinction of humans</w:t>
      </w:r>
      <w:r w:rsidRPr="00F07B3C">
        <w:rPr>
          <w:u w:val="single"/>
        </w:rPr>
        <w:t>, and therefore the extinction of all life on Earth.</w:t>
      </w:r>
      <w:r>
        <w:t xml:space="preserve"> I frequently hear and read that COVID-19 is a nefarious attempt by the so-called “elite” among us to depopulate the burgeoning human population on Earth. Other conspiracy theories abound, including COVID-19 as an attempt to further reduce human rights, promote expensive medical therapies, and otherwise enrich the wealthy at the expense of the bamboozled masses. I do not doubt the ability of the informed wealthy to fleece the ignorant masses. Nor do I doubt the ability of the informed wealthy to turn virtually any situation into an opportunity for monetary gain. A quick glance at the past two centuries provides plenty of examples. However, I doubt the monetarily wealthy among us are interested in accelerating human extinction, even for financial gain. As I explain below, </w:t>
      </w:r>
      <w:r w:rsidRPr="00F07B3C">
        <w:rPr>
          <w:u w:val="single"/>
        </w:rPr>
        <w:t xml:space="preserve">the ongoing </w:t>
      </w:r>
      <w:r w:rsidRPr="00F07B3C">
        <w:rPr>
          <w:rStyle w:val="Emphasis"/>
        </w:rPr>
        <w:t>reduction in industrial activity</w:t>
      </w:r>
      <w:r w:rsidRPr="00F07B3C">
        <w:rPr>
          <w:u w:val="single"/>
        </w:rPr>
        <w:t xml:space="preserve"> as a result of COVID-19 almost certainly leads to </w:t>
      </w:r>
      <w:r w:rsidRPr="00F07B3C">
        <w:rPr>
          <w:rStyle w:val="Emphasis"/>
        </w:rPr>
        <w:t>loss of habitat for human animals,</w:t>
      </w:r>
      <w:r w:rsidRPr="00F07B3C">
        <w:rPr>
          <w:u w:val="single"/>
        </w:rPr>
        <w:t xml:space="preserve"> hence putting us on the fast track to human extinction</w:t>
      </w:r>
      <w:r>
        <w:t>. I doubt the knowledgeable “elite” are interested in altering the sweet deal they are experiencing with the current set of living arrangements</w:t>
      </w:r>
      <w:r w:rsidRPr="00F07B3C">
        <w:rPr>
          <w:u w:val="single"/>
        </w:rPr>
        <w:t>. The aerosol masking effect, or global dimming, has been described in the peer-reviewed literature since at least 1929</w:t>
      </w:r>
      <w:r>
        <w:t xml:space="preserve"> [2, 3]. Coincident with industrial activity adding to greenhouse gases that warm the planet, industrial activity simultaneously cools the planet by adding aerosols to the atmosphere. </w:t>
      </w:r>
      <w:r w:rsidRPr="00F07B3C">
        <w:rPr>
          <w:u w:val="single"/>
        </w:rPr>
        <w:t>These aerosols block incoming sunlight, thereby keeping cool our pale blue dot. Reducing industrial activity by as little as 35 percent is expected to cause a global-average temperature rise of 1 degree Celsius within a few weeks, according to research on the aerosol masking effect</w:t>
      </w:r>
      <w:r>
        <w:t xml:space="preserve"> [4]. Such research was deemed collectively too conservative by a paper in the 17 January 2019 issue of Science [5]. As pointed out by the lead author of the latter paper on 22 January 2019 “</w:t>
      </w:r>
      <w:r w:rsidRPr="00F07B3C">
        <w:rPr>
          <w:u w:val="single"/>
        </w:rPr>
        <w:t>Global efforts to improve air quality by developing cleaner fuels and burning less coal could end up harming our planet by reducing the number of aerosols in the atmosphere, and by doing so, diminishing aerosols’cooling ability to offset global warming”</w:t>
      </w:r>
    </w:p>
    <w:p w14:paraId="2F897320" w14:textId="77777777" w:rsidR="00516959" w:rsidRDefault="00516959" w:rsidP="00516959">
      <w:r w:rsidRPr="00F07B3C">
        <w:rPr>
          <w:u w:val="single"/>
        </w:rPr>
        <w:t>The cooling effect is “nearly twice what scientists previously thought</w:t>
      </w:r>
      <w:r>
        <w:t xml:space="preserve">,” and the paper by Rosenfeld et al. [5] cites the conclusion by Levy et al. [4], indicating </w:t>
      </w:r>
      <w:r w:rsidRPr="00F07B3C">
        <w:rPr>
          <w:u w:val="single"/>
        </w:rPr>
        <w:t xml:space="preserve">as little as </w:t>
      </w:r>
      <w:r w:rsidRPr="00F07B3C">
        <w:rPr>
          <w:rStyle w:val="Emphasis"/>
        </w:rPr>
        <w:t>35% reduction in industrial activity</w:t>
      </w:r>
      <w:r w:rsidRPr="00F07B3C">
        <w:rPr>
          <w:u w:val="single"/>
        </w:rPr>
        <w:t xml:space="preserve"> drives a 1 C global-average rise in temperature,</w:t>
      </w:r>
      <w:r>
        <w:t xml:space="preserve"> thereby suggesting that as little as a 20% reduction in industrial activity will drive a 1 C spike in temperature within a few weeks [7]. Additional, </w:t>
      </w:r>
      <w:r w:rsidRPr="00F07B3C">
        <w:rPr>
          <w:u w:val="single"/>
        </w:rPr>
        <w:t xml:space="preserve">recent support for the importance of the aerosol masking effect comes from [8, 9]. Furthermore, </w:t>
      </w:r>
      <w:r w:rsidRPr="00F07B3C">
        <w:rPr>
          <w:rStyle w:val="Emphasis"/>
        </w:rPr>
        <w:t>loss of aerosols exacerbates heat waves</w:t>
      </w:r>
      <w:r>
        <w:t xml:space="preserve"> [10]. Human extinction might have been triggered several years ago when the global-average temperature of Earth exceeded 1.5 C above the 1750 baseline. According to a comprehensive overview published by European Strategy and Policy Analysis System in April, </w:t>
      </w:r>
      <w:r w:rsidRPr="00F07B3C">
        <w:rPr>
          <w:u w:val="single"/>
        </w:rPr>
        <w:t xml:space="preserve">an “increase of 1.5 degrees is the maximum the planet can tolerate; … at worst, [such a rise in temperature above the 1750 baseline will cause] the </w:t>
      </w:r>
      <w:r w:rsidRPr="00F07B3C">
        <w:rPr>
          <w:rStyle w:val="Emphasis"/>
        </w:rPr>
        <w:t>extinction of humankind altogether”</w:t>
      </w:r>
      <w:r w:rsidRPr="00F07B3C">
        <w:rPr>
          <w:u w:val="single"/>
        </w:rPr>
        <w:t xml:space="preserve"> [</w:t>
      </w:r>
      <w:r>
        <w:t>11, 12]. Earth’s global-average temperature hit 1.73 C above the 1750 baseline by April, 2018 the highest global-average temperature experienced by Homo sapiens on Earth [13, 14].</w:t>
      </w:r>
    </w:p>
    <w:p w14:paraId="47126053" w14:textId="77777777" w:rsidR="00516959" w:rsidRPr="00F07B3C" w:rsidRDefault="00516959" w:rsidP="00516959">
      <w:pPr>
        <w:rPr>
          <w:u w:val="single"/>
        </w:rPr>
      </w:pPr>
      <w:r>
        <w:t xml:space="preserve">By 13 March 2020, 2 C above the 1750 baseline was crossed [11]. </w:t>
      </w:r>
      <w:r w:rsidRPr="00F07B3C">
        <w:rPr>
          <w:u w:val="single"/>
        </w:rPr>
        <w:t xml:space="preserve">In other words, </w:t>
      </w:r>
      <w:r w:rsidRPr="00F07B3C">
        <w:rPr>
          <w:rStyle w:val="Emphasis"/>
        </w:rPr>
        <w:t>human extinction via the death-by-a-thousand</w:t>
      </w:r>
      <w:r>
        <w:rPr>
          <w:rStyle w:val="Emphasis"/>
        </w:rPr>
        <w:t xml:space="preserve"> </w:t>
      </w:r>
      <w:r w:rsidRPr="00F07B3C">
        <w:rPr>
          <w:rStyle w:val="Emphasis"/>
        </w:rPr>
        <w:t>cuts</w:t>
      </w:r>
      <w:r w:rsidRPr="00F07B3C">
        <w:rPr>
          <w:u w:val="single"/>
        </w:rPr>
        <w:t xml:space="preserve"> route might be locked in with no further heating of Earth.</w:t>
      </w:r>
      <w:r>
        <w:t xml:space="preserve"> In light of the ongoing pandemic, the ongoing Mass Extinction Event, and abrupt, irreversible climate change, it is pleasantly surprising that humans still occupy Earth. </w:t>
      </w:r>
      <w:r w:rsidRPr="00F07B3C">
        <w:rPr>
          <w:u w:val="single"/>
        </w:rPr>
        <w:t xml:space="preserve">The pandemic-induced reduction in industrial activity may have already </w:t>
      </w:r>
      <w:r w:rsidRPr="00F07B3C">
        <w:rPr>
          <w:rStyle w:val="Emphasis"/>
        </w:rPr>
        <w:t>reduced the aerosol masking effect</w:t>
      </w:r>
      <w:r w:rsidRPr="00F07B3C">
        <w:rPr>
          <w:u w:val="single"/>
        </w:rPr>
        <w:t xml:space="preserve"> sufficiently to trigger a 1 C temperature spike</w:t>
      </w:r>
      <w:r>
        <w:t xml:space="preserve">. The outcome is not yet obvious because the timing of the outbreak of the novel coronavirus was favorable for human habitat. </w:t>
      </w:r>
      <w:r w:rsidRPr="00F07B3C">
        <w:rPr>
          <w:u w:val="single"/>
        </w:rPr>
        <w:t>Trees produced leaves in the Northern Hemisphere spring of 2020 as a result of carbohydrates stored the previous year and grain crops were harvested before the novel coronavirus emerged</w:t>
      </w:r>
      <w:r>
        <w:t xml:space="preserve">. Results of the recent and ongoing rise in temperature, which have already been reported in China and India, will become obvious to most humans when many more trees die. </w:t>
      </w:r>
      <w:r w:rsidRPr="00F07B3C">
        <w:rPr>
          <w:u w:val="single"/>
        </w:rPr>
        <w:t>Large-scale die-off of trees likely will approximately correspond with catastrophic crop failure.</w:t>
      </w:r>
      <w:r>
        <w:t xml:space="preserve"> This might occur by the end of this year, although I would rather it not. Every civilization requires bread and circuses. There is little doubt the circuses attendant to industrial civilization will continue until the end of the planetary show for Homo sapiens. Bread, however, requires wheat. </w:t>
      </w:r>
      <w:r w:rsidRPr="00F07B3C">
        <w:rPr>
          <w:u w:val="single"/>
        </w:rPr>
        <w:t>Wheat production requires a delicate balance of growing conditions that, like habitat for humans, teeters on the brink [15].</w:t>
      </w:r>
      <w:r>
        <w:t xml:space="preserve"> </w:t>
      </w:r>
      <w:r w:rsidRPr="00F07B3C">
        <w:rPr>
          <w:u w:val="single"/>
        </w:rPr>
        <w:t xml:space="preserve">The path to near-term human extinction thus runs from </w:t>
      </w:r>
      <w:r w:rsidRPr="00F07B3C">
        <w:rPr>
          <w:rStyle w:val="Emphasis"/>
        </w:rPr>
        <w:t xml:space="preserve">a tiny virus underlying a pandemic </w:t>
      </w:r>
      <w:r w:rsidRPr="00F07B3C">
        <w:rPr>
          <w:u w:val="single"/>
        </w:rPr>
        <w:t xml:space="preserve">through </w:t>
      </w:r>
      <w:r w:rsidRPr="00F07B3C">
        <w:rPr>
          <w:rStyle w:val="Emphasis"/>
        </w:rPr>
        <w:t>a reduction of industrial activity that overheats a planet</w:t>
      </w:r>
      <w:r w:rsidRPr="00F07B3C">
        <w:rPr>
          <w:u w:val="single"/>
        </w:rPr>
        <w:t xml:space="preserve"> already running a fever.</w:t>
      </w:r>
    </w:p>
    <w:p w14:paraId="270637DB" w14:textId="77777777" w:rsidR="00516959" w:rsidRDefault="00516959" w:rsidP="00516959">
      <w:r>
        <w:t xml:space="preserve">The </w:t>
      </w:r>
      <w:r w:rsidRPr="00F07B3C">
        <w:rPr>
          <w:u w:val="single"/>
        </w:rPr>
        <w:t xml:space="preserve">outbreak of COVID-19 could very well be the event that </w:t>
      </w:r>
      <w:r w:rsidRPr="00F07B3C">
        <w:rPr>
          <w:rStyle w:val="Emphasis"/>
        </w:rPr>
        <w:t>accelerates human extinction</w:t>
      </w:r>
      <w:r w:rsidRPr="00F07B3C">
        <w:rPr>
          <w:u w:val="single"/>
        </w:rPr>
        <w:t xml:space="preserve"> via reduction of industrial activity</w:t>
      </w:r>
      <w:r>
        <w:t xml:space="preserve">, hence loss of habitat for Homo sapiens. </w:t>
      </w:r>
      <w:r w:rsidRPr="00F07B3C">
        <w:rPr>
          <w:u w:val="single"/>
        </w:rPr>
        <w:t>As a result of the rapid environmental change likely to follow, we are almost certain to lose all life on Earth [16].</w:t>
      </w:r>
      <w:r>
        <w:t xml:space="preserve"> History is replete with examples of human hubris. We thought we were mighty, and we certainly have left our mark on Earth. How embarrassing for the big-brained human species that a microscopic virus could pull the trigger on our extinction [15].</w:t>
      </w:r>
    </w:p>
    <w:p w14:paraId="34998F05" w14:textId="77777777" w:rsidR="00516959" w:rsidRDefault="00516959" w:rsidP="00516959">
      <w:pPr>
        <w:pStyle w:val="Heading4"/>
      </w:pPr>
      <w:r>
        <w:t>It outweighs climate change.</w:t>
      </w:r>
    </w:p>
    <w:p w14:paraId="02109115" w14:textId="77777777" w:rsidR="00516959" w:rsidRPr="00B16B73" w:rsidRDefault="00516959" w:rsidP="00516959">
      <w:r w:rsidRPr="00B16B73">
        <w:rPr>
          <w:b/>
          <w:bCs/>
          <w:sz w:val="26"/>
          <w:szCs w:val="26"/>
        </w:rPr>
        <w:t xml:space="preserve">Van der Vaart 20 </w:t>
      </w:r>
      <w:r>
        <w:t xml:space="preserve">- </w:t>
      </w:r>
      <w:r w:rsidRPr="00B16B73">
        <w:t>a Senior Fellow for the John Locke Foundation</w:t>
      </w:r>
      <w:r>
        <w:t>, (Dr. Donald, “</w:t>
      </w:r>
      <w:r w:rsidRPr="00B16B73">
        <w:t>Unlike climate change, COVID-19 is an actual existential threat</w:t>
      </w:r>
      <w:r>
        <w:t xml:space="preserve">,” </w:t>
      </w:r>
      <w:r>
        <w:rPr>
          <w:i/>
          <w:iCs/>
        </w:rPr>
        <w:t>John Locke Foundation</w:t>
      </w:r>
      <w:r>
        <w:t xml:space="preserve">, 4-8-20, </w:t>
      </w:r>
      <w:hyperlink r:id="rId313" w:history="1">
        <w:r w:rsidRPr="00DC67D3">
          <w:rPr>
            <w:rStyle w:val="Hyperlink"/>
          </w:rPr>
          <w:t>https://www.johnlocke.org/update/unlike-climate-change-covid-19-is-an-actual-existential-threat/</w:t>
        </w:r>
      </w:hyperlink>
      <w:r>
        <w:t>, Accessed 7-4-20, LASA-AH)</w:t>
      </w:r>
    </w:p>
    <w:p w14:paraId="509A7312" w14:textId="77777777" w:rsidR="00516959" w:rsidRPr="00B16B73" w:rsidRDefault="00516959" w:rsidP="00516959">
      <w:pPr>
        <w:rPr>
          <w:u w:val="single"/>
        </w:rPr>
      </w:pPr>
      <w:r>
        <w:t xml:space="preserve">The </w:t>
      </w:r>
      <w:r w:rsidRPr="00B16B73">
        <w:rPr>
          <w:u w:val="single"/>
        </w:rPr>
        <w:t>COVID-19</w:t>
      </w:r>
      <w:r>
        <w:t xml:space="preserve"> pandemic has readjusted many of our priorities. The country is pulling together for a common goal: to “flatten the curve.” Many are putting their jobs, careers, education, and other personal interests aside in the interest of the common good. But something else had occurred. It has also </w:t>
      </w:r>
      <w:r w:rsidRPr="00B16B73">
        <w:rPr>
          <w:u w:val="single"/>
        </w:rPr>
        <w:t>introduced many of us to an idea of what a real “</w:t>
      </w:r>
      <w:r w:rsidRPr="00B16B73">
        <w:rPr>
          <w:rStyle w:val="Emphasis"/>
        </w:rPr>
        <w:t>existential threat</w:t>
      </w:r>
      <w:r w:rsidRPr="00B16B73">
        <w:rPr>
          <w:u w:val="single"/>
        </w:rPr>
        <w:t>,” i.e., an imminent threat to human life, might look like.</w:t>
      </w:r>
    </w:p>
    <w:p w14:paraId="503D6C55" w14:textId="77777777" w:rsidR="00516959" w:rsidRDefault="00516959" w:rsidP="00516959">
      <w:r>
        <w:t>My parents’ generation lived through the Great Depression and World War II. Many of The Greatest Generation experienced threats to their own lives as economic devastation gave way to a war that would claim the lives of an estimated 75 million soldiers and civilians.</w:t>
      </w:r>
    </w:p>
    <w:p w14:paraId="5F71CDD9" w14:textId="77777777" w:rsidR="00516959" w:rsidRPr="00B16B73" w:rsidRDefault="00516959" w:rsidP="00516959">
      <w:pPr>
        <w:rPr>
          <w:u w:val="single"/>
        </w:rPr>
      </w:pPr>
      <w:r>
        <w:t xml:space="preserve">Since then, we have been fortunate to enjoy long periods with only occasional armed conflicts and unprecedented economic growth. Over the last 30 years, for example, the country has had its two longest economic expansions since the Second World War.  As a result of this relative peace and prosperity, </w:t>
      </w:r>
      <w:r w:rsidRPr="00B16B73">
        <w:rPr>
          <w:u w:val="single"/>
        </w:rPr>
        <w:t>it has become harder for younger Americans to identify genuine threats to their very existence.  The COVID-19 pandemic and its aftermath may be their first.</w:t>
      </w:r>
    </w:p>
    <w:p w14:paraId="2BF2D6EC" w14:textId="77777777" w:rsidR="00516959" w:rsidRDefault="00516959" w:rsidP="00516959">
      <w:r>
        <w:t>Was climate change ever an existential threat in the minds of Americans?</w:t>
      </w:r>
    </w:p>
    <w:p w14:paraId="1E2BF474" w14:textId="77777777" w:rsidR="00516959" w:rsidRDefault="00516959" w:rsidP="00516959">
      <w:r>
        <w:t xml:space="preserve">Before the onsite of the COVID-19 pandemic, </w:t>
      </w:r>
      <w:r w:rsidRPr="00B16B73">
        <w:rPr>
          <w:u w:val="single"/>
        </w:rPr>
        <w:t>campaign rhetoric often referred to global warming (and its more generalized form climate change) as an existential threat to our country</w:t>
      </w:r>
      <w:r>
        <w:t xml:space="preserve">.  But as Elaine Kamarck of the Brookings Institution shows, </w:t>
      </w:r>
      <w:r w:rsidRPr="00B16B73">
        <w:rPr>
          <w:u w:val="single"/>
        </w:rPr>
        <w:t>climate change tends to be less of a concern to the general public than environmental concerns that would have an immediate effect on our health and well-being.</w:t>
      </w:r>
    </w:p>
    <w:p w14:paraId="174DBC04" w14:textId="77777777" w:rsidR="00516959" w:rsidRDefault="00516959" w:rsidP="00516959">
      <w:r>
        <w:t>Moreover, perceptions vary by demographic group and political affiliation.</w:t>
      </w:r>
    </w:p>
    <w:p w14:paraId="1C32AFEF" w14:textId="77777777" w:rsidR="00516959" w:rsidRDefault="00516959" w:rsidP="00516959">
      <w:r>
        <w:t>On the other hand, according to Gallup, COVID-19 is on all (or at least 93%) of our minds.</w:t>
      </w:r>
    </w:p>
    <w:p w14:paraId="5F942C6E" w14:textId="77777777" w:rsidR="00516959" w:rsidRPr="00B16B73" w:rsidRDefault="00516959" w:rsidP="00516959">
      <w:pPr>
        <w:rPr>
          <w:u w:val="single"/>
        </w:rPr>
      </w:pPr>
      <w:r>
        <w:t xml:space="preserve">Much of this has to do with timing. Climate change is taught from elementary school to the university level. Various aspects of climate change are interjected into much of our daily lives and have been for many years. </w:t>
      </w:r>
      <w:r w:rsidRPr="00B16B73">
        <w:rPr>
          <w:u w:val="single"/>
        </w:rPr>
        <w:t xml:space="preserve">COVID-19 is an immediate concern. It </w:t>
      </w:r>
      <w:r w:rsidRPr="00B16B73">
        <w:rPr>
          <w:rStyle w:val="Emphasis"/>
        </w:rPr>
        <w:t>transformed our lives very</w:t>
      </w:r>
      <w:r w:rsidRPr="00B16B73">
        <w:rPr>
          <w:u w:val="single"/>
        </w:rPr>
        <w:t xml:space="preserve"> </w:t>
      </w:r>
      <w:r w:rsidRPr="00B16B73">
        <w:rPr>
          <w:rStyle w:val="Emphasis"/>
        </w:rPr>
        <w:t>quickly</w:t>
      </w:r>
      <w:r w:rsidRPr="00B16B73">
        <w:rPr>
          <w:u w:val="single"/>
        </w:rPr>
        <w:t>, from closing schools to shuttering businesses to sheltering in place.</w:t>
      </w:r>
    </w:p>
    <w:p w14:paraId="5279522C" w14:textId="77777777" w:rsidR="00516959" w:rsidRDefault="00516959" w:rsidP="00516959">
      <w:r>
        <w:t xml:space="preserve">The </w:t>
      </w:r>
      <w:r w:rsidRPr="00B16B73">
        <w:rPr>
          <w:u w:val="single"/>
        </w:rPr>
        <w:t xml:space="preserve">effects of climate change are sometimes </w:t>
      </w:r>
      <w:r w:rsidRPr="00B16B73">
        <w:rPr>
          <w:rStyle w:val="Emphasis"/>
        </w:rPr>
        <w:t>barely perceptible</w:t>
      </w:r>
      <w:r>
        <w:t xml:space="preserve">. For example, </w:t>
      </w:r>
      <w:r w:rsidRPr="00B16B73">
        <w:rPr>
          <w:u w:val="single"/>
        </w:rPr>
        <w:t xml:space="preserve">sea-level rise is often cited as a consequence of global warming. Average sea level rises of a few millimeters per year can be </w:t>
      </w:r>
      <w:r w:rsidRPr="00B16B73">
        <w:rPr>
          <w:rStyle w:val="Emphasis"/>
        </w:rPr>
        <w:t>difficult to contextualize</w:t>
      </w:r>
      <w:r w:rsidRPr="00B16B73">
        <w:rPr>
          <w:u w:val="single"/>
        </w:rPr>
        <w:t xml:space="preserve">. </w:t>
      </w:r>
      <w:r>
        <w:t>When coastal properties continue to be bought and sold for millions of dollars, the threat of sea rise cannot be said to have risen with it.</w:t>
      </w:r>
    </w:p>
    <w:p w14:paraId="13525680" w14:textId="77777777" w:rsidR="00516959" w:rsidRDefault="00516959" w:rsidP="00516959">
      <w:r>
        <w:t>Consider, too, the actual temperature increases associated with climate change. Even climate change activists promote the idea of “zero by 50” or ox50, the goal of reducing carbon dioxide emissions to zero by 2050. It may be a laudable goal, but it does not qualify as immediate, given that the year 2050 is 30 years from now. That is why the Environmental Protection Agency and other regulatory agencies typically forecast temperature rises by the year 2100.</w:t>
      </w:r>
    </w:p>
    <w:p w14:paraId="58CD3148" w14:textId="77777777" w:rsidR="00516959" w:rsidRPr="00B16B73" w:rsidRDefault="00516959" w:rsidP="00516959">
      <w:pPr>
        <w:rPr>
          <w:u w:val="single"/>
        </w:rPr>
      </w:pPr>
      <w:r w:rsidRPr="00B16B73">
        <w:rPr>
          <w:u w:val="single"/>
        </w:rPr>
        <w:t>Is COVID-19 an existential threat?</w:t>
      </w:r>
    </w:p>
    <w:p w14:paraId="52E88D9E" w14:textId="77777777" w:rsidR="00516959" w:rsidRDefault="00516959" w:rsidP="00516959">
      <w:r>
        <w:t>While climate models feature forecasts that span over 80 years or more</w:t>
      </w:r>
      <w:r w:rsidRPr="00B16B73">
        <w:rPr>
          <w:u w:val="single"/>
        </w:rPr>
        <w:t>, COVID-19 modeling spans days and months</w:t>
      </w:r>
      <w:r>
        <w:t xml:space="preserve">.  The news media keeps a running tally on confirmed cases and deaths from coronavirus.  </w:t>
      </w:r>
      <w:r w:rsidRPr="00B16B73">
        <w:rPr>
          <w:u w:val="single"/>
        </w:rPr>
        <w:t>We are being told to stay inside to avoid the risk of contracting a virus that is easily transmitted from human to human</w:t>
      </w:r>
      <w:r>
        <w:t>.  Sure, the flu causes thousands of deaths every year.  But most people are numb to those figures, confident that their yearly flu shot and Tamiflu prescription are adequate to prevent and treat most strains of seasonal influenza.  COVID-19 is still a mostly unknown disease with only promising treatment prospects.</w:t>
      </w:r>
    </w:p>
    <w:p w14:paraId="3E8DC6E8" w14:textId="77777777" w:rsidR="00516959" w:rsidRDefault="00516959" w:rsidP="00516959">
      <w:r>
        <w:t>Certainly, the airlines would argue that COVID-19 is a threat to the existence of their enterprise and the livelihoods of those who work in aviation and related industries. Airline executives are predicting a loss in passengers of greater than 38% for 2020. That decline is happening now.</w:t>
      </w:r>
    </w:p>
    <w:p w14:paraId="60148A52" w14:textId="77777777" w:rsidR="00516959" w:rsidRDefault="00516959" w:rsidP="00516959">
      <w:r w:rsidRPr="00B16B73">
        <w:rPr>
          <w:u w:val="single"/>
        </w:rPr>
        <w:t>Pundits already predict that the outbreak will be an existential threat to our health care industry</w:t>
      </w:r>
      <w:r>
        <w:t>.  Arundhati Parmar argues, “</w:t>
      </w:r>
      <w:r w:rsidRPr="00B16B73">
        <w:rPr>
          <w:u w:val="single"/>
        </w:rPr>
        <w:t>Covid-19 is a turning point in the history of the U.S. healthcare system and will lead to profound changes, not just in how we deliver care but how we pay for it.”</w:t>
      </w:r>
      <w:r>
        <w:t xml:space="preserve">  Unfortunately, the extent of those changes will not be known until the dust settles.</w:t>
      </w:r>
    </w:p>
    <w:p w14:paraId="0F0B560A" w14:textId="06C324D0" w:rsidR="00516959" w:rsidRDefault="00516959" w:rsidP="00516959">
      <w:pPr>
        <w:rPr>
          <w:u w:val="single"/>
        </w:rPr>
      </w:pPr>
      <w:r w:rsidRPr="00B16B73">
        <w:rPr>
          <w:u w:val="single"/>
        </w:rPr>
        <w:t>Global warming</w:t>
      </w:r>
      <w:r>
        <w:t xml:space="preserve"> needs to be addressed globally with continued scientific inquiry. </w:t>
      </w:r>
      <w:r w:rsidRPr="00B16B73">
        <w:rPr>
          <w:u w:val="single"/>
        </w:rPr>
        <w:t xml:space="preserve">The threat could be devastating over the years ahead, but it </w:t>
      </w:r>
      <w:r w:rsidRPr="00B16B73">
        <w:rPr>
          <w:rStyle w:val="Emphasis"/>
        </w:rPr>
        <w:t>is not an existential threat like COVID-19</w:t>
      </w:r>
      <w:r w:rsidRPr="00B16B73">
        <w:rPr>
          <w:u w:val="single"/>
        </w:rPr>
        <w:t xml:space="preserve"> and should not be treated as such.</w:t>
      </w:r>
    </w:p>
    <w:p w14:paraId="38820836" w14:textId="0F1578DB" w:rsidR="00456038" w:rsidRDefault="00456038" w:rsidP="00456038">
      <w:pPr>
        <w:pStyle w:val="Heading4"/>
      </w:pPr>
      <w:r>
        <w:t>No chance of herd immunity.</w:t>
      </w:r>
    </w:p>
    <w:p w14:paraId="6F81E12C" w14:textId="77777777" w:rsidR="00456038" w:rsidRPr="00341D69" w:rsidRDefault="00456038" w:rsidP="00456038">
      <w:r w:rsidRPr="00341D69">
        <w:rPr>
          <w:b/>
          <w:bCs/>
          <w:sz w:val="26"/>
          <w:szCs w:val="26"/>
        </w:rPr>
        <w:t>Bamford 20</w:t>
      </w:r>
      <w:r>
        <w:t xml:space="preserve"> - </w:t>
      </w:r>
      <w:r w:rsidRPr="00341D69">
        <w:t>a virologist with over a decade of experience in studying how the immune system defends humans and other animals against disease-causing microbes like viruses, such as the hepatitis C virus, influenza virus and Zika virus</w:t>
      </w:r>
      <w:r>
        <w:t>, (Connor, “</w:t>
      </w:r>
      <w:r w:rsidRPr="00341D69">
        <w:t>The original Sars virus disappeared – here’s why coronavirus won’t do the same</w:t>
      </w:r>
      <w:r>
        <w:t xml:space="preserve">,” </w:t>
      </w:r>
      <w:r>
        <w:rPr>
          <w:i/>
          <w:iCs/>
        </w:rPr>
        <w:t>The Conversation</w:t>
      </w:r>
      <w:r>
        <w:t xml:space="preserve">, 6-5-20, </w:t>
      </w:r>
      <w:hyperlink r:id="rId314" w:history="1">
        <w:r w:rsidRPr="00ED36A1">
          <w:rPr>
            <w:rStyle w:val="Hyperlink"/>
          </w:rPr>
          <w:t>https://theconversation.com/the-original-sars-virus-disappeared-heres-why-coronavirus-wont-do-the-same-138177</w:t>
        </w:r>
      </w:hyperlink>
      <w:r>
        <w:t>, Accessed 7-7-20, LASA-AH)</w:t>
      </w:r>
    </w:p>
    <w:p w14:paraId="64A841DA" w14:textId="77777777" w:rsidR="00456038" w:rsidRDefault="00456038" w:rsidP="00456038">
      <w:r w:rsidRPr="001124F4">
        <w:rPr>
          <w:u w:val="single"/>
        </w:rPr>
        <w:t>British cancer doctor Prof Karol Sikora recently claimed that the current COVID-19 pandemic would “burn itself out</w:t>
      </w:r>
      <w:r>
        <w:t xml:space="preserve">”. </w:t>
      </w:r>
      <w:r w:rsidRPr="001124F4">
        <w:rPr>
          <w:u w:val="single"/>
        </w:rPr>
        <w:t>His thinking is</w:t>
      </w:r>
      <w:r>
        <w:t xml:space="preserve"> that </w:t>
      </w:r>
      <w:r w:rsidRPr="001124F4">
        <w:rPr>
          <w:u w:val="single"/>
        </w:rPr>
        <w:t xml:space="preserve">if there are more infections </w:t>
      </w:r>
      <w:r>
        <w:t xml:space="preserve">than we realise, and that those milder, </w:t>
      </w:r>
      <w:r w:rsidRPr="001124F4">
        <w:rPr>
          <w:u w:val="single"/>
        </w:rPr>
        <w:t xml:space="preserve">unrecorded infections result in </w:t>
      </w:r>
      <w:r w:rsidRPr="001124F4">
        <w:rPr>
          <w:rStyle w:val="Emphasis"/>
        </w:rPr>
        <w:t>robust immunity</w:t>
      </w:r>
      <w:r>
        <w:t xml:space="preserve">, </w:t>
      </w:r>
      <w:r w:rsidRPr="001124F4">
        <w:rPr>
          <w:u w:val="single"/>
        </w:rPr>
        <w:t xml:space="preserve">then this would quickly lead to “herd immunity”, </w:t>
      </w:r>
      <w:r>
        <w:t>leaving the virus nowhere to go but extinct. Extend this to the world’s population and the virus eradicates itself.</w:t>
      </w:r>
    </w:p>
    <w:p w14:paraId="25F3458D" w14:textId="77777777" w:rsidR="00456038" w:rsidRDefault="00456038" w:rsidP="00456038">
      <w:r w:rsidRPr="001124F4">
        <w:rPr>
          <w:u w:val="single"/>
        </w:rPr>
        <w:t xml:space="preserve">But the idea that letting the virus run wild would protect us is </w:t>
      </w:r>
      <w:r w:rsidRPr="001124F4">
        <w:rPr>
          <w:rStyle w:val="Emphasis"/>
        </w:rPr>
        <w:t>unlikely to be valid</w:t>
      </w:r>
      <w:r>
        <w:t xml:space="preserve">. The </w:t>
      </w:r>
      <w:r w:rsidRPr="001124F4">
        <w:rPr>
          <w:u w:val="single"/>
        </w:rPr>
        <w:t>antibody results coming in suggest</w:t>
      </w:r>
      <w:r>
        <w:t xml:space="preserve"> that </w:t>
      </w:r>
      <w:r w:rsidRPr="001124F4">
        <w:rPr>
          <w:u w:val="single"/>
        </w:rPr>
        <w:t xml:space="preserve">only a </w:t>
      </w:r>
      <w:r w:rsidRPr="001124F4">
        <w:rPr>
          <w:rStyle w:val="Emphasis"/>
        </w:rPr>
        <w:t>small proportion of people</w:t>
      </w:r>
      <w:r w:rsidRPr="001124F4">
        <w:rPr>
          <w:u w:val="single"/>
        </w:rPr>
        <w:t xml:space="preserve"> have been infected by SARS-CoV-2. </w:t>
      </w:r>
      <w:r>
        <w:t>In the UK, only an estimated 6.8% of people have had the virus; for France, the figure is just 4.4%.</w:t>
      </w:r>
    </w:p>
    <w:p w14:paraId="00C007A5" w14:textId="77777777" w:rsidR="00456038" w:rsidRPr="001124F4" w:rsidRDefault="00456038" w:rsidP="00456038">
      <w:pPr>
        <w:rPr>
          <w:u w:val="single"/>
        </w:rPr>
      </w:pPr>
      <w:r>
        <w:t xml:space="preserve">This means that </w:t>
      </w:r>
      <w:r w:rsidRPr="001124F4">
        <w:rPr>
          <w:u w:val="single"/>
        </w:rPr>
        <w:t xml:space="preserve">we are </w:t>
      </w:r>
      <w:r w:rsidRPr="001124F4">
        <w:rPr>
          <w:rStyle w:val="Emphasis"/>
        </w:rPr>
        <w:t>far away</w:t>
      </w:r>
      <w:r w:rsidRPr="001124F4">
        <w:rPr>
          <w:u w:val="single"/>
        </w:rPr>
        <w:t xml:space="preserve"> from achieving herd immunity</w:t>
      </w:r>
      <w:r>
        <w:t xml:space="preserve">. It also suggests that </w:t>
      </w:r>
      <w:r w:rsidRPr="001124F4">
        <w:rPr>
          <w:u w:val="single"/>
        </w:rPr>
        <w:t>the virus does indeed have the relatively high fatality rate that we’ve estimated.</w:t>
      </w:r>
    </w:p>
    <w:p w14:paraId="1B3B6DE4" w14:textId="5A94F02D" w:rsidR="00456038" w:rsidRPr="00456038" w:rsidRDefault="00456038" w:rsidP="00456038">
      <w:pPr>
        <w:rPr>
          <w:rStyle w:val="StyleUnderline"/>
          <w:u w:val="none"/>
        </w:rPr>
      </w:pPr>
      <w:r w:rsidRPr="001124F4">
        <w:rPr>
          <w:u w:val="single"/>
        </w:rPr>
        <w:t>This raises doubts that letting the virus burn itself out would be a sensible, safe and ethical answer to the COVID-19 problem</w:t>
      </w:r>
      <w:r>
        <w:t>. It would be safer to imagine a future where we can live side by side with SARS-CoV-2.</w:t>
      </w:r>
    </w:p>
    <w:p w14:paraId="51F3876A" w14:textId="1ECEDB85" w:rsidR="00456038" w:rsidRDefault="00456038" w:rsidP="00456038">
      <w:pPr>
        <w:pStyle w:val="Heading4"/>
      </w:pPr>
      <w:r>
        <w:t xml:space="preserve">COVID </w:t>
      </w:r>
      <w:r>
        <w:rPr>
          <w:u w:val="single"/>
        </w:rPr>
        <w:t>overcomes</w:t>
      </w:r>
      <w:r>
        <w:t xml:space="preserve"> burnout.</w:t>
      </w:r>
    </w:p>
    <w:p w14:paraId="069EC135" w14:textId="77777777" w:rsidR="00456038" w:rsidRPr="00341D69" w:rsidRDefault="00456038" w:rsidP="00456038">
      <w:r w:rsidRPr="00341D69">
        <w:rPr>
          <w:b/>
          <w:bCs/>
          <w:sz w:val="26"/>
          <w:szCs w:val="26"/>
        </w:rPr>
        <w:t>Bamford 20</w:t>
      </w:r>
      <w:r>
        <w:t xml:space="preserve"> - </w:t>
      </w:r>
      <w:r w:rsidRPr="00341D69">
        <w:t>a virologist with over a decade of experience in studying how the immune system defends humans and other animals against disease-causing microbes like viruses, such as the hepatitis C virus, influenza virus and Zika virus</w:t>
      </w:r>
      <w:r>
        <w:t>, (Connor, “</w:t>
      </w:r>
      <w:r w:rsidRPr="00341D69">
        <w:t>The original Sars virus disappeared – here’s why coronavirus won’t do the same</w:t>
      </w:r>
      <w:r>
        <w:t xml:space="preserve">,” </w:t>
      </w:r>
      <w:r>
        <w:rPr>
          <w:i/>
          <w:iCs/>
        </w:rPr>
        <w:t>The Conversation</w:t>
      </w:r>
      <w:r>
        <w:t xml:space="preserve">, 6-5-20, </w:t>
      </w:r>
      <w:hyperlink r:id="rId315" w:history="1">
        <w:r w:rsidRPr="00ED36A1">
          <w:rPr>
            <w:rStyle w:val="Hyperlink"/>
          </w:rPr>
          <w:t>https://theconversation.com/the-original-sars-virus-disappeared-heres-why-coronavirus-wont-do-the-same-138177</w:t>
        </w:r>
      </w:hyperlink>
      <w:r>
        <w:t>, Accessed 7-7-20, LASA-AH)</w:t>
      </w:r>
    </w:p>
    <w:p w14:paraId="1366BD9D" w14:textId="77777777" w:rsidR="00456038" w:rsidRDefault="00456038" w:rsidP="00456038">
      <w:r>
        <w:t xml:space="preserve">Of course, this is what happened in late 2019, when </w:t>
      </w:r>
      <w:r w:rsidRPr="00341D69">
        <w:rPr>
          <w:u w:val="single"/>
        </w:rPr>
        <w:t xml:space="preserve">SARS-CoV-2 </w:t>
      </w:r>
      <w:r>
        <w:t xml:space="preserve">jumped into humans. In a few short months it had </w:t>
      </w:r>
      <w:r w:rsidRPr="00341D69">
        <w:rPr>
          <w:u w:val="single"/>
        </w:rPr>
        <w:t xml:space="preserve">erupted into a pandemic, infecting millions of people worldwide and killing around 1% of those infected. </w:t>
      </w:r>
      <w:r>
        <w:t>While this new human coronavirus is distinct from the original Sars virus, it is related.</w:t>
      </w:r>
    </w:p>
    <w:p w14:paraId="6784DBB7" w14:textId="77777777" w:rsidR="00456038" w:rsidRPr="00341D69" w:rsidRDefault="00456038" w:rsidP="00456038">
      <w:pPr>
        <w:rPr>
          <w:rStyle w:val="Emphasis"/>
        </w:rPr>
      </w:pPr>
      <w:r>
        <w:t xml:space="preserve">In a similar timeframe to the original Sars, </w:t>
      </w:r>
      <w:r w:rsidRPr="00341D69">
        <w:rPr>
          <w:u w:val="single"/>
        </w:rPr>
        <w:t>SARS-CoV-2 has proved to be more contagious</w:t>
      </w:r>
      <w:r>
        <w:t xml:space="preserve"> but seemingly less deadly than its cousin was nearly 20 years ago. </w:t>
      </w:r>
      <w:r w:rsidRPr="00341D69">
        <w:rPr>
          <w:u w:val="single"/>
        </w:rPr>
        <w:t>An additional</w:t>
      </w:r>
      <w:r>
        <w:t xml:space="preserve"> – and critical – </w:t>
      </w:r>
      <w:r w:rsidRPr="00341D69">
        <w:rPr>
          <w:u w:val="single"/>
        </w:rPr>
        <w:t xml:space="preserve">concern is that SARS-CoV-2 is </w:t>
      </w:r>
      <w:r w:rsidRPr="00341D69">
        <w:rPr>
          <w:rStyle w:val="Emphasis"/>
        </w:rPr>
        <w:t>efficiently spread</w:t>
      </w:r>
      <w:r w:rsidRPr="00341D69">
        <w:rPr>
          <w:u w:val="single"/>
        </w:rPr>
        <w:t xml:space="preserve"> before people get sick</w:t>
      </w:r>
      <w:r>
        <w:t xml:space="preserve">. </w:t>
      </w:r>
      <w:r w:rsidRPr="00341D69">
        <w:rPr>
          <w:u w:val="single"/>
        </w:rPr>
        <w:t xml:space="preserve">This makes </w:t>
      </w:r>
      <w:r w:rsidRPr="00341D69">
        <w:rPr>
          <w:rStyle w:val="Emphasis"/>
        </w:rPr>
        <w:t>traditional</w:t>
      </w:r>
      <w:r w:rsidRPr="00341D69">
        <w:rPr>
          <w:u w:val="single"/>
        </w:rPr>
        <w:t xml:space="preserve"> symptomatic-based </w:t>
      </w:r>
      <w:r w:rsidRPr="00341D69">
        <w:rPr>
          <w:rStyle w:val="Emphasis"/>
        </w:rPr>
        <w:t>public health restrictions</w:t>
      </w:r>
      <w:r w:rsidRPr="00341D69">
        <w:rPr>
          <w:u w:val="single"/>
        </w:rPr>
        <w:t xml:space="preserve">, which worked well for Sars, largely </w:t>
      </w:r>
      <w:r w:rsidRPr="00341D69">
        <w:rPr>
          <w:rStyle w:val="Emphasis"/>
        </w:rPr>
        <w:t>incapable of containing COVID-19.</w:t>
      </w:r>
    </w:p>
    <w:p w14:paraId="6EEDF7B6" w14:textId="77777777" w:rsidR="00456038" w:rsidRDefault="00456038" w:rsidP="00456038">
      <w:r>
        <w:t>Challenges in eradication</w:t>
      </w:r>
    </w:p>
    <w:p w14:paraId="3A44E11A" w14:textId="77777777" w:rsidR="00456038" w:rsidRDefault="00456038" w:rsidP="00456038">
      <w:r>
        <w:t xml:space="preserve">In essence, </w:t>
      </w:r>
      <w:r w:rsidRPr="00341D69">
        <w:rPr>
          <w:u w:val="single"/>
        </w:rPr>
        <w:t>this ease of transmission means that SARS-CoV-2 is infinitely more challenging to control</w:t>
      </w:r>
      <w:r>
        <w:t xml:space="preserve">. </w:t>
      </w:r>
      <w:r w:rsidRPr="00341D69">
        <w:rPr>
          <w:u w:val="single"/>
        </w:rPr>
        <w:t>We also have a poor understanding of whether catching and recovering from COVID-19 completely prevents you from catching the virus again and passing it on to others.</w:t>
      </w:r>
      <w:r>
        <w:t xml:space="preserve"> Together, these factors mean that </w:t>
      </w:r>
      <w:r w:rsidRPr="00341D69">
        <w:rPr>
          <w:u w:val="single"/>
        </w:rPr>
        <w:t xml:space="preserve">SARS-CoV-2 will most likely </w:t>
      </w:r>
      <w:r w:rsidRPr="00341D69">
        <w:rPr>
          <w:rStyle w:val="Emphasis"/>
        </w:rPr>
        <w:t>settle into the human population</w:t>
      </w:r>
      <w:r>
        <w:t>, becoming an endemic virus like its coronavirus cousins that are major causes of colds every winter.</w:t>
      </w:r>
    </w:p>
    <w:p w14:paraId="7F7C7024" w14:textId="77777777" w:rsidR="00456038" w:rsidRDefault="00456038" w:rsidP="00456038">
      <w:r>
        <w:t xml:space="preserve">While we haven’t been able to watch this “post-pandemic” scenario unfold for other human coronaviruses (although we strongly suspect this to have occurred in the not too distant past), we have </w:t>
      </w:r>
      <w:r w:rsidRPr="00341D69">
        <w:rPr>
          <w:u w:val="single"/>
        </w:rPr>
        <w:t>ample evidence that this occurs with other viral infections</w:t>
      </w:r>
      <w:r>
        <w:t>. Over the last 100 years or so we have had five influenza pandemics, and descendants of the most recent pandemic influenza virus (H1N1 from 2009) continue to circulate in the population more than a decade later.</w:t>
      </w:r>
    </w:p>
    <w:p w14:paraId="0767E9D3" w14:textId="353C04E7" w:rsidR="00456038" w:rsidRPr="00417BAB" w:rsidRDefault="00456038" w:rsidP="00516959">
      <w:pPr>
        <w:rPr>
          <w:u w:val="single"/>
        </w:rPr>
      </w:pPr>
      <w:r>
        <w:t xml:space="preserve">Given that we do not know how long natural immunity to COVID-19 lasts, nor whether it is capable of blocking infection completely or only symptoms, </w:t>
      </w:r>
      <w:r w:rsidRPr="00341D69">
        <w:rPr>
          <w:u w:val="single"/>
        </w:rPr>
        <w:t>it’s not clear that SARS-CoV-2 could ever burn itself out.</w:t>
      </w:r>
      <w:r>
        <w:t xml:space="preserve"> Therefore,</w:t>
      </w:r>
      <w:r w:rsidRPr="00341D69">
        <w:rPr>
          <w:u w:val="single"/>
        </w:rPr>
        <w:t xml:space="preserve"> our only option remains to </w:t>
      </w:r>
      <w:r w:rsidRPr="00341D69">
        <w:rPr>
          <w:rStyle w:val="Emphasis"/>
        </w:rPr>
        <w:t>suppress COVID-19</w:t>
      </w:r>
      <w:r w:rsidRPr="00341D69">
        <w:rPr>
          <w:u w:val="single"/>
        </w:rPr>
        <w:t xml:space="preserve"> as much as possible until we have a safe and effective vaccine available to the masses.</w:t>
      </w:r>
    </w:p>
    <w:p w14:paraId="2EA1262F" w14:textId="77777777" w:rsidR="00456038" w:rsidRDefault="00456038" w:rsidP="00456038">
      <w:pPr>
        <w:pStyle w:val="Heading3"/>
      </w:pPr>
      <w:r>
        <w:t>2NC – OV – AT: No Tech Race</w:t>
      </w:r>
    </w:p>
    <w:p w14:paraId="7742A3ED" w14:textId="77777777" w:rsidR="00456038" w:rsidRPr="00456038" w:rsidRDefault="00456038" w:rsidP="00456038">
      <w:pPr>
        <w:pStyle w:val="Heading4"/>
      </w:pPr>
      <w:r>
        <w:t xml:space="preserve">Tensions over the tech war are </w:t>
      </w:r>
      <w:r w:rsidRPr="00041D6D">
        <w:rPr>
          <w:u w:val="single"/>
        </w:rPr>
        <w:t>heating up now</w:t>
      </w:r>
      <w:r>
        <w:t>.</w:t>
      </w:r>
    </w:p>
    <w:p w14:paraId="5297A68B" w14:textId="77777777" w:rsidR="00456038" w:rsidRPr="00041D6D" w:rsidRDefault="00456038" w:rsidP="00456038">
      <w:r w:rsidRPr="00041D6D">
        <w:rPr>
          <w:b/>
          <w:bCs/>
          <w:sz w:val="26"/>
          <w:szCs w:val="26"/>
        </w:rPr>
        <w:t>Doffman 19</w:t>
      </w:r>
      <w:r>
        <w:t xml:space="preserve"> - t</w:t>
      </w:r>
      <w:r w:rsidRPr="00041D6D">
        <w:t>he Founder/CEO of Digital Barriers—developing advanced surveillance solutions for defence, national security and counter-terrorism</w:t>
      </w:r>
      <w:r>
        <w:t>, (Zak, “</w:t>
      </w:r>
      <w:r w:rsidRPr="00041D6D">
        <w:t>U.S. And China Technology Conflict—Here’s Why 2020 Is So Critical</w:t>
      </w:r>
      <w:r>
        <w:t xml:space="preserve">,” </w:t>
      </w:r>
      <w:r>
        <w:rPr>
          <w:i/>
          <w:iCs/>
        </w:rPr>
        <w:t>Forbes</w:t>
      </w:r>
      <w:r>
        <w:t xml:space="preserve">, 12-29-19, </w:t>
      </w:r>
      <w:hyperlink r:id="rId316" w:history="1">
        <w:r w:rsidRPr="00ED36A1">
          <w:rPr>
            <w:rStyle w:val="Hyperlink"/>
          </w:rPr>
          <w:t>https://www.forbes.com/sites/zakdoffman/2020/12/29/us-and-china-technology-conflict-heres-why-2020-is-so-critical/</w:t>
        </w:r>
      </w:hyperlink>
      <w:r>
        <w:t>, Accessed 7-7-20, LASA-AH)</w:t>
      </w:r>
    </w:p>
    <w:p w14:paraId="1EDD0E9F" w14:textId="77777777" w:rsidR="00456038" w:rsidRPr="00957472" w:rsidRDefault="00456038" w:rsidP="00456038">
      <w:pPr>
        <w:rPr>
          <w:b/>
          <w:iCs/>
          <w:u w:val="single"/>
        </w:rPr>
      </w:pPr>
      <w:r w:rsidRPr="00957472">
        <w:rPr>
          <w:u w:val="single"/>
        </w:rPr>
        <w:t xml:space="preserve">As we approach 2020, the heated technology conflict between the U.S. and China </w:t>
      </w:r>
      <w:r w:rsidRPr="00957472">
        <w:rPr>
          <w:rStyle w:val="Emphasis"/>
        </w:rPr>
        <w:t>shows no signs of a thaw</w:t>
      </w:r>
      <w:r w:rsidRPr="00957472">
        <w:rPr>
          <w:u w:val="single"/>
        </w:rPr>
        <w:t>.</w:t>
      </w:r>
      <w:r>
        <w:t xml:space="preserve"> U.S. President Trump’s campaign against leading Chinese technology firms—including but not only Huawei—may have grabbed the headlines, but there is also China banning most leading U.S. consumer content-based technologies, Russia architecting its sovereign internet, political pressure on western tech players over international research collaboration</w:t>
      </w:r>
      <w:r w:rsidRPr="00957472">
        <w:rPr>
          <w:u w:val="single"/>
        </w:rPr>
        <w:t xml:space="preserve">. As we approach 2020, a decade and more of ever-tightening technology globalisation </w:t>
      </w:r>
      <w:r w:rsidRPr="00957472">
        <w:rPr>
          <w:rStyle w:val="Emphasis"/>
        </w:rPr>
        <w:t>looks very much at risk.</w:t>
      </w:r>
    </w:p>
    <w:p w14:paraId="2186A15C" w14:textId="77777777" w:rsidR="00456038" w:rsidRDefault="00456038" w:rsidP="00456038">
      <w:r>
        <w:t xml:space="preserve">A key part of the divide is the so-called splinternet or balkanisation of the internet, where </w:t>
      </w:r>
      <w:r w:rsidRPr="00957472">
        <w:rPr>
          <w:u w:val="single"/>
        </w:rPr>
        <w:t>mass-scale technology filters enable governments to determine what content will be made available to its citizens</w:t>
      </w:r>
      <w:r>
        <w:t>—</w:t>
      </w:r>
      <w:r w:rsidRPr="00957472">
        <w:rPr>
          <w:u w:val="single"/>
        </w:rPr>
        <w:t>China, Russia, Iran and Saudi Arabia continue to restrict what’s allowed and what isn’t</w:t>
      </w:r>
      <w:r>
        <w:t>, but at a lower level many other countries nibble around the edges of what’s green-lit and what isn’t. But, in the main, this is all around content. Certain websites and online services, communications platforms, news sites, social media, content sharing. That issue, though, is about to get deeper.</w:t>
      </w:r>
    </w:p>
    <w:p w14:paraId="44E917B8" w14:textId="77777777" w:rsidR="00456038" w:rsidRDefault="00456038" w:rsidP="00456038">
      <w:r>
        <w:t xml:space="preserve">Ironically, even as content censorship has become more widespread, </w:t>
      </w:r>
      <w:r w:rsidRPr="00957472">
        <w:rPr>
          <w:u w:val="single"/>
        </w:rPr>
        <w:t xml:space="preserve">the main technology platforms have maintained their global lock. Largely influenced by U.S. standards, we have been using the same mobile and desktop operating systems, the same mainstream applications. </w:t>
      </w:r>
      <w:r>
        <w:t>An ever more globetrotting population has been able to disembark a flight almost anywhere, switch on, connect. Gone are the dark old days of competing standards, where Europe, the U.S. and Japan pursued different tracks.</w:t>
      </w:r>
    </w:p>
    <w:p w14:paraId="3D3FCAC1" w14:textId="77777777" w:rsidR="00456038" w:rsidRDefault="00456038" w:rsidP="00456038">
      <w:r>
        <w:t>Two seemingly unrelated</w:t>
      </w:r>
      <w:r>
        <w:softHyphen/>
        <w:t xml:space="preserve">—but actually very much related—news items in December are perfectly illustrative of the risks technology standardisation now faces. </w:t>
      </w:r>
      <w:r w:rsidRPr="00957472">
        <w:rPr>
          <w:u w:val="single"/>
        </w:rPr>
        <w:t>First came the hints from Huawei that nine months into its U.S. blacklisting, restricting its access to American technology, the world’s largest telecoms equipment manufacturer may be about to forge its own alternative to the standard Android software and services used by more than 2 billion users around the world.</w:t>
      </w:r>
      <w:r>
        <w:t xml:space="preserve"> For the first time in more than a decade, there might be a genuine alternative to Google’s full-fat Android and Apple’s more heavily controlled iOS. And, unlike other tries, </w:t>
      </w:r>
      <w:r w:rsidRPr="00957472">
        <w:rPr>
          <w:u w:val="single"/>
        </w:rPr>
        <w:t>Huawei has 42% of the huge Chinese market and more than 25% of the Russian market to get it started.</w:t>
      </w:r>
    </w:p>
    <w:p w14:paraId="535230F1" w14:textId="77777777" w:rsidR="00456038" w:rsidRDefault="00456038" w:rsidP="00456038">
      <w:r>
        <w:t xml:space="preserve">Then on December 28, China’s state media announced that its </w:t>
      </w:r>
      <w:r w:rsidRPr="00957472">
        <w:rPr>
          <w:u w:val="single"/>
        </w:rPr>
        <w:t xml:space="preserve">“Beidou” alternative to America’s GPS satellite navigation system will be completed. This is more than a </w:t>
      </w:r>
      <w:r w:rsidRPr="00957472">
        <w:rPr>
          <w:rStyle w:val="Emphasis"/>
        </w:rPr>
        <w:t>competitive alternative</w:t>
      </w:r>
      <w:r>
        <w:t xml:space="preserve">, this is a strategic disconnect from a core U.S. technology. </w:t>
      </w:r>
      <w:r w:rsidRPr="00957472">
        <w:rPr>
          <w:u w:val="single"/>
        </w:rPr>
        <w:t>China even heralded the fact that Beidou’s 35 satellites will match or even exceed the global gold standard GPS network</w:t>
      </w:r>
      <w:r>
        <w:t>. Again, as with Huawei’s mobile operating system, there is a ready market for the new technology. More than 70% of China’s smartphones are equipped to use the new network, and, with China’s joined-up approach, the new network will be used to help drive 5G services and adoption.</w:t>
      </w:r>
    </w:p>
    <w:p w14:paraId="132C7DCC" w14:textId="77777777" w:rsidR="00456038" w:rsidRDefault="00456038" w:rsidP="00456038">
      <w:r>
        <w:t xml:space="preserve">But </w:t>
      </w:r>
      <w:r w:rsidRPr="00957472">
        <w:rPr>
          <w:u w:val="single"/>
        </w:rPr>
        <w:t>Beidou</w:t>
      </w:r>
      <w:r>
        <w:t>—“Big Dipper” in Chinese—</w:t>
      </w:r>
      <w:r w:rsidRPr="00957472">
        <w:rPr>
          <w:rStyle w:val="Emphasis"/>
        </w:rPr>
        <w:t>will not stop at China.</w:t>
      </w:r>
      <w:r w:rsidRPr="00957472">
        <w:rPr>
          <w:u w:val="single"/>
        </w:rPr>
        <w:t xml:space="preserve"> It will focus on converting markets in South East Asia, Africa and Eastern Europe, price- and investment-sensitive market</w:t>
      </w:r>
      <w:r w:rsidRPr="00957472">
        <w:t>s</w:t>
      </w:r>
      <w:r>
        <w:t xml:space="preserve">. It will </w:t>
      </w:r>
      <w:r w:rsidRPr="00957472">
        <w:rPr>
          <w:u w:val="single"/>
        </w:rPr>
        <w:t>follow China’s Belt and Road initiative to match infrastructure investment to political influence</w:t>
      </w:r>
      <w:r>
        <w:t>. It will also, if the claims are accurate, provide enhanced levels of accuracy that with GPS are reserved for specialist—read security and military—users of the service. Expect immediate headlines on the benefits to self-driving vehicles, agriculture, critical infrastructure management.</w:t>
      </w:r>
    </w:p>
    <w:p w14:paraId="2CE2B255" w14:textId="77777777" w:rsidR="00456038" w:rsidRDefault="00456038" w:rsidP="00456038">
      <w:r>
        <w:t xml:space="preserve">“You don’t have to look hard to find evidence that </w:t>
      </w:r>
      <w:r w:rsidRPr="00957472">
        <w:rPr>
          <w:u w:val="single"/>
        </w:rPr>
        <w:t>the Chinese government is willing and able to use its growing influence over global commerce to advance its own interests</w:t>
      </w:r>
      <w:r>
        <w:t>,” Federal Communications Commission Chairman Ajit Pai told the Council on Foreign Relations in November. His warning focused on Huawei’s role in international 5G networks and on China using its influence to curb political criticism of its domestic policies. But the theme, that east-west split, was evident throughout.</w:t>
      </w:r>
    </w:p>
    <w:p w14:paraId="0FE03BB3" w14:textId="77777777" w:rsidR="00456038" w:rsidRDefault="00456038" w:rsidP="00456038">
      <w:r>
        <w:t xml:space="preserve">We exit 2019 in very different shape to the way we started it. </w:t>
      </w:r>
      <w:r w:rsidRPr="00957472">
        <w:rPr>
          <w:u w:val="single"/>
        </w:rPr>
        <w:t>Theoretical splits have become more a reality</w:t>
      </w:r>
      <w:r>
        <w:t xml:space="preserve">. </w:t>
      </w:r>
      <w:r w:rsidRPr="00957472">
        <w:rPr>
          <w:u w:val="single"/>
        </w:rPr>
        <w:t>Much of the world is being pushed to choose between U.S. political and security engagement and Chinese investment and commerc</w:t>
      </w:r>
      <w:r>
        <w:t xml:space="preserve">e. Russian President </w:t>
      </w:r>
      <w:r w:rsidRPr="00957472">
        <w:rPr>
          <w:u w:val="single"/>
        </w:rPr>
        <w:t>Putin</w:t>
      </w:r>
      <w:r>
        <w:t xml:space="preserve"> </w:t>
      </w:r>
      <w:r w:rsidRPr="00957472">
        <w:rPr>
          <w:u w:val="single"/>
        </w:rPr>
        <w:t>described the U.S. campaign against Chinese technology as “the first technological war of the coming digital era</w:t>
      </w:r>
      <w:r>
        <w:t>.” His point was that this is the start of something much greater and more significant.</w:t>
      </w:r>
    </w:p>
    <w:p w14:paraId="285F0D2F" w14:textId="77777777" w:rsidR="00456038" w:rsidRDefault="00456038" w:rsidP="00456038">
      <w:r w:rsidRPr="00957472">
        <w:rPr>
          <w:u w:val="single"/>
        </w:rPr>
        <w:t>And so to 2020.</w:t>
      </w:r>
      <w:r>
        <w:t xml:space="preserve"> There are some </w:t>
      </w:r>
      <w:r w:rsidRPr="00957472">
        <w:rPr>
          <w:rStyle w:val="Emphasis"/>
        </w:rPr>
        <w:t>critical decision points</w:t>
      </w:r>
      <w:r w:rsidRPr="00957472">
        <w:rPr>
          <w:u w:val="single"/>
        </w:rPr>
        <w:t xml:space="preserve"> we will witness early in the year</w:t>
      </w:r>
      <w:r>
        <w:t>, all of which carry significant implication as to the extent or pace of a split. There is Canada’s imminent legal decision on the U.S. request to extradite Huawei CFO Meng Wanzhou. There is the U.K. and Germany decisions on allowing Huawei into their respective networks. There is the launch of Huawei’s flagship P40 device, which could launch its alternative to Google’s software and services into international markets. There is the decision by the U.S. Commerce Department on how far and wide to relax supplier restrictions on American companies. And then, later in the year, there is the U.S. election, with a focus on the extent to which China and Russia might be implicated in interference attempts, escalating the rhetoric and the restrictions.</w:t>
      </w:r>
    </w:p>
    <w:p w14:paraId="61897EAB" w14:textId="4485A787" w:rsidR="00456038" w:rsidRDefault="00456038" w:rsidP="00456038">
      <w:r w:rsidRPr="00957472">
        <w:rPr>
          <w:u w:val="single"/>
        </w:rPr>
        <w:t xml:space="preserve">A reversal in technology globalisation will have a </w:t>
      </w:r>
      <w:r w:rsidRPr="00957472">
        <w:rPr>
          <w:rStyle w:val="Emphasis"/>
        </w:rPr>
        <w:t>major impact on international businesses</w:t>
      </w:r>
      <w:r w:rsidRPr="00957472">
        <w:rPr>
          <w:u w:val="single"/>
        </w:rPr>
        <w:t xml:space="preserve"> and on us as consumers and travellers</w:t>
      </w:r>
      <w:r>
        <w:t xml:space="preserve">. For China, it will increase its independence and influence. For the U.S., </w:t>
      </w:r>
      <w:r w:rsidRPr="00957472">
        <w:rPr>
          <w:u w:val="single"/>
        </w:rPr>
        <w:t>its grip on key standards will loosen and for some of its key players there are risks they could loose material market share</w:t>
      </w:r>
      <w:r>
        <w:t xml:space="preserve">. And so, while the direction of travel seems set, nothing is fixed. </w:t>
      </w:r>
      <w:r w:rsidRPr="00957472">
        <w:rPr>
          <w:u w:val="single"/>
        </w:rPr>
        <w:t>2020 could see the political brakes applied to some of these changes under the guise of a trade deal or a new approach to technology security</w:t>
      </w:r>
      <w:r>
        <w:t>. But, either way, 12 months from now the flexibility in decision making now available to politicians will be significantly diminished.</w:t>
      </w:r>
    </w:p>
    <w:p w14:paraId="707A5D60" w14:textId="6208DFF6" w:rsidR="00456038" w:rsidRDefault="00456038" w:rsidP="00456038">
      <w:pPr>
        <w:pStyle w:val="Heading4"/>
      </w:pPr>
      <w:r>
        <w:t xml:space="preserve">The US </w:t>
      </w:r>
      <w:r>
        <w:rPr>
          <w:u w:val="single"/>
        </w:rPr>
        <w:t>can’t afford</w:t>
      </w:r>
      <w:r>
        <w:t xml:space="preserve"> a slowdown in innovation – China’s </w:t>
      </w:r>
      <w:r>
        <w:rPr>
          <w:u w:val="single"/>
        </w:rPr>
        <w:t>ramping up</w:t>
      </w:r>
      <w:r>
        <w:t xml:space="preserve"> efforts in AI.</w:t>
      </w:r>
    </w:p>
    <w:p w14:paraId="215D2449" w14:textId="77777777" w:rsidR="00456038" w:rsidRPr="00041D6D" w:rsidRDefault="00456038" w:rsidP="00456038">
      <w:r w:rsidRPr="00041D6D">
        <w:rPr>
          <w:b/>
          <w:bCs/>
          <w:sz w:val="26"/>
          <w:szCs w:val="26"/>
        </w:rPr>
        <w:t>Cher 5/17</w:t>
      </w:r>
      <w:r>
        <w:t xml:space="preserve"> - a</w:t>
      </w:r>
      <w:r w:rsidRPr="00041D6D">
        <w:t>n intern for CNBC.com out of the Asia Pacific headquarters in Singapore</w:t>
      </w:r>
      <w:r>
        <w:t>, (Audrey, “</w:t>
      </w:r>
      <w:r w:rsidRPr="00041D6D">
        <w:t>'Superpower marathon': U.S. may lead China in tech right now — but Beijing has the strength to catch up</w:t>
      </w:r>
      <w:r>
        <w:t xml:space="preserve">,” </w:t>
      </w:r>
      <w:r>
        <w:rPr>
          <w:i/>
          <w:iCs/>
        </w:rPr>
        <w:t>CNBC</w:t>
      </w:r>
      <w:r>
        <w:t xml:space="preserve">, 5-17-20, </w:t>
      </w:r>
      <w:hyperlink r:id="rId317" w:history="1">
        <w:r w:rsidRPr="00ED36A1">
          <w:rPr>
            <w:rStyle w:val="Hyperlink"/>
          </w:rPr>
          <w:t>https://www.cnbc.com/2020/05/18/us-china-tech-race-beijing-has-strength-to-catch-up-with-us-lead.html</w:t>
        </w:r>
      </w:hyperlink>
      <w:r>
        <w:t>, Accessed 7-7-20, LASA-AH)</w:t>
      </w:r>
    </w:p>
    <w:p w14:paraId="0D45DA77" w14:textId="77777777" w:rsidR="00456038" w:rsidRDefault="00456038" w:rsidP="00456038">
      <w:r w:rsidRPr="00041D6D">
        <w:rPr>
          <w:u w:val="single"/>
        </w:rPr>
        <w:t>The United States might be leading in some areas of its technology race with China — but experts warn against the world's largest economy resting on its laurels</w:t>
      </w:r>
      <w:r>
        <w:t>, urging instead for cooperation with allies and shifts in domestic policy.</w:t>
      </w:r>
    </w:p>
    <w:p w14:paraId="4BDAC7D1" w14:textId="77777777" w:rsidR="00456038" w:rsidRPr="00041D6D" w:rsidRDefault="00456038" w:rsidP="00456038">
      <w:pPr>
        <w:rPr>
          <w:u w:val="single"/>
        </w:rPr>
      </w:pPr>
      <w:r>
        <w:t xml:space="preserve">Alongside trade war developments between the U.S. and China, </w:t>
      </w:r>
      <w:r w:rsidRPr="00041D6D">
        <w:rPr>
          <w:u w:val="single"/>
        </w:rPr>
        <w:t xml:space="preserve">both parties have been embroiled in growing competition to dominate various fields of next-generation technology, such as 5G networks and artificial intelligence (AI). </w:t>
      </w:r>
    </w:p>
    <w:p w14:paraId="23308CCC" w14:textId="77777777" w:rsidR="00456038" w:rsidRDefault="00456038" w:rsidP="00456038">
      <w:r>
        <w:t xml:space="preserve">5G refers to the latest mobile networking technology that promises super-fast download speeds and the ability to underpin critical infrastructure. That's one reason why it is seen as crucial technology for both countries. </w:t>
      </w:r>
    </w:p>
    <w:p w14:paraId="189628DB" w14:textId="77777777" w:rsidR="00456038" w:rsidRDefault="00456038" w:rsidP="00456038">
      <w:r>
        <w:t>In the last few years, Beijing has laid out a number of plans it hopes will turn China into a world leader in various tech areas:</w:t>
      </w:r>
    </w:p>
    <w:p w14:paraId="53AA1C9E" w14:textId="77777777" w:rsidR="00456038" w:rsidRDefault="00456038" w:rsidP="00456038">
      <w:r>
        <w:t xml:space="preserve">The </w:t>
      </w:r>
      <w:r w:rsidRPr="00041D6D">
        <w:rPr>
          <w:u w:val="single"/>
        </w:rPr>
        <w:t xml:space="preserve">country is currently gearing up to release a 15-year blueprint </w:t>
      </w:r>
      <w:r>
        <w:t>— known as "</w:t>
      </w:r>
      <w:r w:rsidRPr="00041D6D">
        <w:rPr>
          <w:u w:val="single"/>
        </w:rPr>
        <w:t>China Standards 2035</w:t>
      </w:r>
      <w:r>
        <w:t xml:space="preserve">" — that will outline its plans to set the global standards for future technologies. </w:t>
      </w:r>
    </w:p>
    <w:p w14:paraId="4018C90B" w14:textId="77777777" w:rsidR="00456038" w:rsidRPr="00041D6D" w:rsidRDefault="00456038" w:rsidP="00456038">
      <w:pPr>
        <w:rPr>
          <w:u w:val="single"/>
        </w:rPr>
      </w:pPr>
      <w:r w:rsidRPr="00041D6D">
        <w:rPr>
          <w:u w:val="single"/>
        </w:rPr>
        <w:t>In 2017, China announced ambitions to become a global leader in the field of artificial intelligence by 2030.</w:t>
      </w:r>
    </w:p>
    <w:p w14:paraId="11E57734" w14:textId="77777777" w:rsidR="00456038" w:rsidRDefault="00456038" w:rsidP="00456038">
      <w:r>
        <w:t>Five years ago, in 2015, Beijing unveiled a "Made in China 2025" plan to dominate global high-tech manufacturing.</w:t>
      </w:r>
    </w:p>
    <w:p w14:paraId="2B1AAEF4" w14:textId="77777777" w:rsidR="00456038" w:rsidRDefault="00456038" w:rsidP="00456038">
      <w:r>
        <w:t>U.S.-China competition is essentially about who will control the global information technology infrastructure and standards.</w:t>
      </w:r>
    </w:p>
    <w:p w14:paraId="39B68ECC" w14:textId="77777777" w:rsidR="00456038" w:rsidRDefault="00456038" w:rsidP="00456038">
      <w:r>
        <w:t xml:space="preserve">The </w:t>
      </w:r>
      <w:r w:rsidRPr="00041D6D">
        <w:rPr>
          <w:u w:val="single"/>
        </w:rPr>
        <w:t>China Standards 2035 blueprint is essentially the technical specifications and rules that define how many of the technologies that are in use everyday, like mobile networks, operate</w:t>
      </w:r>
      <w:r>
        <w:t xml:space="preserve">. Being able to influence what those look like could have </w:t>
      </w:r>
      <w:r w:rsidRPr="00041D6D">
        <w:rPr>
          <w:u w:val="single"/>
        </w:rPr>
        <w:t xml:space="preserve">wide-ranging implications for power Beijing wields in various areas of technology globally. </w:t>
      </w:r>
    </w:p>
    <w:p w14:paraId="2B90FEE1" w14:textId="77777777" w:rsidR="00456038" w:rsidRDefault="00456038" w:rsidP="00456038">
      <w:r w:rsidRPr="00041D6D">
        <w:rPr>
          <w:u w:val="single"/>
        </w:rPr>
        <w:t>"U.S.-China competition is essentially about who will control the global information technology infrastructure and standards</w:t>
      </w:r>
      <w:r>
        <w:t>," said Frank Rose, senior fellow for security and strategy in the Foreign Policy program at The Brookings Institution, at a webinar earlier this month.</w:t>
      </w:r>
    </w:p>
    <w:p w14:paraId="748EBE40" w14:textId="77777777" w:rsidR="00456038" w:rsidRDefault="00456038" w:rsidP="00456038">
      <w:r>
        <w:t>US leading in A.I. competitiveness</w:t>
      </w:r>
    </w:p>
    <w:p w14:paraId="23258627" w14:textId="77777777" w:rsidR="00456038" w:rsidRPr="00041D6D" w:rsidRDefault="00456038" w:rsidP="00456038">
      <w:r w:rsidRPr="00041D6D">
        <w:rPr>
          <w:u w:val="single"/>
        </w:rPr>
        <w:t>A recent report</w:t>
      </w:r>
      <w:r>
        <w:t xml:space="preserve"> by Citi that studied AI competitiveness of 48 economies </w:t>
      </w:r>
      <w:r w:rsidRPr="00041D6D">
        <w:rPr>
          <w:u w:val="single"/>
        </w:rPr>
        <w:t>found that the U.S. still leads significantly</w:t>
      </w:r>
      <w:r>
        <w:t xml:space="preserve">. </w:t>
      </w:r>
      <w:r w:rsidRPr="00041D6D">
        <w:rPr>
          <w:u w:val="single"/>
        </w:rPr>
        <w:t>The other 47 economies included in the index would face "severe difficulties in catching up to the U.S.'s AI industry in 2020-30</w:t>
      </w:r>
      <w:r>
        <w:t xml:space="preserve">," the report said. </w:t>
      </w:r>
    </w:p>
    <w:p w14:paraId="71984508" w14:textId="77777777" w:rsidR="00456038" w:rsidRDefault="00456038" w:rsidP="00456038">
      <w:r>
        <w:t xml:space="preserve">This was attributed to the U.S.'s strength, particularly in AI patents, investment and academic research. Citi said the ranking was not a surprise, given that </w:t>
      </w:r>
      <w:r w:rsidRPr="00041D6D">
        <w:rPr>
          <w:u w:val="single"/>
        </w:rPr>
        <w:t>major software companies are headquartered in the U.S.</w:t>
      </w:r>
    </w:p>
    <w:p w14:paraId="799D2CF4" w14:textId="77777777" w:rsidR="00456038" w:rsidRDefault="00456038" w:rsidP="00456038">
      <w:r>
        <w:t>China's rise in artificial intelligence</w:t>
      </w:r>
    </w:p>
    <w:p w14:paraId="1DD27FF5" w14:textId="77777777" w:rsidR="00456038" w:rsidRDefault="00456038" w:rsidP="00456038">
      <w:r>
        <w:t>The ranking was calculated by weighing five factors, namely: academic research, patents, investment, labor and hardware in the field of artificial intelligence.</w:t>
      </w:r>
    </w:p>
    <w:p w14:paraId="2F83A276" w14:textId="77777777" w:rsidR="00456038" w:rsidRPr="00041D6D" w:rsidRDefault="00456038" w:rsidP="00456038">
      <w:pPr>
        <w:rPr>
          <w:u w:val="single"/>
        </w:rPr>
      </w:pPr>
      <w:r w:rsidRPr="00041D6D">
        <w:rPr>
          <w:u w:val="single"/>
        </w:rPr>
        <w:t>However, the report also found that only China, ranked second behind the U.S. in the index</w:t>
      </w:r>
      <w:r>
        <w:t xml:space="preserve">, </w:t>
      </w:r>
      <w:r w:rsidRPr="00041D6D">
        <w:rPr>
          <w:u w:val="single"/>
        </w:rPr>
        <w:t>would be likely to "cultivate an independent strong ecosystem for the AI industry due to both economic and geopolitical reasons."</w:t>
      </w:r>
    </w:p>
    <w:p w14:paraId="67FC5524" w14:textId="77777777" w:rsidR="00456038" w:rsidRDefault="00456038" w:rsidP="00456038">
      <w:r>
        <w:t>No resting on laurels</w:t>
      </w:r>
    </w:p>
    <w:p w14:paraId="565B42D5" w14:textId="77777777" w:rsidR="00456038" w:rsidRDefault="00456038" w:rsidP="00456038">
      <w:r w:rsidRPr="00041D6D">
        <w:rPr>
          <w:u w:val="single"/>
        </w:rPr>
        <w:t>China</w:t>
      </w:r>
      <w:r>
        <w:t xml:space="preserve"> </w:t>
      </w:r>
      <w:r w:rsidRPr="00041D6D">
        <w:rPr>
          <w:u w:val="single"/>
        </w:rPr>
        <w:t>would</w:t>
      </w:r>
      <w:r>
        <w:t xml:space="preserve"> still </w:t>
      </w:r>
      <w:r w:rsidRPr="00041D6D">
        <w:rPr>
          <w:u w:val="single"/>
        </w:rPr>
        <w:t>need to catch up in two areas, namely jet engines and semiconductor</w:t>
      </w:r>
      <w:r>
        <w:t>, according to Michael Brown, director of the defense innovation unit at the U.S. Department of Defense.</w:t>
      </w:r>
    </w:p>
    <w:p w14:paraId="061FCFC8" w14:textId="77777777" w:rsidR="00456038" w:rsidRDefault="00456038" w:rsidP="00456038">
      <w:r>
        <w:t xml:space="preserve">"So </w:t>
      </w:r>
      <w:r w:rsidRPr="00041D6D">
        <w:rPr>
          <w:u w:val="single"/>
        </w:rPr>
        <w:t>they're</w:t>
      </w:r>
      <w:r>
        <w:t xml:space="preserve"> (China) </w:t>
      </w:r>
      <w:r w:rsidRPr="00041D6D">
        <w:rPr>
          <w:u w:val="single"/>
        </w:rPr>
        <w:t xml:space="preserve">not quite there yet, but I think </w:t>
      </w:r>
      <w:r w:rsidRPr="00041D6D">
        <w:rPr>
          <w:rStyle w:val="Emphasis"/>
        </w:rPr>
        <w:t>we can't rest on our laurels</w:t>
      </w:r>
      <w:r>
        <w:t xml:space="preserve">," he said at the Brookings Institution webinar. "I </w:t>
      </w:r>
      <w:r w:rsidRPr="00041D6D">
        <w:rPr>
          <w:u w:val="single"/>
        </w:rPr>
        <w:t xml:space="preserve">think they </w:t>
      </w:r>
      <w:r w:rsidRPr="00041D6D">
        <w:rPr>
          <w:rStyle w:val="Emphasis"/>
        </w:rPr>
        <w:t>very much can compete</w:t>
      </w:r>
      <w:r w:rsidRPr="00041D6D">
        <w:rPr>
          <w:u w:val="single"/>
        </w:rPr>
        <w:t>, and that's what makes me very concerned,</w:t>
      </w:r>
      <w:r>
        <w:t xml:space="preserve"> if we don't wake up and see what we need to do to compete."</w:t>
      </w:r>
    </w:p>
    <w:p w14:paraId="0D72DC70" w14:textId="77777777" w:rsidR="00456038" w:rsidRDefault="00456038" w:rsidP="00456038">
      <w:r>
        <w:t xml:space="preserve">Even though many countries have invested efforts to boost their domestic biotech sector, </w:t>
      </w:r>
      <w:r w:rsidRPr="00041D6D">
        <w:rPr>
          <w:u w:val="single"/>
        </w:rPr>
        <w:t>China is the "only one whose scale could potentially ... pose a threat to American pre-eminence"</w:t>
      </w:r>
      <w:r>
        <w:t xml:space="preserve"> </w:t>
      </w:r>
      <w:r w:rsidRPr="00041D6D">
        <w:rPr>
          <w:u w:val="single"/>
        </w:rPr>
        <w:t>in biotech</w:t>
      </w:r>
      <w:r>
        <w:t xml:space="preserve">, said Scott Moore, director of the Penn Global China Program at the University of Pennsylvania, during the same webinar. </w:t>
      </w:r>
    </w:p>
    <w:p w14:paraId="5678B9BD" w14:textId="5638F481" w:rsidR="00456038" w:rsidRPr="00456038" w:rsidRDefault="00456038" w:rsidP="00456038">
      <w:r w:rsidRPr="00041D6D">
        <w:rPr>
          <w:u w:val="single"/>
        </w:rPr>
        <w:t>China's policy target is for biotech to account for roughly 4% of Chinese GDP by 2020,</w:t>
      </w:r>
      <w:r>
        <w:t xml:space="preserve"> and in comparison, biotech makes up around 2% of the U.S.'s GDP, Moore said. </w:t>
      </w:r>
    </w:p>
    <w:p w14:paraId="40F086D7" w14:textId="77777777" w:rsidR="00516959" w:rsidRDefault="00516959" w:rsidP="00516959">
      <w:pPr>
        <w:pStyle w:val="Heading3"/>
      </w:pPr>
      <w:r>
        <w:t>2NC – OV – AT: Pinker</w:t>
      </w:r>
    </w:p>
    <w:p w14:paraId="6671AB56" w14:textId="77777777" w:rsidR="00516959" w:rsidRPr="00D10287" w:rsidRDefault="00516959" w:rsidP="00516959">
      <w:pPr>
        <w:pStyle w:val="Heading4"/>
        <w:rPr>
          <w:szCs w:val="26"/>
        </w:rPr>
      </w:pPr>
      <w:r>
        <w:rPr>
          <w:szCs w:val="26"/>
        </w:rPr>
        <w:t xml:space="preserve">Pinker is </w:t>
      </w:r>
      <w:r>
        <w:rPr>
          <w:szCs w:val="26"/>
          <w:u w:val="single"/>
        </w:rPr>
        <w:t>wrong</w:t>
      </w:r>
      <w:r>
        <w:rPr>
          <w:szCs w:val="26"/>
        </w:rPr>
        <w:t xml:space="preserve"> – consensus is AI causes extinction.</w:t>
      </w:r>
    </w:p>
    <w:p w14:paraId="31C6FC27" w14:textId="77777777" w:rsidR="00516959" w:rsidRPr="00684BF3" w:rsidRDefault="00516959" w:rsidP="00516959">
      <w:r w:rsidRPr="00C80CAB">
        <w:rPr>
          <w:rStyle w:val="Heading4Char"/>
          <w:szCs w:val="26"/>
        </w:rPr>
        <w:t>Russell et al. 6-15</w:t>
      </w:r>
      <w:r w:rsidRPr="00684BF3">
        <w:t>-20 – (Steven Pinker, PhD, Professor of Psychology at Harvard; Stuart Russell, UC Berkeley Professor of Computer Science; Lucas Perry; “Steven Pinker and Stuart Russell on the Foundations, Benefits, and Possible Existential Threat of AI”; Future of Life Institute; D.A. June 29</w:t>
      </w:r>
      <w:r w:rsidRPr="00684BF3">
        <w:rPr>
          <w:vertAlign w:val="superscript"/>
        </w:rPr>
        <w:t>th</w:t>
      </w:r>
      <w:r w:rsidRPr="00684BF3">
        <w:t xml:space="preserve"> 2020, [Published June 15</w:t>
      </w:r>
      <w:r w:rsidRPr="00684BF3">
        <w:rPr>
          <w:vertAlign w:val="superscript"/>
        </w:rPr>
        <w:t>th</w:t>
      </w:r>
      <w:r w:rsidRPr="00684BF3">
        <w:t xml:space="preserve"> 2020]; </w:t>
      </w:r>
      <w:hyperlink r:id="rId318" w:history="1">
        <w:r w:rsidRPr="00684BF3">
          <w:rPr>
            <w:rStyle w:val="Hyperlink"/>
          </w:rPr>
          <w:t>https://futureoflife.org/2020/06/15/steven-pinker-and-stuart-russell-on-the-foundations-benefits-and-possible-existential-risk-of-ai/</w:t>
        </w:r>
      </w:hyperlink>
      <w:r w:rsidRPr="00684BF3">
        <w:t>) //LFS—JCM [NOTE—Steven Pinkers last name inserted for clarity]</w:t>
      </w:r>
    </w:p>
    <w:p w14:paraId="39C42BF3" w14:textId="77777777" w:rsidR="00516959" w:rsidRPr="00684BF3" w:rsidRDefault="00516959" w:rsidP="00516959">
      <w:pPr>
        <w:rPr>
          <w:sz w:val="16"/>
        </w:rPr>
      </w:pPr>
      <w:r w:rsidRPr="00684BF3">
        <w:rPr>
          <w:sz w:val="16"/>
        </w:rPr>
        <w:t xml:space="preserve">So it will be kind of like that if you were a human general. </w:t>
      </w:r>
      <w:r w:rsidRPr="00684BF3">
        <w:rPr>
          <w:rStyle w:val="StyleUnderline"/>
        </w:rPr>
        <w:t xml:space="preserve">If you were a human </w:t>
      </w:r>
      <w:r w:rsidRPr="00684BF3">
        <w:rPr>
          <w:rStyle w:val="Emphasis"/>
        </w:rPr>
        <w:t>CEO and your competitor company</w:t>
      </w:r>
      <w:r w:rsidRPr="00684BF3">
        <w:rPr>
          <w:rStyle w:val="StyleUnderline"/>
        </w:rPr>
        <w:t xml:space="preserve"> is</w:t>
      </w:r>
      <w:r w:rsidRPr="00684BF3">
        <w:rPr>
          <w:sz w:val="16"/>
        </w:rPr>
        <w:t xml:space="preserve"> organized and </w:t>
      </w:r>
      <w:r w:rsidRPr="00684BF3">
        <w:rPr>
          <w:rStyle w:val="Emphasis"/>
        </w:rPr>
        <w:t>run by AI</w:t>
      </w:r>
      <w:r w:rsidRPr="00684BF3">
        <w:rPr>
          <w:rStyle w:val="StyleUnderline"/>
        </w:rPr>
        <w:t xml:space="preserve"> systems, you’d be in the same </w:t>
      </w:r>
      <w:r w:rsidRPr="00684BF3">
        <w:rPr>
          <w:sz w:val="16"/>
        </w:rPr>
        <w:t xml:space="preserve">kind of </w:t>
      </w:r>
      <w:r w:rsidRPr="00684BF3">
        <w:rPr>
          <w:rStyle w:val="StyleUnderline"/>
        </w:rPr>
        <w:t>situation</w:t>
      </w:r>
      <w:r w:rsidRPr="00684BF3">
        <w:rPr>
          <w:sz w:val="16"/>
        </w:rPr>
        <w:t xml:space="preserve">. So </w:t>
      </w:r>
      <w:r w:rsidRPr="00684BF3">
        <w:rPr>
          <w:rStyle w:val="StyleUnderline"/>
        </w:rPr>
        <w:t>it’s entirely conceivable</w:t>
      </w:r>
      <w:r w:rsidRPr="00684BF3">
        <w:rPr>
          <w:sz w:val="16"/>
        </w:rPr>
        <w:t xml:space="preserve">. I’m not necessarily saying plausible, but conceivable that </w:t>
      </w:r>
      <w:r w:rsidRPr="00456038">
        <w:rPr>
          <w:rStyle w:val="Emphasis"/>
          <w:highlight w:val="cyan"/>
        </w:rPr>
        <w:t>we can create</w:t>
      </w:r>
      <w:r w:rsidRPr="00684BF3">
        <w:rPr>
          <w:rStyle w:val="StyleUnderline"/>
        </w:rPr>
        <w:t xml:space="preserve"> real world </w:t>
      </w:r>
      <w:r w:rsidRPr="00456038">
        <w:rPr>
          <w:rStyle w:val="Emphasis"/>
          <w:highlight w:val="cyan"/>
        </w:rPr>
        <w:t>decision making</w:t>
      </w:r>
      <w:r w:rsidRPr="00456038">
        <w:rPr>
          <w:rStyle w:val="StyleUnderline"/>
          <w:highlight w:val="cyan"/>
        </w:rPr>
        <w:t xml:space="preserve"> capabilities that</w:t>
      </w:r>
      <w:r w:rsidRPr="00684BF3">
        <w:rPr>
          <w:rStyle w:val="StyleUnderline"/>
        </w:rPr>
        <w:t xml:space="preserve"> </w:t>
      </w:r>
      <w:r w:rsidRPr="00456038">
        <w:rPr>
          <w:rStyle w:val="Emphasis"/>
          <w:highlight w:val="cyan"/>
        </w:rPr>
        <w:t>exceed</w:t>
      </w:r>
      <w:r w:rsidRPr="00684BF3">
        <w:rPr>
          <w:rStyle w:val="StyleUnderline"/>
        </w:rPr>
        <w:t xml:space="preserve"> tho</w:t>
      </w:r>
      <w:r w:rsidRPr="00456038">
        <w:rPr>
          <w:rStyle w:val="StyleUnderline"/>
          <w:highlight w:val="cyan"/>
        </w:rPr>
        <w:t>s</w:t>
      </w:r>
      <w:r w:rsidRPr="00684BF3">
        <w:rPr>
          <w:rStyle w:val="StyleUnderline"/>
        </w:rPr>
        <w:t xml:space="preserve">e of </w:t>
      </w:r>
      <w:r w:rsidRPr="00456038">
        <w:rPr>
          <w:rStyle w:val="Emphasis"/>
          <w:highlight w:val="cyan"/>
        </w:rPr>
        <w:t>humans</w:t>
      </w:r>
      <w:r w:rsidRPr="00684BF3">
        <w:rPr>
          <w:rStyle w:val="StyleUnderline"/>
        </w:rPr>
        <w:t xml:space="preserve"> </w:t>
      </w:r>
      <w:r w:rsidRPr="00684BF3">
        <w:rPr>
          <w:sz w:val="16"/>
        </w:rPr>
        <w:t xml:space="preserve">across the board. So that this notion of generality, I think it </w:t>
      </w:r>
      <w:r w:rsidRPr="00684BF3">
        <w:rPr>
          <w:rStyle w:val="StyleUnderline"/>
        </w:rPr>
        <w:t>is something that still needs to be worked out.</w:t>
      </w:r>
      <w:r w:rsidRPr="00684BF3">
        <w:rPr>
          <w:sz w:val="16"/>
        </w:rPr>
        <w:t xml:space="preserve"> Most definitions of generality that people come up with end up saying, “Well, humans are general because they can do all the things that humans can do,” which is sort of a tautology. But nonetheless, it’s interesting that when you think about all the jobs: doctor, carpenter, advertising, sales, representative, most normally functioning people could do most of those jobs at least to some reasonable level.</w:t>
      </w:r>
    </w:p>
    <w:p w14:paraId="35D6E391" w14:textId="77777777" w:rsidR="00516959" w:rsidRPr="00684BF3" w:rsidRDefault="00516959" w:rsidP="00516959">
      <w:pPr>
        <w:rPr>
          <w:sz w:val="16"/>
        </w:rPr>
      </w:pPr>
      <w:r w:rsidRPr="00684BF3">
        <w:rPr>
          <w:sz w:val="16"/>
        </w:rPr>
        <w:t xml:space="preserve">So we are incredibly flexible compared to current AI systems. There is progress on achieving generality, but there’s a long way to go. I’m certainly not one of those who says that superintelligent AI is imminent and that’s why we need to worry. And in fact, </w:t>
      </w:r>
      <w:r w:rsidRPr="00456038">
        <w:rPr>
          <w:rStyle w:val="Emphasis"/>
          <w:highlight w:val="cyan"/>
        </w:rPr>
        <w:t>I’m</w:t>
      </w:r>
      <w:r w:rsidRPr="00684BF3">
        <w:rPr>
          <w:rStyle w:val="StyleUnderline"/>
        </w:rPr>
        <w:t xml:space="preserve"> probably </w:t>
      </w:r>
      <w:r w:rsidRPr="00456038">
        <w:rPr>
          <w:rStyle w:val="StyleUnderline"/>
          <w:highlight w:val="cyan"/>
        </w:rPr>
        <w:t xml:space="preserve">more </w:t>
      </w:r>
      <w:r w:rsidRPr="00456038">
        <w:rPr>
          <w:rStyle w:val="Emphasis"/>
          <w:highlight w:val="cyan"/>
        </w:rPr>
        <w:t>conservative</w:t>
      </w:r>
      <w:r w:rsidRPr="00684BF3">
        <w:rPr>
          <w:sz w:val="16"/>
        </w:rPr>
        <w:t xml:space="preserve">. </w:t>
      </w:r>
      <w:r w:rsidRPr="00684BF3">
        <w:rPr>
          <w:rStyle w:val="StyleUnderline"/>
        </w:rPr>
        <w:t xml:space="preserve">If you want to appeal to what </w:t>
      </w:r>
      <w:r w:rsidRPr="00456038">
        <w:rPr>
          <w:rStyle w:val="Emphasis"/>
          <w:highlight w:val="cyan"/>
        </w:rPr>
        <w:t>most expert AI people</w:t>
      </w:r>
      <w:r w:rsidRPr="00684BF3">
        <w:rPr>
          <w:rStyle w:val="StyleUnderline"/>
        </w:rPr>
        <w:t xml:space="preserve"> think, most expert AI people </w:t>
      </w:r>
      <w:r w:rsidRPr="00456038">
        <w:rPr>
          <w:rStyle w:val="Emphasis"/>
          <w:highlight w:val="cyan"/>
        </w:rPr>
        <w:t>think that we will have something</w:t>
      </w:r>
      <w:r w:rsidRPr="00684BF3">
        <w:rPr>
          <w:rStyle w:val="StyleUnderline"/>
        </w:rPr>
        <w:t xml:space="preserve"> that’s reasonably described as superintelligent AI </w:t>
      </w:r>
      <w:r w:rsidRPr="00456038">
        <w:rPr>
          <w:rStyle w:val="Emphasis"/>
          <w:highlight w:val="cyan"/>
        </w:rPr>
        <w:t>sooner</w:t>
      </w:r>
      <w:r w:rsidRPr="00684BF3">
        <w:rPr>
          <w:rStyle w:val="Emphasis"/>
        </w:rPr>
        <w:t xml:space="preserve"> than I do</w:t>
      </w:r>
      <w:r w:rsidRPr="00684BF3">
        <w:rPr>
          <w:sz w:val="16"/>
        </w:rPr>
        <w:t>.</w:t>
      </w:r>
    </w:p>
    <w:p w14:paraId="0FE506CC" w14:textId="77777777" w:rsidR="00516959" w:rsidRPr="00684BF3" w:rsidRDefault="00516959" w:rsidP="00516959">
      <w:pPr>
        <w:rPr>
          <w:sz w:val="16"/>
        </w:rPr>
      </w:pPr>
      <w:r w:rsidRPr="00684BF3">
        <w:rPr>
          <w:sz w:val="16"/>
        </w:rPr>
        <w:t xml:space="preserve">So most people think sometime </w:t>
      </w:r>
      <w:r w:rsidRPr="00684BF3">
        <w:rPr>
          <w:rStyle w:val="StyleUnderline"/>
        </w:rPr>
        <w:t>in the middle of the century</w:t>
      </w:r>
      <w:r w:rsidRPr="00684BF3">
        <w:rPr>
          <w:sz w:val="16"/>
        </w:rPr>
        <w:t xml:space="preserve">. It turns out that Asian </w:t>
      </w:r>
      <w:r w:rsidRPr="00684BF3">
        <w:rPr>
          <w:rStyle w:val="StyleUnderline"/>
        </w:rPr>
        <w:t xml:space="preserve">AI </w:t>
      </w:r>
      <w:r w:rsidRPr="00684BF3">
        <w:rPr>
          <w:rStyle w:val="Emphasis"/>
        </w:rPr>
        <w:t>researchers</w:t>
      </w:r>
      <w:r w:rsidRPr="00684BF3">
        <w:rPr>
          <w:rStyle w:val="StyleUnderline"/>
        </w:rPr>
        <w:t xml:space="preserve"> </w:t>
      </w:r>
      <w:r w:rsidRPr="00684BF3">
        <w:rPr>
          <w:sz w:val="16"/>
        </w:rPr>
        <w:t xml:space="preserve">particularly </w:t>
      </w:r>
      <w:r w:rsidRPr="00684BF3">
        <w:rPr>
          <w:rStyle w:val="StyleUnderline"/>
        </w:rPr>
        <w:t xml:space="preserve">in China are </w:t>
      </w:r>
      <w:r w:rsidRPr="00684BF3">
        <w:rPr>
          <w:rStyle w:val="Emphasis"/>
        </w:rPr>
        <w:t>more optimistic</w:t>
      </w:r>
      <w:r w:rsidRPr="00684BF3">
        <w:rPr>
          <w:rStyle w:val="StyleUnderline"/>
        </w:rPr>
        <w:t xml:space="preserve">, so </w:t>
      </w:r>
      <w:r w:rsidRPr="00456038">
        <w:rPr>
          <w:rStyle w:val="StyleUnderline"/>
          <w:highlight w:val="cyan"/>
        </w:rPr>
        <w:t xml:space="preserve">they think </w:t>
      </w:r>
      <w:r w:rsidRPr="00456038">
        <w:rPr>
          <w:rStyle w:val="Emphasis"/>
          <w:highlight w:val="cyan"/>
        </w:rPr>
        <w:t>20 years</w:t>
      </w:r>
      <w:r w:rsidRPr="00684BF3">
        <w:rPr>
          <w:sz w:val="16"/>
        </w:rPr>
        <w:t xml:space="preserve">. </w:t>
      </w:r>
      <w:r w:rsidRPr="00684BF3">
        <w:rPr>
          <w:rStyle w:val="StyleUnderline"/>
        </w:rPr>
        <w:t>People in the US and Europe may be more like 40 years.</w:t>
      </w:r>
      <w:r w:rsidRPr="00684BF3">
        <w:rPr>
          <w:sz w:val="16"/>
        </w:rPr>
        <w:t xml:space="preserve"> I would be reasonably confident saying by the end of this century.</w:t>
      </w:r>
    </w:p>
    <w:p w14:paraId="604280C5" w14:textId="77777777" w:rsidR="00516959" w:rsidRPr="00684BF3" w:rsidRDefault="00516959" w:rsidP="00516959">
      <w:pPr>
        <w:rPr>
          <w:sz w:val="16"/>
        </w:rPr>
      </w:pPr>
      <w:r w:rsidRPr="00684BF3">
        <w:rPr>
          <w:rStyle w:val="StyleUnderline"/>
        </w:rPr>
        <w:t xml:space="preserve">I think Nick </w:t>
      </w:r>
      <w:r w:rsidRPr="00456038">
        <w:rPr>
          <w:rStyle w:val="Emphasis"/>
          <w:highlight w:val="cyan"/>
        </w:rPr>
        <w:t>Bostrom is in</w:t>
      </w:r>
      <w:r w:rsidRPr="00684BF3">
        <w:rPr>
          <w:sz w:val="16"/>
        </w:rPr>
        <w:t xml:space="preserve"> about </w:t>
      </w:r>
      <w:r w:rsidRPr="00456038">
        <w:rPr>
          <w:rStyle w:val="Emphasis"/>
          <w:highlight w:val="cyan"/>
        </w:rPr>
        <w:t>the same place</w:t>
      </w:r>
      <w:r w:rsidRPr="00684BF3">
        <w:rPr>
          <w:sz w:val="16"/>
        </w:rPr>
        <w:t xml:space="preserve">. </w:t>
      </w:r>
      <w:r w:rsidRPr="00684BF3">
        <w:rPr>
          <w:rStyle w:val="StyleUnderline"/>
        </w:rPr>
        <w:t>He’s</w:t>
      </w:r>
      <w:r w:rsidRPr="00684BF3">
        <w:rPr>
          <w:sz w:val="16"/>
        </w:rPr>
        <w:t xml:space="preserve"> also </w:t>
      </w:r>
      <w:r w:rsidRPr="00684BF3">
        <w:rPr>
          <w:rStyle w:val="Emphasis"/>
        </w:rPr>
        <w:t>more conservative</w:t>
      </w:r>
      <w:r w:rsidRPr="00684BF3">
        <w:rPr>
          <w:rStyle w:val="StyleUnderline"/>
        </w:rPr>
        <w:t xml:space="preserve"> than the average expert AI researcher</w:t>
      </w:r>
      <w:r w:rsidRPr="00684BF3">
        <w:rPr>
          <w:sz w:val="16"/>
        </w:rPr>
        <w:t xml:space="preserve">. </w:t>
      </w:r>
      <w:r w:rsidRPr="00456038">
        <w:rPr>
          <w:rStyle w:val="StyleUnderline"/>
          <w:highlight w:val="cyan"/>
        </w:rPr>
        <w:t xml:space="preserve">There are </w:t>
      </w:r>
      <w:r w:rsidRPr="00456038">
        <w:rPr>
          <w:rStyle w:val="Emphasis"/>
          <w:highlight w:val="cyan"/>
        </w:rPr>
        <w:t>major breakthroughs</w:t>
      </w:r>
      <w:r w:rsidRPr="00684BF3">
        <w:rPr>
          <w:sz w:val="16"/>
        </w:rPr>
        <w:t xml:space="preserve"> that have to happen, </w:t>
      </w:r>
      <w:r w:rsidRPr="00456038">
        <w:rPr>
          <w:rStyle w:val="StyleUnderline"/>
          <w:highlight w:val="cyan"/>
        </w:rPr>
        <w:t>but</w:t>
      </w:r>
      <w:r w:rsidRPr="00684BF3">
        <w:rPr>
          <w:rStyle w:val="StyleUnderline"/>
        </w:rPr>
        <w:t xml:space="preserve"> the </w:t>
      </w:r>
      <w:r w:rsidRPr="00456038">
        <w:rPr>
          <w:rStyle w:val="Emphasis"/>
          <w:highlight w:val="cyan"/>
        </w:rPr>
        <w:t>massive</w:t>
      </w:r>
      <w:r w:rsidRPr="00684BF3">
        <w:rPr>
          <w:rStyle w:val="Emphasis"/>
        </w:rPr>
        <w:t xml:space="preserve"> </w:t>
      </w:r>
      <w:r w:rsidRPr="00456038">
        <w:rPr>
          <w:rStyle w:val="Emphasis"/>
          <w:highlight w:val="cyan"/>
        </w:rPr>
        <w:t>investment</w:t>
      </w:r>
      <w:r w:rsidRPr="00684BF3">
        <w:rPr>
          <w:rStyle w:val="StyleUnderline"/>
        </w:rPr>
        <w:t xml:space="preserve"> that’s taking place, </w:t>
      </w:r>
      <w:r w:rsidRPr="00456038">
        <w:rPr>
          <w:rStyle w:val="StyleUnderline"/>
          <w:highlight w:val="cyan"/>
        </w:rPr>
        <w:t xml:space="preserve">the </w:t>
      </w:r>
      <w:r w:rsidRPr="00456038">
        <w:rPr>
          <w:rStyle w:val="Emphasis"/>
          <w:highlight w:val="cyan"/>
        </w:rPr>
        <w:t>influx</w:t>
      </w:r>
      <w:r w:rsidRPr="00456038">
        <w:rPr>
          <w:rStyle w:val="StyleUnderline"/>
          <w:highlight w:val="cyan"/>
        </w:rPr>
        <w:t xml:space="preserve"> of</w:t>
      </w:r>
      <w:r w:rsidRPr="00684BF3">
        <w:rPr>
          <w:rStyle w:val="StyleUnderline"/>
        </w:rPr>
        <w:t xml:space="preserve"> </w:t>
      </w:r>
      <w:r w:rsidRPr="00684BF3">
        <w:rPr>
          <w:sz w:val="16"/>
        </w:rPr>
        <w:t xml:space="preserve">incredibly </w:t>
      </w:r>
      <w:r w:rsidRPr="00456038">
        <w:rPr>
          <w:rStyle w:val="Emphasis"/>
          <w:highlight w:val="cyan"/>
        </w:rPr>
        <w:t>smart people</w:t>
      </w:r>
      <w:r w:rsidRPr="00684BF3">
        <w:rPr>
          <w:rStyle w:val="StyleUnderline"/>
        </w:rPr>
        <w:t xml:space="preserve"> into the field</w:t>
      </w:r>
      <w:r w:rsidRPr="00684BF3">
        <w:rPr>
          <w:sz w:val="16"/>
        </w:rPr>
        <w:t xml:space="preserve">, these things suggest that </w:t>
      </w:r>
      <w:r w:rsidRPr="00456038">
        <w:rPr>
          <w:rStyle w:val="StyleUnderline"/>
          <w:highlight w:val="cyan"/>
        </w:rPr>
        <w:t xml:space="preserve">those </w:t>
      </w:r>
      <w:r w:rsidRPr="00456038">
        <w:rPr>
          <w:rStyle w:val="Emphasis"/>
          <w:highlight w:val="cyan"/>
        </w:rPr>
        <w:t>breakthroughs will</w:t>
      </w:r>
      <w:r w:rsidRPr="00684BF3">
        <w:rPr>
          <w:sz w:val="16"/>
        </w:rPr>
        <w:t xml:space="preserve"> probably </w:t>
      </w:r>
      <w:r w:rsidRPr="00456038">
        <w:rPr>
          <w:rStyle w:val="Emphasis"/>
          <w:highlight w:val="cyan"/>
        </w:rPr>
        <w:t>take place</w:t>
      </w:r>
      <w:r w:rsidRPr="00684BF3">
        <w:rPr>
          <w:sz w:val="16"/>
        </w:rPr>
        <w:t xml:space="preserve"> but the timescale is very hard to say.</w:t>
      </w:r>
    </w:p>
    <w:p w14:paraId="7252FC66" w14:textId="77777777" w:rsidR="00516959" w:rsidRPr="00684BF3" w:rsidRDefault="00516959" w:rsidP="00516959">
      <w:pPr>
        <w:rPr>
          <w:sz w:val="16"/>
        </w:rPr>
      </w:pPr>
      <w:r w:rsidRPr="00684BF3">
        <w:rPr>
          <w:sz w:val="16"/>
        </w:rPr>
        <w:t xml:space="preserve">And </w:t>
      </w:r>
      <w:r w:rsidRPr="00684BF3">
        <w:rPr>
          <w:rStyle w:val="StyleUnderline"/>
        </w:rPr>
        <w:t>when we think about</w:t>
      </w:r>
      <w:r w:rsidRPr="00684BF3">
        <w:rPr>
          <w:sz w:val="16"/>
        </w:rPr>
        <w:t xml:space="preserve"> the </w:t>
      </w:r>
      <w:r w:rsidRPr="00684BF3">
        <w:rPr>
          <w:rStyle w:val="StyleUnderline"/>
        </w:rPr>
        <w:t>risks</w:t>
      </w:r>
      <w:r w:rsidRPr="00684BF3">
        <w:rPr>
          <w:sz w:val="16"/>
        </w:rPr>
        <w:t xml:space="preserve">, I would say Steve </w:t>
      </w:r>
      <w:r w:rsidRPr="00684BF3">
        <w:rPr>
          <w:rStyle w:val="StyleUnderline"/>
        </w:rPr>
        <w:t>[</w:t>
      </w:r>
      <w:r w:rsidRPr="00456038">
        <w:rPr>
          <w:rStyle w:val="Emphasis"/>
          <w:highlight w:val="cyan"/>
        </w:rPr>
        <w:t>Pinker</w:t>
      </w:r>
      <w:r w:rsidRPr="00684BF3">
        <w:rPr>
          <w:rStyle w:val="StyleUnderline"/>
        </w:rPr>
        <w:t>]</w:t>
      </w:r>
      <w:r w:rsidRPr="00684BF3">
        <w:rPr>
          <w:sz w:val="16"/>
        </w:rPr>
        <w:t xml:space="preserve"> </w:t>
      </w:r>
      <w:r w:rsidRPr="00456038">
        <w:rPr>
          <w:rStyle w:val="StyleUnderline"/>
          <w:highlight w:val="cyan"/>
        </w:rPr>
        <w:t>is</w:t>
      </w:r>
      <w:r w:rsidRPr="00684BF3">
        <w:rPr>
          <w:sz w:val="16"/>
        </w:rPr>
        <w:t xml:space="preserve"> really </w:t>
      </w:r>
      <w:r w:rsidRPr="00456038">
        <w:rPr>
          <w:rStyle w:val="Emphasis"/>
          <w:highlight w:val="cyan"/>
        </w:rPr>
        <w:t>putting up one straw man after another</w:t>
      </w:r>
      <w:r w:rsidRPr="00456038">
        <w:rPr>
          <w:rStyle w:val="StyleUnderline"/>
          <w:highlight w:val="cyan"/>
        </w:rPr>
        <w:t xml:space="preserve"> and</w:t>
      </w:r>
      <w:r w:rsidRPr="00684BF3">
        <w:rPr>
          <w:rStyle w:val="StyleUnderline"/>
        </w:rPr>
        <w:t xml:space="preserve"> then </w:t>
      </w:r>
      <w:r w:rsidRPr="00456038">
        <w:rPr>
          <w:rStyle w:val="StyleUnderline"/>
          <w:highlight w:val="cyan"/>
        </w:rPr>
        <w:t>knocking it down</w:t>
      </w:r>
      <w:r w:rsidRPr="00456038">
        <w:rPr>
          <w:sz w:val="16"/>
          <w:highlight w:val="cyan"/>
        </w:rPr>
        <w:t>.</w:t>
      </w:r>
      <w:r w:rsidRPr="00684BF3">
        <w:rPr>
          <w:sz w:val="16"/>
        </w:rPr>
        <w:t xml:space="preserve"> So for example, </w:t>
      </w:r>
      <w:r w:rsidRPr="00456038">
        <w:rPr>
          <w:rStyle w:val="StyleUnderline"/>
          <w:highlight w:val="cyan"/>
        </w:rPr>
        <w:t xml:space="preserve">the </w:t>
      </w:r>
      <w:r w:rsidRPr="00456038">
        <w:rPr>
          <w:rStyle w:val="Emphasis"/>
          <w:highlight w:val="cyan"/>
        </w:rPr>
        <w:t>paperclip</w:t>
      </w:r>
      <w:r w:rsidRPr="00456038">
        <w:rPr>
          <w:rStyle w:val="StyleUnderline"/>
          <w:highlight w:val="cyan"/>
        </w:rPr>
        <w:t xml:space="preserve"> argument is </w:t>
      </w:r>
      <w:r w:rsidRPr="00456038">
        <w:rPr>
          <w:rStyle w:val="Emphasis"/>
          <w:highlight w:val="cyan"/>
        </w:rPr>
        <w:t>not a scenario</w:t>
      </w:r>
      <w:r w:rsidRPr="00684BF3">
        <w:rPr>
          <w:rStyle w:val="StyleUnderline"/>
        </w:rPr>
        <w:t xml:space="preserve"> that Nick </w:t>
      </w:r>
      <w:r w:rsidRPr="00456038">
        <w:rPr>
          <w:rStyle w:val="Emphasis"/>
          <w:highlight w:val="cyan"/>
        </w:rPr>
        <w:t>Bostrom thinks</w:t>
      </w:r>
      <w:r w:rsidRPr="00456038">
        <w:rPr>
          <w:rStyle w:val="StyleUnderline"/>
          <w:highlight w:val="cyan"/>
        </w:rPr>
        <w:t xml:space="preserve"> is one</w:t>
      </w:r>
      <w:r w:rsidRPr="00684BF3">
        <w:rPr>
          <w:sz w:val="16"/>
        </w:rPr>
        <w:t xml:space="preserve"> of the more </w:t>
      </w:r>
      <w:r w:rsidRPr="00684BF3">
        <w:rPr>
          <w:rStyle w:val="StyleUnderline"/>
        </w:rPr>
        <w:t xml:space="preserve">likely </w:t>
      </w:r>
      <w:r w:rsidRPr="00456038">
        <w:rPr>
          <w:rStyle w:val="Emphasis"/>
          <w:highlight w:val="cyan"/>
        </w:rPr>
        <w:t>way</w:t>
      </w:r>
      <w:r w:rsidRPr="00684BF3">
        <w:rPr>
          <w:rStyle w:val="Emphasis"/>
        </w:rPr>
        <w:t xml:space="preserve">s </w:t>
      </w:r>
      <w:r w:rsidRPr="00456038">
        <w:rPr>
          <w:rStyle w:val="Emphasis"/>
          <w:highlight w:val="cyan"/>
        </w:rPr>
        <w:t>for</w:t>
      </w:r>
      <w:r w:rsidRPr="00684BF3">
        <w:rPr>
          <w:rStyle w:val="StyleUnderline"/>
        </w:rPr>
        <w:t xml:space="preserve"> </w:t>
      </w:r>
      <w:r w:rsidRPr="00456038">
        <w:rPr>
          <w:rStyle w:val="StyleUnderline"/>
          <w:highlight w:val="cyan"/>
        </w:rPr>
        <w:t>the</w:t>
      </w:r>
      <w:r w:rsidRPr="00684BF3">
        <w:rPr>
          <w:rStyle w:val="StyleUnderline"/>
        </w:rPr>
        <w:t xml:space="preserve"> human </w:t>
      </w:r>
      <w:r w:rsidRPr="00456038">
        <w:rPr>
          <w:rStyle w:val="Emphasis"/>
          <w:highlight w:val="cyan"/>
        </w:rPr>
        <w:t>race to end</w:t>
      </w:r>
      <w:r w:rsidRPr="00684BF3">
        <w:rPr>
          <w:sz w:val="16"/>
        </w:rPr>
        <w:t xml:space="preserve">. </w:t>
      </w:r>
      <w:r w:rsidRPr="00456038">
        <w:rPr>
          <w:rStyle w:val="StyleUnderline"/>
          <w:highlight w:val="cyan"/>
        </w:rPr>
        <w:t>It’s a</w:t>
      </w:r>
      <w:r w:rsidRPr="00684BF3">
        <w:rPr>
          <w:rStyle w:val="StyleUnderline"/>
        </w:rPr>
        <w:t xml:space="preserve"> philosophical </w:t>
      </w:r>
      <w:r w:rsidRPr="00456038">
        <w:rPr>
          <w:rStyle w:val="Emphasis"/>
          <w:highlight w:val="cyan"/>
        </w:rPr>
        <w:t>thought experiment</w:t>
      </w:r>
      <w:r w:rsidRPr="00684BF3">
        <w:rPr>
          <w:rStyle w:val="StyleUnderline"/>
        </w:rPr>
        <w:t xml:space="preserve"> intended </w:t>
      </w:r>
      <w:r w:rsidRPr="00456038">
        <w:rPr>
          <w:rStyle w:val="StyleUnderline"/>
          <w:highlight w:val="cyan"/>
        </w:rPr>
        <w:t>to illustrate a point</w:t>
      </w:r>
      <w:r w:rsidRPr="00684BF3">
        <w:rPr>
          <w:rStyle w:val="StyleUnderline"/>
        </w:rPr>
        <w:t xml:space="preserve">. And the point is incontrovertible and </w:t>
      </w:r>
      <w:r w:rsidRPr="00684BF3">
        <w:rPr>
          <w:rStyle w:val="Emphasis"/>
        </w:rPr>
        <w:t xml:space="preserve">I don’t think </w:t>
      </w:r>
      <w:r w:rsidRPr="00684BF3">
        <w:rPr>
          <w:sz w:val="16"/>
        </w:rPr>
        <w:t>Steve</w:t>
      </w:r>
      <w:r w:rsidRPr="00684BF3">
        <w:rPr>
          <w:rStyle w:val="Emphasis"/>
        </w:rPr>
        <w:t xml:space="preserve"> [Pinker] disagrees</w:t>
      </w:r>
      <w:r w:rsidRPr="00684BF3">
        <w:rPr>
          <w:rStyle w:val="StyleUnderline"/>
        </w:rPr>
        <w:t xml:space="preserve"> with it</w:t>
      </w:r>
      <w:r w:rsidRPr="00684BF3">
        <w:rPr>
          <w:sz w:val="16"/>
        </w:rPr>
        <w:t>.</w:t>
      </w:r>
    </w:p>
    <w:p w14:paraId="74A9D867" w14:textId="77777777" w:rsidR="00516959" w:rsidRPr="00684BF3" w:rsidRDefault="00516959" w:rsidP="00516959">
      <w:pPr>
        <w:rPr>
          <w:sz w:val="16"/>
        </w:rPr>
      </w:pPr>
      <w:r w:rsidRPr="00684BF3">
        <w:rPr>
          <w:sz w:val="16"/>
        </w:rPr>
        <w:t xml:space="preserve">So let’s not use the word intelligent because I think </w:t>
      </w:r>
      <w:r w:rsidRPr="00684BF3">
        <w:rPr>
          <w:rStyle w:val="StyleUnderline"/>
        </w:rPr>
        <w:t xml:space="preserve">Steve here is </w:t>
      </w:r>
      <w:r w:rsidRPr="00684BF3">
        <w:rPr>
          <w:rStyle w:val="Emphasis"/>
        </w:rPr>
        <w:t>using</w:t>
      </w:r>
      <w:r w:rsidRPr="00684BF3">
        <w:rPr>
          <w:rStyle w:val="StyleUnderline"/>
        </w:rPr>
        <w:t xml:space="preserve"> the word </w:t>
      </w:r>
      <w:r w:rsidRPr="00684BF3">
        <w:rPr>
          <w:rStyle w:val="Emphasis"/>
        </w:rPr>
        <w:t>intelligent to mean always behaves</w:t>
      </w:r>
      <w:r w:rsidRPr="00684BF3">
        <w:rPr>
          <w:rStyle w:val="StyleUnderline"/>
        </w:rPr>
        <w:t xml:space="preserve"> in whatever way we think we wish that it would</w:t>
      </w:r>
      <w:r w:rsidRPr="00684BF3">
        <w:rPr>
          <w:sz w:val="16"/>
        </w:rPr>
        <w:t xml:space="preserve"> behave well.</w:t>
      </w:r>
    </w:p>
    <w:p w14:paraId="32DFD14B" w14:textId="77777777" w:rsidR="00516959" w:rsidRPr="00684BF3" w:rsidRDefault="00516959" w:rsidP="00516959">
      <w:pPr>
        <w:rPr>
          <w:sz w:val="16"/>
        </w:rPr>
      </w:pPr>
      <w:r w:rsidRPr="00684BF3">
        <w:rPr>
          <w:sz w:val="16"/>
        </w:rPr>
        <w:t xml:space="preserve">Of course, if you define intelligence that way, then there isn’t an issue. The question is, how do we create any such thing? And the ways we have right now of creating any such thing fall under the standard model, which I described earlier that we set up, </w:t>
      </w:r>
      <w:r w:rsidRPr="00684BF3">
        <w:rPr>
          <w:rStyle w:val="StyleUnderline"/>
        </w:rPr>
        <w:t xml:space="preserve">let’s call it </w:t>
      </w:r>
      <w:r w:rsidRPr="00456038">
        <w:rPr>
          <w:rStyle w:val="StyleUnderline"/>
          <w:highlight w:val="cyan"/>
        </w:rPr>
        <w:t xml:space="preserve">a </w:t>
      </w:r>
      <w:r w:rsidRPr="00456038">
        <w:rPr>
          <w:rStyle w:val="Emphasis"/>
          <w:highlight w:val="cyan"/>
        </w:rPr>
        <w:t>superoptimizer</w:t>
      </w:r>
      <w:r w:rsidRPr="00684BF3">
        <w:rPr>
          <w:rStyle w:val="StyleUnderline"/>
        </w:rPr>
        <w:t xml:space="preserve"> and then </w:t>
      </w:r>
      <w:r w:rsidRPr="00456038">
        <w:rPr>
          <w:rStyle w:val="Emphasis"/>
          <w:highlight w:val="cyan"/>
        </w:rPr>
        <w:t>we give it an objective</w:t>
      </w:r>
      <w:r w:rsidRPr="00684BF3">
        <w:rPr>
          <w:rStyle w:val="StyleUnderline"/>
        </w:rPr>
        <w:t xml:space="preserve">. And </w:t>
      </w:r>
      <w:r w:rsidRPr="00456038">
        <w:rPr>
          <w:rStyle w:val="Emphasis"/>
          <w:highlight w:val="cyan"/>
        </w:rPr>
        <w:t>then off it goes</w:t>
      </w:r>
      <w:r w:rsidRPr="00684BF3">
        <w:rPr>
          <w:rStyle w:val="StyleUnderline"/>
        </w:rPr>
        <w:t xml:space="preserve">. And </w:t>
      </w:r>
      <w:r w:rsidRPr="00456038">
        <w:rPr>
          <w:rStyle w:val="StyleUnderline"/>
          <w:highlight w:val="cyan"/>
        </w:rPr>
        <w:t>he’s</w:t>
      </w:r>
      <w:r w:rsidRPr="00684BF3">
        <w:rPr>
          <w:rStyle w:val="StyleUnderline"/>
        </w:rPr>
        <w:t xml:space="preserve"> (</w:t>
      </w:r>
      <w:r w:rsidRPr="00684BF3">
        <w:rPr>
          <w:rStyle w:val="Emphasis"/>
        </w:rPr>
        <w:t>Bostrom</w:t>
      </w:r>
      <w:r w:rsidRPr="00684BF3">
        <w:rPr>
          <w:rStyle w:val="StyleUnderline"/>
        </w:rPr>
        <w:t xml:space="preserve">) </w:t>
      </w:r>
      <w:r w:rsidRPr="00456038">
        <w:rPr>
          <w:rStyle w:val="StyleUnderline"/>
          <w:highlight w:val="cyan"/>
        </w:rPr>
        <w:t xml:space="preserve">describing </w:t>
      </w:r>
      <w:r w:rsidRPr="00456038">
        <w:rPr>
          <w:rStyle w:val="Emphasis"/>
          <w:highlight w:val="cyan"/>
        </w:rPr>
        <w:t>what happens</w:t>
      </w:r>
      <w:r w:rsidRPr="00684BF3">
        <w:rPr>
          <w:rStyle w:val="StyleUnderline"/>
        </w:rPr>
        <w:t xml:space="preserve"> </w:t>
      </w:r>
      <w:r w:rsidRPr="00456038">
        <w:rPr>
          <w:rStyle w:val="StyleUnderline"/>
          <w:highlight w:val="cyan"/>
        </w:rPr>
        <w:t xml:space="preserve">when you </w:t>
      </w:r>
      <w:r w:rsidRPr="00456038">
        <w:rPr>
          <w:rStyle w:val="Emphasis"/>
          <w:highlight w:val="cyan"/>
        </w:rPr>
        <w:t>give</w:t>
      </w:r>
      <w:r w:rsidRPr="00684BF3">
        <w:rPr>
          <w:rStyle w:val="StyleUnderline"/>
        </w:rPr>
        <w:t xml:space="preserve"> a superoptimizer </w:t>
      </w:r>
      <w:r w:rsidRPr="00456038">
        <w:rPr>
          <w:rStyle w:val="Emphasis"/>
          <w:highlight w:val="cyan"/>
        </w:rPr>
        <w:t>the wrong goal</w:t>
      </w:r>
      <w:r w:rsidRPr="00684BF3">
        <w:rPr>
          <w:sz w:val="16"/>
        </w:rPr>
        <w:t>. And he’s not saying, “Yes, of course we should give it wrong goals.”</w:t>
      </w:r>
    </w:p>
    <w:p w14:paraId="4F6CF70C" w14:textId="77777777" w:rsidR="00516959" w:rsidRPr="00684BF3" w:rsidRDefault="00516959" w:rsidP="00516959">
      <w:pPr>
        <w:rPr>
          <w:sz w:val="16"/>
        </w:rPr>
      </w:pPr>
      <w:r w:rsidRPr="00684BF3">
        <w:rPr>
          <w:sz w:val="16"/>
        </w:rPr>
        <w:t xml:space="preserve">And </w:t>
      </w:r>
      <w:r w:rsidRPr="00684BF3">
        <w:rPr>
          <w:rStyle w:val="StyleUnderline"/>
        </w:rPr>
        <w:t xml:space="preserve">he’s using this to illustrate what happens when you give it </w:t>
      </w:r>
      <w:r w:rsidRPr="00456038">
        <w:rPr>
          <w:rStyle w:val="Emphasis"/>
          <w:highlight w:val="cyan"/>
        </w:rPr>
        <w:t>even what seems to be innocuous</w:t>
      </w:r>
      <w:r w:rsidRPr="00684BF3">
        <w:rPr>
          <w:sz w:val="16"/>
        </w:rPr>
        <w:t xml:space="preserve">. So he’s trying to convey the idea that </w:t>
      </w:r>
      <w:r w:rsidRPr="00456038">
        <w:rPr>
          <w:rStyle w:val="Emphasis"/>
          <w:highlight w:val="cyan"/>
        </w:rPr>
        <w:t>we are not very good at judging</w:t>
      </w:r>
      <w:r w:rsidRPr="00684BF3">
        <w:rPr>
          <w:rStyle w:val="StyleUnderline"/>
        </w:rPr>
        <w:t xml:space="preserve"> the </w:t>
      </w:r>
      <w:r w:rsidRPr="00456038">
        <w:rPr>
          <w:rStyle w:val="Emphasis"/>
          <w:highlight w:val="cyan"/>
        </w:rPr>
        <w:t>consequences</w:t>
      </w:r>
      <w:r w:rsidRPr="00684BF3">
        <w:rPr>
          <w:rStyle w:val="StyleUnderline"/>
        </w:rPr>
        <w:t xml:space="preserve"> of seemingly innocuous goals</w:t>
      </w:r>
      <w:r w:rsidRPr="00684BF3">
        <w:rPr>
          <w:sz w:val="16"/>
        </w:rPr>
        <w:t>. My example of curing cancer: “</w:t>
      </w:r>
      <w:r w:rsidRPr="00684BF3">
        <w:rPr>
          <w:rStyle w:val="StyleUnderline"/>
        </w:rPr>
        <w:t>Curing cancer? Yeah, of course, that’s a good goal to give to an AI system</w:t>
      </w:r>
      <w:r w:rsidRPr="00684BF3">
        <w:rPr>
          <w:sz w:val="16"/>
        </w:rPr>
        <w:t xml:space="preserve">” — </w:t>
      </w:r>
      <w:r w:rsidRPr="00684BF3">
        <w:rPr>
          <w:rStyle w:val="StyleUnderline"/>
        </w:rPr>
        <w:t>but the point is, if that’s the only goal you give to the AI system, then all these weird things happen because that’s the nature of super optimizers</w:t>
      </w:r>
      <w:r w:rsidRPr="00684BF3">
        <w:rPr>
          <w:sz w:val="16"/>
        </w:rPr>
        <w:t xml:space="preserve">. </w:t>
      </w:r>
      <w:r w:rsidRPr="00684BF3">
        <w:rPr>
          <w:rStyle w:val="StyleUnderline"/>
        </w:rPr>
        <w:t>That’s the nature of</w:t>
      </w:r>
      <w:r w:rsidRPr="00684BF3">
        <w:rPr>
          <w:sz w:val="16"/>
        </w:rPr>
        <w:t xml:space="preserve"> the standard model of </w:t>
      </w:r>
      <w:r w:rsidRPr="00684BF3">
        <w:rPr>
          <w:rStyle w:val="StyleUnderline"/>
        </w:rPr>
        <w:t>AI</w:t>
      </w:r>
      <w:r w:rsidRPr="00684BF3">
        <w:rPr>
          <w:sz w:val="16"/>
        </w:rPr>
        <w:t>.</w:t>
      </w:r>
    </w:p>
    <w:p w14:paraId="224E682B" w14:textId="77777777" w:rsidR="00516959" w:rsidRDefault="00516959" w:rsidP="00516959">
      <w:pPr>
        <w:rPr>
          <w:sz w:val="16"/>
        </w:rPr>
      </w:pPr>
      <w:r w:rsidRPr="00684BF3">
        <w:rPr>
          <w:sz w:val="16"/>
        </w:rPr>
        <w:t xml:space="preserve">And this is, I think, the main point being made is not that no matter what we do AI going to get us. It’s that </w:t>
      </w:r>
      <w:r w:rsidRPr="00456038">
        <w:rPr>
          <w:rStyle w:val="StyleUnderline"/>
          <w:highlight w:val="cyan"/>
        </w:rPr>
        <w:t>given our current understanding</w:t>
      </w:r>
      <w:r w:rsidRPr="00684BF3">
        <w:rPr>
          <w:rStyle w:val="StyleUnderline"/>
        </w:rPr>
        <w:t xml:space="preserve"> and given hundreds of billions of dollars are being invested into that current understanding then </w:t>
      </w:r>
      <w:r w:rsidRPr="00456038">
        <w:rPr>
          <w:rStyle w:val="StyleUnderline"/>
          <w:highlight w:val="cyan"/>
        </w:rPr>
        <w:t>there is a failure mode and it’s reasonable to point</w:t>
      </w:r>
      <w:r w:rsidRPr="00684BF3">
        <w:rPr>
          <w:rStyle w:val="StyleUnderline"/>
        </w:rPr>
        <w:t xml:space="preserve"> that </w:t>
      </w:r>
      <w:r w:rsidRPr="00456038">
        <w:rPr>
          <w:rStyle w:val="StyleUnderline"/>
          <w:highlight w:val="cyan"/>
        </w:rPr>
        <w:t>out</w:t>
      </w:r>
      <w:r w:rsidRPr="00684BF3">
        <w:rPr>
          <w:sz w:val="16"/>
        </w:rPr>
        <w:t xml:space="preserve"> just as if you’re a nuclear engineer and you say, “Look, everyone is designing these reactors in this way. All of you are doing this. And look there’s this failure mode.” That’s a reasonable thing to point out.</w:t>
      </w:r>
    </w:p>
    <w:p w14:paraId="34FF072C" w14:textId="77777777" w:rsidR="00516959" w:rsidRPr="00D10287" w:rsidRDefault="00516959" w:rsidP="00516959">
      <w:pPr>
        <w:pStyle w:val="Heading4"/>
        <w:rPr>
          <w:szCs w:val="26"/>
        </w:rPr>
      </w:pPr>
      <w:r>
        <w:rPr>
          <w:szCs w:val="26"/>
        </w:rPr>
        <w:t xml:space="preserve">Better off </w:t>
      </w:r>
      <w:r>
        <w:rPr>
          <w:szCs w:val="26"/>
          <w:u w:val="single"/>
        </w:rPr>
        <w:t>cautious</w:t>
      </w:r>
      <w:r>
        <w:rPr>
          <w:szCs w:val="26"/>
        </w:rPr>
        <w:t xml:space="preserve"> than </w:t>
      </w:r>
      <w:r>
        <w:rPr>
          <w:szCs w:val="26"/>
          <w:u w:val="single"/>
        </w:rPr>
        <w:t>dead</w:t>
      </w:r>
      <w:r>
        <w:rPr>
          <w:szCs w:val="26"/>
        </w:rPr>
        <w:t>.</w:t>
      </w:r>
    </w:p>
    <w:p w14:paraId="36C2FCC0" w14:textId="77777777" w:rsidR="00516959" w:rsidRPr="00684BF3" w:rsidRDefault="00516959" w:rsidP="00516959">
      <w:r w:rsidRPr="00C80CAB">
        <w:rPr>
          <w:rStyle w:val="Heading4Char"/>
          <w:szCs w:val="26"/>
        </w:rPr>
        <w:t>Russell et al. 6-15</w:t>
      </w:r>
      <w:r w:rsidRPr="00684BF3">
        <w:t>-20 – (Steven Pinker, PhD, Professor of Psychology at Harvard; Stuart Russell, UC Berkeley Professor of Computer Science; Lucas Perry; “Steven Pinker and Stuart Russell on the Foundations, Benefits, and Possible Existential Threat of AI”; Future of Life Institute; D.A. June 29</w:t>
      </w:r>
      <w:r w:rsidRPr="00684BF3">
        <w:rPr>
          <w:vertAlign w:val="superscript"/>
        </w:rPr>
        <w:t>th</w:t>
      </w:r>
      <w:r w:rsidRPr="00684BF3">
        <w:t xml:space="preserve"> 2020, [Published June 15</w:t>
      </w:r>
      <w:r w:rsidRPr="00684BF3">
        <w:rPr>
          <w:vertAlign w:val="superscript"/>
        </w:rPr>
        <w:t>th</w:t>
      </w:r>
      <w:r w:rsidRPr="00684BF3">
        <w:t xml:space="preserve"> 2020]; </w:t>
      </w:r>
      <w:hyperlink r:id="rId319" w:history="1">
        <w:r w:rsidRPr="00684BF3">
          <w:rPr>
            <w:rStyle w:val="Hyperlink"/>
          </w:rPr>
          <w:t>https://futureoflife.org/2020/06/15/steven-pinker-and-stuart-russell-on-the-foundations-benefits-and-possible-existential-risk-of-ai/</w:t>
        </w:r>
      </w:hyperlink>
      <w:r w:rsidRPr="00684BF3">
        <w:t>) //LFS—JCM [NOTE—Steven Pinkers last name inserted for clarity]</w:t>
      </w:r>
    </w:p>
    <w:p w14:paraId="71671C73" w14:textId="77777777" w:rsidR="00516959" w:rsidRPr="00684BF3" w:rsidRDefault="00516959" w:rsidP="00516959">
      <w:pPr>
        <w:rPr>
          <w:sz w:val="16"/>
        </w:rPr>
      </w:pPr>
      <w:r w:rsidRPr="00684BF3">
        <w:rPr>
          <w:sz w:val="16"/>
        </w:rPr>
        <w:t xml:space="preserve">Stuart Russell: Yep. I mean, it’s hard to disagree that we should focus on the reasonable risks. The question is whether you think that the </w:t>
      </w:r>
      <w:r w:rsidRPr="00684BF3">
        <w:rPr>
          <w:rStyle w:val="Emphasis"/>
        </w:rPr>
        <w:t>hundreds of billions</w:t>
      </w:r>
      <w:r w:rsidRPr="00684BF3">
        <w:rPr>
          <w:rStyle w:val="StyleUnderline"/>
        </w:rPr>
        <w:t xml:space="preserve"> of dollars</w:t>
      </w:r>
      <w:r w:rsidRPr="00684BF3">
        <w:rPr>
          <w:sz w:val="16"/>
        </w:rPr>
        <w:t xml:space="preserve"> that </w:t>
      </w:r>
      <w:r w:rsidRPr="00684BF3">
        <w:rPr>
          <w:rStyle w:val="StyleUnderline"/>
        </w:rPr>
        <w:t xml:space="preserve">are being </w:t>
      </w:r>
      <w:r w:rsidRPr="00684BF3">
        <w:rPr>
          <w:rStyle w:val="Emphasis"/>
        </w:rPr>
        <w:t>invested into AI research</w:t>
      </w:r>
      <w:r w:rsidRPr="00684BF3">
        <w:rPr>
          <w:rStyle w:val="StyleUnderline"/>
        </w:rPr>
        <w:t xml:space="preserve"> will produce systems that can have</w:t>
      </w:r>
      <w:r w:rsidRPr="00684BF3">
        <w:rPr>
          <w:sz w:val="16"/>
        </w:rPr>
        <w:t xml:space="preserve"> potentially </w:t>
      </w:r>
      <w:r w:rsidRPr="00684BF3">
        <w:rPr>
          <w:rStyle w:val="Emphasis"/>
        </w:rPr>
        <w:t>global consequences</w:t>
      </w:r>
      <w:r w:rsidRPr="00684BF3">
        <w:rPr>
          <w:sz w:val="16"/>
        </w:rPr>
        <w:t>.</w:t>
      </w:r>
    </w:p>
    <w:p w14:paraId="1BBB6BA7" w14:textId="77777777" w:rsidR="00516959" w:rsidRPr="00684BF3" w:rsidRDefault="00516959" w:rsidP="00516959">
      <w:pPr>
        <w:rPr>
          <w:sz w:val="16"/>
        </w:rPr>
      </w:pPr>
      <w:r w:rsidRPr="00684BF3">
        <w:rPr>
          <w:sz w:val="16"/>
        </w:rPr>
        <w:t xml:space="preserve">And to me </w:t>
      </w:r>
      <w:r w:rsidRPr="00684BF3">
        <w:rPr>
          <w:rStyle w:val="StyleUnderline"/>
        </w:rPr>
        <w:t xml:space="preserve">it seems self evident that it can and we can look at even simple </w:t>
      </w:r>
      <w:r w:rsidRPr="00684BF3">
        <w:rPr>
          <w:rStyle w:val="Emphasis"/>
        </w:rPr>
        <w:t>machine algorithms</w:t>
      </w:r>
      <w:r w:rsidRPr="00684BF3">
        <w:rPr>
          <w:sz w:val="16"/>
        </w:rPr>
        <w:t xml:space="preserve"> </w:t>
      </w:r>
      <w:r w:rsidRPr="00684BF3">
        <w:rPr>
          <w:rStyle w:val="StyleUnderline"/>
        </w:rPr>
        <w:t>like</w:t>
      </w:r>
      <w:r w:rsidRPr="00684BF3">
        <w:rPr>
          <w:sz w:val="16"/>
        </w:rPr>
        <w:t xml:space="preserve"> the content selection algorithms </w:t>
      </w:r>
      <w:r w:rsidRPr="00684BF3">
        <w:rPr>
          <w:rStyle w:val="StyleUnderline"/>
        </w:rPr>
        <w:t xml:space="preserve">in </w:t>
      </w:r>
      <w:r w:rsidRPr="00684BF3">
        <w:rPr>
          <w:rStyle w:val="Emphasis"/>
        </w:rPr>
        <w:t>social media</w:t>
      </w:r>
      <w:r w:rsidRPr="00684BF3">
        <w:rPr>
          <w:sz w:val="16"/>
        </w:rPr>
        <w:t xml:space="preserve"> because </w:t>
      </w:r>
      <w:r w:rsidRPr="00684BF3">
        <w:rPr>
          <w:rStyle w:val="StyleUnderline"/>
        </w:rPr>
        <w:t>those algorithms interact with humans for hours every day</w:t>
      </w:r>
      <w:r w:rsidRPr="00684BF3">
        <w:rPr>
          <w:sz w:val="16"/>
        </w:rPr>
        <w:t xml:space="preserve"> and </w:t>
      </w:r>
      <w:r w:rsidRPr="00684BF3">
        <w:rPr>
          <w:rStyle w:val="StyleUnderline"/>
        </w:rPr>
        <w:t>dictate what</w:t>
      </w:r>
      <w:r w:rsidRPr="00684BF3">
        <w:rPr>
          <w:sz w:val="16"/>
        </w:rPr>
        <w:t xml:space="preserve"> literally </w:t>
      </w:r>
      <w:r w:rsidRPr="00684BF3">
        <w:rPr>
          <w:rStyle w:val="StyleUnderline"/>
        </w:rPr>
        <w:t>billions of people see</w:t>
      </w:r>
      <w:r w:rsidRPr="00684BF3">
        <w:rPr>
          <w:sz w:val="16"/>
        </w:rPr>
        <w:t xml:space="preserve"> and read every day. </w:t>
      </w:r>
      <w:r w:rsidRPr="00684BF3">
        <w:rPr>
          <w:rStyle w:val="StyleUnderline"/>
        </w:rPr>
        <w:t xml:space="preserve">They are </w:t>
      </w:r>
      <w:r w:rsidRPr="00684BF3">
        <w:rPr>
          <w:rStyle w:val="Emphasis"/>
        </w:rPr>
        <w:t>having substantial global impact</w:t>
      </w:r>
      <w:r w:rsidRPr="00684BF3">
        <w:rPr>
          <w:rStyle w:val="StyleUnderline"/>
        </w:rPr>
        <w:t xml:space="preserve"> already</w:t>
      </w:r>
      <w:r w:rsidRPr="00684BF3">
        <w:rPr>
          <w:sz w:val="16"/>
        </w:rPr>
        <w:t>.</w:t>
      </w:r>
    </w:p>
    <w:p w14:paraId="001DB386" w14:textId="77777777" w:rsidR="00516959" w:rsidRPr="00684BF3" w:rsidRDefault="00516959" w:rsidP="00516959">
      <w:pPr>
        <w:rPr>
          <w:sz w:val="16"/>
        </w:rPr>
      </w:pPr>
      <w:r w:rsidRPr="00684BF3">
        <w:rPr>
          <w:sz w:val="16"/>
        </w:rPr>
        <w:t xml:space="preserve">And they are very, very simple. </w:t>
      </w:r>
      <w:r w:rsidRPr="00684BF3">
        <w:rPr>
          <w:rStyle w:val="StyleUnderline"/>
        </w:rPr>
        <w:t>They don’t know</w:t>
      </w:r>
      <w:r w:rsidRPr="00684BF3">
        <w:rPr>
          <w:sz w:val="16"/>
        </w:rPr>
        <w:t xml:space="preserve"> that </w:t>
      </w:r>
      <w:r w:rsidRPr="00684BF3">
        <w:rPr>
          <w:rStyle w:val="StyleUnderline"/>
        </w:rPr>
        <w:t>human</w:t>
      </w:r>
      <w:r w:rsidRPr="00684BF3">
        <w:rPr>
          <w:sz w:val="16"/>
        </w:rPr>
        <w:t xml:space="preserve"> being</w:t>
      </w:r>
      <w:r w:rsidRPr="00684BF3">
        <w:rPr>
          <w:rStyle w:val="StyleUnderline"/>
        </w:rPr>
        <w:t>s</w:t>
      </w:r>
      <w:r w:rsidRPr="00684BF3">
        <w:rPr>
          <w:sz w:val="16"/>
        </w:rPr>
        <w:t xml:space="preserve"> </w:t>
      </w:r>
      <w:r w:rsidRPr="00684BF3">
        <w:rPr>
          <w:rStyle w:val="StyleUnderline"/>
        </w:rPr>
        <w:t>exist</w:t>
      </w:r>
      <w:r w:rsidRPr="00684BF3">
        <w:rPr>
          <w:sz w:val="16"/>
        </w:rPr>
        <w:t xml:space="preserve"> at all, </w:t>
      </w:r>
      <w:r w:rsidRPr="00684BF3">
        <w:rPr>
          <w:rStyle w:val="StyleUnderline"/>
        </w:rPr>
        <w:t>but they still learn to manipulate our brains</w:t>
      </w:r>
      <w:r w:rsidRPr="00684BF3">
        <w:rPr>
          <w:sz w:val="16"/>
        </w:rPr>
        <w:t xml:space="preserve"> to optimize the objective. I had a very interesting little Facebook exchange with Yann LeCun. And at some point in the argument, </w:t>
      </w:r>
      <w:r w:rsidRPr="00684BF3">
        <w:rPr>
          <w:rStyle w:val="StyleUnderline"/>
        </w:rPr>
        <w:t>Yann said something quite similar to</w:t>
      </w:r>
      <w:r w:rsidRPr="00684BF3">
        <w:rPr>
          <w:sz w:val="16"/>
        </w:rPr>
        <w:t xml:space="preserve"> something </w:t>
      </w:r>
      <w:r w:rsidRPr="00684BF3">
        <w:rPr>
          <w:rStyle w:val="StyleUnderline"/>
        </w:rPr>
        <w:t>Steve [Pinker] said</w:t>
      </w:r>
      <w:r w:rsidRPr="00684BF3">
        <w:rPr>
          <w:sz w:val="16"/>
        </w:rPr>
        <w:t xml:space="preserve"> earlier. He said, “</w:t>
      </w:r>
      <w:r w:rsidRPr="00684BF3">
        <w:rPr>
          <w:rStyle w:val="Emphasis"/>
        </w:rPr>
        <w:t>There’s really no risk</w:t>
      </w:r>
      <w:r w:rsidRPr="00684BF3">
        <w:rPr>
          <w:rStyle w:val="StyleUnderline"/>
        </w:rPr>
        <w:t>. You’d have to be extremely stupid to put an incorrect objective into a powerful system</w:t>
      </w:r>
      <w:r w:rsidRPr="00684BF3">
        <w:rPr>
          <w:sz w:val="16"/>
        </w:rPr>
        <w:t xml:space="preserve"> and then deploy it on a global scale.”</w:t>
      </w:r>
    </w:p>
    <w:p w14:paraId="0E7CC498" w14:textId="77777777" w:rsidR="00516959" w:rsidRPr="00684BF3" w:rsidRDefault="00516959" w:rsidP="00516959">
      <w:pPr>
        <w:rPr>
          <w:sz w:val="16"/>
        </w:rPr>
      </w:pPr>
      <w:r w:rsidRPr="00684BF3">
        <w:rPr>
          <w:sz w:val="16"/>
        </w:rPr>
        <w:t xml:space="preserve">And I said, “Well, </w:t>
      </w:r>
      <w:r w:rsidRPr="00684BF3">
        <w:rPr>
          <w:rStyle w:val="StyleUnderline"/>
        </w:rPr>
        <w:t>you mean like</w:t>
      </w:r>
      <w:r w:rsidRPr="00684BF3">
        <w:rPr>
          <w:sz w:val="16"/>
        </w:rPr>
        <w:t xml:space="preserve"> optimizing </w:t>
      </w:r>
      <w:r w:rsidRPr="00684BF3">
        <w:rPr>
          <w:rStyle w:val="StyleUnderline"/>
        </w:rPr>
        <w:t>click-through?</w:t>
      </w:r>
      <w:r w:rsidRPr="00684BF3">
        <w:rPr>
          <w:sz w:val="16"/>
        </w:rPr>
        <w:t xml:space="preserve">” </w:t>
      </w:r>
      <w:r w:rsidRPr="00684BF3">
        <w:rPr>
          <w:rStyle w:val="StyleUnderline"/>
        </w:rPr>
        <w:t>And he said</w:t>
      </w:r>
      <w:r w:rsidRPr="00684BF3">
        <w:rPr>
          <w:sz w:val="16"/>
        </w:rPr>
        <w:t>, “</w:t>
      </w:r>
      <w:r w:rsidRPr="00684BF3">
        <w:rPr>
          <w:rStyle w:val="StyleUnderline"/>
        </w:rPr>
        <w:t>Facebook stopped using click-through</w:t>
      </w:r>
      <w:r w:rsidRPr="00684BF3">
        <w:rPr>
          <w:sz w:val="16"/>
        </w:rPr>
        <w:t xml:space="preserve"> years ago.” </w:t>
      </w:r>
      <w:r w:rsidRPr="00684BF3">
        <w:rPr>
          <w:rStyle w:val="StyleUnderline"/>
        </w:rPr>
        <w:t>And I said</w:t>
      </w:r>
      <w:r w:rsidRPr="00684BF3">
        <w:rPr>
          <w:sz w:val="16"/>
        </w:rPr>
        <w:t xml:space="preserve">, “Well, </w:t>
      </w:r>
      <w:r w:rsidRPr="00684BF3">
        <w:rPr>
          <w:rStyle w:val="StyleUnderline"/>
        </w:rPr>
        <w:t>why was that?</w:t>
      </w:r>
      <w:r w:rsidRPr="00684BF3">
        <w:rPr>
          <w:sz w:val="16"/>
        </w:rPr>
        <w:t xml:space="preserve">” </w:t>
      </w:r>
      <w:r w:rsidRPr="00684BF3">
        <w:rPr>
          <w:rStyle w:val="StyleUnderline"/>
        </w:rPr>
        <w:t>And he said</w:t>
      </w:r>
      <w:r w:rsidRPr="00684BF3">
        <w:rPr>
          <w:sz w:val="16"/>
        </w:rPr>
        <w:t xml:space="preserve">, “Oh, </w:t>
      </w:r>
      <w:r w:rsidRPr="00684BF3">
        <w:rPr>
          <w:rStyle w:val="StyleUnderline"/>
        </w:rPr>
        <w:t>because it was the incorrect objective</w:t>
      </w:r>
      <w:r w:rsidRPr="00684BF3">
        <w:rPr>
          <w:sz w:val="16"/>
        </w:rPr>
        <w:t>.”</w:t>
      </w:r>
    </w:p>
    <w:p w14:paraId="638EB570" w14:textId="77777777" w:rsidR="00516959" w:rsidRPr="00684BF3" w:rsidRDefault="00516959" w:rsidP="00516959">
      <w:pPr>
        <w:rPr>
          <w:sz w:val="16"/>
        </w:rPr>
      </w:pPr>
      <w:r w:rsidRPr="00684BF3">
        <w:rPr>
          <w:sz w:val="16"/>
        </w:rPr>
        <w:t xml:space="preserve">So you did put an incorrect objective into a powerful system, deployed on a global scale. Now what does that say about Facebook? So I think just as you might have said — and in fact </w:t>
      </w:r>
      <w:r w:rsidRPr="00684BF3">
        <w:rPr>
          <w:rStyle w:val="StyleUnderline"/>
        </w:rPr>
        <w:t xml:space="preserve">the </w:t>
      </w:r>
      <w:r w:rsidRPr="00684BF3">
        <w:rPr>
          <w:rStyle w:val="Emphasis"/>
        </w:rPr>
        <w:t>nuclear industry</w:t>
      </w:r>
      <w:r w:rsidRPr="00684BF3">
        <w:rPr>
          <w:rStyle w:val="StyleUnderline"/>
        </w:rPr>
        <w:t xml:space="preserve"> did say</w:t>
      </w:r>
      <w:r w:rsidRPr="00684BF3">
        <w:rPr>
          <w:sz w:val="16"/>
        </w:rPr>
        <w:t xml:space="preserve"> — “</w:t>
      </w:r>
      <w:r w:rsidRPr="00684BF3">
        <w:rPr>
          <w:rStyle w:val="Emphasis"/>
        </w:rPr>
        <w:t>It’s</w:t>
      </w:r>
      <w:r w:rsidRPr="00684BF3">
        <w:rPr>
          <w:rStyle w:val="StyleUnderline"/>
        </w:rPr>
        <w:t xml:space="preserve"> perfectly </w:t>
      </w:r>
      <w:r w:rsidRPr="00684BF3">
        <w:rPr>
          <w:rStyle w:val="Emphasis"/>
        </w:rPr>
        <w:t>safe</w:t>
      </w:r>
      <w:r w:rsidRPr="00684BF3">
        <w:rPr>
          <w:rStyle w:val="StyleUnderline"/>
        </w:rPr>
        <w:t>. Nothing can go wrong</w:t>
      </w:r>
      <w:r w:rsidRPr="00684BF3">
        <w:rPr>
          <w:sz w:val="16"/>
        </w:rPr>
        <w:t>. We’re the experts. We understand safety. We understand everything.”</w:t>
      </w:r>
    </w:p>
    <w:p w14:paraId="74D37710" w14:textId="77777777" w:rsidR="00516959" w:rsidRPr="00684BF3" w:rsidRDefault="00516959" w:rsidP="00516959">
      <w:pPr>
        <w:rPr>
          <w:sz w:val="16"/>
        </w:rPr>
      </w:pPr>
      <w:r w:rsidRPr="00684BF3">
        <w:rPr>
          <w:rStyle w:val="StyleUnderline"/>
        </w:rPr>
        <w:t xml:space="preserve">Nonetheless, we had </w:t>
      </w:r>
      <w:r w:rsidRPr="00684BF3">
        <w:rPr>
          <w:rStyle w:val="Emphasis"/>
        </w:rPr>
        <w:t>Chernobyl</w:t>
      </w:r>
      <w:r w:rsidRPr="00684BF3">
        <w:rPr>
          <w:rStyle w:val="StyleUnderline"/>
        </w:rPr>
        <w:t xml:space="preserve">, we had </w:t>
      </w:r>
      <w:r w:rsidRPr="00684BF3">
        <w:rPr>
          <w:rStyle w:val="Emphasis"/>
        </w:rPr>
        <w:t>Fukushima</w:t>
      </w:r>
      <w:r w:rsidRPr="00684BF3">
        <w:rPr>
          <w:sz w:val="16"/>
        </w:rPr>
        <w:t>. And actually, I think there’s an argument to be made that despite the massive environmental cost of foregoing nuclear power, that countries like Germany, Italy, Spain and probably a bunch of others are in the process of actually deciding that we need to phase out nuclear power because even though theoretically, it’s possible to develop and operate completely safe nuclear power systems, it’s beyond our capabilities and the evidence is there.</w:t>
      </w:r>
    </w:p>
    <w:p w14:paraId="6F8B8A02" w14:textId="77777777" w:rsidR="00516959" w:rsidRPr="00D10287" w:rsidRDefault="00516959" w:rsidP="00516959">
      <w:pPr>
        <w:rPr>
          <w:sz w:val="16"/>
        </w:rPr>
      </w:pPr>
    </w:p>
    <w:p w14:paraId="573A6FD4" w14:textId="77777777" w:rsidR="00516959" w:rsidRDefault="00516959" w:rsidP="00516959">
      <w:pPr>
        <w:pStyle w:val="Heading3"/>
      </w:pPr>
      <w:r>
        <w:t>2NC – UQ – Stats</w:t>
      </w:r>
    </w:p>
    <w:p w14:paraId="77E0F0A7" w14:textId="77777777" w:rsidR="00516959" w:rsidRPr="006A4DFB" w:rsidRDefault="00516959" w:rsidP="00516959">
      <w:pPr>
        <w:pStyle w:val="Heading4"/>
        <w:rPr>
          <w:szCs w:val="26"/>
        </w:rPr>
      </w:pPr>
      <w:r>
        <w:rPr>
          <w:szCs w:val="26"/>
          <w:u w:val="single"/>
        </w:rPr>
        <w:t>Statistics</w:t>
      </w:r>
      <w:r>
        <w:rPr>
          <w:szCs w:val="26"/>
        </w:rPr>
        <w:t xml:space="preserve"> prove precedent </w:t>
      </w:r>
      <w:r w:rsidRPr="006A4DFB">
        <w:rPr>
          <w:szCs w:val="26"/>
          <w:u w:val="single"/>
        </w:rPr>
        <w:t>imbues</w:t>
      </w:r>
      <w:r>
        <w:rPr>
          <w:szCs w:val="26"/>
        </w:rPr>
        <w:t xml:space="preserve"> agencies with power at the circuit courts.</w:t>
      </w:r>
    </w:p>
    <w:p w14:paraId="0B7D324E" w14:textId="77777777" w:rsidR="00516959" w:rsidRPr="00684BF3" w:rsidRDefault="00516959" w:rsidP="00516959">
      <w:r w:rsidRPr="00C80CAB">
        <w:rPr>
          <w:rStyle w:val="Heading4Char"/>
          <w:szCs w:val="26"/>
        </w:rPr>
        <w:t>Barnett &amp; Walker 17</w:t>
      </w:r>
      <w:r w:rsidRPr="00684BF3">
        <w:t xml:space="preserve"> – (Kent Barnett, Associate Professor, University of Georgia School of Law; Christopher J. Walker, Associate Professor, The Ohio State University Moritz College of Law; “CHEVRON IN THE CIRCUIT COURTS”; Michigan University Press; D.A. June 20</w:t>
      </w:r>
      <w:r w:rsidRPr="00684BF3">
        <w:rPr>
          <w:vertAlign w:val="superscript"/>
        </w:rPr>
        <w:t>th</w:t>
      </w:r>
      <w:r w:rsidRPr="00684BF3">
        <w:t xml:space="preserve"> 2020, [Published 2017]; Michigan Law Review, Vol. 116. Issue 1, pg. 28-32; </w:t>
      </w:r>
      <w:hyperlink r:id="rId320" w:history="1">
        <w:r w:rsidRPr="00684BF3">
          <w:rPr>
            <w:rStyle w:val="Hyperlink"/>
          </w:rPr>
          <w:t>https://papers.ssrn.com/sol3/papers.cfm?abstract_id=2808848</w:t>
        </w:r>
      </w:hyperlink>
      <w:r w:rsidRPr="00684BF3">
        <w:t>) //LFS—JCM</w:t>
      </w:r>
    </w:p>
    <w:p w14:paraId="5CFF82B9" w14:textId="77777777" w:rsidR="00516959" w:rsidRPr="00684BF3" w:rsidRDefault="00516959" w:rsidP="00516959">
      <w:pPr>
        <w:rPr>
          <w:sz w:val="16"/>
        </w:rPr>
      </w:pPr>
      <w:r w:rsidRPr="00684BF3">
        <w:rPr>
          <w:sz w:val="16"/>
        </w:rPr>
        <w:t xml:space="preserve">Consistent with prior studies, </w:t>
      </w:r>
      <w:r w:rsidRPr="00684BF3">
        <w:rPr>
          <w:rStyle w:val="Emphasis"/>
        </w:rPr>
        <w:t>federal agencies</w:t>
      </w:r>
      <w:r w:rsidRPr="00684BF3">
        <w:rPr>
          <w:rStyle w:val="StyleUnderline"/>
        </w:rPr>
        <w:t xml:space="preserve"> in this study </w:t>
      </w:r>
      <w:r w:rsidRPr="00684BF3">
        <w:rPr>
          <w:rStyle w:val="Emphasis"/>
        </w:rPr>
        <w:t>prevail</w:t>
      </w:r>
      <w:r w:rsidRPr="00684BF3">
        <w:rPr>
          <w:rStyle w:val="StyleUnderline"/>
        </w:rPr>
        <w:t xml:space="preserve">ed </w:t>
      </w:r>
      <w:r w:rsidRPr="00684BF3">
        <w:rPr>
          <w:rStyle w:val="Emphasis"/>
        </w:rPr>
        <w:t>most of the time</w:t>
      </w:r>
      <w:r w:rsidRPr="00684BF3">
        <w:rPr>
          <w:sz w:val="16"/>
        </w:rPr>
        <w:t>—</w:t>
      </w:r>
      <w:r w:rsidRPr="00684BF3">
        <w:rPr>
          <w:rStyle w:val="StyleUnderline"/>
        </w:rPr>
        <w:t xml:space="preserve">in </w:t>
      </w:r>
      <w:r w:rsidRPr="00684BF3">
        <w:rPr>
          <w:rStyle w:val="Emphasis"/>
        </w:rPr>
        <w:t>71.4%</w:t>
      </w:r>
      <w:r w:rsidRPr="00684BF3">
        <w:rPr>
          <w:rStyle w:val="StyleUnderline"/>
        </w:rPr>
        <w:t xml:space="preserve"> of interpretations</w:t>
      </w:r>
      <w:r w:rsidRPr="00684BF3">
        <w:rPr>
          <w:sz w:val="16"/>
        </w:rPr>
        <w:t xml:space="preserve">—when we considered all interpretations together (that is, under any scope of review). None of the prior studies tracks perfectly with ours, but some provide limited comparison. For instance, Schuck and Elliott found that, in 1984 and 1985, </w:t>
      </w:r>
      <w:r w:rsidRPr="00684BF3">
        <w:rPr>
          <w:rStyle w:val="StyleUnderline"/>
        </w:rPr>
        <w:t>the agency prevailed 76.7% of the time based on the overall outcome for the agency</w:t>
      </w:r>
      <w:r w:rsidRPr="00684BF3">
        <w:rPr>
          <w:sz w:val="16"/>
        </w:rPr>
        <w:t xml:space="preserve"> (meaning the result for the agency, whether or not the agency prevailed on the statutory-interpretation issue alone) in their review of circuit-court decisions of any agency action on direct review.167 Likewise, Eskridge and Baer found that </w:t>
      </w:r>
      <w:r w:rsidRPr="00684BF3">
        <w:rPr>
          <w:rStyle w:val="StyleUnderline"/>
        </w:rPr>
        <w:t>the agency prevailed 68.3% of the time in their review of Supreme Court decisions from 1984 until 2006 in which an agency’s interpretation of a statute was at issue</w:t>
      </w:r>
      <w:r w:rsidRPr="00684BF3">
        <w:rPr>
          <w:sz w:val="16"/>
        </w:rPr>
        <w:t xml:space="preserve">.168 And </w:t>
      </w:r>
      <w:r w:rsidRPr="00684BF3">
        <w:rPr>
          <w:rStyle w:val="StyleUnderline"/>
        </w:rPr>
        <w:t xml:space="preserve">Tom </w:t>
      </w:r>
      <w:r w:rsidRPr="00684BF3">
        <w:rPr>
          <w:rStyle w:val="Emphasis"/>
        </w:rPr>
        <w:t>Merrill’s review</w:t>
      </w:r>
      <w:r w:rsidRPr="00684BF3">
        <w:rPr>
          <w:sz w:val="16"/>
        </w:rPr>
        <w:t xml:space="preserve"> of similar Supreme Court decisions from 1984 until 1990 </w:t>
      </w:r>
      <w:r w:rsidRPr="00684BF3">
        <w:rPr>
          <w:rStyle w:val="StyleUnderline"/>
        </w:rPr>
        <w:t xml:space="preserve">found that the </w:t>
      </w:r>
      <w:r w:rsidRPr="00684BF3">
        <w:rPr>
          <w:rStyle w:val="Emphasis"/>
        </w:rPr>
        <w:t>agency prevailed 70.0% of the time</w:t>
      </w:r>
      <w:r w:rsidRPr="00684BF3">
        <w:rPr>
          <w:sz w:val="16"/>
        </w:rPr>
        <w:t>.169</w:t>
      </w:r>
    </w:p>
    <w:p w14:paraId="5146C960" w14:textId="77777777" w:rsidR="00516959" w:rsidRPr="00684BF3" w:rsidRDefault="00516959" w:rsidP="00516959">
      <w:pPr>
        <w:rPr>
          <w:sz w:val="16"/>
        </w:rPr>
      </w:pPr>
      <w:r w:rsidRPr="00684BF3">
        <w:rPr>
          <w:sz w:val="16"/>
        </w:rPr>
        <w:t xml:space="preserve">The overall win rate differed somewhat depending on whether the agency statutory interpretation under review was “conservative” or “liberal” per the Eskridge–Baer model: </w:t>
      </w:r>
      <w:r w:rsidRPr="00684BF3">
        <w:rPr>
          <w:rStyle w:val="StyleUnderline"/>
        </w:rPr>
        <w:t>“</w:t>
      </w:r>
      <w:r w:rsidRPr="00684BF3">
        <w:rPr>
          <w:rStyle w:val="Emphasis"/>
        </w:rPr>
        <w:t>conservative</w:t>
      </w:r>
      <w:r w:rsidRPr="00684BF3">
        <w:rPr>
          <w:rStyle w:val="StyleUnderline"/>
        </w:rPr>
        <w:t xml:space="preserve">” agency statutory </w:t>
      </w:r>
      <w:r w:rsidRPr="00684BF3">
        <w:rPr>
          <w:rStyle w:val="Emphasis"/>
        </w:rPr>
        <w:t>interpretations were upheld 69.3% of the time</w:t>
      </w:r>
      <w:r w:rsidRPr="00684BF3">
        <w:rPr>
          <w:sz w:val="16"/>
        </w:rPr>
        <w:t xml:space="preserve"> (982 total “conservative” interpretations), </w:t>
      </w:r>
      <w:r w:rsidRPr="00684BF3">
        <w:rPr>
          <w:rStyle w:val="StyleUnderline"/>
        </w:rPr>
        <w:t>whereas “liberal” interpretations were upheld 74.5% of the time</w:t>
      </w:r>
      <w:r w:rsidRPr="00684BF3">
        <w:rPr>
          <w:sz w:val="16"/>
        </w:rPr>
        <w:t xml:space="preserve"> (455 total “liberal” interpretations). In the remaining </w:t>
      </w:r>
      <w:r w:rsidRPr="00684BF3">
        <w:rPr>
          <w:rStyle w:val="StyleUnderline"/>
        </w:rPr>
        <w:t>121 interpretations where the agency interpretation was neutral, mixed, or otherwise too difficult to categorize, the agency won 76.0% of the time</w:t>
      </w:r>
      <w:r w:rsidRPr="00684BF3">
        <w:rPr>
          <w:sz w:val="16"/>
        </w:rPr>
        <w:t>.170</w:t>
      </w:r>
    </w:p>
    <w:p w14:paraId="23A83D5F" w14:textId="77777777" w:rsidR="00516959" w:rsidRPr="00684BF3" w:rsidRDefault="00516959" w:rsidP="00516959">
      <w:pPr>
        <w:rPr>
          <w:sz w:val="16"/>
        </w:rPr>
      </w:pPr>
      <w:r w:rsidRPr="00684BF3">
        <w:rPr>
          <w:sz w:val="16"/>
        </w:rPr>
        <w:t xml:space="preserve">Similarly, </w:t>
      </w:r>
      <w:r w:rsidRPr="00684BF3">
        <w:rPr>
          <w:rStyle w:val="StyleUnderline"/>
        </w:rPr>
        <w:t xml:space="preserve">in </w:t>
      </w:r>
      <w:r w:rsidRPr="00684BF3">
        <w:rPr>
          <w:rStyle w:val="Emphasis"/>
        </w:rPr>
        <w:t>74.8% of interpretations</w:t>
      </w:r>
      <w:r w:rsidRPr="00684BF3">
        <w:rPr>
          <w:rStyle w:val="StyleUnderline"/>
        </w:rPr>
        <w:t xml:space="preserve"> the circuit </w:t>
      </w:r>
      <w:r w:rsidRPr="00684BF3">
        <w:rPr>
          <w:rStyle w:val="Emphasis"/>
        </w:rPr>
        <w:t>courts applied</w:t>
      </w:r>
      <w:r w:rsidRPr="00684BF3">
        <w:rPr>
          <w:rStyle w:val="StyleUnderline"/>
        </w:rPr>
        <w:t xml:space="preserve"> the </w:t>
      </w:r>
      <w:r w:rsidRPr="00684BF3">
        <w:rPr>
          <w:rStyle w:val="Emphasis"/>
        </w:rPr>
        <w:t>Chevron deference</w:t>
      </w:r>
      <w:r w:rsidRPr="00684BF3">
        <w:rPr>
          <w:rStyle w:val="StyleUnderline"/>
        </w:rPr>
        <w:t xml:space="preserve"> framework</w:t>
      </w:r>
      <w:r w:rsidRPr="00684BF3">
        <w:rPr>
          <w:sz w:val="16"/>
        </w:rPr>
        <w:t xml:space="preserve">.171 By contrast, they applied the Skidmore standard to 10.8% of the interpretations and refused to apply any deference (de novo review) to 7.5% of them. In the remaining interpretations (107 interpretations, or 6.9% of total interpretations), the courts declined to choose a deference standard, usually holding that the answer would have been the same under any standard. When discussing these deference-regime findings, care should be taken, especially in comparing the findings from this study with those of prior studies. </w:t>
      </w:r>
      <w:r w:rsidRPr="00684BF3">
        <w:rPr>
          <w:rStyle w:val="Emphasis"/>
        </w:rPr>
        <w:t>This study looked only at decisions in which courts cited Chevron deference</w:t>
      </w:r>
      <w:r w:rsidRPr="00684BF3">
        <w:rPr>
          <w:sz w:val="16"/>
        </w:rPr>
        <w:t xml:space="preserve">, so it is no doubt far from a complete picture of the Skidmore and no-deference precedent in the circuit courts. That said, our large number of Skidmore and no-deference decisions provides a meaningful understanding of judicial review of agency action more generally, even if not a complete picture. It is also probably reasonable to conclude that </w:t>
      </w:r>
      <w:r w:rsidRPr="00684BF3">
        <w:rPr>
          <w:rStyle w:val="Emphasis"/>
        </w:rPr>
        <w:t>our study captures</w:t>
      </w:r>
      <w:r w:rsidRPr="00684BF3">
        <w:rPr>
          <w:rStyle w:val="StyleUnderline"/>
        </w:rPr>
        <w:t xml:space="preserve"> the </w:t>
      </w:r>
      <w:r w:rsidRPr="00684BF3">
        <w:rPr>
          <w:rStyle w:val="Emphasis"/>
        </w:rPr>
        <w:t>vast majority</w:t>
      </w:r>
      <w:r w:rsidRPr="00684BF3">
        <w:rPr>
          <w:rStyle w:val="StyleUnderline"/>
        </w:rPr>
        <w:t xml:space="preserve"> of published </w:t>
      </w:r>
      <w:r w:rsidRPr="00684BF3">
        <w:rPr>
          <w:rStyle w:val="Emphasis"/>
        </w:rPr>
        <w:t>circuit-court decisions during</w:t>
      </w:r>
      <w:r w:rsidRPr="00684BF3">
        <w:rPr>
          <w:rStyle w:val="StyleUnderline"/>
        </w:rPr>
        <w:t xml:space="preserve"> the time period where the </w:t>
      </w:r>
      <w:r w:rsidRPr="00684BF3">
        <w:rPr>
          <w:rStyle w:val="Emphasis"/>
        </w:rPr>
        <w:t>agency requested Chevron</w:t>
      </w:r>
      <w:r w:rsidRPr="00684BF3">
        <w:rPr>
          <w:rStyle w:val="StyleUnderline"/>
        </w:rPr>
        <w:t xml:space="preserve"> deference</w:t>
      </w:r>
      <w:r w:rsidRPr="00684BF3">
        <w:rPr>
          <w:sz w:val="16"/>
        </w:rPr>
        <w:t xml:space="preserve"> (as one would assume that courts would typically address the deference question if a party raised it).</w:t>
      </w:r>
    </w:p>
    <w:p w14:paraId="084722A8" w14:textId="77777777" w:rsidR="00516959" w:rsidRPr="00684BF3" w:rsidRDefault="00516959" w:rsidP="00516959">
      <w:pPr>
        <w:rPr>
          <w:sz w:val="16"/>
          <w:szCs w:val="16"/>
        </w:rPr>
      </w:pPr>
      <w:r w:rsidRPr="00684BF3">
        <w:rPr>
          <w:sz w:val="16"/>
          <w:szCs w:val="16"/>
        </w:rPr>
        <w:t>As detailed in Figure 1, the agency prevailed at a higher rate than the overall agency-win rate (77.4% to 71.4%) when the court determined that Chevron applied. Conversely, the win rate dropped considerably when the court did not apply the Chevron standard: 66.4% when the court refused to decide which standard applies; 56.0% under the Skidmore standard; and 38.5% when the court applied de novo review.172</w:t>
      </w:r>
    </w:p>
    <w:p w14:paraId="2C0942E7" w14:textId="77777777" w:rsidR="00516959" w:rsidRPr="00684BF3" w:rsidRDefault="00516959" w:rsidP="00516959">
      <w:r w:rsidRPr="00684BF3">
        <w:rPr>
          <w:noProof/>
        </w:rPr>
        <w:drawing>
          <wp:inline distT="0" distB="0" distL="0" distR="0" wp14:anchorId="7604E212" wp14:editId="3461BC09">
            <wp:extent cx="4088060" cy="3006969"/>
            <wp:effectExtent l="0" t="0" r="8255" b="3175"/>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evron agency wins.PNG"/>
                    <pic:cNvPicPr/>
                  </pic:nvPicPr>
                  <pic:blipFill>
                    <a:blip r:embed="rId321">
                      <a:extLst>
                        <a:ext uri="{28A0092B-C50C-407E-A947-70E740481C1C}">
                          <a14:useLocalDpi xmlns:a14="http://schemas.microsoft.com/office/drawing/2010/main" val="0"/>
                        </a:ext>
                      </a:extLst>
                    </a:blip>
                    <a:stretch>
                      <a:fillRect/>
                    </a:stretch>
                  </pic:blipFill>
                  <pic:spPr>
                    <a:xfrm>
                      <a:off x="0" y="0"/>
                      <a:ext cx="4103978" cy="3018678"/>
                    </a:xfrm>
                    <a:prstGeom prst="rect">
                      <a:avLst/>
                    </a:prstGeom>
                  </pic:spPr>
                </pic:pic>
              </a:graphicData>
            </a:graphic>
          </wp:inline>
        </w:drawing>
      </w:r>
    </w:p>
    <w:p w14:paraId="7A585069" w14:textId="77777777" w:rsidR="00516959" w:rsidRPr="00684BF3" w:rsidRDefault="00516959" w:rsidP="00516959">
      <w:pPr>
        <w:rPr>
          <w:sz w:val="16"/>
        </w:rPr>
      </w:pPr>
      <w:r w:rsidRPr="00684BF3">
        <w:rPr>
          <w:sz w:val="16"/>
        </w:rPr>
        <w:t xml:space="preserve">Again, comparison between deference regimes based on the decisions reviewed should be done carefully, since the dataset only includes decisions in which circuit courts expressly mentioned Chevron deference. It would not include decisions in which the court only mentioned Skidmore or reviewed interpretations de novo without mentioning Chevron—perhaps decisions in which one may expect higher agency-win rates whose inclusion would alter the results that we found. But at least in instances in which the court recognizes Chevron expressly in its opinion, the application of the Chevron framework seems to make a meaningful difference as to whether agencies prevail on the interpretive question. Indeed, </w:t>
      </w:r>
      <w:r w:rsidRPr="00684BF3">
        <w:rPr>
          <w:rStyle w:val="StyleUnderline"/>
        </w:rPr>
        <w:t xml:space="preserve">there was nearly a </w:t>
      </w:r>
      <w:r w:rsidRPr="00684BF3">
        <w:rPr>
          <w:rStyle w:val="Emphasis"/>
        </w:rPr>
        <w:t>twenty-four-percentage-point difference</w:t>
      </w:r>
      <w:r w:rsidRPr="00684BF3">
        <w:rPr>
          <w:rStyle w:val="StyleUnderline"/>
        </w:rPr>
        <w:t xml:space="preserve"> in win rates </w:t>
      </w:r>
      <w:r w:rsidRPr="00684BF3">
        <w:rPr>
          <w:rStyle w:val="Emphasis"/>
        </w:rPr>
        <w:t>when</w:t>
      </w:r>
      <w:r w:rsidRPr="00684BF3">
        <w:rPr>
          <w:rStyle w:val="StyleUnderline"/>
        </w:rPr>
        <w:t xml:space="preserve"> the circuit </w:t>
      </w:r>
      <w:r w:rsidRPr="00684BF3">
        <w:rPr>
          <w:rStyle w:val="Emphasis"/>
        </w:rPr>
        <w:t>courts applied Chevron</w:t>
      </w:r>
      <w:r w:rsidRPr="00684BF3">
        <w:rPr>
          <w:rStyle w:val="StyleUnderline"/>
        </w:rPr>
        <w:t xml:space="preserve"> deference</w:t>
      </w:r>
      <w:r w:rsidRPr="00684BF3">
        <w:rPr>
          <w:sz w:val="16"/>
        </w:rPr>
        <w:t xml:space="preserve"> (77.4%) </w:t>
      </w:r>
      <w:r w:rsidRPr="00684BF3">
        <w:rPr>
          <w:rStyle w:val="StyleUnderline"/>
        </w:rPr>
        <w:t>than when they refused to apply it</w:t>
      </w:r>
      <w:r w:rsidRPr="00684BF3">
        <w:rPr>
          <w:sz w:val="16"/>
        </w:rPr>
        <w:t xml:space="preserve"> (53.6%). </w:t>
      </w:r>
      <w:r w:rsidRPr="00684BF3">
        <w:rPr>
          <w:rStyle w:val="StyleUnderline"/>
        </w:rPr>
        <w:t>The agency was twice as likely</w:t>
      </w:r>
      <w:r w:rsidRPr="00684BF3">
        <w:rPr>
          <w:sz w:val="16"/>
        </w:rPr>
        <w:t xml:space="preserve"> (77.4% to 38.5%) </w:t>
      </w:r>
      <w:r w:rsidRPr="00684BF3">
        <w:rPr>
          <w:rStyle w:val="StyleUnderline"/>
        </w:rPr>
        <w:t>to prevail if the court applied Chevron deference as opposed to reviewing the interpretation</w:t>
      </w:r>
      <w:r w:rsidRPr="00684BF3">
        <w:rPr>
          <w:sz w:val="16"/>
        </w:rPr>
        <w:t xml:space="preserve"> </w:t>
      </w:r>
      <w:r w:rsidRPr="00684BF3">
        <w:rPr>
          <w:rStyle w:val="StyleUnderline"/>
        </w:rPr>
        <w:t>de novo</w:t>
      </w:r>
      <w:r w:rsidRPr="00684BF3">
        <w:rPr>
          <w:sz w:val="16"/>
        </w:rPr>
        <w:t xml:space="preserve"> and nearly three-fourths more likely (77.4% to 56.0%) to prevail under Chevron than Skidmore. In other words, </w:t>
      </w:r>
      <w:r w:rsidRPr="00684BF3">
        <w:rPr>
          <w:rStyle w:val="Emphasis"/>
        </w:rPr>
        <w:t>agencies won more in the circuit courts when Chevron deference applied</w:t>
      </w:r>
      <w:r w:rsidRPr="00684BF3">
        <w:rPr>
          <w:sz w:val="16"/>
        </w:rPr>
        <w:t>, at least when the court expressly considered whether to apply Chevron deference.</w:t>
      </w:r>
    </w:p>
    <w:p w14:paraId="2911CAB3" w14:textId="77777777" w:rsidR="00516959" w:rsidRPr="00684BF3" w:rsidRDefault="00516959" w:rsidP="00516959">
      <w:pPr>
        <w:rPr>
          <w:sz w:val="16"/>
        </w:rPr>
      </w:pPr>
      <w:r w:rsidRPr="00684BF3">
        <w:rPr>
          <w:rStyle w:val="StyleUnderline"/>
        </w:rPr>
        <w:t>These findings challenge certain conclusions</w:t>
      </w:r>
      <w:r w:rsidRPr="00684BF3">
        <w:rPr>
          <w:sz w:val="16"/>
        </w:rPr>
        <w:t xml:space="preserve"> based on earlier studies. Evaluating affirmance rates in the Supreme Court and circuit courts from earlier studies, Richard Pierce found that, as relevant here, the affirmance ranges for de novo, Skidmore, and Chevron review overlap: 66% for de novo review, 55.1% to 70.9% for Skidmore, and 64% to 81.3% for Chevron. 173 He concluded that “a court’s choice of which doctrine to apply in reviewing an agency action is not an important determinant of outcomes in the Supreme Court or the circuit courts.”174 Contrary to his conclusion concerning the circuit courts, our findings suggest that agency-win rates are meaningfully different under different deference regimes.</w:t>
      </w:r>
    </w:p>
    <w:p w14:paraId="2A9A06ED" w14:textId="77777777" w:rsidR="00516959" w:rsidRPr="00684BF3" w:rsidRDefault="00516959" w:rsidP="00516959">
      <w:pPr>
        <w:rPr>
          <w:sz w:val="16"/>
        </w:rPr>
      </w:pPr>
      <w:r w:rsidRPr="00684BF3">
        <w:rPr>
          <w:sz w:val="16"/>
        </w:rPr>
        <w:t xml:space="preserve">Our findings concerning Chevron (77.4% agency-win rate) are within the range of prior affirmance rates for circuit courts—from 64.0% to 81.3%.175 But importantly, </w:t>
      </w:r>
      <w:r w:rsidRPr="00684BF3">
        <w:rPr>
          <w:rStyle w:val="StyleUnderline"/>
        </w:rPr>
        <w:t>our findings indicate that the affirmance rate is significantly towards the upper end of the range</w:t>
      </w:r>
      <w:r w:rsidRPr="00684BF3">
        <w:rPr>
          <w:sz w:val="16"/>
        </w:rPr>
        <w:t>, and they may have the most validity because our data were the only to consider all agencies and all circuit courts over more than a decade.176 Interestingly, our agency-win rate is almost identical to the one that Eskridge and Baer found for the Supreme Court (76.2%).177</w:t>
      </w:r>
    </w:p>
    <w:p w14:paraId="72087A07" w14:textId="77777777" w:rsidR="00516959" w:rsidRPr="00684BF3" w:rsidRDefault="00516959" w:rsidP="00516959">
      <w:pPr>
        <w:rPr>
          <w:b/>
          <w:bCs/>
        </w:rPr>
      </w:pPr>
      <w:r w:rsidRPr="00684BF3">
        <w:rPr>
          <w:b/>
          <w:bCs/>
        </w:rPr>
        <w:t>&lt;&lt;&lt;BEGIN FOOTNOTE 176&gt;&gt;&gt;</w:t>
      </w:r>
    </w:p>
    <w:p w14:paraId="4A3E46C5" w14:textId="77777777" w:rsidR="00516959" w:rsidRPr="00684BF3" w:rsidRDefault="00516959" w:rsidP="00516959">
      <w:pPr>
        <w:rPr>
          <w:sz w:val="16"/>
        </w:rPr>
      </w:pPr>
      <w:r w:rsidRPr="00684BF3">
        <w:rPr>
          <w:sz w:val="16"/>
        </w:rPr>
        <w:t xml:space="preserve">176. See id. (noting shorter time frames of earlier studies). Indeed, </w:t>
      </w:r>
      <w:r w:rsidRPr="00684BF3">
        <w:rPr>
          <w:rStyle w:val="StyleUnderline"/>
        </w:rPr>
        <w:t xml:space="preserve">the </w:t>
      </w:r>
      <w:r w:rsidRPr="00684BF3">
        <w:rPr>
          <w:rStyle w:val="Emphasis"/>
        </w:rPr>
        <w:t>lowest affirmance rate</w:t>
      </w:r>
      <w:r w:rsidRPr="00684BF3">
        <w:rPr>
          <w:rStyle w:val="StyleUnderline"/>
        </w:rPr>
        <w:t xml:space="preserve"> (from </w:t>
      </w:r>
      <w:r w:rsidRPr="00684BF3">
        <w:rPr>
          <w:rStyle w:val="Emphasis"/>
        </w:rPr>
        <w:t>Miles and Sunstein’s</w:t>
      </w:r>
      <w:r w:rsidRPr="00684BF3">
        <w:rPr>
          <w:rStyle w:val="StyleUnderline"/>
        </w:rPr>
        <w:t xml:space="preserve"> study)</w:t>
      </w:r>
      <w:r w:rsidRPr="00684BF3">
        <w:rPr>
          <w:sz w:val="16"/>
        </w:rPr>
        <w:t xml:space="preserve"> </w:t>
      </w:r>
      <w:r w:rsidRPr="00684BF3">
        <w:rPr>
          <w:rStyle w:val="Emphasis"/>
        </w:rPr>
        <w:t>only considered</w:t>
      </w:r>
      <w:r w:rsidRPr="00684BF3">
        <w:rPr>
          <w:rStyle w:val="StyleUnderline"/>
        </w:rPr>
        <w:t xml:space="preserve"> decisions from </w:t>
      </w:r>
      <w:r w:rsidRPr="00684BF3">
        <w:rPr>
          <w:rStyle w:val="Emphasis"/>
        </w:rPr>
        <w:t>two agencies</w:t>
      </w:r>
      <w:r w:rsidRPr="00684BF3">
        <w:rPr>
          <w:rStyle w:val="StyleUnderline"/>
        </w:rPr>
        <w:t xml:space="preserve"> (the NLRB and EPA) </w:t>
      </w:r>
      <w:r w:rsidRPr="00684BF3">
        <w:rPr>
          <w:rStyle w:val="Emphasis"/>
        </w:rPr>
        <w:t>that were perceived as ideologically contentious</w:t>
      </w:r>
      <w:r w:rsidRPr="00684BF3">
        <w:rPr>
          <w:sz w:val="16"/>
        </w:rPr>
        <w:t>. See Miles &amp; Sunstein, supra note 11, at 848. Our affirmance rate was also very close to the one that Re found for circuit-court decisions from 2011. See Re, supra note 136, at 639 (“</w:t>
      </w:r>
      <w:r w:rsidRPr="00684BF3">
        <w:rPr>
          <w:rStyle w:val="Emphasis"/>
        </w:rPr>
        <w:t>[T]he government won about threequarters of all Chevron cases</w:t>
      </w:r>
      <w:r w:rsidRPr="00684BF3">
        <w:rPr>
          <w:sz w:val="16"/>
        </w:rPr>
        <w:t>.”).</w:t>
      </w:r>
    </w:p>
    <w:p w14:paraId="522DC084" w14:textId="77777777" w:rsidR="00516959" w:rsidRDefault="00516959" w:rsidP="00516959">
      <w:pPr>
        <w:rPr>
          <w:b/>
          <w:bCs/>
        </w:rPr>
      </w:pPr>
      <w:r w:rsidRPr="00684BF3">
        <w:rPr>
          <w:b/>
          <w:bCs/>
        </w:rPr>
        <w:t>&lt;&lt;&lt;END FOOTNOTE 176&gt;&gt;&gt;</w:t>
      </w:r>
    </w:p>
    <w:p w14:paraId="403F76B3" w14:textId="77777777" w:rsidR="00516959" w:rsidRPr="00805A42" w:rsidRDefault="00516959" w:rsidP="00516959">
      <w:pPr>
        <w:pStyle w:val="Heading4"/>
      </w:pPr>
      <w:r>
        <w:t xml:space="preserve">That’s a </w:t>
      </w:r>
      <w:r>
        <w:rPr>
          <w:u w:val="single"/>
        </w:rPr>
        <w:t>30%</w:t>
      </w:r>
      <w:r>
        <w:t xml:space="preserve"> difference.</w:t>
      </w:r>
    </w:p>
    <w:p w14:paraId="5DB97656" w14:textId="77777777" w:rsidR="00516959" w:rsidRPr="00412B8C" w:rsidRDefault="00516959" w:rsidP="00516959">
      <w:r w:rsidRPr="00412B8C">
        <w:rPr>
          <w:b/>
          <w:bCs/>
          <w:sz w:val="26"/>
          <w:szCs w:val="26"/>
        </w:rPr>
        <w:t>Pierce 16</w:t>
      </w:r>
      <w:r>
        <w:t xml:space="preserve"> - </w:t>
      </w:r>
      <w:r w:rsidRPr="00412B8C">
        <w:t>author of over twenty books and 130 articles on administrative law, government regulation, and the effects of various forms of government intervention on the performance of markets</w:t>
      </w:r>
      <w:r>
        <w:t>, (Richard J., “</w:t>
      </w:r>
      <w:r w:rsidRPr="00412B8C">
        <w:t>CIRCUIT COURTS DO STRANGE THINGS WITH CHEVRON</w:t>
      </w:r>
      <w:r>
        <w:t xml:space="preserve">,” </w:t>
      </w:r>
      <w:r>
        <w:rPr>
          <w:i/>
          <w:iCs/>
        </w:rPr>
        <w:t>Administrative Law JOTWELL</w:t>
      </w:r>
      <w:r>
        <w:t xml:space="preserve">, 9-6-16, </w:t>
      </w:r>
      <w:hyperlink r:id="rId322" w:history="1">
        <w:r w:rsidRPr="00F9106D">
          <w:rPr>
            <w:rStyle w:val="Hyperlink"/>
          </w:rPr>
          <w:t>https://adlaw.jotwell.com/circuit-courts-do-strange-things-with-chevron/</w:t>
        </w:r>
      </w:hyperlink>
      <w:r>
        <w:t>, Accessed 6-23-20, LASA-AH)</w:t>
      </w:r>
    </w:p>
    <w:p w14:paraId="2EFD9BC2" w14:textId="77777777" w:rsidR="00516959" w:rsidRDefault="00516959" w:rsidP="00516959">
      <w:r w:rsidRPr="00412B8C">
        <w:rPr>
          <w:u w:val="single"/>
        </w:rPr>
        <w:t>Barnett and Walker read, analyzed, and coded 1330 opinions issued by circuit courts</w:t>
      </w:r>
      <w:r w:rsidRPr="00412B8C">
        <w:t xml:space="preserve"> between 2003 and 2013. Their dozens of findings are surprising in many ways. I will discuss just the five that I found most surprising. First, “</w:t>
      </w:r>
      <w:r w:rsidRPr="00412B8C">
        <w:rPr>
          <w:u w:val="single"/>
        </w:rPr>
        <w:t xml:space="preserve">agency statutory interpretations </w:t>
      </w:r>
      <w:r w:rsidRPr="00412B8C">
        <w:rPr>
          <w:rStyle w:val="Emphasis"/>
        </w:rPr>
        <w:t>were significantly more likely to prevail</w:t>
      </w:r>
      <w:r w:rsidRPr="00412B8C">
        <w:rPr>
          <w:u w:val="single"/>
        </w:rPr>
        <w:t xml:space="preserve"> under Chevron deference (77.3%) than Skidmore deference (56.0%)</w:t>
      </w:r>
      <w:r w:rsidRPr="00412B8C">
        <w:t xml:space="preserve"> </w:t>
      </w:r>
      <w:r w:rsidRPr="00412B8C">
        <w:rPr>
          <w:u w:val="single"/>
        </w:rPr>
        <w:t>or,</w:t>
      </w:r>
      <w:r w:rsidRPr="00412B8C">
        <w:t xml:space="preserve"> especially, </w:t>
      </w:r>
      <w:r w:rsidRPr="00412B8C">
        <w:rPr>
          <w:u w:val="single"/>
        </w:rPr>
        <w:t>de novo review (38.5%).”</w:t>
      </w:r>
      <w:r w:rsidRPr="00412B8C">
        <w:t xml:space="preserve"> (P. 5) (footnote omitted). Second, </w:t>
      </w:r>
      <w:r w:rsidRPr="00412B8C">
        <w:rPr>
          <w:u w:val="single"/>
        </w:rPr>
        <w:t>circuit courts upheld</w:t>
      </w:r>
      <w:r w:rsidRPr="00412B8C">
        <w:t xml:space="preserve"> </w:t>
      </w:r>
      <w:r w:rsidRPr="00412B8C">
        <w:rPr>
          <w:u w:val="single"/>
        </w:rPr>
        <w:t>agency interpretations more frequently when they applied Chevron to interpretations adopted through informal means</w:t>
      </w:r>
      <w:r w:rsidRPr="00412B8C">
        <w:t xml:space="preserve"> (78.4%) than to interpretations adopted in notice and comment rulemakings (74.2%). Third, </w:t>
      </w:r>
      <w:r w:rsidRPr="00412B8C">
        <w:rPr>
          <w:u w:val="single"/>
        </w:rPr>
        <w:t>when circuit courts applied Chevron, they upheld longstanding interpretations far more often (87.6%) than recent interpretations (74.5%) or changed interpretations (65.6%)</w:t>
      </w:r>
      <w:r w:rsidRPr="00412B8C">
        <w:t>. Fourth, circuit courts varied greatly with respect to the proportion of cases in which they applied Chevron to agency statutory interpretations—from a high of 88.9% for the D.C. Circuit to a low of 60.7% for the Sixth Circuit. Fifth</w:t>
      </w:r>
      <w:r w:rsidRPr="00412B8C">
        <w:rPr>
          <w:u w:val="single"/>
        </w:rPr>
        <w:t>, circuit courts also varied greatly with respect to the proportion of cases in which they upheld agency statutory interpretations,</w:t>
      </w:r>
      <w:r w:rsidRPr="00412B8C">
        <w:t xml:space="preserve"> albeit not with a high correlation between their rates of outcomes and their rates of invocation of Chevron. The First Circuit upheld interpretations most frequently (83.1%); the Ninth Circuit upheld interpretations least frequently (65.5%), while the D.C. Circuit was around the middle (72.6%).</w:t>
      </w:r>
    </w:p>
    <w:p w14:paraId="524D2523" w14:textId="77777777" w:rsidR="00516959" w:rsidRPr="00684BF3" w:rsidRDefault="00516959" w:rsidP="00516959">
      <w:pPr>
        <w:rPr>
          <w:b/>
          <w:bCs/>
        </w:rPr>
      </w:pPr>
    </w:p>
    <w:p w14:paraId="74968A60" w14:textId="77777777" w:rsidR="00516959" w:rsidRDefault="00516959" w:rsidP="00516959">
      <w:pPr>
        <w:pStyle w:val="Heading3"/>
      </w:pPr>
      <w:r>
        <w:t>2NC – UQ – Trend</w:t>
      </w:r>
    </w:p>
    <w:p w14:paraId="4E477CD6" w14:textId="77777777" w:rsidR="00516959" w:rsidRPr="00C80CAB" w:rsidRDefault="00516959" w:rsidP="00516959">
      <w:pPr>
        <w:pStyle w:val="Heading4"/>
        <w:rPr>
          <w:szCs w:val="26"/>
        </w:rPr>
      </w:pPr>
      <w:r w:rsidRPr="00C80CAB">
        <w:rPr>
          <w:szCs w:val="26"/>
        </w:rPr>
        <w:t>Yes, Chevron strong now</w:t>
      </w:r>
    </w:p>
    <w:p w14:paraId="278CF03D" w14:textId="77777777" w:rsidR="00516959" w:rsidRPr="00684BF3" w:rsidRDefault="00516959" w:rsidP="00516959">
      <w:r w:rsidRPr="00C80CAB">
        <w:rPr>
          <w:rStyle w:val="Heading4Char"/>
          <w:szCs w:val="26"/>
        </w:rPr>
        <w:t>George 19</w:t>
      </w:r>
      <w:r w:rsidRPr="00684BF3">
        <w:t xml:space="preserve"> – (Gerald F. George, environmental lawyer; “Trump Track: Chevron Deference Thrives?”; Davis Wright Tremaine LLP; D.A. June 20</w:t>
      </w:r>
      <w:r w:rsidRPr="00684BF3">
        <w:rPr>
          <w:vertAlign w:val="superscript"/>
        </w:rPr>
        <w:t>th</w:t>
      </w:r>
      <w:r w:rsidRPr="00684BF3">
        <w:t xml:space="preserve"> 2020, [Published August 25</w:t>
      </w:r>
      <w:r w:rsidRPr="00684BF3">
        <w:rPr>
          <w:vertAlign w:val="superscript"/>
        </w:rPr>
        <w:t>th</w:t>
      </w:r>
      <w:r w:rsidRPr="00684BF3">
        <w:t xml:space="preserve"> 2019]; </w:t>
      </w:r>
      <w:hyperlink r:id="rId323" w:history="1">
        <w:r w:rsidRPr="00684BF3">
          <w:rPr>
            <w:rStyle w:val="Hyperlink"/>
          </w:rPr>
          <w:t>https://www.dwt.com/blogs/energy--environmental-law-blog/2019/07/chevron-deference-idaho-conservation-league-v-wh</w:t>
        </w:r>
      </w:hyperlink>
      <w:r w:rsidRPr="00684BF3">
        <w:t>) //LFS—JCM</w:t>
      </w:r>
    </w:p>
    <w:p w14:paraId="64E92D79" w14:textId="77777777" w:rsidR="00516959" w:rsidRPr="00684BF3" w:rsidRDefault="00516959" w:rsidP="00516959">
      <w:pPr>
        <w:rPr>
          <w:sz w:val="16"/>
        </w:rPr>
      </w:pPr>
      <w:r w:rsidRPr="00456038">
        <w:rPr>
          <w:rStyle w:val="StyleUnderline"/>
          <w:highlight w:val="cyan"/>
        </w:rPr>
        <w:t xml:space="preserve">Many in the </w:t>
      </w:r>
      <w:r w:rsidRPr="00456038">
        <w:rPr>
          <w:rStyle w:val="Emphasis"/>
          <w:highlight w:val="cyan"/>
        </w:rPr>
        <w:t>Trump Admin</w:t>
      </w:r>
      <w:r w:rsidRPr="00684BF3">
        <w:rPr>
          <w:rStyle w:val="Emphasis"/>
        </w:rPr>
        <w:t>istration</w:t>
      </w:r>
      <w:r w:rsidRPr="00684BF3">
        <w:rPr>
          <w:sz w:val="16"/>
        </w:rPr>
        <w:t xml:space="preserve"> and on the federal bench </w:t>
      </w:r>
      <w:r w:rsidRPr="00456038">
        <w:rPr>
          <w:rStyle w:val="StyleUnderline"/>
          <w:highlight w:val="cyan"/>
        </w:rPr>
        <w:t>have</w:t>
      </w:r>
      <w:r w:rsidRPr="00684BF3">
        <w:rPr>
          <w:rStyle w:val="StyleUnderline"/>
        </w:rPr>
        <w:t xml:space="preserve"> long </w:t>
      </w:r>
      <w:r w:rsidRPr="00456038">
        <w:rPr>
          <w:rStyle w:val="Emphasis"/>
          <w:highlight w:val="cyan"/>
        </w:rPr>
        <w:t>railed against</w:t>
      </w:r>
      <w:r w:rsidRPr="00684BF3">
        <w:rPr>
          <w:rStyle w:val="Emphasis"/>
        </w:rPr>
        <w:t xml:space="preserve"> "</w:t>
      </w:r>
      <w:r w:rsidRPr="00456038">
        <w:rPr>
          <w:rStyle w:val="Emphasis"/>
          <w:highlight w:val="cyan"/>
        </w:rPr>
        <w:t>Chevron</w:t>
      </w:r>
      <w:r w:rsidRPr="00684BF3">
        <w:rPr>
          <w:rStyle w:val="StyleUnderline"/>
        </w:rPr>
        <w:t xml:space="preserve"> deference" </w:t>
      </w:r>
      <w:r w:rsidRPr="00456038">
        <w:rPr>
          <w:rStyle w:val="StyleUnderline"/>
          <w:highlight w:val="cyan"/>
        </w:rPr>
        <w:t>as the devil’s tool to expand</w:t>
      </w:r>
      <w:r w:rsidRPr="00684BF3">
        <w:rPr>
          <w:rStyle w:val="StyleUnderline"/>
        </w:rPr>
        <w:t xml:space="preserve"> </w:t>
      </w:r>
      <w:r w:rsidRPr="00456038">
        <w:rPr>
          <w:rStyle w:val="StyleUnderline"/>
          <w:highlight w:val="cyan"/>
        </w:rPr>
        <w:t>the</w:t>
      </w:r>
      <w:r w:rsidRPr="00684BF3">
        <w:rPr>
          <w:rStyle w:val="StyleUnderline"/>
        </w:rPr>
        <w:t xml:space="preserve"> federal</w:t>
      </w:r>
      <w:r w:rsidRPr="00684BF3">
        <w:rPr>
          <w:sz w:val="16"/>
        </w:rPr>
        <w:t xml:space="preserve"> administrative </w:t>
      </w:r>
      <w:r w:rsidRPr="00456038">
        <w:rPr>
          <w:rStyle w:val="StyleUnderline"/>
          <w:highlight w:val="cyan"/>
        </w:rPr>
        <w:t>bureaucracy</w:t>
      </w:r>
      <w:r w:rsidRPr="00684BF3">
        <w:rPr>
          <w:rStyle w:val="StyleUnderline"/>
        </w:rPr>
        <w:t xml:space="preserve"> at the expense of the legislature</w:t>
      </w:r>
      <w:r w:rsidRPr="00684BF3">
        <w:rPr>
          <w:sz w:val="16"/>
        </w:rPr>
        <w:t>. In a </w:t>
      </w:r>
      <w:hyperlink r:id="rId324" w:history="1">
        <w:r w:rsidRPr="00684BF3">
          <w:rPr>
            <w:rStyle w:val="Hyperlink"/>
            <w:sz w:val="16"/>
          </w:rPr>
          <w:t>post earlier this year</w:t>
        </w:r>
      </w:hyperlink>
      <w:r w:rsidRPr="00684BF3">
        <w:rPr>
          <w:sz w:val="16"/>
        </w:rPr>
        <w:t xml:space="preserve">, I speculated that </w:t>
      </w:r>
      <w:r w:rsidRPr="00684BF3">
        <w:rPr>
          <w:rStyle w:val="StyleUnderline"/>
        </w:rPr>
        <w:t>these detractors might find themselves in a quandary</w:t>
      </w:r>
      <w:r w:rsidRPr="00684BF3">
        <w:rPr>
          <w:sz w:val="16"/>
        </w:rPr>
        <w:t xml:space="preserve"> as the Administration sought to put its own imprint on that bureaucracy through the rescission, revision and replacement of existing regulations. Under discussion in that blog was the effort to eliminate proposed financial responsibility regulations for the hard rock mining industry, then under challenge in the D. C. Circuit Court of Appeals.</w:t>
      </w:r>
    </w:p>
    <w:p w14:paraId="60826893" w14:textId="77777777" w:rsidR="00516959" w:rsidRPr="00684BF3" w:rsidRDefault="00516959" w:rsidP="00516959">
      <w:pPr>
        <w:rPr>
          <w:sz w:val="16"/>
        </w:rPr>
      </w:pPr>
      <w:r w:rsidRPr="00684BF3">
        <w:rPr>
          <w:sz w:val="16"/>
        </w:rPr>
        <w:t xml:space="preserve">On July 19, 2019, the D. C. Circuit gave a pretty clear response. </w:t>
      </w:r>
      <w:r w:rsidRPr="00456038">
        <w:rPr>
          <w:rStyle w:val="StyleUnderline"/>
          <w:highlight w:val="cyan"/>
        </w:rPr>
        <w:t>In </w:t>
      </w:r>
      <w:r w:rsidRPr="00456038">
        <w:rPr>
          <w:rStyle w:val="Emphasis"/>
          <w:highlight w:val="cyan"/>
        </w:rPr>
        <w:t>Idaho</w:t>
      </w:r>
      <w:r w:rsidRPr="00684BF3">
        <w:rPr>
          <w:rStyle w:val="Emphasis"/>
        </w:rPr>
        <w:t xml:space="preserve"> Conservation League</w:t>
      </w:r>
      <w:r w:rsidRPr="00684BF3">
        <w:rPr>
          <w:rStyle w:val="StyleUnderline"/>
        </w:rPr>
        <w:t xml:space="preserve"> v. </w:t>
      </w:r>
      <w:r w:rsidRPr="00684BF3">
        <w:rPr>
          <w:rStyle w:val="Emphasis"/>
        </w:rPr>
        <w:t>Wheeler</w:t>
      </w:r>
      <w:r w:rsidRPr="00684BF3">
        <w:rPr>
          <w:rStyle w:val="StyleUnderline"/>
        </w:rPr>
        <w:t xml:space="preserve">, </w:t>
      </w:r>
      <w:r w:rsidRPr="00456038">
        <w:rPr>
          <w:rStyle w:val="StyleUnderline"/>
          <w:highlight w:val="cyan"/>
        </w:rPr>
        <w:t xml:space="preserve">the </w:t>
      </w:r>
      <w:r w:rsidRPr="00456038">
        <w:rPr>
          <w:rStyle w:val="Emphasis"/>
          <w:highlight w:val="cyan"/>
        </w:rPr>
        <w:t>Court applied Chevron</w:t>
      </w:r>
      <w:r w:rsidRPr="00456038">
        <w:rPr>
          <w:rStyle w:val="StyleUnderline"/>
          <w:highlight w:val="cyan"/>
        </w:rPr>
        <w:t> deference and approved</w:t>
      </w:r>
      <w:r w:rsidRPr="00684BF3">
        <w:rPr>
          <w:sz w:val="16"/>
        </w:rPr>
        <w:t xml:space="preserve"> the </w:t>
      </w:r>
      <w:r w:rsidRPr="00456038">
        <w:rPr>
          <w:rStyle w:val="StyleUnderline"/>
          <w:highlight w:val="cyan"/>
        </w:rPr>
        <w:t>agency action</w:t>
      </w:r>
      <w:r w:rsidRPr="00684BF3">
        <w:rPr>
          <w:sz w:val="16"/>
        </w:rPr>
        <w:t xml:space="preserve"> with barely any recognition that the agency had not just revised its proposed regulation after public comment but had deleted it entirely, based on a total reversal of the agency’s position in 2016.</w:t>
      </w:r>
    </w:p>
    <w:p w14:paraId="05F2C5A5" w14:textId="77777777" w:rsidR="00516959" w:rsidRPr="00684BF3" w:rsidRDefault="00516959" w:rsidP="00516959">
      <w:pPr>
        <w:rPr>
          <w:rStyle w:val="StyleUnderline"/>
        </w:rPr>
      </w:pPr>
      <w:r w:rsidRPr="00456038">
        <w:rPr>
          <w:rStyle w:val="StyleUnderline"/>
          <w:highlight w:val="cyan"/>
        </w:rPr>
        <w:t>What Does It Mean?</w:t>
      </w:r>
    </w:p>
    <w:p w14:paraId="4D94F02E" w14:textId="66074BD9" w:rsidR="00516959" w:rsidRDefault="00516959" w:rsidP="00516959">
      <w:pPr>
        <w:rPr>
          <w:sz w:val="16"/>
        </w:rPr>
      </w:pPr>
      <w:r w:rsidRPr="00456038">
        <w:rPr>
          <w:rStyle w:val="Emphasis"/>
          <w:highlight w:val="cyan"/>
        </w:rPr>
        <w:t>Coupled with</w:t>
      </w:r>
      <w:r w:rsidRPr="00684BF3">
        <w:rPr>
          <w:rStyle w:val="StyleUnderline"/>
        </w:rPr>
        <w:t xml:space="preserve"> </w:t>
      </w:r>
      <w:r w:rsidRPr="00456038">
        <w:rPr>
          <w:rStyle w:val="StyleUnderline"/>
          <w:highlight w:val="cyan"/>
        </w:rPr>
        <w:t>the</w:t>
      </w:r>
      <w:r w:rsidRPr="00684BF3">
        <w:rPr>
          <w:rStyle w:val="StyleUnderline"/>
        </w:rPr>
        <w:t xml:space="preserve"> Supreme </w:t>
      </w:r>
      <w:r w:rsidRPr="00456038">
        <w:rPr>
          <w:rStyle w:val="Emphasis"/>
          <w:highlight w:val="cyan"/>
        </w:rPr>
        <w:t>Court decision</w:t>
      </w:r>
      <w:r w:rsidRPr="00684BF3">
        <w:rPr>
          <w:rStyle w:val="Emphasis"/>
        </w:rPr>
        <w:t xml:space="preserve"> in June </w:t>
      </w:r>
      <w:r w:rsidRPr="00456038">
        <w:rPr>
          <w:rStyle w:val="Emphasis"/>
          <w:highlight w:val="cyan"/>
        </w:rPr>
        <w:t>upholding Auer</w:t>
      </w:r>
      <w:r w:rsidRPr="00684BF3">
        <w:rPr>
          <w:rStyle w:val="StyleUnderline"/>
        </w:rPr>
        <w:t> deference</w:t>
      </w:r>
      <w:r w:rsidRPr="00684BF3">
        <w:rPr>
          <w:sz w:val="16"/>
        </w:rPr>
        <w:t xml:space="preserve"> to agency interpretation of its own regulations, </w:t>
      </w:r>
      <w:r w:rsidRPr="00684BF3">
        <w:rPr>
          <w:rStyle w:val="StyleUnderline"/>
        </w:rPr>
        <w:t xml:space="preserve">it would appear that </w:t>
      </w:r>
      <w:r w:rsidRPr="00456038">
        <w:rPr>
          <w:rStyle w:val="Emphasis"/>
          <w:highlight w:val="cyan"/>
        </w:rPr>
        <w:t>deference</w:t>
      </w:r>
      <w:r w:rsidRPr="00456038">
        <w:rPr>
          <w:rStyle w:val="StyleUnderline"/>
          <w:highlight w:val="cyan"/>
        </w:rPr>
        <w:t xml:space="preserve"> to the </w:t>
      </w:r>
      <w:r w:rsidRPr="00456038">
        <w:rPr>
          <w:rStyle w:val="Emphasis"/>
          <w:highlight w:val="cyan"/>
        </w:rPr>
        <w:t>administrative state</w:t>
      </w:r>
      <w:r w:rsidRPr="00456038">
        <w:rPr>
          <w:rStyle w:val="StyleUnderline"/>
          <w:highlight w:val="cyan"/>
        </w:rPr>
        <w:t xml:space="preserve"> is</w:t>
      </w:r>
      <w:r w:rsidRPr="00684BF3">
        <w:rPr>
          <w:sz w:val="16"/>
        </w:rPr>
        <w:t xml:space="preserve"> firmly </w:t>
      </w:r>
      <w:r w:rsidRPr="00456038">
        <w:rPr>
          <w:rStyle w:val="Emphasis"/>
          <w:highlight w:val="cyan"/>
        </w:rPr>
        <w:t>implanted</w:t>
      </w:r>
      <w:r w:rsidRPr="00684BF3">
        <w:rPr>
          <w:sz w:val="16"/>
        </w:rPr>
        <w:t xml:space="preserve"> in our judicial system, </w:t>
      </w:r>
      <w:r w:rsidRPr="00456038">
        <w:rPr>
          <w:rStyle w:val="StyleUnderline"/>
          <w:highlight w:val="cyan"/>
        </w:rPr>
        <w:t>no matter the</w:t>
      </w:r>
      <w:r w:rsidRPr="00684BF3">
        <w:rPr>
          <w:rStyle w:val="StyleUnderline"/>
        </w:rPr>
        <w:t xml:space="preserve"> ideology of the </w:t>
      </w:r>
      <w:r w:rsidRPr="00456038">
        <w:rPr>
          <w:rStyle w:val="StyleUnderline"/>
          <w:highlight w:val="cyan"/>
        </w:rPr>
        <w:t>Administration</w:t>
      </w:r>
      <w:r w:rsidRPr="00684BF3">
        <w:rPr>
          <w:rStyle w:val="StyleUnderline"/>
        </w:rPr>
        <w:t xml:space="preserve"> in office</w:t>
      </w:r>
      <w:r w:rsidRPr="00684BF3">
        <w:rPr>
          <w:sz w:val="16"/>
        </w:rPr>
        <w:t>.</w:t>
      </w:r>
    </w:p>
    <w:p w14:paraId="2BEAA76C" w14:textId="1A8EAF5E" w:rsidR="005E222A" w:rsidRPr="005E222A" w:rsidRDefault="005E222A" w:rsidP="005E222A">
      <w:pPr>
        <w:pStyle w:val="Heading4"/>
      </w:pPr>
      <w:r>
        <w:t xml:space="preserve">The Court’s keeping Chevron alive now, but it’s </w:t>
      </w:r>
      <w:r>
        <w:rPr>
          <w:u w:val="single"/>
        </w:rPr>
        <w:t>close</w:t>
      </w:r>
      <w:r>
        <w:t>.</w:t>
      </w:r>
    </w:p>
    <w:p w14:paraId="6425A529" w14:textId="77777777" w:rsidR="005E222A" w:rsidRPr="00566935" w:rsidRDefault="005E222A" w:rsidP="005E222A">
      <w:r w:rsidRPr="00566935">
        <w:rPr>
          <w:b/>
          <w:bCs/>
          <w:sz w:val="26"/>
          <w:szCs w:val="26"/>
        </w:rPr>
        <w:t>Hartman et al. 19</w:t>
      </w:r>
      <w:r>
        <w:t xml:space="preserve"> - </w:t>
      </w:r>
      <w:r w:rsidRPr="00566935">
        <w:t>represents companies and individuals in criminal and civil investigations, trials, and appeals primarily involving complex federal regulatory programs, with an emphasis on environmental matters, and advises clients on compliance with those programs</w:t>
      </w:r>
      <w:r>
        <w:t xml:space="preserve">, (Barry M., </w:t>
      </w:r>
      <w:r w:rsidRPr="00566935">
        <w:t>Abraham Johns is an associate at the firm's Washington, D.C. office</w:t>
      </w:r>
      <w:r>
        <w:t xml:space="preserve">, </w:t>
      </w:r>
      <w:r w:rsidRPr="00566935">
        <w:t>John Longstreth is an attorney at the law firm K&amp;L Gates</w:t>
      </w:r>
      <w:r>
        <w:t>,</w:t>
      </w:r>
      <w:r w:rsidRPr="00566935">
        <w:t xml:space="preserve"> Michael Scanlon is a member of the public policy and law group in the Washington, D.C. office of the global law firm K&amp;L Gates</w:t>
      </w:r>
      <w:r>
        <w:t xml:space="preserve">, </w:t>
      </w:r>
      <w:r w:rsidRPr="00566935">
        <w:t>Elle Stuart is an associate in the firm's Washington, D.C. office, where she is a member of the public policy and law practice group</w:t>
      </w:r>
      <w:r>
        <w:t>, “</w:t>
      </w:r>
      <w:r w:rsidRPr="00566935">
        <w:t>Declining to Overrule a Long-Standing Agency Deference Doctrine, the Supreme Court Nonetheless Cautions That its Limitations Provide a Meaningful Check on Federal Agencies' Power to Regulate Business Activities</w:t>
      </w:r>
      <w:r>
        <w:t xml:space="preserve">,” </w:t>
      </w:r>
      <w:r>
        <w:rPr>
          <w:i/>
          <w:iCs/>
        </w:rPr>
        <w:t>JD SUPRA</w:t>
      </w:r>
      <w:r>
        <w:t xml:space="preserve">, 7-12-19, </w:t>
      </w:r>
      <w:hyperlink r:id="rId325" w:history="1">
        <w:r w:rsidRPr="00DC67D3">
          <w:rPr>
            <w:rStyle w:val="Hyperlink"/>
          </w:rPr>
          <w:t>https://www.jdsupra.com/legalnews/declining-to-overrule-a-long-standing-22780/</w:t>
        </w:r>
      </w:hyperlink>
      <w:r>
        <w:t>, Accessed 7-6-20, LASA-AH)</w:t>
      </w:r>
    </w:p>
    <w:p w14:paraId="133E0850" w14:textId="77777777" w:rsidR="005E222A" w:rsidRDefault="005E222A" w:rsidP="005E222A">
      <w:r>
        <w:t xml:space="preserve">The </w:t>
      </w:r>
      <w:r w:rsidRPr="00566935">
        <w:rPr>
          <w:u w:val="single"/>
        </w:rPr>
        <w:t>Kisor decision is noteworthy for what it both says and implies about the Chevron doctrine governing the deference to be given to an agency’s construction of the statutes it is charged to administer</w:t>
      </w:r>
      <w:r>
        <w:t xml:space="preserve">. Chief Justice </w:t>
      </w:r>
      <w:r w:rsidRPr="00566935">
        <w:rPr>
          <w:u w:val="single"/>
        </w:rPr>
        <w:t>Roberts</w:t>
      </w:r>
      <w:r>
        <w:t xml:space="preserve"> </w:t>
      </w:r>
      <w:r w:rsidRPr="00566935">
        <w:rPr>
          <w:u w:val="single"/>
        </w:rPr>
        <w:t>took pains</w:t>
      </w:r>
      <w:r>
        <w:t xml:space="preserve"> in his concurrence </w:t>
      </w:r>
      <w:r w:rsidRPr="00566935">
        <w:rPr>
          <w:u w:val="single"/>
        </w:rPr>
        <w:t xml:space="preserve">to say that his acceptance of Auer deference </w:t>
      </w:r>
      <w:r w:rsidRPr="00566935">
        <w:rPr>
          <w:rStyle w:val="Emphasis"/>
        </w:rPr>
        <w:t>does not imply</w:t>
      </w:r>
      <w:r w:rsidRPr="00566935">
        <w:rPr>
          <w:u w:val="single"/>
        </w:rPr>
        <w:t xml:space="preserve"> the same result in a challenge to Chevron</w:t>
      </w:r>
      <w:r>
        <w:t xml:space="preserve">, as the issues surrounding Auer are “distinct” from those raised by Chevron, and that </w:t>
      </w:r>
      <w:r w:rsidRPr="00566935">
        <w:rPr>
          <w:u w:val="single"/>
        </w:rPr>
        <w:t>he did not “regard the Court’s decision today to touch upon</w:t>
      </w:r>
      <w:r>
        <w:t xml:space="preserve">” Chevron. Justice </w:t>
      </w:r>
      <w:r w:rsidRPr="00566935">
        <w:rPr>
          <w:u w:val="single"/>
        </w:rPr>
        <w:t xml:space="preserve">Kavanaugh, joined by Justice Alito, expressly </w:t>
      </w:r>
      <w:r w:rsidRPr="00566935">
        <w:rPr>
          <w:rStyle w:val="Emphasis"/>
        </w:rPr>
        <w:t>endorsed these statements</w:t>
      </w:r>
      <w:r>
        <w:t>. Moreover, by voting to uphold Auer only on stare decisis grounds, the Chief Justice will not be bound by any of Justice Kagan’s reasoning affirming the wisdom of Auer should the Court, as many expect, accept a case to reconsider Chevron in the next term or two.</w:t>
      </w:r>
    </w:p>
    <w:p w14:paraId="4DD1A68D" w14:textId="77777777" w:rsidR="005E222A" w:rsidRDefault="005E222A" w:rsidP="005E222A">
      <w:r>
        <w:t xml:space="preserve">The </w:t>
      </w:r>
      <w:r w:rsidRPr="00566935">
        <w:rPr>
          <w:u w:val="single"/>
        </w:rPr>
        <w:t>limitations confirmed in Kisor on the application of Auer also track in large part the rules courts have adopted in applying Chevron.</w:t>
      </w:r>
      <w:r>
        <w:t xml:space="preserve"> For example, </w:t>
      </w:r>
      <w:r w:rsidRPr="00566935">
        <w:rPr>
          <w:u w:val="single"/>
        </w:rPr>
        <w:t>the Court’s most recent reaffirmation of Chevron</w:t>
      </w:r>
      <w:r>
        <w:t xml:space="preserve">, Justice </w:t>
      </w:r>
      <w:r w:rsidRPr="00566935">
        <w:rPr>
          <w:u w:val="single"/>
        </w:rPr>
        <w:t>Scalia’s opinion in City of Arlington v. Federal Communications Commission,</w:t>
      </w:r>
      <w:r>
        <w:t xml:space="preserve"> noted that the way to keep agencies within their proper bounds was not to apply artificial exceptions to Chevron deference but to “apply[] rigorously, in all cases, statutory limits on agencies’ authority.”[14]  Kisor similarly seeks not to eliminate deference but to be rigorous in its application.</w:t>
      </w:r>
    </w:p>
    <w:p w14:paraId="40F5AC95" w14:textId="3B688CC8" w:rsidR="005E222A" w:rsidRPr="005E222A" w:rsidRDefault="005E222A" w:rsidP="00516959">
      <w:r>
        <w:t xml:space="preserve">Justice Scalia is no longer on the Court, and Justice </w:t>
      </w:r>
      <w:r w:rsidRPr="00566935">
        <w:rPr>
          <w:u w:val="single"/>
        </w:rPr>
        <w:t>Roberts dissented forcefully in Arlington, leading Justice Scalia to observe “the ultimate target here is Chevron itself.”[</w:t>
      </w:r>
      <w:r>
        <w:t xml:space="preserve">15]  </w:t>
      </w:r>
      <w:r w:rsidRPr="00566935">
        <w:rPr>
          <w:u w:val="single"/>
        </w:rPr>
        <w:t xml:space="preserve">If in fact there are now enough votes on the Court to overturn Chevron, the Court may </w:t>
      </w:r>
      <w:r w:rsidRPr="00566935">
        <w:rPr>
          <w:rStyle w:val="Emphasis"/>
        </w:rPr>
        <w:t>nonetheless seek middle ground</w:t>
      </w:r>
      <w:r w:rsidRPr="00566935">
        <w:rPr>
          <w:u w:val="single"/>
        </w:rPr>
        <w:t xml:space="preserve"> there, as the Chief Justice did in voting to preserve Auer</w:t>
      </w:r>
      <w:r>
        <w:t>. Maintaining Auer was said by several of the justices to be of relatively little moment as long as rigorous rules of its application are applied. The same may ultimately be said if Chevron is overturned -- deference is of less importance when courts are rigorous in determining the bounds of legitimate statutory interpretation, and if they defer to agencies only when they act consistently and with the requisite care and level of formality.</w:t>
      </w:r>
    </w:p>
    <w:p w14:paraId="65CEF91D" w14:textId="77777777" w:rsidR="00516959" w:rsidRPr="005304A7" w:rsidRDefault="00516959" w:rsidP="00516959">
      <w:pPr>
        <w:pStyle w:val="Heading3"/>
      </w:pPr>
      <w:r>
        <w:t>2NC – Link – Lenity</w:t>
      </w:r>
    </w:p>
    <w:p w14:paraId="5037B6A9" w14:textId="77777777" w:rsidR="00516959" w:rsidRPr="00574227" w:rsidRDefault="00516959" w:rsidP="00516959">
      <w:pPr>
        <w:pStyle w:val="Heading4"/>
        <w:rPr>
          <w:szCs w:val="26"/>
        </w:rPr>
      </w:pPr>
      <w:r w:rsidRPr="00C80CAB">
        <w:rPr>
          <w:szCs w:val="26"/>
        </w:rPr>
        <w:t>The link is zero sum –</w:t>
      </w:r>
      <w:r>
        <w:rPr>
          <w:szCs w:val="26"/>
        </w:rPr>
        <w:t xml:space="preserve"> </w:t>
      </w:r>
      <w:r w:rsidRPr="00C80CAB">
        <w:rPr>
          <w:szCs w:val="26"/>
        </w:rPr>
        <w:t xml:space="preserve">exceptions </w:t>
      </w:r>
      <w:r w:rsidRPr="00574227">
        <w:rPr>
          <w:szCs w:val="26"/>
          <w:u w:val="single"/>
        </w:rPr>
        <w:t>spill over</w:t>
      </w:r>
      <w:r>
        <w:rPr>
          <w:szCs w:val="26"/>
        </w:rPr>
        <w:t>.</w:t>
      </w:r>
    </w:p>
    <w:p w14:paraId="0467452B" w14:textId="77777777" w:rsidR="00516959" w:rsidRPr="00684BF3" w:rsidRDefault="00516959" w:rsidP="00516959">
      <w:r w:rsidRPr="00C80CAB">
        <w:rPr>
          <w:rStyle w:val="Heading4Char"/>
          <w:szCs w:val="26"/>
        </w:rPr>
        <w:t>Gillis 19</w:t>
      </w:r>
      <w:r w:rsidRPr="00684BF3">
        <w:t xml:space="preserve"> – (William T. Gillis, J.D. Candidate, New York University School of Law, 2019 and Senior Notes Editor of the New York University Journal of Law &amp; Liberty; “AN UNSTABLE EQUILIBRIUM: EVALUATING THE “THIRD WAY” BETWEEN CHEVRON DEFERENCE AND THE RULE OF LENITY”; New York University Press; D.A. June 26</w:t>
      </w:r>
      <w:r w:rsidRPr="00684BF3">
        <w:rPr>
          <w:vertAlign w:val="superscript"/>
        </w:rPr>
        <w:t>th</w:t>
      </w:r>
      <w:r w:rsidRPr="00684BF3">
        <w:t xml:space="preserve"> 2020, [Published 2019]; New York University Journal of Law and Liberty, Vol. 12, pg. 353-356; </w:t>
      </w:r>
      <w:hyperlink r:id="rId326" w:history="1">
        <w:r w:rsidRPr="00684BF3">
          <w:rPr>
            <w:rStyle w:val="Hyperlink"/>
          </w:rPr>
          <w:t>https://static1.squarespace.com/static/514e1ca0e4b04c6ad1834313/t/5cc682a6fa0d6052bc7340e9/1556513447521/Gillis+FINAL.pdf</w:t>
        </w:r>
      </w:hyperlink>
      <w:r w:rsidRPr="00684BF3">
        <w:t>) //LFS—JCM</w:t>
      </w:r>
    </w:p>
    <w:p w14:paraId="08D538F3" w14:textId="77777777" w:rsidR="00516959" w:rsidRPr="00684BF3" w:rsidRDefault="00516959" w:rsidP="00516959">
      <w:pPr>
        <w:rPr>
          <w:sz w:val="16"/>
        </w:rPr>
      </w:pPr>
      <w:r w:rsidRPr="00684BF3">
        <w:rPr>
          <w:rStyle w:val="StyleUnderline"/>
        </w:rPr>
        <w:t>The</w:t>
      </w:r>
      <w:r w:rsidRPr="00684BF3">
        <w:rPr>
          <w:sz w:val="16"/>
        </w:rPr>
        <w:t xml:space="preserve"> fundamental </w:t>
      </w:r>
      <w:r w:rsidRPr="00684BF3">
        <w:rPr>
          <w:rStyle w:val="StyleUnderline"/>
        </w:rPr>
        <w:t>problem arises when courts review agency interpretations of statutes that carry</w:t>
      </w:r>
      <w:r w:rsidRPr="00684BF3">
        <w:rPr>
          <w:sz w:val="16"/>
        </w:rPr>
        <w:t xml:space="preserve"> both </w:t>
      </w:r>
      <w:r w:rsidRPr="00684BF3">
        <w:rPr>
          <w:rStyle w:val="StyleUnderline"/>
        </w:rPr>
        <w:t>criminal and non-criminal applications</w:t>
      </w:r>
      <w:r w:rsidRPr="00684BF3">
        <w:rPr>
          <w:sz w:val="16"/>
        </w:rPr>
        <w:t xml:space="preserve">. </w:t>
      </w:r>
      <w:r w:rsidRPr="00684BF3">
        <w:rPr>
          <w:rStyle w:val="StyleUnderline"/>
        </w:rPr>
        <w:t>In cases involving</w:t>
      </w:r>
      <w:r w:rsidRPr="00684BF3">
        <w:rPr>
          <w:sz w:val="16"/>
        </w:rPr>
        <w:t xml:space="preserve"> this kind of </w:t>
      </w:r>
      <w:r w:rsidRPr="00684BF3">
        <w:rPr>
          <w:rStyle w:val="StyleUnderline"/>
        </w:rPr>
        <w:t>dual-application statute</w:t>
      </w:r>
      <w:r w:rsidRPr="00684BF3">
        <w:rPr>
          <w:sz w:val="16"/>
        </w:rPr>
        <w:t xml:space="preserve">, textual </w:t>
      </w:r>
      <w:r w:rsidRPr="00684BF3">
        <w:rPr>
          <w:rStyle w:val="StyleUnderline"/>
        </w:rPr>
        <w:t>ambiguity creates a</w:t>
      </w:r>
      <w:r w:rsidRPr="00684BF3">
        <w:rPr>
          <w:sz w:val="16"/>
        </w:rPr>
        <w:t xml:space="preserve"> seemingly intractable </w:t>
      </w:r>
      <w:r w:rsidRPr="00684BF3">
        <w:rPr>
          <w:rStyle w:val="StyleUnderline"/>
        </w:rPr>
        <w:t>dilemma for</w:t>
      </w:r>
      <w:r w:rsidRPr="00684BF3">
        <w:rPr>
          <w:sz w:val="16"/>
        </w:rPr>
        <w:t xml:space="preserve"> the </w:t>
      </w:r>
      <w:r w:rsidRPr="00684BF3">
        <w:rPr>
          <w:rStyle w:val="StyleUnderline"/>
        </w:rPr>
        <w:t>courts</w:t>
      </w:r>
      <w:r w:rsidRPr="00684BF3">
        <w:rPr>
          <w:sz w:val="16"/>
        </w:rPr>
        <w:t xml:space="preserve">: </w:t>
      </w:r>
      <w:r w:rsidRPr="00684BF3">
        <w:rPr>
          <w:rStyle w:val="StyleUnderline"/>
        </w:rPr>
        <w:t>defer</w:t>
      </w:r>
      <w:r w:rsidRPr="00684BF3">
        <w:rPr>
          <w:sz w:val="16"/>
        </w:rPr>
        <w:t xml:space="preserve"> to the agency’s interpretation </w:t>
      </w:r>
      <w:r w:rsidRPr="00684BF3">
        <w:rPr>
          <w:rStyle w:val="StyleUnderline"/>
        </w:rPr>
        <w:t>under Chevron</w:t>
      </w:r>
      <w:r w:rsidRPr="00684BF3">
        <w:rPr>
          <w:sz w:val="16"/>
        </w:rPr>
        <w:t xml:space="preserve"> U.S.A., Inc. v. Nat’l Resources Defense Council, Inc., 3 </w:t>
      </w:r>
      <w:r w:rsidRPr="00684BF3">
        <w:rPr>
          <w:rStyle w:val="StyleUnderline"/>
        </w:rPr>
        <w:t>or apply the rule of lenity</w:t>
      </w:r>
      <w:r w:rsidRPr="00684BF3">
        <w:rPr>
          <w:sz w:val="16"/>
        </w:rPr>
        <w:t xml:space="preserve"> to resolve the question in favor of the defendant. </w:t>
      </w:r>
      <w:r w:rsidRPr="00684BF3">
        <w:rPr>
          <w:rStyle w:val="StyleUnderline"/>
        </w:rPr>
        <w:t>Under</w:t>
      </w:r>
      <w:r w:rsidRPr="00684BF3">
        <w:rPr>
          <w:sz w:val="16"/>
        </w:rPr>
        <w:t xml:space="preserve"> the </w:t>
      </w:r>
      <w:r w:rsidRPr="00684BF3">
        <w:rPr>
          <w:rStyle w:val="StyleUnderline"/>
        </w:rPr>
        <w:t>Chevron</w:t>
      </w:r>
      <w:r w:rsidRPr="00684BF3">
        <w:rPr>
          <w:sz w:val="16"/>
        </w:rPr>
        <w:t xml:space="preserve"> framework, </w:t>
      </w:r>
      <w:r w:rsidRPr="00684BF3">
        <w:rPr>
          <w:rStyle w:val="StyleUnderline"/>
        </w:rPr>
        <w:t>a finding of ambiguity at Step One triggers deference to the agency</w:t>
      </w:r>
      <w:r w:rsidRPr="00684BF3">
        <w:rPr>
          <w:sz w:val="16"/>
        </w:rPr>
        <w:t xml:space="preserve"> so long as its interpretation passes the reasonableness inquiry at Step Two.4 </w:t>
      </w:r>
      <w:r w:rsidRPr="00684BF3">
        <w:rPr>
          <w:rStyle w:val="StyleUnderline"/>
        </w:rPr>
        <w:t>The rule of lenity</w:t>
      </w:r>
      <w:r w:rsidRPr="00684BF3">
        <w:rPr>
          <w:sz w:val="16"/>
        </w:rPr>
        <w:t xml:space="preserve">, on the other hand, </w:t>
      </w:r>
      <w:r w:rsidRPr="00684BF3">
        <w:rPr>
          <w:rStyle w:val="StyleUnderline"/>
        </w:rPr>
        <w:t>instructs courts to resolve ambiguities in criminal statutes</w:t>
      </w:r>
      <w:r w:rsidRPr="00684BF3">
        <w:rPr>
          <w:sz w:val="16"/>
        </w:rPr>
        <w:t xml:space="preserve"> under the permissible reading most favorable </w:t>
      </w:r>
      <w:r w:rsidRPr="00684BF3">
        <w:rPr>
          <w:rStyle w:val="StyleUnderline"/>
        </w:rPr>
        <w:t>to the defendant</w:t>
      </w:r>
      <w:r w:rsidRPr="00684BF3">
        <w:rPr>
          <w:sz w:val="16"/>
        </w:rPr>
        <w:t xml:space="preserve">. Chief Justice John </w:t>
      </w:r>
      <w:r w:rsidRPr="00684BF3">
        <w:rPr>
          <w:rStyle w:val="StyleUnderline"/>
        </w:rPr>
        <w:t>Roberts noted</w:t>
      </w:r>
      <w:r w:rsidRPr="00684BF3">
        <w:rPr>
          <w:sz w:val="16"/>
        </w:rPr>
        <w:t xml:space="preserve"> the intractability of this dilemma: </w:t>
      </w:r>
      <w:r w:rsidRPr="00684BF3">
        <w:rPr>
          <w:rStyle w:val="StyleUnderline"/>
        </w:rPr>
        <w:t>“[</w:t>
      </w:r>
      <w:r w:rsidRPr="00456038">
        <w:rPr>
          <w:rStyle w:val="Emphasis"/>
          <w:highlight w:val="cyan"/>
        </w:rPr>
        <w:t>Chevron</w:t>
      </w:r>
      <w:r w:rsidRPr="00456038">
        <w:rPr>
          <w:rStyle w:val="StyleUnderline"/>
          <w:highlight w:val="cyan"/>
        </w:rPr>
        <w:t xml:space="preserve"> and</w:t>
      </w:r>
      <w:r w:rsidRPr="00684BF3">
        <w:rPr>
          <w:rStyle w:val="StyleUnderline"/>
        </w:rPr>
        <w:t xml:space="preserve"> the rule of </w:t>
      </w:r>
      <w:r w:rsidRPr="00456038">
        <w:rPr>
          <w:rStyle w:val="Emphasis"/>
          <w:highlight w:val="cyan"/>
        </w:rPr>
        <w:t>lenity</w:t>
      </w:r>
      <w:r w:rsidRPr="00684BF3">
        <w:rPr>
          <w:rStyle w:val="StyleUnderline"/>
        </w:rPr>
        <w:t xml:space="preserve">] </w:t>
      </w:r>
      <w:r w:rsidRPr="00456038">
        <w:rPr>
          <w:rStyle w:val="StyleUnderline"/>
          <w:highlight w:val="cyan"/>
        </w:rPr>
        <w:t xml:space="preserve">each </w:t>
      </w:r>
      <w:r w:rsidRPr="00456038">
        <w:rPr>
          <w:rStyle w:val="Emphasis"/>
          <w:highlight w:val="cyan"/>
        </w:rPr>
        <w:t>point in the opposite direction</w:t>
      </w:r>
      <w:r w:rsidRPr="00684BF3">
        <w:rPr>
          <w:sz w:val="16"/>
        </w:rPr>
        <w:t xml:space="preserve"> based on the same predicate, which is a degree of ambiguity in the statute.”5</w:t>
      </w:r>
    </w:p>
    <w:p w14:paraId="76F669D6" w14:textId="77777777" w:rsidR="00516959" w:rsidRPr="00684BF3" w:rsidRDefault="00516959" w:rsidP="00516959">
      <w:pPr>
        <w:rPr>
          <w:sz w:val="16"/>
        </w:rPr>
      </w:pPr>
      <w:r w:rsidRPr="00684BF3">
        <w:rPr>
          <w:sz w:val="16"/>
        </w:rPr>
        <w:t xml:space="preserve">It is important to clarify at the outset that this Note addresses an issue related to, but importantly distinct from, another problem well-documented in the literature: </w:t>
      </w:r>
      <w:r w:rsidRPr="00684BF3">
        <w:rPr>
          <w:rStyle w:val="StyleUnderline"/>
        </w:rPr>
        <w:t xml:space="preserve">how courts are to interpret ambiguities in statutory duties subject to both </w:t>
      </w:r>
      <w:r w:rsidRPr="00684BF3">
        <w:rPr>
          <w:rStyle w:val="Emphasis"/>
        </w:rPr>
        <w:t>civil and criminal enforcement</w:t>
      </w:r>
      <w:r w:rsidRPr="00684BF3">
        <w:rPr>
          <w:sz w:val="16"/>
        </w:rPr>
        <w:t xml:space="preserve">. 6 For instance, </w:t>
      </w:r>
      <w:r w:rsidRPr="00684BF3">
        <w:rPr>
          <w:rStyle w:val="StyleUnderline"/>
        </w:rPr>
        <w:t>Congress frequently passes statutes criminalizing</w:t>
      </w:r>
      <w:r w:rsidRPr="00684BF3">
        <w:rPr>
          <w:sz w:val="16"/>
        </w:rPr>
        <w:t xml:space="preserve"> the </w:t>
      </w:r>
      <w:r w:rsidRPr="00684BF3">
        <w:rPr>
          <w:rStyle w:val="StyleUnderline"/>
        </w:rPr>
        <w:t>violation of agency-promulgated regulations</w:t>
      </w:r>
      <w:r w:rsidRPr="00684BF3">
        <w:rPr>
          <w:sz w:val="16"/>
        </w:rPr>
        <w:t xml:space="preserve">, but </w:t>
      </w:r>
      <w:r w:rsidRPr="00684BF3">
        <w:rPr>
          <w:rStyle w:val="StyleUnderline"/>
        </w:rPr>
        <w:t>in order for criminal penalties to attach</w:t>
      </w:r>
      <w:r w:rsidRPr="00684BF3">
        <w:rPr>
          <w:sz w:val="16"/>
        </w:rPr>
        <w:t xml:space="preserve">, </w:t>
      </w:r>
      <w:r w:rsidRPr="00684BF3">
        <w:rPr>
          <w:rStyle w:val="StyleUnderline"/>
        </w:rPr>
        <w:t>the government must proceed with a</w:t>
      </w:r>
      <w:r w:rsidRPr="00684BF3">
        <w:rPr>
          <w:sz w:val="16"/>
        </w:rPr>
        <w:t xml:space="preserve"> criminal </w:t>
      </w:r>
      <w:r w:rsidRPr="00684BF3">
        <w:rPr>
          <w:rStyle w:val="StyleUnderline"/>
        </w:rPr>
        <w:t>prosecution</w:t>
      </w:r>
      <w:r w:rsidRPr="00684BF3">
        <w:rPr>
          <w:sz w:val="16"/>
        </w:rPr>
        <w:t>. This Note is concerned instead with statutes that are interpreted in the first instance by administrative agencies whose interpretations themselves trigger both criminal and noncriminal penalties.</w:t>
      </w:r>
    </w:p>
    <w:p w14:paraId="66473359" w14:textId="77777777" w:rsidR="00516959" w:rsidRPr="00684BF3" w:rsidRDefault="00516959" w:rsidP="00516959">
      <w:pPr>
        <w:rPr>
          <w:sz w:val="16"/>
        </w:rPr>
      </w:pPr>
      <w:r w:rsidRPr="00684BF3">
        <w:rPr>
          <w:rStyle w:val="StyleUnderline"/>
        </w:rPr>
        <w:t>This puzzle arises in a</w:t>
      </w:r>
      <w:r w:rsidRPr="00684BF3">
        <w:rPr>
          <w:sz w:val="16"/>
        </w:rPr>
        <w:t xml:space="preserve"> relatively </w:t>
      </w:r>
      <w:r w:rsidRPr="00684BF3">
        <w:rPr>
          <w:rStyle w:val="StyleUnderline"/>
        </w:rPr>
        <w:t>small number of cases involving statutory interpretations by administrative agencies</w:t>
      </w:r>
      <w:r w:rsidRPr="00684BF3">
        <w:rPr>
          <w:sz w:val="16"/>
        </w:rPr>
        <w:t xml:space="preserve"> but </w:t>
      </w:r>
      <w:r w:rsidRPr="00684BF3">
        <w:rPr>
          <w:rStyle w:val="StyleUnderline"/>
        </w:rPr>
        <w:t>presents potentially large consequences</w:t>
      </w:r>
      <w:r w:rsidRPr="00684BF3">
        <w:rPr>
          <w:sz w:val="16"/>
        </w:rPr>
        <w:t xml:space="preserve"> across many areas of law. As Judge Jeffrey </w:t>
      </w:r>
      <w:r w:rsidRPr="00456038">
        <w:rPr>
          <w:rStyle w:val="StyleUnderline"/>
          <w:highlight w:val="cyan"/>
        </w:rPr>
        <w:t>Sutton</w:t>
      </w:r>
      <w:r w:rsidRPr="00684BF3">
        <w:rPr>
          <w:sz w:val="16"/>
        </w:rPr>
        <w:t xml:space="preserve"> of the Court of Appeals for the Sixth Circuit rightly </w:t>
      </w:r>
      <w:r w:rsidRPr="00456038">
        <w:rPr>
          <w:rStyle w:val="StyleUnderline"/>
          <w:highlight w:val="cyan"/>
        </w:rPr>
        <w:t>observed</w:t>
      </w:r>
      <w:r w:rsidRPr="00684BF3">
        <w:rPr>
          <w:sz w:val="16"/>
        </w:rPr>
        <w:t>:</w:t>
      </w:r>
    </w:p>
    <w:p w14:paraId="5489B9DE" w14:textId="77777777" w:rsidR="00516959" w:rsidRPr="00684BF3" w:rsidRDefault="00516959" w:rsidP="00516959">
      <w:pPr>
        <w:ind w:left="720"/>
        <w:rPr>
          <w:sz w:val="16"/>
        </w:rPr>
      </w:pPr>
      <w:r w:rsidRPr="00456038">
        <w:rPr>
          <w:rStyle w:val="StyleUnderline"/>
          <w:highlight w:val="cyan"/>
        </w:rPr>
        <w:t>The</w:t>
      </w:r>
      <w:r w:rsidRPr="00684BF3">
        <w:rPr>
          <w:rStyle w:val="StyleUnderline"/>
        </w:rPr>
        <w:t xml:space="preserve"> two </w:t>
      </w:r>
      <w:r w:rsidRPr="00456038">
        <w:rPr>
          <w:rStyle w:val="Emphasis"/>
          <w:highlight w:val="cyan"/>
        </w:rPr>
        <w:t>rules</w:t>
      </w:r>
      <w:r w:rsidRPr="00684BF3">
        <w:rPr>
          <w:sz w:val="16"/>
        </w:rPr>
        <w:t xml:space="preserve"> normally </w:t>
      </w:r>
      <w:r w:rsidRPr="00456038">
        <w:rPr>
          <w:rStyle w:val="Emphasis"/>
          <w:highlight w:val="cyan"/>
        </w:rPr>
        <w:t>operate</w:t>
      </w:r>
      <w:r w:rsidRPr="00684BF3">
        <w:rPr>
          <w:sz w:val="16"/>
        </w:rPr>
        <w:t xml:space="preserve"> comfortably </w:t>
      </w:r>
      <w:r w:rsidRPr="00456038">
        <w:rPr>
          <w:rStyle w:val="StyleUnderline"/>
          <w:highlight w:val="cyan"/>
        </w:rPr>
        <w:t xml:space="preserve">in their </w:t>
      </w:r>
      <w:r w:rsidRPr="00456038">
        <w:rPr>
          <w:rStyle w:val="Emphasis"/>
          <w:highlight w:val="cyan"/>
        </w:rPr>
        <w:t>own spheres</w:t>
      </w:r>
      <w:r w:rsidRPr="00684BF3">
        <w:rPr>
          <w:sz w:val="16"/>
        </w:rPr>
        <w:t xml:space="preserve">. The rule of </w:t>
      </w:r>
      <w:r w:rsidRPr="00684BF3">
        <w:rPr>
          <w:rStyle w:val="StyleUnderline"/>
        </w:rPr>
        <w:t>lenity has no role to play in</w:t>
      </w:r>
      <w:r w:rsidRPr="00684BF3">
        <w:rPr>
          <w:sz w:val="16"/>
        </w:rPr>
        <w:t xml:space="preserve"> interpreting humdrum </w:t>
      </w:r>
      <w:r w:rsidRPr="00684BF3">
        <w:rPr>
          <w:rStyle w:val="StyleUnderline"/>
        </w:rPr>
        <w:t>regulatory statutes</w:t>
      </w:r>
      <w:r w:rsidRPr="00684BF3">
        <w:rPr>
          <w:sz w:val="16"/>
        </w:rPr>
        <w:t xml:space="preserve">, </w:t>
      </w:r>
      <w:r w:rsidRPr="00684BF3">
        <w:rPr>
          <w:rStyle w:val="StyleUnderline"/>
        </w:rPr>
        <w:t>which contemplate civil rather than criminal enforcement</w:t>
      </w:r>
      <w:r w:rsidRPr="00684BF3">
        <w:rPr>
          <w:sz w:val="16"/>
        </w:rPr>
        <w:t xml:space="preserve">. And </w:t>
      </w:r>
      <w:r w:rsidRPr="00684BF3">
        <w:rPr>
          <w:rStyle w:val="StyleUnderline"/>
        </w:rPr>
        <w:t>Chevron has no role to play in</w:t>
      </w:r>
      <w:r w:rsidRPr="00684BF3">
        <w:rPr>
          <w:sz w:val="16"/>
        </w:rPr>
        <w:t xml:space="preserve"> interpreting ordinary </w:t>
      </w:r>
      <w:r w:rsidRPr="00684BF3">
        <w:rPr>
          <w:rStyle w:val="StyleUnderline"/>
        </w:rPr>
        <w:t>criminal statutes</w:t>
      </w:r>
      <w:r w:rsidRPr="00684BF3">
        <w:rPr>
          <w:sz w:val="16"/>
        </w:rPr>
        <w:t>, which are not administered by any agency but by the courts.7</w:t>
      </w:r>
    </w:p>
    <w:p w14:paraId="42AC6000" w14:textId="77777777" w:rsidR="00516959" w:rsidRPr="00684BF3" w:rsidRDefault="00516959" w:rsidP="00516959">
      <w:pPr>
        <w:rPr>
          <w:sz w:val="16"/>
        </w:rPr>
      </w:pPr>
      <w:r w:rsidRPr="00684BF3">
        <w:rPr>
          <w:sz w:val="16"/>
        </w:rPr>
        <w:t xml:space="preserve">But </w:t>
      </w:r>
      <w:r w:rsidRPr="00456038">
        <w:rPr>
          <w:rStyle w:val="StyleUnderline"/>
          <w:highlight w:val="cyan"/>
        </w:rPr>
        <w:t>the problem</w:t>
      </w:r>
      <w:r w:rsidRPr="00684BF3">
        <w:rPr>
          <w:rStyle w:val="StyleUnderline"/>
        </w:rPr>
        <w:t xml:space="preserve"> for a federal court </w:t>
      </w:r>
      <w:r w:rsidRPr="00456038">
        <w:rPr>
          <w:rStyle w:val="StyleUnderline"/>
          <w:highlight w:val="cyan"/>
        </w:rPr>
        <w:t>runs</w:t>
      </w:r>
      <w:r w:rsidRPr="00684BF3">
        <w:rPr>
          <w:sz w:val="16"/>
        </w:rPr>
        <w:t xml:space="preserve"> far </w:t>
      </w:r>
      <w:r w:rsidRPr="00456038">
        <w:rPr>
          <w:rStyle w:val="StyleUnderline"/>
          <w:highlight w:val="cyan"/>
        </w:rPr>
        <w:t>beyond resolving</w:t>
      </w:r>
      <w:r w:rsidRPr="00684BF3">
        <w:rPr>
          <w:sz w:val="16"/>
        </w:rPr>
        <w:t xml:space="preserve"> the limited </w:t>
      </w:r>
      <w:r w:rsidRPr="00456038">
        <w:rPr>
          <w:rStyle w:val="StyleUnderline"/>
          <w:highlight w:val="cyan"/>
        </w:rPr>
        <w:t>cases</w:t>
      </w:r>
      <w:r w:rsidRPr="00684BF3">
        <w:rPr>
          <w:sz w:val="16"/>
        </w:rPr>
        <w:t xml:space="preserve"> and controversies </w:t>
      </w:r>
      <w:r w:rsidRPr="00456038">
        <w:rPr>
          <w:rStyle w:val="StyleUnderline"/>
          <w:highlight w:val="cyan"/>
        </w:rPr>
        <w:t xml:space="preserve">involving </w:t>
      </w:r>
      <w:r w:rsidRPr="00456038">
        <w:rPr>
          <w:rStyle w:val="Emphasis"/>
          <w:highlight w:val="cyan"/>
        </w:rPr>
        <w:t>dual-application statutes</w:t>
      </w:r>
      <w:r w:rsidRPr="00684BF3">
        <w:rPr>
          <w:sz w:val="16"/>
        </w:rPr>
        <w:t xml:space="preserve">. While this particular problem may be marginal in the context of the vast body of federal law, </w:t>
      </w:r>
      <w:r w:rsidRPr="00456038">
        <w:rPr>
          <w:rStyle w:val="StyleUnderline"/>
          <w:highlight w:val="cyan"/>
        </w:rPr>
        <w:t>it forces the</w:t>
      </w:r>
      <w:r w:rsidRPr="00684BF3">
        <w:rPr>
          <w:rStyle w:val="StyleUnderline"/>
        </w:rPr>
        <w:t xml:space="preserve"> Supreme </w:t>
      </w:r>
      <w:r w:rsidRPr="00456038">
        <w:rPr>
          <w:rStyle w:val="StyleUnderline"/>
          <w:highlight w:val="cyan"/>
        </w:rPr>
        <w:t>Court to make</w:t>
      </w:r>
      <w:r w:rsidRPr="00684BF3">
        <w:rPr>
          <w:rStyle w:val="StyleUnderline"/>
        </w:rPr>
        <w:t xml:space="preserve"> direct </w:t>
      </w:r>
      <w:r w:rsidRPr="00456038">
        <w:rPr>
          <w:rStyle w:val="Emphasis"/>
          <w:highlight w:val="cyan"/>
        </w:rPr>
        <w:t>doctrinal tradeoffs</w:t>
      </w:r>
      <w:r w:rsidRPr="00684BF3">
        <w:rPr>
          <w:rStyle w:val="StyleUnderline"/>
        </w:rPr>
        <w:t xml:space="preserve"> </w:t>
      </w:r>
      <w:r w:rsidRPr="00456038">
        <w:rPr>
          <w:rStyle w:val="StyleUnderline"/>
          <w:highlight w:val="cyan"/>
        </w:rPr>
        <w:t>that have</w:t>
      </w:r>
      <w:r w:rsidRPr="00684BF3">
        <w:rPr>
          <w:rStyle w:val="StyleUnderline"/>
        </w:rPr>
        <w:t xml:space="preserve"> important </w:t>
      </w:r>
      <w:r w:rsidRPr="00456038">
        <w:rPr>
          <w:rStyle w:val="Emphasis"/>
          <w:highlight w:val="cyan"/>
        </w:rPr>
        <w:t>consequences</w:t>
      </w:r>
      <w:r w:rsidRPr="00456038">
        <w:rPr>
          <w:rStyle w:val="StyleUnderline"/>
          <w:highlight w:val="cyan"/>
        </w:rPr>
        <w:t xml:space="preserve"> for the </w:t>
      </w:r>
      <w:r w:rsidRPr="00456038">
        <w:rPr>
          <w:rStyle w:val="Emphasis"/>
          <w:highlight w:val="cyan"/>
        </w:rPr>
        <w:t>mine run</w:t>
      </w:r>
      <w:r w:rsidRPr="00456038">
        <w:rPr>
          <w:rStyle w:val="StyleUnderline"/>
          <w:highlight w:val="cyan"/>
        </w:rPr>
        <w:t xml:space="preserve"> of</w:t>
      </w:r>
      <w:r w:rsidRPr="00684BF3">
        <w:rPr>
          <w:rStyle w:val="StyleUnderline"/>
        </w:rPr>
        <w:t xml:space="preserve"> criminal and </w:t>
      </w:r>
      <w:r w:rsidRPr="00456038">
        <w:rPr>
          <w:rStyle w:val="StyleUnderline"/>
          <w:highlight w:val="cyan"/>
        </w:rPr>
        <w:t>administrative law disputes</w:t>
      </w:r>
      <w:r w:rsidRPr="00684BF3">
        <w:rPr>
          <w:sz w:val="16"/>
        </w:rPr>
        <w:t xml:space="preserve">. </w:t>
      </w:r>
      <w:r w:rsidRPr="00456038">
        <w:rPr>
          <w:rStyle w:val="StyleUnderline"/>
          <w:highlight w:val="cyan"/>
        </w:rPr>
        <w:t xml:space="preserve">Chevron is </w:t>
      </w:r>
      <w:r w:rsidRPr="00456038">
        <w:rPr>
          <w:rStyle w:val="Emphasis"/>
          <w:highlight w:val="cyan"/>
        </w:rPr>
        <w:t>transsubstantive</w:t>
      </w:r>
      <w:r w:rsidRPr="00684BF3">
        <w:rPr>
          <w:rStyle w:val="StyleUnderline"/>
        </w:rPr>
        <w:t xml:space="preserve">, so </w:t>
      </w:r>
      <w:r w:rsidRPr="00456038">
        <w:rPr>
          <w:rStyle w:val="Emphasis"/>
          <w:highlight w:val="cyan"/>
        </w:rPr>
        <w:t>alterations</w:t>
      </w:r>
      <w:r w:rsidRPr="00684BF3">
        <w:rPr>
          <w:rStyle w:val="StyleUnderline"/>
        </w:rPr>
        <w:t xml:space="preserve"> </w:t>
      </w:r>
      <w:r w:rsidRPr="00456038">
        <w:rPr>
          <w:rStyle w:val="StyleUnderline"/>
          <w:highlight w:val="cyan"/>
        </w:rPr>
        <w:t xml:space="preserve">to the </w:t>
      </w:r>
      <w:r w:rsidRPr="00456038">
        <w:rPr>
          <w:rStyle w:val="Emphasis"/>
          <w:highlight w:val="cyan"/>
        </w:rPr>
        <w:t>deference scheme</w:t>
      </w:r>
      <w:r w:rsidRPr="00684BF3">
        <w:rPr>
          <w:sz w:val="16"/>
        </w:rPr>
        <w:t xml:space="preserve"> made in this narrow context </w:t>
      </w:r>
      <w:r w:rsidRPr="00456038">
        <w:rPr>
          <w:rStyle w:val="StyleUnderline"/>
          <w:highlight w:val="cyan"/>
        </w:rPr>
        <w:t>have</w:t>
      </w:r>
      <w:r w:rsidRPr="00684BF3">
        <w:rPr>
          <w:rStyle w:val="StyleUnderline"/>
        </w:rPr>
        <w:t xml:space="preserve"> the potential to create </w:t>
      </w:r>
      <w:r w:rsidRPr="00456038">
        <w:rPr>
          <w:rStyle w:val="Emphasis"/>
          <w:highlight w:val="cyan"/>
        </w:rPr>
        <w:t>far-reaching effects</w:t>
      </w:r>
      <w:r w:rsidRPr="00456038">
        <w:rPr>
          <w:rStyle w:val="StyleUnderline"/>
          <w:highlight w:val="cyan"/>
        </w:rPr>
        <w:t xml:space="preserve"> across the</w:t>
      </w:r>
      <w:r w:rsidRPr="00684BF3">
        <w:rPr>
          <w:rStyle w:val="StyleUnderline"/>
        </w:rPr>
        <w:t xml:space="preserve"> entire </w:t>
      </w:r>
      <w:r w:rsidRPr="00456038">
        <w:rPr>
          <w:rStyle w:val="Emphasis"/>
          <w:highlight w:val="cyan"/>
        </w:rPr>
        <w:t>administrative state</w:t>
      </w:r>
      <w:r w:rsidRPr="00684BF3">
        <w:rPr>
          <w:sz w:val="16"/>
        </w:rPr>
        <w:t xml:space="preserve">. For instance, </w:t>
      </w:r>
      <w:r w:rsidRPr="00456038">
        <w:rPr>
          <w:rStyle w:val="StyleUnderline"/>
          <w:highlight w:val="cyan"/>
        </w:rPr>
        <w:t>a finding that</w:t>
      </w:r>
      <w:r w:rsidRPr="00684BF3">
        <w:rPr>
          <w:rStyle w:val="StyleUnderline"/>
        </w:rPr>
        <w:t xml:space="preserve"> the </w:t>
      </w:r>
      <w:r w:rsidRPr="00684BF3">
        <w:rPr>
          <w:rStyle w:val="Emphasis"/>
        </w:rPr>
        <w:t xml:space="preserve">rule of </w:t>
      </w:r>
      <w:r w:rsidRPr="00456038">
        <w:rPr>
          <w:rStyle w:val="Emphasis"/>
          <w:highlight w:val="cyan"/>
        </w:rPr>
        <w:t>lenity</w:t>
      </w:r>
      <w:r w:rsidRPr="00456038">
        <w:rPr>
          <w:rStyle w:val="StyleUnderline"/>
          <w:highlight w:val="cyan"/>
        </w:rPr>
        <w:t xml:space="preserve"> applies to all </w:t>
      </w:r>
      <w:r w:rsidRPr="00456038">
        <w:rPr>
          <w:rStyle w:val="Emphasis"/>
          <w:highlight w:val="cyan"/>
        </w:rPr>
        <w:t>dual-application statutes</w:t>
      </w:r>
      <w:r w:rsidRPr="00456038">
        <w:rPr>
          <w:rStyle w:val="StyleUnderline"/>
          <w:highlight w:val="cyan"/>
        </w:rPr>
        <w:t xml:space="preserve"> would add</w:t>
      </w:r>
      <w:r w:rsidRPr="00684BF3">
        <w:rPr>
          <w:sz w:val="16"/>
        </w:rPr>
        <w:t xml:space="preserve"> yet </w:t>
      </w:r>
      <w:r w:rsidRPr="00456038">
        <w:rPr>
          <w:rStyle w:val="StyleUnderline"/>
          <w:highlight w:val="cyan"/>
        </w:rPr>
        <w:t>a</w:t>
      </w:r>
      <w:r w:rsidRPr="00684BF3">
        <w:rPr>
          <w:sz w:val="16"/>
        </w:rPr>
        <w:t xml:space="preserve">nother </w:t>
      </w:r>
      <w:r w:rsidRPr="00456038">
        <w:rPr>
          <w:rStyle w:val="Emphasis"/>
          <w:highlight w:val="cyan"/>
        </w:rPr>
        <w:t>categorical exclusion</w:t>
      </w:r>
      <w:r w:rsidRPr="00684BF3">
        <w:rPr>
          <w:sz w:val="16"/>
        </w:rPr>
        <w:t xml:space="preserve"> to a growing list of exceptions </w:t>
      </w:r>
      <w:r w:rsidRPr="00456038">
        <w:rPr>
          <w:rStyle w:val="StyleUnderline"/>
          <w:highlight w:val="cyan"/>
        </w:rPr>
        <w:t>to</w:t>
      </w:r>
      <w:r w:rsidRPr="00684BF3">
        <w:rPr>
          <w:rStyle w:val="StyleUnderline"/>
        </w:rPr>
        <w:t xml:space="preserve"> the </w:t>
      </w:r>
      <w:r w:rsidRPr="00456038">
        <w:rPr>
          <w:rStyle w:val="StyleUnderline"/>
          <w:highlight w:val="cyan"/>
        </w:rPr>
        <w:t>Chevron</w:t>
      </w:r>
      <w:r w:rsidRPr="00684BF3">
        <w:rPr>
          <w:rStyle w:val="StyleUnderline"/>
        </w:rPr>
        <w:t xml:space="preserve"> framework.</w:t>
      </w:r>
      <w:r w:rsidRPr="00684BF3">
        <w:rPr>
          <w:sz w:val="16"/>
        </w:rPr>
        <w:t xml:space="preserve"> 8 For those committed to Chevron’s deference regime, </w:t>
      </w:r>
      <w:r w:rsidRPr="00684BF3">
        <w:rPr>
          <w:rStyle w:val="StyleUnderline"/>
        </w:rPr>
        <w:t xml:space="preserve">additional </w:t>
      </w:r>
      <w:r w:rsidRPr="00456038">
        <w:rPr>
          <w:rStyle w:val="Emphasis"/>
          <w:highlight w:val="cyan"/>
        </w:rPr>
        <w:t>exceptions threaten</w:t>
      </w:r>
      <w:r w:rsidRPr="00456038">
        <w:rPr>
          <w:rStyle w:val="StyleUnderline"/>
          <w:highlight w:val="cyan"/>
        </w:rPr>
        <w:t xml:space="preserve"> the </w:t>
      </w:r>
      <w:r w:rsidRPr="00456038">
        <w:rPr>
          <w:rStyle w:val="Emphasis"/>
          <w:highlight w:val="cyan"/>
        </w:rPr>
        <w:t>stability and centrality</w:t>
      </w:r>
      <w:r w:rsidRPr="00456038">
        <w:rPr>
          <w:rStyle w:val="StyleUnderline"/>
          <w:highlight w:val="cyan"/>
        </w:rPr>
        <w:t xml:space="preserve"> of the </w:t>
      </w:r>
      <w:r w:rsidRPr="00456038">
        <w:rPr>
          <w:rStyle w:val="Emphasis"/>
          <w:highlight w:val="cyan"/>
        </w:rPr>
        <w:t>doctrine</w:t>
      </w:r>
      <w:r w:rsidRPr="00684BF3">
        <w:rPr>
          <w:sz w:val="16"/>
        </w:rPr>
        <w:t>. If, instead, the Court were to give Chevron deference to agency interpretations of statutes carrying criminal applications, it risks creating yet another categorical exception—this time to the rule of lenity.</w:t>
      </w:r>
    </w:p>
    <w:p w14:paraId="69EBBE7B" w14:textId="77777777" w:rsidR="00516959" w:rsidRPr="00574227" w:rsidRDefault="00516959" w:rsidP="00516959">
      <w:pPr>
        <w:pStyle w:val="Heading4"/>
        <w:rPr>
          <w:szCs w:val="26"/>
        </w:rPr>
      </w:pPr>
      <w:bookmarkStart w:id="3" w:name="_Hlk44151390"/>
      <w:r>
        <w:rPr>
          <w:szCs w:val="26"/>
        </w:rPr>
        <w:t xml:space="preserve">Lenity would </w:t>
      </w:r>
      <w:r>
        <w:rPr>
          <w:szCs w:val="26"/>
          <w:u w:val="single"/>
        </w:rPr>
        <w:t>cease</w:t>
      </w:r>
      <w:r>
        <w:rPr>
          <w:szCs w:val="26"/>
        </w:rPr>
        <w:t xml:space="preserve"> the modern administrative state.</w:t>
      </w:r>
    </w:p>
    <w:p w14:paraId="13F776C3" w14:textId="77777777" w:rsidR="00516959" w:rsidRPr="00684BF3" w:rsidRDefault="00516959" w:rsidP="00516959">
      <w:r w:rsidRPr="00C80CAB">
        <w:rPr>
          <w:rStyle w:val="Heading4Char"/>
          <w:szCs w:val="26"/>
        </w:rPr>
        <w:t>Glen &amp; Stillman 16</w:t>
      </w:r>
      <w:r w:rsidRPr="00684BF3">
        <w:t xml:space="preserve"> – (Patrick J. Glen, Senior Litigation Counsel, Office of Immigration Litigation, Civil Division, United States Department of Justice; Kate E. Stillman, J.D., Harvard Law School, B.A., Bates College. Ms. Stillman was an intern in the Office of Immigration Litigation from May 2014 through August 2014; “Chevron Deference or the Rule of Lenity? Dual-Use Statutes and Judge Sutton’s Lonely Lament”; Ohio State Law Journal Furthermore; D.A. June 24</w:t>
      </w:r>
      <w:r w:rsidRPr="00684BF3">
        <w:rPr>
          <w:vertAlign w:val="superscript"/>
        </w:rPr>
        <w:t>th</w:t>
      </w:r>
      <w:r w:rsidRPr="00684BF3">
        <w:t xml:space="preserve"> 2020, [Published 2016]; </w:t>
      </w:r>
      <w:hyperlink r:id="rId327" w:history="1">
        <w:r w:rsidRPr="00684BF3">
          <w:rPr>
            <w:rStyle w:val="Hyperlink"/>
          </w:rPr>
          <w:t>https://kb.osu.edu/bitstream/handle/1811/79028/OSLJ_Furthermore_V77_129.pdf</w:t>
        </w:r>
      </w:hyperlink>
      <w:r w:rsidRPr="00684BF3">
        <w:t>) //LFS—JCM</w:t>
      </w:r>
    </w:p>
    <w:p w14:paraId="1793D6E8" w14:textId="77777777" w:rsidR="00516959" w:rsidRPr="00684BF3" w:rsidRDefault="00516959" w:rsidP="00516959">
      <w:pPr>
        <w:rPr>
          <w:sz w:val="16"/>
        </w:rPr>
      </w:pPr>
      <w:r w:rsidRPr="00456038">
        <w:rPr>
          <w:rStyle w:val="StyleUnderline"/>
          <w:highlight w:val="cyan"/>
        </w:rPr>
        <w:t xml:space="preserve">Given </w:t>
      </w:r>
      <w:r w:rsidRPr="00684BF3">
        <w:rPr>
          <w:rStyle w:val="StyleUnderline"/>
        </w:rPr>
        <w:t xml:space="preserve">the </w:t>
      </w:r>
      <w:r w:rsidRPr="00456038">
        <w:rPr>
          <w:rStyle w:val="StyleUnderline"/>
          <w:highlight w:val="cyan"/>
        </w:rPr>
        <w:t xml:space="preserve">frequency </w:t>
      </w:r>
      <w:r w:rsidRPr="00684BF3">
        <w:rPr>
          <w:rStyle w:val="StyleUnderline"/>
        </w:rPr>
        <w:t xml:space="preserve">with </w:t>
      </w:r>
      <w:r w:rsidRPr="00456038">
        <w:rPr>
          <w:rStyle w:val="StyleUnderline"/>
          <w:highlight w:val="cyan"/>
        </w:rPr>
        <w:t xml:space="preserve">which </w:t>
      </w:r>
      <w:r w:rsidRPr="00684BF3">
        <w:rPr>
          <w:rStyle w:val="StyleUnderline"/>
        </w:rPr>
        <w:t xml:space="preserve">the </w:t>
      </w:r>
      <w:r w:rsidRPr="00456038">
        <w:rPr>
          <w:rStyle w:val="StyleUnderline"/>
          <w:highlight w:val="cyan"/>
        </w:rPr>
        <w:t xml:space="preserve">lenity argument is </w:t>
      </w:r>
      <w:r w:rsidRPr="00684BF3">
        <w:rPr>
          <w:rStyle w:val="StyleUnderline"/>
        </w:rPr>
        <w:t xml:space="preserve">being </w:t>
      </w:r>
      <w:r w:rsidRPr="00456038">
        <w:rPr>
          <w:rStyle w:val="StyleUnderline"/>
          <w:highlight w:val="cyan"/>
        </w:rPr>
        <w:t>raised</w:t>
      </w:r>
      <w:r w:rsidRPr="00684BF3">
        <w:rPr>
          <w:sz w:val="16"/>
        </w:rPr>
        <w:t xml:space="preserve"> in immigration cases, </w:t>
      </w:r>
      <w:r w:rsidRPr="00456038">
        <w:rPr>
          <w:rStyle w:val="StyleUnderline"/>
          <w:highlight w:val="cyan"/>
        </w:rPr>
        <w:t>the</w:t>
      </w:r>
      <w:r w:rsidRPr="00684BF3">
        <w:rPr>
          <w:rStyle w:val="StyleUnderline"/>
        </w:rPr>
        <w:t xml:space="preserve"> Supreme </w:t>
      </w:r>
      <w:r w:rsidRPr="00456038">
        <w:rPr>
          <w:rStyle w:val="StyleUnderline"/>
          <w:highlight w:val="cyan"/>
        </w:rPr>
        <w:t>Court will have to confront its merits</w:t>
      </w:r>
      <w:r w:rsidRPr="00684BF3">
        <w:rPr>
          <w:sz w:val="16"/>
        </w:rPr>
        <w:t xml:space="preserve"> sooner rather than later.80 </w:t>
      </w:r>
      <w:r w:rsidRPr="00456038">
        <w:rPr>
          <w:rStyle w:val="Emphasis"/>
          <w:highlight w:val="cyan"/>
        </w:rPr>
        <w:t>Or perhaps not</w:t>
      </w:r>
      <w:r w:rsidRPr="00684BF3">
        <w:rPr>
          <w:sz w:val="16"/>
        </w:rPr>
        <w:t xml:space="preserve">. </w:t>
      </w:r>
      <w:r w:rsidRPr="00456038">
        <w:rPr>
          <w:rStyle w:val="StyleUnderline"/>
          <w:highlight w:val="cyan"/>
        </w:rPr>
        <w:t>It has</w:t>
      </w:r>
      <w:r w:rsidRPr="00684BF3">
        <w:rPr>
          <w:sz w:val="16"/>
        </w:rPr>
        <w:t xml:space="preserve">, in point of fact, largely </w:t>
      </w:r>
      <w:r w:rsidRPr="00456038">
        <w:rPr>
          <w:rStyle w:val="Emphasis"/>
          <w:highlight w:val="cyan"/>
        </w:rPr>
        <w:t>managed to avoid doing so</w:t>
      </w:r>
      <w:r w:rsidRPr="00456038">
        <w:rPr>
          <w:rStyle w:val="StyleUnderline"/>
          <w:highlight w:val="cyan"/>
        </w:rPr>
        <w:t xml:space="preserve"> in the </w:t>
      </w:r>
      <w:r w:rsidRPr="00684BF3">
        <w:rPr>
          <w:rStyle w:val="StyleUnderline"/>
        </w:rPr>
        <w:t xml:space="preserve">three </w:t>
      </w:r>
      <w:r w:rsidRPr="00456038">
        <w:rPr>
          <w:rStyle w:val="StyleUnderline"/>
          <w:highlight w:val="cyan"/>
        </w:rPr>
        <w:t>decades since Chevron</w:t>
      </w:r>
      <w:r w:rsidRPr="00684BF3">
        <w:rPr>
          <w:sz w:val="16"/>
        </w:rPr>
        <w:t xml:space="preserve">, </w:t>
      </w:r>
      <w:r w:rsidRPr="00684BF3">
        <w:rPr>
          <w:rStyle w:val="StyleUnderline"/>
        </w:rPr>
        <w:t>despite numerous cases</w:t>
      </w:r>
      <w:r w:rsidRPr="00684BF3">
        <w:rPr>
          <w:sz w:val="16"/>
        </w:rPr>
        <w:t xml:space="preserve"> where the issue would have been ripe for decision.81</w:t>
      </w:r>
    </w:p>
    <w:p w14:paraId="1DA84160" w14:textId="77777777" w:rsidR="00516959" w:rsidRPr="00684BF3" w:rsidRDefault="00516959" w:rsidP="00516959">
      <w:pPr>
        <w:rPr>
          <w:sz w:val="16"/>
        </w:rPr>
      </w:pPr>
      <w:r w:rsidRPr="00684BF3">
        <w:rPr>
          <w:sz w:val="16"/>
        </w:rPr>
        <w:t xml:space="preserve">When—or </w:t>
      </w:r>
      <w:r w:rsidRPr="00456038">
        <w:rPr>
          <w:rStyle w:val="StyleUnderline"/>
          <w:highlight w:val="cyan"/>
        </w:rPr>
        <w:t>if</w:t>
      </w:r>
      <w:r w:rsidRPr="00684BF3">
        <w:rPr>
          <w:sz w:val="16"/>
        </w:rPr>
        <w:t>—</w:t>
      </w:r>
      <w:r w:rsidRPr="00456038">
        <w:rPr>
          <w:rStyle w:val="StyleUnderline"/>
          <w:highlight w:val="cyan"/>
        </w:rPr>
        <w:t>the Court</w:t>
      </w:r>
      <w:r w:rsidRPr="00684BF3">
        <w:rPr>
          <w:rStyle w:val="StyleUnderline"/>
        </w:rPr>
        <w:t xml:space="preserve"> does </w:t>
      </w:r>
      <w:r w:rsidRPr="00456038">
        <w:rPr>
          <w:rStyle w:val="StyleUnderline"/>
          <w:highlight w:val="cyan"/>
        </w:rPr>
        <w:t>decide to wade in</w:t>
      </w:r>
      <w:r w:rsidRPr="00684BF3">
        <w:rPr>
          <w:rStyle w:val="StyleUnderline"/>
        </w:rPr>
        <w:t>to the issue</w:t>
      </w:r>
      <w:r w:rsidRPr="00684BF3">
        <w:rPr>
          <w:sz w:val="16"/>
        </w:rPr>
        <w:t xml:space="preserve">, </w:t>
      </w:r>
      <w:r w:rsidRPr="00456038">
        <w:rPr>
          <w:rStyle w:val="StyleUnderline"/>
          <w:highlight w:val="cyan"/>
        </w:rPr>
        <w:t>it would do well to</w:t>
      </w:r>
      <w:r w:rsidRPr="00684BF3">
        <w:rPr>
          <w:sz w:val="16"/>
        </w:rPr>
        <w:t xml:space="preserve"> simply </w:t>
      </w:r>
      <w:r w:rsidRPr="00456038">
        <w:rPr>
          <w:rStyle w:val="Emphasis"/>
          <w:highlight w:val="cyan"/>
        </w:rPr>
        <w:t>make explicit</w:t>
      </w:r>
      <w:r w:rsidRPr="00684BF3">
        <w:rPr>
          <w:sz w:val="16"/>
        </w:rPr>
        <w:t xml:space="preserve"> what it has thus far assumed: </w:t>
      </w:r>
      <w:r w:rsidRPr="00456038">
        <w:rPr>
          <w:rStyle w:val="StyleUnderline"/>
          <w:highlight w:val="cyan"/>
        </w:rPr>
        <w:t xml:space="preserve">that when reviewing agency interpretations of </w:t>
      </w:r>
      <w:r w:rsidRPr="00456038">
        <w:rPr>
          <w:rStyle w:val="Emphasis"/>
          <w:highlight w:val="cyan"/>
        </w:rPr>
        <w:t>civil statutes that have potential criminal application</w:t>
      </w:r>
      <w:r w:rsidRPr="00684BF3">
        <w:rPr>
          <w:sz w:val="16"/>
        </w:rPr>
        <w:t xml:space="preserve">, </w:t>
      </w:r>
      <w:r w:rsidRPr="00456038">
        <w:rPr>
          <w:rStyle w:val="Emphasis"/>
          <w:highlight w:val="cyan"/>
        </w:rPr>
        <w:t>Chevron</w:t>
      </w:r>
      <w:r w:rsidRPr="00684BF3">
        <w:rPr>
          <w:rStyle w:val="Emphasis"/>
        </w:rPr>
        <w:t xml:space="preserve"> deference </w:t>
      </w:r>
      <w:r w:rsidRPr="00456038">
        <w:rPr>
          <w:rStyle w:val="Emphasis"/>
          <w:highlight w:val="cyan"/>
        </w:rPr>
        <w:t>applies with full force</w:t>
      </w:r>
      <w:r w:rsidRPr="00684BF3">
        <w:rPr>
          <w:rStyle w:val="StyleUnderline"/>
        </w:rPr>
        <w:t xml:space="preserve"> and the rule of </w:t>
      </w:r>
      <w:r w:rsidRPr="00456038">
        <w:rPr>
          <w:rStyle w:val="StyleUnderline"/>
          <w:highlight w:val="cyan"/>
        </w:rPr>
        <w:t>lenity acts</w:t>
      </w:r>
      <w:r w:rsidRPr="00684BF3">
        <w:rPr>
          <w:sz w:val="16"/>
        </w:rPr>
        <w:t xml:space="preserve"> only </w:t>
      </w:r>
      <w:r w:rsidRPr="00456038">
        <w:rPr>
          <w:rStyle w:val="StyleUnderline"/>
          <w:highlight w:val="cyan"/>
        </w:rPr>
        <w:t>as a</w:t>
      </w:r>
      <w:r w:rsidRPr="00684BF3">
        <w:rPr>
          <w:sz w:val="16"/>
        </w:rPr>
        <w:t xml:space="preserve">n interpretive aid of </w:t>
      </w:r>
      <w:r w:rsidRPr="00456038">
        <w:rPr>
          <w:rStyle w:val="StyleUnderline"/>
          <w:highlight w:val="cyan"/>
        </w:rPr>
        <w:t>last-resort</w:t>
      </w:r>
      <w:r w:rsidRPr="00684BF3">
        <w:rPr>
          <w:sz w:val="16"/>
        </w:rPr>
        <w:t xml:space="preserve">. </w:t>
      </w:r>
      <w:r w:rsidRPr="00456038">
        <w:rPr>
          <w:rStyle w:val="StyleUnderline"/>
          <w:highlight w:val="cyan"/>
        </w:rPr>
        <w:t>This holding would be consistent with</w:t>
      </w:r>
      <w:r w:rsidRPr="00684BF3">
        <w:rPr>
          <w:rStyle w:val="StyleUnderline"/>
        </w:rPr>
        <w:t xml:space="preserve"> the rule of </w:t>
      </w:r>
      <w:r w:rsidRPr="00456038">
        <w:rPr>
          <w:rStyle w:val="StyleUnderline"/>
          <w:highlight w:val="cyan"/>
        </w:rPr>
        <w:t>lenity’s application</w:t>
      </w:r>
      <w:r w:rsidRPr="00684BF3">
        <w:rPr>
          <w:rStyle w:val="StyleUnderline"/>
        </w:rPr>
        <w:t xml:space="preserve"> in the criminal context </w:t>
      </w:r>
      <w:r w:rsidRPr="00456038">
        <w:rPr>
          <w:rStyle w:val="StyleUnderline"/>
          <w:highlight w:val="cyan"/>
        </w:rPr>
        <w:t xml:space="preserve">while </w:t>
      </w:r>
      <w:r w:rsidRPr="00456038">
        <w:rPr>
          <w:rStyle w:val="Emphasis"/>
          <w:highlight w:val="cyan"/>
        </w:rPr>
        <w:t>safeguarding a basic tenet of the administrative state</w:t>
      </w:r>
      <w:r w:rsidRPr="00684BF3">
        <w:rPr>
          <w:sz w:val="16"/>
        </w:rPr>
        <w:t>—</w:t>
      </w:r>
      <w:r w:rsidRPr="00456038">
        <w:rPr>
          <w:rStyle w:val="Emphasis"/>
          <w:highlight w:val="cyan"/>
        </w:rPr>
        <w:t>deference to</w:t>
      </w:r>
      <w:r w:rsidRPr="00684BF3">
        <w:rPr>
          <w:rStyle w:val="Emphasis"/>
        </w:rPr>
        <w:t xml:space="preserve"> reasonable </w:t>
      </w:r>
      <w:r w:rsidRPr="00456038">
        <w:rPr>
          <w:rStyle w:val="Emphasis"/>
          <w:highlight w:val="cyan"/>
        </w:rPr>
        <w:t>agency interpretations</w:t>
      </w:r>
      <w:r w:rsidRPr="00684BF3">
        <w:rPr>
          <w:rStyle w:val="StyleUnderline"/>
        </w:rPr>
        <w:t xml:space="preserve"> </w:t>
      </w:r>
      <w:r w:rsidRPr="00684BF3">
        <w:rPr>
          <w:sz w:val="16"/>
        </w:rPr>
        <w:t>of the statutes Congress has charged it with administering.</w:t>
      </w:r>
    </w:p>
    <w:p w14:paraId="5AE0B11A" w14:textId="77777777" w:rsidR="00516959" w:rsidRPr="00CA211E" w:rsidRDefault="00516959" w:rsidP="00516959">
      <w:pPr>
        <w:rPr>
          <w:sz w:val="16"/>
        </w:rPr>
      </w:pPr>
      <w:r w:rsidRPr="00684BF3">
        <w:rPr>
          <w:sz w:val="16"/>
        </w:rPr>
        <w:t xml:space="preserve">Judge </w:t>
      </w:r>
      <w:r w:rsidRPr="00456038">
        <w:rPr>
          <w:rStyle w:val="Emphasis"/>
          <w:highlight w:val="cyan"/>
        </w:rPr>
        <w:t>Sutton’s views are well-reasoned</w:t>
      </w:r>
      <w:r w:rsidRPr="00684BF3">
        <w:rPr>
          <w:sz w:val="16"/>
        </w:rPr>
        <w:t xml:space="preserve"> and must be taken into account when confronting application of lenity in agency cases. </w:t>
      </w:r>
      <w:r w:rsidRPr="00456038">
        <w:rPr>
          <w:rStyle w:val="Emphasis"/>
          <w:highlight w:val="cyan"/>
        </w:rPr>
        <w:t>But they should</w:t>
      </w:r>
      <w:r w:rsidRPr="00684BF3">
        <w:rPr>
          <w:rStyle w:val="StyleUnderline"/>
        </w:rPr>
        <w:t xml:space="preserve"> ultimately </w:t>
      </w:r>
      <w:r w:rsidRPr="00456038">
        <w:rPr>
          <w:rStyle w:val="Emphasis"/>
          <w:highlight w:val="cyan"/>
        </w:rPr>
        <w:t>be rejected</w:t>
      </w:r>
      <w:r w:rsidRPr="00456038">
        <w:rPr>
          <w:rStyle w:val="StyleUnderline"/>
          <w:highlight w:val="cyan"/>
        </w:rPr>
        <w:t xml:space="preserve"> in favor of</w:t>
      </w:r>
      <w:r w:rsidRPr="00684BF3">
        <w:rPr>
          <w:rStyle w:val="StyleUnderline"/>
        </w:rPr>
        <w:t xml:space="preserve"> the application of </w:t>
      </w:r>
      <w:r w:rsidRPr="00456038">
        <w:rPr>
          <w:rStyle w:val="StyleUnderline"/>
          <w:highlight w:val="cyan"/>
        </w:rPr>
        <w:t>deference</w:t>
      </w:r>
      <w:r w:rsidRPr="00684BF3">
        <w:rPr>
          <w:sz w:val="16"/>
        </w:rPr>
        <w:t xml:space="preserve"> presented here.</w:t>
      </w:r>
    </w:p>
    <w:p w14:paraId="4A34810C" w14:textId="77777777" w:rsidR="00D91D7C" w:rsidRPr="000A140F" w:rsidRDefault="00D91D7C" w:rsidP="00D91D7C">
      <w:pPr>
        <w:pStyle w:val="Heading4"/>
      </w:pPr>
      <w:r>
        <w:t xml:space="preserve">The aff’s exception undercuts </w:t>
      </w:r>
      <w:r>
        <w:rPr>
          <w:u w:val="single"/>
        </w:rPr>
        <w:t>broad agency flexibility</w:t>
      </w:r>
      <w:r>
        <w:t>.</w:t>
      </w:r>
    </w:p>
    <w:p w14:paraId="5B477376" w14:textId="77777777" w:rsidR="00D91D7C" w:rsidRPr="000A140F" w:rsidRDefault="00D91D7C" w:rsidP="00D91D7C">
      <w:r w:rsidRPr="00242E54">
        <w:rPr>
          <w:rStyle w:val="Style13ptBold"/>
        </w:rPr>
        <w:t>Greenberg 96</w:t>
      </w:r>
      <w:r>
        <w:t xml:space="preserve"> – Sanford N. Greenberg, Law Professor at the Chicago-Kent School of Law. [Who Says It's a Crime? Chevron Deference to Agency Interpretations of Regulatory Statutes That Create Criminal Liability, University of Pittsburg Law Review, 58(1), HeinOnline]//BPS</w:t>
      </w:r>
    </w:p>
    <w:p w14:paraId="5F25685B" w14:textId="77777777" w:rsidR="00D91D7C" w:rsidRPr="000A140F" w:rsidRDefault="00D91D7C" w:rsidP="00D91D7C">
      <w:pPr>
        <w:rPr>
          <w:sz w:val="16"/>
        </w:rPr>
      </w:pPr>
      <w:r w:rsidRPr="000A140F">
        <w:rPr>
          <w:sz w:val="16"/>
        </w:rPr>
        <w:t>1. The Importance of Uniform Administration</w:t>
      </w:r>
    </w:p>
    <w:p w14:paraId="392159E1" w14:textId="77777777" w:rsidR="00D91D7C" w:rsidRPr="000A140F" w:rsidRDefault="00D91D7C" w:rsidP="00D91D7C">
      <w:pPr>
        <w:rPr>
          <w:sz w:val="16"/>
        </w:rPr>
      </w:pPr>
      <w:r w:rsidRPr="000A140F">
        <w:rPr>
          <w:rStyle w:val="StyleUnderline"/>
        </w:rPr>
        <w:t xml:space="preserve">Courts should reject </w:t>
      </w:r>
      <w:r w:rsidRPr="000A140F">
        <w:rPr>
          <w:rStyle w:val="Emphasis"/>
        </w:rPr>
        <w:t>the criminal liability and deportation exceptions</w:t>
      </w:r>
      <w:r w:rsidRPr="000A140F">
        <w:rPr>
          <w:rStyle w:val="StyleUnderline"/>
        </w:rPr>
        <w:t xml:space="preserve"> to avoid undermining </w:t>
      </w:r>
      <w:r w:rsidRPr="000A140F">
        <w:rPr>
          <w:rStyle w:val="Emphasis"/>
        </w:rPr>
        <w:t>uniform administration of regulatory statutes</w:t>
      </w:r>
      <w:r w:rsidRPr="000A140F">
        <w:rPr>
          <w:sz w:val="16"/>
        </w:rPr>
        <w:t>. If Chevron principles are consistently applied, Chevron deference should promote the ability of agencies to implement nationally uniform policies.'15 8 By promoting national uniformity, Chevron deference can serve important goals in administrative law: efficiency for the regulators, fairness for the regulated, and predictability for both. 159 National uniformity is especially important in relation to both of the types of administrative issues on which this article focuses: criminal sanctions and immigration. While some administrative regimes can readily utilize nonnational policies in the interest of flexibility, 6° federalism, and experimentation, 16' both criminal law' 62 and immigration law163 require uniformity as a matter of fundamental fairness. For example, an individual's likelihood of being successfully prosecuted for an administrative crime should not depend on the judicial circuit in which that person conducts business. The rules governing deportation also should not be applied differently in different circuits. 64 Even in the case of those administrative programs that reflect principles of regional or state-by-state flexibility, 65 there is no reason to expect suitable geographically based policy differences to conform to the boundaries of judicial circuits.</w:t>
      </w:r>
    </w:p>
    <w:p w14:paraId="4F81D904" w14:textId="77777777" w:rsidR="00D91D7C" w:rsidRPr="000A140F" w:rsidRDefault="00D91D7C" w:rsidP="00D91D7C">
      <w:pPr>
        <w:rPr>
          <w:sz w:val="16"/>
        </w:rPr>
      </w:pPr>
      <w:r w:rsidRPr="000A140F">
        <w:rPr>
          <w:sz w:val="16"/>
        </w:rPr>
        <w:t xml:space="preserve">Nor is there great reason to fear that Chevron deference will go too far in sacrificing temporal uniformity for geographic uniformity.' 66 Chevron's political accountability rationale does make courts today somewhat more willing than in the pre-Chevron era to defer to agencies even when agencies have changed their interpretation of an ambiguous statute. 167 Even so, the Court has continued to recognize that "the consistency of an agency's position is a factor in assessing the weight that position is due." 68 Moreover, just as potentially regulated parties are likely to have had input in an agency's initial interpretation, 69 "[t]hose whose interests will be adversely affected by a change in policy can usually be counted upon to bring that fact forcefully to the agency's attention."' 170 When changes are made and judicially challenged, the agency's new interpretation still must withstand review under Chevron's </w:t>
      </w:r>
      <w:r w:rsidRPr="000A140F">
        <w:rPr>
          <w:rStyle w:val="StyleUnderline"/>
        </w:rPr>
        <w:t>reasonableness standard</w:t>
      </w:r>
      <w:r w:rsidRPr="000A140F">
        <w:rPr>
          <w:sz w:val="16"/>
        </w:rPr>
        <w:t xml:space="preserve">. 171 This standard </w:t>
      </w:r>
      <w:r w:rsidRPr="000A140F">
        <w:rPr>
          <w:rStyle w:val="StyleUnderline"/>
        </w:rPr>
        <w:t xml:space="preserve">should be </w:t>
      </w:r>
      <w:r w:rsidRPr="000A140F">
        <w:rPr>
          <w:rStyle w:val="Emphasis"/>
        </w:rPr>
        <w:t>sufficient</w:t>
      </w:r>
      <w:r w:rsidRPr="000A140F">
        <w:rPr>
          <w:rStyle w:val="StyleUnderline"/>
        </w:rPr>
        <w:t xml:space="preserve"> to prevent </w:t>
      </w:r>
      <w:r w:rsidRPr="000A140F">
        <w:rPr>
          <w:rStyle w:val="Emphasis"/>
        </w:rPr>
        <w:t>capricious policy flip-flops</w:t>
      </w:r>
      <w:r w:rsidRPr="000A140F">
        <w:rPr>
          <w:rStyle w:val="StyleUnderline"/>
        </w:rPr>
        <w:t xml:space="preserve"> while giving agencies </w:t>
      </w:r>
      <w:r w:rsidRPr="000A140F">
        <w:rPr>
          <w:rStyle w:val="Emphasis"/>
        </w:rPr>
        <w:t>flexibility</w:t>
      </w:r>
      <w:r w:rsidRPr="000A140F">
        <w:rPr>
          <w:rStyle w:val="StyleUnderline"/>
        </w:rPr>
        <w:t xml:space="preserve"> to promote </w:t>
      </w:r>
      <w:r w:rsidRPr="000A140F">
        <w:rPr>
          <w:rStyle w:val="Emphasis"/>
        </w:rPr>
        <w:t>their goals</w:t>
      </w:r>
      <w:r w:rsidRPr="000A140F">
        <w:rPr>
          <w:sz w:val="16"/>
        </w:rPr>
        <w:t>.</w:t>
      </w:r>
    </w:p>
    <w:p w14:paraId="436F44D8" w14:textId="77777777" w:rsidR="00D91D7C" w:rsidRPr="000A140F" w:rsidRDefault="00D91D7C" w:rsidP="00D91D7C">
      <w:pPr>
        <w:rPr>
          <w:sz w:val="16"/>
        </w:rPr>
      </w:pPr>
      <w:r w:rsidRPr="000A140F">
        <w:rPr>
          <w:sz w:val="16"/>
        </w:rPr>
        <w:t xml:space="preserve">Under Chevron, a court should permit an agency to adopt any reasonable interpretation of an ambiguous provision. "By removing the responsibility for precision from the courts of appeals, the </w:t>
      </w:r>
      <w:r w:rsidRPr="000A140F">
        <w:rPr>
          <w:rStyle w:val="StyleUnderline"/>
        </w:rPr>
        <w:t>Chevron</w:t>
      </w:r>
      <w:r w:rsidRPr="000A140F">
        <w:rPr>
          <w:sz w:val="16"/>
        </w:rPr>
        <w:t xml:space="preserve"> rule...</w:t>
      </w:r>
      <w:r w:rsidRPr="000A140F">
        <w:rPr>
          <w:rStyle w:val="StyleUnderline"/>
        </w:rPr>
        <w:t>enhances</w:t>
      </w:r>
      <w:r w:rsidRPr="000A140F">
        <w:rPr>
          <w:sz w:val="16"/>
        </w:rPr>
        <w:t xml:space="preserve"> the probability of </w:t>
      </w:r>
      <w:r w:rsidRPr="000A140F">
        <w:rPr>
          <w:rStyle w:val="Emphasis"/>
        </w:rPr>
        <w:t>uniform national administration</w:t>
      </w:r>
      <w:r w:rsidRPr="000A140F">
        <w:rPr>
          <w:sz w:val="16"/>
        </w:rPr>
        <w:t xml:space="preserve"> of the laws."' 72 In contrast, under the criminal liability and deportation exceptions, courts might reject an agency's reasonable interpretation in favor of a narrow construction of such provisions. Some courts might even view the non-applicability of Chevron as an invitation to apply independent analysis in an attempt to determine the "best" interpretation of such provisions. The latter approach is more likely to lead to inconsistent interpretations of the same statute in different judicial circuits.1 73 Because one circuit's decision is only persuasive in other circuits, there is no guarantee that different courts, each applying independent review of an ambiguous statute, will reach the same conclusion as to the statute's meaning. 174</w:t>
      </w:r>
    </w:p>
    <w:p w14:paraId="1EB0FCDF" w14:textId="77777777" w:rsidR="00D91D7C" w:rsidRPr="000A140F" w:rsidRDefault="00D91D7C" w:rsidP="00D91D7C">
      <w:pPr>
        <w:rPr>
          <w:sz w:val="16"/>
        </w:rPr>
      </w:pPr>
      <w:r w:rsidRPr="000A140F">
        <w:rPr>
          <w:sz w:val="16"/>
        </w:rPr>
        <w:t>Faced with an adverse decision in the initial appellate court that construes a particular statutory provision, an agency has several options. If the Solicitor General approves, the agency can seek review in the Supreme Court, but certiorari is rarely granted unless a circuit split has already developed. 175 If immediate review is not sought or not granted, then the agency can acquiesce nationwide by conforming its policy to the interpretation contained in the initial court's decision.176 Or, to attempt to minimize the impact of one court decision on its policy, the agency may acquiesce only within the circuit in which the case was decided, or even refuse to acquiesce in future cases within that circuit. 77</w:t>
      </w:r>
    </w:p>
    <w:p w14:paraId="06E1A7CB" w14:textId="77777777" w:rsidR="00D91D7C" w:rsidRPr="000A140F" w:rsidRDefault="00D91D7C" w:rsidP="00D91D7C">
      <w:pPr>
        <w:rPr>
          <w:sz w:val="16"/>
        </w:rPr>
      </w:pPr>
      <w:r w:rsidRPr="000A140F">
        <w:rPr>
          <w:sz w:val="16"/>
        </w:rPr>
        <w:t xml:space="preserve">None of the latter options is desirable from the point of view of the agency. Nationwide </w:t>
      </w:r>
      <w:r w:rsidRPr="000A140F">
        <w:rPr>
          <w:rStyle w:val="Emphasis"/>
        </w:rPr>
        <w:t>acquiescence</w:t>
      </w:r>
      <w:r w:rsidRPr="000A140F">
        <w:rPr>
          <w:rStyle w:val="StyleUnderline"/>
        </w:rPr>
        <w:t xml:space="preserve"> allows one federal court to </w:t>
      </w:r>
      <w:r w:rsidRPr="000A140F">
        <w:rPr>
          <w:rStyle w:val="Emphasis"/>
        </w:rPr>
        <w:t>rewrite</w:t>
      </w:r>
      <w:r w:rsidRPr="000A140F">
        <w:rPr>
          <w:rStyle w:val="StyleUnderline"/>
        </w:rPr>
        <w:t xml:space="preserve"> agency policy</w:t>
      </w:r>
      <w:r w:rsidRPr="000A140F">
        <w:rPr>
          <w:sz w:val="16"/>
        </w:rPr>
        <w:t xml:space="preserve">, often </w:t>
      </w:r>
      <w:r w:rsidRPr="000A140F">
        <w:rPr>
          <w:rStyle w:val="StyleUnderline"/>
        </w:rPr>
        <w:t xml:space="preserve">with </w:t>
      </w:r>
      <w:r w:rsidRPr="000A140F">
        <w:rPr>
          <w:rStyle w:val="Emphasis"/>
        </w:rPr>
        <w:t>little information</w:t>
      </w:r>
      <w:r w:rsidRPr="000A140F">
        <w:rPr>
          <w:sz w:val="16"/>
        </w:rPr>
        <w:t xml:space="preserve"> or concern </w:t>
      </w:r>
      <w:r w:rsidRPr="000A140F">
        <w:rPr>
          <w:rStyle w:val="StyleUnderline"/>
        </w:rPr>
        <w:t xml:space="preserve">about how the </w:t>
      </w:r>
      <w:r w:rsidRPr="000A140F">
        <w:rPr>
          <w:rStyle w:val="Emphasis"/>
        </w:rPr>
        <w:t>specific policy at issue</w:t>
      </w:r>
      <w:r w:rsidRPr="000A140F">
        <w:rPr>
          <w:rStyle w:val="StyleUnderline"/>
        </w:rPr>
        <w:t xml:space="preserve"> impinges on</w:t>
      </w:r>
      <w:r w:rsidRPr="000A140F">
        <w:rPr>
          <w:sz w:val="16"/>
        </w:rPr>
        <w:t xml:space="preserve"> other agency </w:t>
      </w:r>
      <w:r w:rsidRPr="000A140F">
        <w:rPr>
          <w:rStyle w:val="StyleUnderline"/>
        </w:rPr>
        <w:t>responsibilities</w:t>
      </w:r>
      <w:r w:rsidRPr="000A140F">
        <w:rPr>
          <w:sz w:val="16"/>
        </w:rPr>
        <w:t>. Thus, national uniformity may be regained only at the cost of policy incoherence. 78 If the next court to consider the agency's revised policy believes that the prior policy represented the better reading of congressional intent, or that some third reading is preferable, then national uniformity may be short-lived. 179 On the other hand, if the agency opts for intracircuit nonacquiescence, it minimizes the geographic impact of the court's decision but sacrifices administrative convenience, the similar treatment of similarly situated parties, and the consistent treatment of regulated parties that operate in more than one judicial circuit. 180 Intracircuit nonacquiescence may create the least impact on the agency's policy in the short run, but it raises troubling separation of powers questions about the relationship between courts and agencies. 8'</w:t>
      </w:r>
    </w:p>
    <w:p w14:paraId="19EED3BE" w14:textId="77777777" w:rsidR="00D91D7C" w:rsidRPr="000A140F" w:rsidRDefault="00D91D7C" w:rsidP="00D91D7C">
      <w:pPr>
        <w:rPr>
          <w:sz w:val="16"/>
        </w:rPr>
      </w:pPr>
      <w:r w:rsidRPr="000A140F">
        <w:rPr>
          <w:sz w:val="16"/>
        </w:rPr>
        <w:t xml:space="preserve">Both proposed versions of </w:t>
      </w:r>
      <w:r w:rsidRPr="007D6256">
        <w:rPr>
          <w:rStyle w:val="Emphasis"/>
        </w:rPr>
        <w:t>the criminal liability exception</w:t>
      </w:r>
      <w:r w:rsidRPr="007D6256">
        <w:rPr>
          <w:rStyle w:val="StyleUnderline"/>
        </w:rPr>
        <w:t xml:space="preserve"> pose a danger of undermining agencies'</w:t>
      </w:r>
      <w:r w:rsidRPr="000A140F">
        <w:rPr>
          <w:sz w:val="16"/>
        </w:rPr>
        <w:t xml:space="preserve"> ability to use their </w:t>
      </w:r>
      <w:r w:rsidRPr="007D6256">
        <w:rPr>
          <w:rStyle w:val="Emphasis"/>
        </w:rPr>
        <w:t>expertise</w:t>
      </w:r>
      <w:r w:rsidRPr="007D6256">
        <w:rPr>
          <w:rStyle w:val="StyleUnderline"/>
        </w:rPr>
        <w:t xml:space="preserve"> to fashion </w:t>
      </w:r>
      <w:r w:rsidRPr="007D6256">
        <w:rPr>
          <w:rStyle w:val="Emphasis"/>
        </w:rPr>
        <w:t>coherent national policies</w:t>
      </w:r>
      <w:r w:rsidRPr="007D6256">
        <w:rPr>
          <w:rStyle w:val="StyleUnderline"/>
        </w:rPr>
        <w:t>.</w:t>
      </w:r>
      <w:r w:rsidRPr="000A140F">
        <w:rPr>
          <w:sz w:val="16"/>
        </w:rPr>
        <w:t xml:space="preserve"> Under the narrow version, the criminal liability exception would apply only in cases directly involving criminal sanctions. Therefore, </w:t>
      </w:r>
      <w:r w:rsidRPr="007D6256">
        <w:rPr>
          <w:rStyle w:val="StyleUnderline"/>
        </w:rPr>
        <w:t xml:space="preserve">courts would use </w:t>
      </w:r>
      <w:r w:rsidRPr="007D6256">
        <w:rPr>
          <w:rStyle w:val="Emphasis"/>
        </w:rPr>
        <w:t>different principles</w:t>
      </w:r>
      <w:r w:rsidRPr="007D6256">
        <w:rPr>
          <w:rStyle w:val="StyleUnderline"/>
        </w:rPr>
        <w:t xml:space="preserve"> to interpret </w:t>
      </w:r>
      <w:r w:rsidRPr="007D6256">
        <w:rPr>
          <w:rStyle w:val="Emphasis"/>
        </w:rPr>
        <w:t>the same statutory provisions</w:t>
      </w:r>
      <w:r w:rsidRPr="007D6256">
        <w:rPr>
          <w:rStyle w:val="StyleUnderline"/>
        </w:rPr>
        <w:t xml:space="preserve"> in </w:t>
      </w:r>
      <w:r w:rsidRPr="007D6256">
        <w:rPr>
          <w:rStyle w:val="Emphasis"/>
        </w:rPr>
        <w:t>two different contexts</w:t>
      </w:r>
      <w:r w:rsidRPr="000A140F">
        <w:rPr>
          <w:sz w:val="16"/>
        </w:rPr>
        <w:t>. That is, in a noncriminal case, courts potentially would apply Chevron deference to an agency's construction of its statute, but they potentially would invoke lenity while interpreting the identical construction in a criminal case. As demonstrated below, whether a court is prepared to apply Chevron or lenity, both sets of interpretative principles will sometimes yield the same answer.182 Nonetheless, where there is sufficient ambiguity to reach Chevron's second step, the two doctrines could lead to inconsistent interpretation of statutes: under Chevron, the agency's construction would prevail provided it was reasonable, but under lenity, even a reasonable construction might be struck down if it did not favor a criminal defendant.</w:t>
      </w:r>
    </w:p>
    <w:p w14:paraId="7A3DCDF4" w14:textId="77777777" w:rsidR="00D91D7C" w:rsidRPr="000A140F" w:rsidRDefault="00D91D7C" w:rsidP="00D91D7C">
      <w:pPr>
        <w:rPr>
          <w:sz w:val="16"/>
        </w:rPr>
      </w:pPr>
      <w:r w:rsidRPr="007D6256">
        <w:rPr>
          <w:rStyle w:val="Emphasis"/>
        </w:rPr>
        <w:t>The broad version</w:t>
      </w:r>
      <w:r w:rsidRPr="007D6256">
        <w:rPr>
          <w:rStyle w:val="StyleUnderline"/>
        </w:rPr>
        <w:t xml:space="preserve"> of </w:t>
      </w:r>
      <w:r w:rsidRPr="007D6256">
        <w:rPr>
          <w:rStyle w:val="Emphasis"/>
        </w:rPr>
        <w:t>the criminal liability exception</w:t>
      </w:r>
      <w:r w:rsidRPr="007D6256">
        <w:rPr>
          <w:rStyle w:val="StyleUnderline"/>
        </w:rPr>
        <w:t xml:space="preserve"> poses </w:t>
      </w:r>
      <w:r w:rsidRPr="007D6256">
        <w:rPr>
          <w:rStyle w:val="Emphasis"/>
        </w:rPr>
        <w:t>a greater threat</w:t>
      </w:r>
      <w:r w:rsidRPr="007D6256">
        <w:rPr>
          <w:rStyle w:val="StyleUnderline"/>
        </w:rPr>
        <w:t xml:space="preserve"> to undermine </w:t>
      </w:r>
      <w:r w:rsidRPr="007D6256">
        <w:rPr>
          <w:rStyle w:val="Emphasis"/>
        </w:rPr>
        <w:t>agency expertise</w:t>
      </w:r>
      <w:r w:rsidRPr="007D6256">
        <w:rPr>
          <w:rStyle w:val="StyleUnderline"/>
        </w:rPr>
        <w:t xml:space="preserve"> and </w:t>
      </w:r>
      <w:r w:rsidRPr="007D6256">
        <w:rPr>
          <w:rStyle w:val="Emphasis"/>
        </w:rPr>
        <w:t>policy coherence</w:t>
      </w:r>
      <w:r w:rsidRPr="000A140F">
        <w:rPr>
          <w:sz w:val="16"/>
        </w:rPr>
        <w:t xml:space="preserve"> than does the narrow version. Thus, in a facial challenge to a regulation whose violation might trigger criminal penalties, </w:t>
      </w:r>
      <w:r w:rsidRPr="007D6256">
        <w:rPr>
          <w:rStyle w:val="StyleUnderline"/>
        </w:rPr>
        <w:t>courts would face the decision whether to apply Chevron</w:t>
      </w:r>
      <w:r w:rsidRPr="000A140F">
        <w:rPr>
          <w:sz w:val="16"/>
        </w:rPr>
        <w:t xml:space="preserve"> to the agency's interpretation of its statutory mandate </w:t>
      </w:r>
      <w:r w:rsidRPr="007D6256">
        <w:rPr>
          <w:rStyle w:val="StyleUnderline"/>
        </w:rPr>
        <w:t xml:space="preserve">even though </w:t>
      </w:r>
      <w:r w:rsidRPr="007D6256">
        <w:rPr>
          <w:rStyle w:val="Emphasis"/>
        </w:rPr>
        <w:t>no criminal liability</w:t>
      </w:r>
      <w:r w:rsidRPr="007D6256">
        <w:rPr>
          <w:rStyle w:val="StyleUnderline"/>
        </w:rPr>
        <w:t xml:space="preserve"> was </w:t>
      </w:r>
      <w:r w:rsidRPr="007D6256">
        <w:rPr>
          <w:rStyle w:val="Emphasis"/>
        </w:rPr>
        <w:t>directly at issue</w:t>
      </w:r>
      <w:r w:rsidRPr="000A140F">
        <w:rPr>
          <w:sz w:val="16"/>
        </w:rPr>
        <w:t xml:space="preserve">.183 </w:t>
      </w:r>
      <w:r w:rsidRPr="007D6256">
        <w:rPr>
          <w:rStyle w:val="StyleUnderline"/>
        </w:rPr>
        <w:t>To decline</w:t>
      </w:r>
      <w:r w:rsidRPr="000A140F">
        <w:rPr>
          <w:sz w:val="16"/>
        </w:rPr>
        <w:t xml:space="preserve"> to apply </w:t>
      </w:r>
      <w:r w:rsidRPr="007D6256">
        <w:rPr>
          <w:rStyle w:val="StyleUnderline"/>
        </w:rPr>
        <w:t xml:space="preserve">Chevron in such a context would create </w:t>
      </w:r>
      <w:r w:rsidRPr="007D6256">
        <w:rPr>
          <w:rStyle w:val="Emphasis"/>
        </w:rPr>
        <w:t>a wider exception</w:t>
      </w:r>
      <w:r w:rsidRPr="000A140F">
        <w:rPr>
          <w:sz w:val="16"/>
        </w:rPr>
        <w:t xml:space="preserve"> than even some advocates of the criminal liability exception might favor.'84 Similarly, where an agency has promulgated a given set of regulations to implement both a criminal statute and a civil statute, 185 </w:t>
      </w:r>
      <w:r w:rsidRPr="007D6256">
        <w:rPr>
          <w:rStyle w:val="StyleUnderline"/>
        </w:rPr>
        <w:t>courts should refuse</w:t>
      </w:r>
      <w:r w:rsidRPr="000A140F">
        <w:rPr>
          <w:sz w:val="16"/>
        </w:rPr>
        <w:t xml:space="preserve"> calls to invoke </w:t>
      </w:r>
      <w:r w:rsidRPr="007D6256">
        <w:rPr>
          <w:rStyle w:val="StyleUnderline"/>
        </w:rPr>
        <w:t xml:space="preserve">lenity in cases involving </w:t>
      </w:r>
      <w:r w:rsidRPr="007D6256">
        <w:rPr>
          <w:rStyle w:val="Emphasis"/>
        </w:rPr>
        <w:t>only the civil statute</w:t>
      </w:r>
      <w:r w:rsidRPr="007D6256">
        <w:rPr>
          <w:rStyle w:val="StyleUnderline"/>
        </w:rPr>
        <w:t xml:space="preserve"> although </w:t>
      </w:r>
      <w:r w:rsidRPr="007D6256">
        <w:rPr>
          <w:rStyle w:val="Emphasis"/>
        </w:rPr>
        <w:t>the same regulations</w:t>
      </w:r>
      <w:r w:rsidRPr="007D6256">
        <w:rPr>
          <w:rStyle w:val="StyleUnderline"/>
        </w:rPr>
        <w:t xml:space="preserve"> might affect </w:t>
      </w:r>
      <w:r w:rsidRPr="000A140F">
        <w:rPr>
          <w:sz w:val="16"/>
        </w:rPr>
        <w:t xml:space="preserve">the interpretation of </w:t>
      </w:r>
      <w:r w:rsidRPr="007D6256">
        <w:rPr>
          <w:rStyle w:val="StyleUnderline"/>
        </w:rPr>
        <w:t>the criminal statute in another case</w:t>
      </w:r>
      <w:r w:rsidRPr="000A140F">
        <w:rPr>
          <w:sz w:val="16"/>
        </w:rPr>
        <w:t>. 8 6</w:t>
      </w:r>
    </w:p>
    <w:p w14:paraId="3012F0BE" w14:textId="77777777" w:rsidR="00D91D7C" w:rsidRDefault="00D91D7C" w:rsidP="00D91D7C">
      <w:pPr>
        <w:rPr>
          <w:sz w:val="16"/>
        </w:rPr>
      </w:pPr>
      <w:r>
        <w:rPr>
          <w:sz w:val="16"/>
        </w:rPr>
        <w:t xml:space="preserve">2. </w:t>
      </w:r>
      <w:r w:rsidRPr="000A140F">
        <w:rPr>
          <w:rStyle w:val="StyleUnderline"/>
        </w:rPr>
        <w:t xml:space="preserve">The Supreme Court Shoots Down </w:t>
      </w:r>
      <w:r w:rsidRPr="000A140F">
        <w:rPr>
          <w:rStyle w:val="Emphasis"/>
        </w:rPr>
        <w:t>the Broad Criminal Liability Exception</w:t>
      </w:r>
    </w:p>
    <w:p w14:paraId="61AA8077" w14:textId="77777777" w:rsidR="00D91D7C" w:rsidRDefault="00D91D7C" w:rsidP="00D91D7C">
      <w:pPr>
        <w:rPr>
          <w:sz w:val="16"/>
        </w:rPr>
      </w:pPr>
      <w:r w:rsidRPr="00573038">
        <w:rPr>
          <w:rStyle w:val="StyleUnderline"/>
        </w:rPr>
        <w:t>In Babbitt v. Sweet Home</w:t>
      </w:r>
      <w:r>
        <w:rPr>
          <w:sz w:val="16"/>
        </w:rPr>
        <w:t xml:space="preserve"> Chapter of Communities for a Great Oregon, 187 the Supreme Court squarely rejected the broad version of the criminal liability exception. 88 Sweet Home involved a challenge to a regulation issued by the Secretary of the Interior under the Endangered Species Act of 1973 (ESA). 89 The ESA authorizes the Secretary to designate species as endangered or threatened.1 9° Under section 9 of the ESA, it is unlawful for any person to "take" any endangered species.' 9' The statute defines "take" to "mean[] to harass, harm, pursue, hunt, shoot, wound, kill, trap, capture, or collect, or to attempt to engage in any such conduct."' 192 By regulation, the Secretary defined "harm" to "include significant habitat modification or degradation where it actually kills or injures wildlife.' 193</w:t>
      </w:r>
    </w:p>
    <w:p w14:paraId="650F2E18" w14:textId="77777777" w:rsidR="00D91D7C" w:rsidRDefault="00D91D7C" w:rsidP="00D91D7C">
      <w:pPr>
        <w:rPr>
          <w:sz w:val="16"/>
        </w:rPr>
      </w:pPr>
      <w:r>
        <w:rPr>
          <w:sz w:val="16"/>
        </w:rPr>
        <w:t>In a declaratory judgment action, the Sweet Home respondents claimed that the Secretary's "harm" defimition, by including habitat modification, impermissibly went beyond the statutory definition of "take."1 94 After their challenge was validated upon rehearing in the court of appeals' 95 and the Supreme Court granted certiorari, the respondents for the first time drew another arrow from their quiver and took aim not only at the Secretary's interpretation of the ESA but also at Chevron's applicability to the case.196 Because certain knowing violations of the ESA could ultimately trigger criminal penalties, 197 the Sweet Home respondents insisted that Chevron deference was inapplicable to the Secretary's allegedly expansive "harm" regulation.1 98 If the statute's "take" definition was ambiguous, the respondents continued, then it should be construed narrowly because of the rule of lenity.199</w:t>
      </w:r>
    </w:p>
    <w:p w14:paraId="126838E5" w14:textId="77777777" w:rsidR="00D91D7C" w:rsidRDefault="00D91D7C" w:rsidP="00D91D7C">
      <w:pPr>
        <w:rPr>
          <w:sz w:val="16"/>
        </w:rPr>
      </w:pPr>
      <w:r>
        <w:rPr>
          <w:sz w:val="16"/>
        </w:rPr>
        <w:t>Again writing for the Supreme Court, Justice Stevens, the author of Chevron, used only a few brief comments to shoot down the proposed broad criminal liability exception to Chevron.2° He pointed out that the lenity doctrine did not apply in this facial challenge to a regulation merely because those who violated the statute under which the regulation had been issued could face criminal penalties in other cases.20 1 Justice Stevens observed that the Court had "never suggested that the rule of lenity should provide the standard for reviewing facial challenges to administrative regulations whenever the governing statute authorizes criminal enforcement." 2</w:t>
      </w:r>
    </w:p>
    <w:p w14:paraId="435B6B6E" w14:textId="77777777" w:rsidR="00D91D7C" w:rsidRDefault="00D91D7C" w:rsidP="00D91D7C">
      <w:pPr>
        <w:rPr>
          <w:sz w:val="16"/>
        </w:rPr>
      </w:pPr>
      <w:r>
        <w:rPr>
          <w:sz w:val="16"/>
        </w:rPr>
        <w:t>Justice Stevens proceeded to distinguish United States v. Thompson/ Center Arms Co.,20 3 a case cited both by District of Columbia Circuit Judge Silberman when he suggested the possible criminal liability exception2 4 and by the Sweet Home respondents when they argued for the exception in their brief. 2 5 In ThompsonlCenter Arms, the Supreme Court had applied the rule of lenity in a case involving civil tax liability rather than criminal punishment.206 Writing for a three-Justice plurality, Justice Souter explained that the lenity rule was appropriate in this particular civil context because the statute "has criminal applications that carry no additional requirement of willfulness. ' 20 7 However, rather than holding that the doctrine of lenity trumped Chevron deference, the plurality in ThompsonlCenter Arms rejected the Government's contention that an agency interpretation of the disputed statutory term was really on point.20 Because "no regulation was present" in Thompson/Center Arms, Justice Stevens distinguished the earlier case from the facial challenge to the regulation in Sweet Home.209 The Sweet Home majority therefore found Chevron principles, not the lenity doctrine, applicable in this case, and it took away the Sweet Home respondents' victory in the court of appeals by holding that the Secretary's "harm" definition is a "reasonable" construction of an undefined statutory term. 210</w:t>
      </w:r>
    </w:p>
    <w:p w14:paraId="25352451" w14:textId="77777777" w:rsidR="00D91D7C" w:rsidRDefault="00D91D7C" w:rsidP="00D91D7C">
      <w:pPr>
        <w:rPr>
          <w:sz w:val="16"/>
        </w:rPr>
      </w:pPr>
      <w:r>
        <w:rPr>
          <w:sz w:val="16"/>
        </w:rPr>
        <w:t xml:space="preserve">The Court's opinion in </w:t>
      </w:r>
      <w:r w:rsidRPr="000A140F">
        <w:rPr>
          <w:rStyle w:val="Emphasis"/>
        </w:rPr>
        <w:t>Sweet Home</w:t>
      </w:r>
      <w:r>
        <w:rPr>
          <w:sz w:val="16"/>
        </w:rPr>
        <w:t xml:space="preserve"> also </w:t>
      </w:r>
      <w:r w:rsidRPr="000A140F">
        <w:rPr>
          <w:rStyle w:val="StyleUnderline"/>
        </w:rPr>
        <w:t xml:space="preserve">undermines </w:t>
      </w:r>
      <w:r w:rsidRPr="000A140F">
        <w:rPr>
          <w:rStyle w:val="Emphasis"/>
        </w:rPr>
        <w:t>the blanket argument</w:t>
      </w:r>
      <w:r w:rsidRPr="00573038">
        <w:t xml:space="preserve"> </w:t>
      </w:r>
      <w:r>
        <w:rPr>
          <w:sz w:val="16"/>
        </w:rPr>
        <w:t xml:space="preserve">that </w:t>
      </w:r>
      <w:r w:rsidRPr="000A140F">
        <w:rPr>
          <w:rStyle w:val="StyleUnderline"/>
        </w:rPr>
        <w:t xml:space="preserve">Chevron deference is </w:t>
      </w:r>
      <w:r w:rsidRPr="000A140F">
        <w:rPr>
          <w:rStyle w:val="Emphasis"/>
        </w:rPr>
        <w:t>inapposite</w:t>
      </w:r>
      <w:r w:rsidRPr="000A140F">
        <w:rPr>
          <w:rStyle w:val="StyleUnderline"/>
        </w:rPr>
        <w:t xml:space="preserve"> to administrative crimes because</w:t>
      </w:r>
      <w:r>
        <w:rPr>
          <w:rStyle w:val="StyleUnderline"/>
        </w:rPr>
        <w:t xml:space="preserve"> </w:t>
      </w:r>
      <w:r w:rsidRPr="000A140F">
        <w:rPr>
          <w:rStyle w:val="StyleUnderline"/>
        </w:rPr>
        <w:t>"[a]gencies have no expertise to determine what conduct deserves</w:t>
      </w:r>
      <w:r>
        <w:rPr>
          <w:rStyle w:val="StyleUnderline"/>
        </w:rPr>
        <w:t xml:space="preserve"> </w:t>
      </w:r>
      <w:r w:rsidRPr="000A140F">
        <w:rPr>
          <w:rStyle w:val="StyleUnderline"/>
        </w:rPr>
        <w:t xml:space="preserve">the criminal penalty."' </w:t>
      </w:r>
      <w:r>
        <w:rPr>
          <w:sz w:val="16"/>
        </w:rPr>
        <w:t xml:space="preserve">211 One can certainly imagine an agency offering its construction of an undefined term in its organic statute's criminal penalty provision. For example, terms such as "good faith" in OSHA's penalty provision 212 might be the subject of an agency regulation or adjudicative interpretation, and such interpretations are comparatively unlikely to reflect an agency's particular expertise. However, </w:t>
      </w:r>
      <w:r w:rsidRPr="000A140F">
        <w:rPr>
          <w:rStyle w:val="StyleUnderline"/>
        </w:rPr>
        <w:t xml:space="preserve">agencies </w:t>
      </w:r>
      <w:r w:rsidRPr="000A140F">
        <w:rPr>
          <w:rStyle w:val="Emphasis"/>
        </w:rPr>
        <w:t>frequently do</w:t>
      </w:r>
      <w:r>
        <w:rPr>
          <w:rStyle w:val="Emphasis"/>
        </w:rPr>
        <w:t xml:space="preserve"> </w:t>
      </w:r>
      <w:r w:rsidRPr="000A140F">
        <w:rPr>
          <w:rStyle w:val="Emphasis"/>
        </w:rPr>
        <w:t>exercise</w:t>
      </w:r>
      <w:r w:rsidRPr="000A140F">
        <w:rPr>
          <w:rStyle w:val="StyleUnderline"/>
        </w:rPr>
        <w:t xml:space="preserve"> their expertise when they construe </w:t>
      </w:r>
      <w:r w:rsidRPr="000A140F">
        <w:rPr>
          <w:rStyle w:val="Emphasis"/>
        </w:rPr>
        <w:t>their organic statutes</w:t>
      </w:r>
      <w:r>
        <w:rPr>
          <w:sz w:val="16"/>
        </w:rPr>
        <w:t xml:space="preserve"> </w:t>
      </w:r>
      <w:r w:rsidRPr="000A140F">
        <w:rPr>
          <w:rStyle w:val="StyleUnderline"/>
        </w:rPr>
        <w:t>in ways</w:t>
      </w:r>
      <w:r>
        <w:rPr>
          <w:rStyle w:val="StyleUnderline"/>
        </w:rPr>
        <w:t xml:space="preserve"> </w:t>
      </w:r>
      <w:r w:rsidRPr="000A140F">
        <w:rPr>
          <w:rStyle w:val="StyleUnderline"/>
        </w:rPr>
        <w:t xml:space="preserve">that </w:t>
      </w:r>
      <w:r w:rsidRPr="000A140F">
        <w:rPr>
          <w:rStyle w:val="Emphasis"/>
        </w:rPr>
        <w:t>only indirectly create</w:t>
      </w:r>
      <w:r w:rsidRPr="000A140F">
        <w:rPr>
          <w:rStyle w:val="StyleUnderline"/>
        </w:rPr>
        <w:t xml:space="preserve"> criminal liability</w:t>
      </w:r>
      <w:r>
        <w:rPr>
          <w:sz w:val="16"/>
        </w:rPr>
        <w:t>. To take just one typical example, the issue in Sweet Home involved a key term in the statute, the agency's interpretation of the undefined term reflected its "regulatory expertise, ' 21 3 and the decision to accept the agency's regulation as permissible affected much more than the agency's ability to seek criminal penalties. Regardless of the occasional criminal enforcement proceeding, had the Court rejected the agency's "harm" regulation as impermissible, the ability of the agency to use the ESA to protect endangered and threatened species on private land would have been radically altered. 2 4</w:t>
      </w:r>
    </w:p>
    <w:p w14:paraId="02BF0A9A" w14:textId="77777777" w:rsidR="00D91D7C" w:rsidRPr="000A140F" w:rsidRDefault="00D91D7C" w:rsidP="00D91D7C">
      <w:pPr>
        <w:rPr>
          <w:sz w:val="16"/>
        </w:rPr>
      </w:pPr>
      <w:r w:rsidRPr="000A140F">
        <w:rPr>
          <w:sz w:val="16"/>
        </w:rPr>
        <w:t xml:space="preserve">3. </w:t>
      </w:r>
      <w:r w:rsidRPr="000A140F">
        <w:rPr>
          <w:rStyle w:val="StyleUnderline"/>
        </w:rPr>
        <w:t>Lenity's</w:t>
      </w:r>
      <w:r w:rsidRPr="000A140F">
        <w:rPr>
          <w:sz w:val="16"/>
        </w:rPr>
        <w:t xml:space="preserve"> Potentially </w:t>
      </w:r>
      <w:r w:rsidRPr="000A140F">
        <w:rPr>
          <w:rStyle w:val="Emphasis"/>
        </w:rPr>
        <w:t>Expansive Impact</w:t>
      </w:r>
    </w:p>
    <w:p w14:paraId="76065AE2" w14:textId="77777777" w:rsidR="00D91D7C" w:rsidRDefault="00D91D7C" w:rsidP="00D91D7C">
      <w:pPr>
        <w:rPr>
          <w:sz w:val="16"/>
        </w:rPr>
      </w:pPr>
      <w:r w:rsidRPr="000A140F">
        <w:rPr>
          <w:sz w:val="16"/>
        </w:rPr>
        <w:t xml:space="preserve">Adoption of </w:t>
      </w:r>
      <w:r w:rsidRPr="000A140F">
        <w:rPr>
          <w:rStyle w:val="StyleUnderline"/>
        </w:rPr>
        <w:t>the criminal</w:t>
      </w:r>
      <w:r w:rsidRPr="000A140F">
        <w:rPr>
          <w:sz w:val="16"/>
        </w:rPr>
        <w:t xml:space="preserve"> liability </w:t>
      </w:r>
      <w:r w:rsidRPr="000A140F">
        <w:rPr>
          <w:rStyle w:val="StyleUnderline"/>
        </w:rPr>
        <w:t>exception would</w:t>
      </w:r>
      <w:r w:rsidRPr="000A140F">
        <w:rPr>
          <w:sz w:val="16"/>
        </w:rPr>
        <w:t xml:space="preserve"> threaten to </w:t>
      </w:r>
      <w:r w:rsidRPr="000A140F">
        <w:rPr>
          <w:rStyle w:val="StyleUnderline"/>
        </w:rPr>
        <w:t xml:space="preserve">undermine </w:t>
      </w:r>
      <w:r w:rsidRPr="000A140F">
        <w:rPr>
          <w:rStyle w:val="Emphasis"/>
        </w:rPr>
        <w:t>national uniformity</w:t>
      </w:r>
      <w:r w:rsidRPr="000A140F">
        <w:rPr>
          <w:sz w:val="16"/>
        </w:rPr>
        <w:t xml:space="preserve"> in a number of contexts </w:t>
      </w:r>
      <w:r w:rsidRPr="000A140F">
        <w:rPr>
          <w:rStyle w:val="StyleUnderline"/>
        </w:rPr>
        <w:t xml:space="preserve">because the exception cannot be </w:t>
      </w:r>
      <w:r w:rsidRPr="000A140F">
        <w:rPr>
          <w:rStyle w:val="Emphasis"/>
        </w:rPr>
        <w:t>narrowly applied</w:t>
      </w:r>
      <w:r w:rsidRPr="000A140F">
        <w:rPr>
          <w:sz w:val="16"/>
        </w:rPr>
        <w:t xml:space="preserve"> to require a clear statement from Congress only when it defines crime. To refuse to apply Chevron deference where an agency has interpreted a crime-defining statute would seem to imply that courts should also skip the Chevron two-step in any of the other types of situations where the rule of lenity is potentially applicable.215 However, as an empirical matter, courts have applied Chevron or similar doctrines in a number of such circumstances. And, </w:t>
      </w:r>
      <w:r w:rsidRPr="000A140F">
        <w:rPr>
          <w:rStyle w:val="StyleUnderline"/>
        </w:rPr>
        <w:t xml:space="preserve">as </w:t>
      </w:r>
      <w:r w:rsidRPr="000A140F">
        <w:rPr>
          <w:rStyle w:val="Emphasis"/>
        </w:rPr>
        <w:t>a doctrinal matter</w:t>
      </w:r>
      <w:r w:rsidRPr="000A140F">
        <w:rPr>
          <w:rStyle w:val="StyleUnderline"/>
        </w:rPr>
        <w:t xml:space="preserve">, there is </w:t>
      </w:r>
      <w:r w:rsidRPr="000A140F">
        <w:rPr>
          <w:rStyle w:val="Emphasis"/>
        </w:rPr>
        <w:t>no consistent way</w:t>
      </w:r>
      <w:r w:rsidRPr="000A140F">
        <w:rPr>
          <w:rStyle w:val="StyleUnderline"/>
        </w:rPr>
        <w:t xml:space="preserve"> to keep the criminal liability exception </w:t>
      </w:r>
      <w:r w:rsidRPr="000A140F">
        <w:rPr>
          <w:rStyle w:val="Emphasis"/>
        </w:rPr>
        <w:t>narrow</w:t>
      </w:r>
      <w:r w:rsidRPr="000A140F">
        <w:rPr>
          <w:sz w:val="16"/>
        </w:rPr>
        <w:t xml:space="preserve"> if it is applied at all.</w:t>
      </w:r>
    </w:p>
    <w:p w14:paraId="6EE9E6F5" w14:textId="1780C342" w:rsidR="00D91D7C" w:rsidRPr="00D91D7C" w:rsidRDefault="00D91D7C" w:rsidP="00D91D7C">
      <w:pPr>
        <w:pStyle w:val="Heading4"/>
      </w:pPr>
      <w:r>
        <w:t xml:space="preserve">Lenity last serves the </w:t>
      </w:r>
      <w:r>
        <w:rPr>
          <w:i/>
          <w:iCs w:val="0"/>
        </w:rPr>
        <w:t>Chevron</w:t>
      </w:r>
      <w:r>
        <w:t xml:space="preserve"> framework – the aff </w:t>
      </w:r>
      <w:r>
        <w:rPr>
          <w:u w:val="single"/>
        </w:rPr>
        <w:t>does violence</w:t>
      </w:r>
      <w:r>
        <w:t xml:space="preserve"> to doctrinal consistency.</w:t>
      </w:r>
    </w:p>
    <w:p w14:paraId="1E4E3B9E" w14:textId="77777777" w:rsidR="00D91D7C" w:rsidRDefault="00D91D7C" w:rsidP="00D91D7C">
      <w:r w:rsidRPr="00934A2D">
        <w:rPr>
          <w:rStyle w:val="Style13ptBold"/>
        </w:rPr>
        <w:t>Rubenstein 07</w:t>
      </w:r>
      <w:r>
        <w:t xml:space="preserve"> (David Rubenstein, founder of private equity firm Carlyle Group, Administrative Law Review, p517-520, Vol59 No3, “Putting the Immigration Rule of Lenity In Its Proper Place: A Tool of Last Resort after Chevron”)</w:t>
      </w:r>
    </w:p>
    <w:p w14:paraId="3A51E48E" w14:textId="77777777" w:rsidR="00D91D7C" w:rsidRPr="00B766BD" w:rsidRDefault="00D91D7C" w:rsidP="00D91D7C">
      <w:r>
        <w:t>-This card uses “alien” so some people may want to change that and put a note in the cite</w:t>
      </w:r>
    </w:p>
    <w:p w14:paraId="72B9F25A" w14:textId="77777777" w:rsidR="00D91D7C" w:rsidRPr="001D7C8C" w:rsidRDefault="00D91D7C" w:rsidP="00D91D7C">
      <w:pPr>
        <w:rPr>
          <w:sz w:val="16"/>
        </w:rPr>
      </w:pPr>
      <w:r w:rsidRPr="001D7C8C">
        <w:rPr>
          <w:sz w:val="16"/>
        </w:rPr>
        <w:t xml:space="preserve">While </w:t>
      </w:r>
      <w:r w:rsidRPr="00934A2D">
        <w:rPr>
          <w:rStyle w:val="StyleUnderline"/>
        </w:rPr>
        <w:t>the rule of lenity has no place within Chevron's two-step framework, a role for lenity exists beyond Chevron-after the court determines that: (1) the statute is ambiguous; and (2) the agency's interpretation is unreasonable.</w:t>
      </w:r>
      <w:r w:rsidRPr="001D7C8C">
        <w:rPr>
          <w:sz w:val="16"/>
        </w:rPr>
        <w:t xml:space="preserve"> The Ninth Circuit's decision in Cuevas-Gaspar v. Gonzales239 illustrates this approach. </w:t>
      </w:r>
      <w:r w:rsidRPr="00934A2D">
        <w:rPr>
          <w:rStyle w:val="StyleUnderline"/>
        </w:rPr>
        <w:t>The issue</w:t>
      </w:r>
      <w:r w:rsidRPr="001D7C8C">
        <w:rPr>
          <w:sz w:val="16"/>
        </w:rPr>
        <w:t xml:space="preserve"> before the court in Cuevas-Gaspar </w:t>
      </w:r>
      <w:r w:rsidRPr="00934A2D">
        <w:rPr>
          <w:rStyle w:val="StyleUnderline"/>
        </w:rPr>
        <w:t>was whether an alien's presence in the United States as a minor residing with his lawfully admitted mother should count towards the seven-year residency requirement for cancellation of removal eligibility.</w:t>
      </w:r>
      <w:r w:rsidRPr="001D7C8C">
        <w:rPr>
          <w:sz w:val="16"/>
        </w:rPr>
        <w:t xml:space="preserve"> 240 The alien had been admitted to the United States as a lawful permanent resident in 1997, although his mother had attained that status in 1990.241 </w:t>
      </w:r>
      <w:r w:rsidRPr="00934A2D">
        <w:rPr>
          <w:rStyle w:val="StyleUnderline"/>
        </w:rPr>
        <w:t>The alien was placed in removal proceedings in 2003-less than seven years after he had acquired lawful permanent status</w:t>
      </w:r>
      <w:r w:rsidRPr="001D7C8C">
        <w:rPr>
          <w:sz w:val="16"/>
        </w:rPr>
        <w:t xml:space="preserve">-and the Immigration </w:t>
      </w:r>
      <w:r w:rsidRPr="00934A2D">
        <w:rPr>
          <w:rStyle w:val="StyleUnderline"/>
        </w:rPr>
        <w:t>Judge ordered him removable based on his conviction for a crime of moral turpitude</w:t>
      </w:r>
      <w:r w:rsidRPr="001D7C8C">
        <w:rPr>
          <w:sz w:val="16"/>
        </w:rPr>
        <w:t xml:space="preserve">.242 Specifically, the Immigration Judge pretermitted the alien's application for cancellation of removal on the ground that he had not acquired the requisite seven years of continuous residence in the United States prior to being placed into proceedings.243 </w:t>
      </w:r>
      <w:r w:rsidRPr="00934A2D">
        <w:rPr>
          <w:rStyle w:val="StyleUnderline"/>
        </w:rPr>
        <w:t>The alien argued</w:t>
      </w:r>
      <w:r w:rsidRPr="001D7C8C">
        <w:rPr>
          <w:sz w:val="16"/>
        </w:rPr>
        <w:t xml:space="preserve"> on appeal to the BIA that </w:t>
      </w:r>
      <w:r w:rsidRPr="001D7C8C">
        <w:rPr>
          <w:rStyle w:val="StyleUnderline"/>
        </w:rPr>
        <w:t>he had satisfied the seven-year continuous resident requirement because his presence in the United States as a minor residing with his lawfully admitted mother should have counted towards the period</w:t>
      </w:r>
      <w:r w:rsidRPr="001D7C8C">
        <w:rPr>
          <w:sz w:val="16"/>
        </w:rPr>
        <w:t>. The BIA rejected the claim. 244</w:t>
      </w:r>
    </w:p>
    <w:p w14:paraId="62934D92" w14:textId="77777777" w:rsidR="00D91D7C" w:rsidRPr="001D7C8C" w:rsidRDefault="00D91D7C" w:rsidP="00D91D7C">
      <w:pPr>
        <w:rPr>
          <w:sz w:val="16"/>
        </w:rPr>
      </w:pPr>
      <w:r w:rsidRPr="001D7C8C">
        <w:rPr>
          <w:sz w:val="16"/>
        </w:rPr>
        <w:t>[Begin footnote] If and when the Second Circuit attempts to reconcile these decisions, Rosario likely will yield, as the holding in that case arguably did not depend on the rule of lenity, which was but one of several factors that "supported" the court's conclusion that the BIA's interpretation of the statute was unreasonable. Moreover, Rosario-unlike RuizAlmanzar--did not directly address the conflict between Chevron deference and lenity. 238. 382 F.3d 864, 868 (8th Cir. 2004) (internal marks and citations omitted). AmadorPolamares involved an alien who entered the country illegally without inspection and was later convicted for possession of marijuana and solicitation of a prostitute. In the course of the alien's removal proceedings, the Immigration Judge denied his application for suspension of deportation on the ground that his solicitation offense rendered him lacking, per se, in good moral character, and thus ineligible for the relief he sought. On appeal to the BIA, the alien contended that his single conviction for solicitation did not render him per se lacking in good moral character under the relevant statutory provisions. The BIA affirmed without a separate opinion, and the Eighth Circuit affirmed the BIA. See generally id. 239. 430 F.3d 1013 (9th Cir. 2005). 240. Id. at 1021. 241. Id. 242. Id. at 1016-17. [End footnote]</w:t>
      </w:r>
    </w:p>
    <w:p w14:paraId="4813C303" w14:textId="77777777" w:rsidR="00D91D7C" w:rsidRPr="001D7C8C" w:rsidRDefault="00D91D7C" w:rsidP="00D91D7C">
      <w:pPr>
        <w:rPr>
          <w:sz w:val="16"/>
        </w:rPr>
      </w:pPr>
      <w:r w:rsidRPr="001D7C8C">
        <w:rPr>
          <w:sz w:val="16"/>
        </w:rPr>
        <w:t xml:space="preserve">In reviewing the BIA's decision, </w:t>
      </w:r>
      <w:r w:rsidRPr="001D7C8C">
        <w:rPr>
          <w:rStyle w:val="StyleUnderline"/>
        </w:rPr>
        <w:t>the Ninth Circuit applied Chevron's two-step framework</w:t>
      </w:r>
      <w:r w:rsidRPr="001D7C8C">
        <w:rPr>
          <w:sz w:val="16"/>
        </w:rPr>
        <w:t xml:space="preserve">. 245 First, </w:t>
      </w:r>
      <w:r w:rsidRPr="001D7C8C">
        <w:rPr>
          <w:rStyle w:val="StyleUnderline"/>
        </w:rPr>
        <w:t>it found that the relevant statute was "silent as to whether a parent's status may be imputed to the parent's emancipated minor child for purposes of satisfying</w:t>
      </w:r>
      <w:r w:rsidRPr="001D7C8C">
        <w:rPr>
          <w:sz w:val="16"/>
        </w:rPr>
        <w:t xml:space="preserve">" the seven-year continuous residence requirement.246 </w:t>
      </w:r>
      <w:r w:rsidRPr="001D7C8C">
        <w:rPr>
          <w:rStyle w:val="StyleUnderline"/>
        </w:rPr>
        <w:t>The court then proceeded, under Chevron step two, to determine whether the BIA's interpretation was reasonable.</w:t>
      </w:r>
      <w:r w:rsidRPr="001D7C8C">
        <w:rPr>
          <w:sz w:val="16"/>
        </w:rPr>
        <w:t xml:space="preserve"> 247 After considering the "context of the statute as a whole," </w:t>
      </w:r>
      <w:r w:rsidRPr="001D7C8C">
        <w:rPr>
          <w:rStyle w:val="StyleUnderline"/>
        </w:rPr>
        <w:t>the court determined that the "BIA's interpretation [was] unreasonable," and thus the court owed the BIA no deference.248 The court then proceeded to justify its own interpretation-that a parent's lawful permanent status could be imputed to minor children-as being consistent with the legislative purpose and intent of the cancellation of removal statutory scheme and the rule of lenity</w:t>
      </w:r>
      <w:r w:rsidRPr="001D7C8C">
        <w:rPr>
          <w:sz w:val="16"/>
        </w:rPr>
        <w:t>.249</w:t>
      </w:r>
    </w:p>
    <w:p w14:paraId="392D3649" w14:textId="77777777" w:rsidR="00D91D7C" w:rsidRPr="001D7C8C" w:rsidRDefault="00D91D7C" w:rsidP="00D91D7C">
      <w:pPr>
        <w:rPr>
          <w:rStyle w:val="StyleUnderline"/>
        </w:rPr>
      </w:pPr>
      <w:r w:rsidRPr="001D7C8C">
        <w:rPr>
          <w:rStyle w:val="StyleUnderline"/>
        </w:rPr>
        <w:t>Employing the rule of lenity as a consideration after determining that the court owes no Chevron deference-as the court did in Cuevas-Gaspar v. Gonzales-is the proper approach because it best effectuates Congress's intent that the Attorney General and his delegates (not the courts) resolve statutory ambiguities in the first instance.</w:t>
      </w:r>
      <w:r w:rsidRPr="001D7C8C">
        <w:rPr>
          <w:sz w:val="16"/>
        </w:rPr>
        <w:t xml:space="preserve">250 </w:t>
      </w:r>
      <w:r w:rsidRPr="001D7C8C">
        <w:rPr>
          <w:rStyle w:val="StyleUnderline"/>
        </w:rPr>
        <w:t>Courts are then free to consider the rule of lenity in construing the statute in favor of aliens if, and only if, the agency's interpretation is unreasonable.</w:t>
      </w:r>
    </w:p>
    <w:p w14:paraId="16887373" w14:textId="77777777" w:rsidR="00D91D7C" w:rsidRPr="001D7C8C" w:rsidRDefault="00D91D7C" w:rsidP="00D91D7C">
      <w:pPr>
        <w:rPr>
          <w:sz w:val="16"/>
        </w:rPr>
      </w:pPr>
      <w:r w:rsidRPr="001D7C8C">
        <w:rPr>
          <w:sz w:val="16"/>
        </w:rPr>
        <w:t xml:space="preserve">[Begin footnote] 243. Id. Under the so-called "stop-time rule" enacted as part of the Illegal Immigration Reform and Immigrant Responsibility Act of 1996, Pub. L. No. 104-208, § 304(d), 110 Stat. 3009-587 (1996), the accrual of continuous residence required for cancellation of removal ends when deportation proceedings commence, or when the alien commits certain offenses. See INA § 240A(d), 8 U.S.C. § 1229b(d). 244. Cuevas-Gaspar, 430 F.3d at 1017. 245. Id. at 1022-26. 246. Id. at 1022. 247. Id. at 1024-26. 248. Id. at 1026. 249. Id. at 1028-29 ("Finally, we note that our interpretation adheres to the general canon of construction that resolves ambiguities in favor of the alien.") (citing INS v. CardozaFonseca, 480 U.S. 421, 449 (1987)). 250. Cf Krzalic v. Republic Title Co., 314 F.3d 875, 877-78 (7th Cir. 2002) (Posner, J.) (explaining that Chevron "hands over (with certain qualifications) interpretive responsibility to the officials responsible for making policy judgments, when the ordinary interpretive tools used by courts, such as textual interpretation, do not work well"). [End footnote] </w:t>
      </w:r>
    </w:p>
    <w:p w14:paraId="0BC1CFF5" w14:textId="77777777" w:rsidR="00D91D7C" w:rsidRPr="001D7C8C" w:rsidRDefault="00D91D7C" w:rsidP="00D91D7C">
      <w:pPr>
        <w:rPr>
          <w:sz w:val="16"/>
        </w:rPr>
      </w:pPr>
      <w:r w:rsidRPr="001D7C8C">
        <w:rPr>
          <w:rStyle w:val="StyleUnderline"/>
        </w:rPr>
        <w:t>This approach is not only most consistent with the principles underlying the Chevron and plenary doctrines, but is also most consistent with the rule of lenity, which courts traditionally employ only as a doctrine of "last resort.</w:t>
      </w:r>
      <w:r w:rsidRPr="001D7C8C">
        <w:rPr>
          <w:sz w:val="16"/>
        </w:rPr>
        <w:t xml:space="preserve">",251 </w:t>
      </w:r>
      <w:r w:rsidRPr="001D7C8C">
        <w:rPr>
          <w:rStyle w:val="StyleUnderline"/>
        </w:rPr>
        <w:t>To say that the immigration rule of lenity has no place within Chevron is neither an abdication of the rule itself nor of the venerable policy interests it aims to promote</w:t>
      </w:r>
      <w:r w:rsidRPr="001D7C8C">
        <w:rPr>
          <w:sz w:val="16"/>
        </w:rPr>
        <w:t>. It simply puts those policy considerations in their proper place in relation to more compelling policy interests advanced by the Chevron and plenary doctrines.</w:t>
      </w:r>
    </w:p>
    <w:p w14:paraId="6CD97EFF" w14:textId="14518369" w:rsidR="00D91D7C" w:rsidRDefault="00D91D7C" w:rsidP="00D91D7C">
      <w:pPr>
        <w:rPr>
          <w:sz w:val="16"/>
        </w:rPr>
      </w:pPr>
      <w:r w:rsidRPr="001D7C8C">
        <w:rPr>
          <w:sz w:val="16"/>
        </w:rPr>
        <w:t xml:space="preserve">This Article reconciles the conflict between the rule of lenity and Chevron in cases where the Attorney General's interpretation of ambiguous immigration statutes inures to an alien's detriment. While </w:t>
      </w:r>
      <w:r w:rsidRPr="001D7C8C">
        <w:rPr>
          <w:rStyle w:val="StyleUnderline"/>
        </w:rPr>
        <w:t>the rule of lenity calls for favorable statutory interpretations of ambiguous immigration statutes</w:t>
      </w:r>
      <w:r w:rsidRPr="001D7C8C">
        <w:rPr>
          <w:sz w:val="16"/>
        </w:rPr>
        <w:t xml:space="preserve">, </w:t>
      </w:r>
      <w:r w:rsidRPr="001D7C8C">
        <w:rPr>
          <w:rStyle w:val="StyleUnderline"/>
        </w:rPr>
        <w:t>Chevron more broadly demands that courts defer to reasonable agency interpretations. Approaches that seek to reconcile the conflict by incorporating the rule of lenity within Chevron's two-step framework do violence to the competing doctrines at issue. The better approach is for courts to employ the rule of lenity as a tool of last resort only after the court first finds that the statute is ambiguous and that the agency's interpretation is</w:t>
      </w:r>
      <w:r>
        <w:rPr>
          <w:rStyle w:val="StyleUnderline"/>
        </w:rPr>
        <w:t xml:space="preserve"> </w:t>
      </w:r>
      <w:r w:rsidRPr="001D7C8C">
        <w:rPr>
          <w:rStyle w:val="StyleUnderline"/>
        </w:rPr>
        <w:t>unreasonable</w:t>
      </w:r>
      <w:r w:rsidRPr="001D7C8C">
        <w:rPr>
          <w:sz w:val="16"/>
        </w:rPr>
        <w:t xml:space="preserve">. </w:t>
      </w:r>
      <w:r w:rsidRPr="001D7C8C">
        <w:rPr>
          <w:rStyle w:val="StyleUnderline"/>
        </w:rPr>
        <w:t>This approach comports most with the principles underlying both the Chevron and plenary doctrines</w:t>
      </w:r>
      <w:r w:rsidRPr="001D7C8C">
        <w:rPr>
          <w:sz w:val="16"/>
        </w:rPr>
        <w:t xml:space="preserve">. </w:t>
      </w:r>
      <w:r w:rsidRPr="001D7C8C">
        <w:rPr>
          <w:rStyle w:val="StyleUnderline"/>
        </w:rPr>
        <w:t>It is also most consistent with the rule of lenity itself</w:t>
      </w:r>
      <w:r w:rsidRPr="001D7C8C">
        <w:rPr>
          <w:sz w:val="16"/>
        </w:rPr>
        <w:t>, which is meant to be applied as a thumb on the scale only when there is nothing left from which to choose.</w:t>
      </w:r>
    </w:p>
    <w:p w14:paraId="78F7193E" w14:textId="77777777" w:rsidR="00516959" w:rsidRPr="00950C2F" w:rsidRDefault="00516959" w:rsidP="00516959">
      <w:pPr>
        <w:pStyle w:val="Heading4"/>
      </w:pPr>
      <w:r>
        <w:t xml:space="preserve">Lenity over </w:t>
      </w:r>
      <w:r>
        <w:rPr>
          <w:i/>
          <w:iCs w:val="0"/>
        </w:rPr>
        <w:t>Chevron</w:t>
      </w:r>
      <w:r>
        <w:t xml:space="preserve"> curtails the doctrine.</w:t>
      </w:r>
    </w:p>
    <w:p w14:paraId="3A9067D2" w14:textId="77777777" w:rsidR="00516959" w:rsidRPr="00950C2F" w:rsidRDefault="00516959" w:rsidP="00516959">
      <w:r w:rsidRPr="00950C2F">
        <w:rPr>
          <w:rStyle w:val="Style13ptBold"/>
        </w:rPr>
        <w:t>Hickman 7</w:t>
      </w:r>
      <w:r>
        <w:t xml:space="preserve"> – Kristin E. Hickman, Law Professor at the University of Minnesota. [Of Lenity, Chevron, and KPMG, 26 Va. Tax Rev. 905, https://scholarship.law.umn.edu/cgi/viewcontent.cgi?article=1068&amp;context=faculty_articles]//BPS</w:t>
      </w:r>
    </w:p>
    <w:p w14:paraId="50EBA659" w14:textId="77777777" w:rsidR="00516959" w:rsidRPr="001A00BC" w:rsidRDefault="00516959" w:rsidP="00516959">
      <w:pPr>
        <w:rPr>
          <w:sz w:val="16"/>
        </w:rPr>
      </w:pPr>
      <w:r w:rsidRPr="00950C2F">
        <w:rPr>
          <w:sz w:val="16"/>
        </w:rPr>
        <w:t xml:space="preserve">Nevertheless, despite the Court's reference to lenity in its Brand X opinion, </w:t>
      </w:r>
      <w:r w:rsidRPr="00456038">
        <w:rPr>
          <w:rStyle w:val="StyleUnderline"/>
          <w:highlight w:val="cyan"/>
        </w:rPr>
        <w:t xml:space="preserve">it is </w:t>
      </w:r>
      <w:r w:rsidRPr="00456038">
        <w:rPr>
          <w:rStyle w:val="Emphasis"/>
          <w:highlight w:val="cyan"/>
        </w:rPr>
        <w:t>difficult to reconcile</w:t>
      </w:r>
      <w:r w:rsidRPr="00456038">
        <w:rPr>
          <w:rStyle w:val="StyleUnderline"/>
          <w:highlight w:val="cyan"/>
        </w:rPr>
        <w:t xml:space="preserve"> the</w:t>
      </w:r>
      <w:r w:rsidRPr="006B4290">
        <w:rPr>
          <w:rStyle w:val="StyleUnderline"/>
        </w:rPr>
        <w:t xml:space="preserve"> Court's </w:t>
      </w:r>
      <w:r w:rsidRPr="00456038">
        <w:rPr>
          <w:rStyle w:val="StyleUnderline"/>
          <w:highlight w:val="cyan"/>
        </w:rPr>
        <w:t>holding</w:t>
      </w:r>
      <w:r w:rsidRPr="00950C2F">
        <w:rPr>
          <w:sz w:val="16"/>
        </w:rPr>
        <w:t xml:space="preserve"> in that case </w:t>
      </w:r>
      <w:r w:rsidRPr="006B4290">
        <w:rPr>
          <w:rStyle w:val="StyleUnderline"/>
        </w:rPr>
        <w:t xml:space="preserve">with </w:t>
      </w:r>
      <w:r w:rsidRPr="00456038">
        <w:rPr>
          <w:rStyle w:val="StyleUnderline"/>
          <w:highlight w:val="cyan"/>
        </w:rPr>
        <w:t xml:space="preserve">giving lenity </w:t>
      </w:r>
      <w:r w:rsidRPr="00456038">
        <w:rPr>
          <w:rStyle w:val="Emphasis"/>
          <w:highlight w:val="cyan"/>
        </w:rPr>
        <w:t>precedence over Chevron</w:t>
      </w:r>
      <w:r w:rsidRPr="006B4290">
        <w:rPr>
          <w:rStyle w:val="Emphasis"/>
        </w:rPr>
        <w:t xml:space="preserve"> deference</w:t>
      </w:r>
      <w:r w:rsidRPr="00950C2F">
        <w:rPr>
          <w:sz w:val="16"/>
        </w:rPr>
        <w:t xml:space="preserve">. Brand X involved an agency interpretation of the Communications Act, advanced through a Chevron-eligible format, that in effect overturned an earlier reading of that statute adopted by the Ninth Circuit.14 The Court held that, notwithstanding the appellate court's earlier resolution of the statute's meaning, because the statutory language was itself ambiguous, the agency's subsequent contrary interpretation was entitled to Chevron deference. 142 The primary rationale behind the Court's decision to apply Chevron under such circumstances was "to leave the discretion provided by the ambiguities of a statute with the implementing agency" so that the agency could "consider varying interpretations and the wisdom of its policy on a continuing basis., 143 </w:t>
      </w:r>
      <w:r w:rsidRPr="00950C2F">
        <w:rPr>
          <w:rStyle w:val="StyleUnderline"/>
        </w:rPr>
        <w:t xml:space="preserve">Utilizing the rule of </w:t>
      </w:r>
      <w:r w:rsidRPr="00456038">
        <w:rPr>
          <w:rStyle w:val="StyleUnderline"/>
          <w:highlight w:val="cyan"/>
        </w:rPr>
        <w:t xml:space="preserve">lenity as </w:t>
      </w:r>
      <w:r w:rsidRPr="00456038">
        <w:rPr>
          <w:rStyle w:val="Emphasis"/>
          <w:highlight w:val="cyan"/>
        </w:rPr>
        <w:t>a tie-breaker</w:t>
      </w:r>
      <w:r w:rsidRPr="00950C2F">
        <w:rPr>
          <w:sz w:val="16"/>
        </w:rPr>
        <w:t xml:space="preserve"> between clarity and ambiguity at the step one stage </w:t>
      </w:r>
      <w:r w:rsidRPr="00456038">
        <w:rPr>
          <w:rStyle w:val="StyleUnderline"/>
          <w:highlight w:val="cyan"/>
        </w:rPr>
        <w:t xml:space="preserve">would </w:t>
      </w:r>
      <w:r w:rsidRPr="00456038">
        <w:rPr>
          <w:rStyle w:val="Emphasis"/>
          <w:highlight w:val="cyan"/>
        </w:rPr>
        <w:t>foreclose</w:t>
      </w:r>
      <w:r w:rsidRPr="00950C2F">
        <w:rPr>
          <w:rStyle w:val="StyleUnderline"/>
        </w:rPr>
        <w:t xml:space="preserve"> the </w:t>
      </w:r>
      <w:r w:rsidRPr="00456038">
        <w:rPr>
          <w:rStyle w:val="StyleUnderline"/>
          <w:highlight w:val="cyan"/>
        </w:rPr>
        <w:t>opportunity for the agency</w:t>
      </w:r>
      <w:r w:rsidRPr="00950C2F">
        <w:rPr>
          <w:rStyle w:val="StyleUnderline"/>
        </w:rPr>
        <w:t xml:space="preserve"> subsequently </w:t>
      </w:r>
      <w:r w:rsidRPr="00456038">
        <w:rPr>
          <w:rStyle w:val="StyleUnderline"/>
          <w:highlight w:val="cyan"/>
        </w:rPr>
        <w:t>to adopt</w:t>
      </w:r>
      <w:r w:rsidRPr="00950C2F">
        <w:rPr>
          <w:rStyle w:val="StyleUnderline"/>
        </w:rPr>
        <w:t xml:space="preserve"> </w:t>
      </w:r>
      <w:r w:rsidRPr="00950C2F">
        <w:rPr>
          <w:rStyle w:val="Emphasis"/>
        </w:rPr>
        <w:t xml:space="preserve">an alternative </w:t>
      </w:r>
      <w:r w:rsidRPr="00456038">
        <w:rPr>
          <w:rStyle w:val="Emphasis"/>
          <w:highlight w:val="cyan"/>
        </w:rPr>
        <w:t>interpretation</w:t>
      </w:r>
      <w:r w:rsidRPr="00950C2F">
        <w:rPr>
          <w:rStyle w:val="StyleUnderline"/>
        </w:rPr>
        <w:t xml:space="preserve">, </w:t>
      </w:r>
      <w:r w:rsidRPr="00950C2F">
        <w:rPr>
          <w:rStyle w:val="Emphasis"/>
        </w:rPr>
        <w:t xml:space="preserve">even </w:t>
      </w:r>
      <w:r w:rsidRPr="00456038">
        <w:rPr>
          <w:rStyle w:val="Emphasis"/>
          <w:highlight w:val="cyan"/>
        </w:rPr>
        <w:t>through</w:t>
      </w:r>
      <w:r w:rsidRPr="00950C2F">
        <w:rPr>
          <w:rStyle w:val="StyleUnderline"/>
        </w:rPr>
        <w:t xml:space="preserve"> the </w:t>
      </w:r>
      <w:r w:rsidRPr="00456038">
        <w:rPr>
          <w:rStyle w:val="StyleUnderline"/>
          <w:highlight w:val="cyan"/>
        </w:rPr>
        <w:t>notice-and-comment</w:t>
      </w:r>
      <w:r w:rsidRPr="00950C2F">
        <w:rPr>
          <w:rStyle w:val="StyleUnderline"/>
        </w:rPr>
        <w:t xml:space="preserve"> process, </w:t>
      </w:r>
      <w:r w:rsidRPr="00456038">
        <w:rPr>
          <w:rStyle w:val="StyleUnderline"/>
          <w:highlight w:val="cyan"/>
        </w:rPr>
        <w:t>and</w:t>
      </w:r>
      <w:r w:rsidRPr="00950C2F">
        <w:rPr>
          <w:sz w:val="16"/>
        </w:rPr>
        <w:t xml:space="preserve"> thus </w:t>
      </w:r>
      <w:r w:rsidRPr="00950C2F">
        <w:rPr>
          <w:rStyle w:val="StyleUnderline"/>
        </w:rPr>
        <w:t xml:space="preserve">would </w:t>
      </w:r>
      <w:r w:rsidRPr="00456038">
        <w:rPr>
          <w:rStyle w:val="StyleUnderline"/>
          <w:highlight w:val="cyan"/>
        </w:rPr>
        <w:t>put</w:t>
      </w:r>
      <w:r w:rsidRPr="00950C2F">
        <w:rPr>
          <w:rStyle w:val="StyleUnderline"/>
        </w:rPr>
        <w:t xml:space="preserve"> </w:t>
      </w:r>
      <w:r w:rsidRPr="00950C2F">
        <w:rPr>
          <w:rStyle w:val="Emphasis"/>
        </w:rPr>
        <w:t xml:space="preserve">the </w:t>
      </w:r>
      <w:r w:rsidRPr="00456038">
        <w:rPr>
          <w:rStyle w:val="Emphasis"/>
          <w:highlight w:val="cyan"/>
        </w:rPr>
        <w:t>courts</w:t>
      </w:r>
      <w:r w:rsidRPr="00950C2F">
        <w:rPr>
          <w:rStyle w:val="Emphasis"/>
        </w:rPr>
        <w:t xml:space="preserve"> rather than the agency</w:t>
      </w:r>
      <w:r w:rsidRPr="00950C2F">
        <w:rPr>
          <w:rStyle w:val="StyleUnderline"/>
        </w:rPr>
        <w:t xml:space="preserve"> </w:t>
      </w:r>
      <w:r w:rsidRPr="00456038">
        <w:rPr>
          <w:rStyle w:val="StyleUnderline"/>
          <w:highlight w:val="cyan"/>
        </w:rPr>
        <w:t>in</w:t>
      </w:r>
      <w:r w:rsidRPr="00950C2F">
        <w:rPr>
          <w:rStyle w:val="StyleUnderline"/>
        </w:rPr>
        <w:t xml:space="preserve"> the </w:t>
      </w:r>
      <w:r w:rsidRPr="00456038">
        <w:rPr>
          <w:rStyle w:val="StyleUnderline"/>
          <w:highlight w:val="cyan"/>
        </w:rPr>
        <w:t>position of resolving</w:t>
      </w:r>
      <w:r w:rsidRPr="00950C2F">
        <w:rPr>
          <w:rStyle w:val="StyleUnderline"/>
        </w:rPr>
        <w:t xml:space="preserve"> </w:t>
      </w:r>
      <w:r w:rsidRPr="00950C2F">
        <w:rPr>
          <w:rStyle w:val="Emphasis"/>
        </w:rPr>
        <w:t xml:space="preserve">statutory </w:t>
      </w:r>
      <w:r w:rsidRPr="00456038">
        <w:rPr>
          <w:rStyle w:val="Emphasis"/>
          <w:highlight w:val="cyan"/>
        </w:rPr>
        <w:t>meaning</w:t>
      </w:r>
      <w:r w:rsidRPr="00950C2F">
        <w:rPr>
          <w:sz w:val="16"/>
        </w:rPr>
        <w:t xml:space="preserve">. Not all regulatory statutes include hybrid enforcement mechanisms, so perhaps this trade off is the price that Congress pays for adopting such provisions. Nevertheless, </w:t>
      </w:r>
      <w:r w:rsidRPr="00456038">
        <w:rPr>
          <w:rStyle w:val="StyleUnderline"/>
          <w:highlight w:val="cyan"/>
        </w:rPr>
        <w:t>such</w:t>
      </w:r>
      <w:r w:rsidRPr="00950C2F">
        <w:rPr>
          <w:rStyle w:val="StyleUnderline"/>
        </w:rPr>
        <w:t xml:space="preserve"> an approach </w:t>
      </w:r>
      <w:r w:rsidRPr="00456038">
        <w:rPr>
          <w:rStyle w:val="StyleUnderline"/>
          <w:highlight w:val="cyan"/>
        </w:rPr>
        <w:t>would</w:t>
      </w:r>
      <w:r w:rsidRPr="00950C2F">
        <w:rPr>
          <w:rStyle w:val="StyleUnderline"/>
        </w:rPr>
        <w:t xml:space="preserve"> represent </w:t>
      </w:r>
      <w:r w:rsidRPr="00950C2F">
        <w:rPr>
          <w:rStyle w:val="Emphasis"/>
        </w:rPr>
        <w:t xml:space="preserve">a dramatic </w:t>
      </w:r>
      <w:r w:rsidRPr="00456038">
        <w:rPr>
          <w:rStyle w:val="Emphasis"/>
          <w:highlight w:val="cyan"/>
        </w:rPr>
        <w:t>curtail</w:t>
      </w:r>
      <w:r w:rsidRPr="00950C2F">
        <w:rPr>
          <w:rStyle w:val="Emphasis"/>
        </w:rPr>
        <w:t>ing</w:t>
      </w:r>
      <w:r w:rsidRPr="00950C2F">
        <w:rPr>
          <w:rStyle w:val="StyleUnderline"/>
        </w:rPr>
        <w:t xml:space="preserve"> of </w:t>
      </w:r>
      <w:r w:rsidRPr="00950C2F">
        <w:rPr>
          <w:rStyle w:val="Emphasis"/>
        </w:rPr>
        <w:t xml:space="preserve">the judicial </w:t>
      </w:r>
      <w:r w:rsidRPr="00456038">
        <w:rPr>
          <w:rStyle w:val="Emphasis"/>
          <w:highlight w:val="cyan"/>
        </w:rPr>
        <w:t>deference</w:t>
      </w:r>
      <w:r w:rsidRPr="00950C2F">
        <w:rPr>
          <w:rStyle w:val="Emphasis"/>
        </w:rPr>
        <w:t xml:space="preserve"> doctrines' scope</w:t>
      </w:r>
      <w:r w:rsidRPr="00950C2F">
        <w:rPr>
          <w:sz w:val="16"/>
        </w:rPr>
        <w:t>.</w:t>
      </w:r>
    </w:p>
    <w:bookmarkEnd w:id="3"/>
    <w:p w14:paraId="7B5993F9" w14:textId="77777777" w:rsidR="00516959" w:rsidRPr="00294130" w:rsidRDefault="00516959" w:rsidP="00516959">
      <w:pPr>
        <w:pStyle w:val="Heading4"/>
      </w:pPr>
      <w:r>
        <w:t xml:space="preserve">It takes away </w:t>
      </w:r>
      <w:r>
        <w:rPr>
          <w:i/>
          <w:iCs w:val="0"/>
        </w:rPr>
        <w:t>Chevron’s</w:t>
      </w:r>
      <w:r>
        <w:t xml:space="preserve"> bite.</w:t>
      </w:r>
    </w:p>
    <w:p w14:paraId="368EAA06" w14:textId="77777777" w:rsidR="00516959" w:rsidRPr="00294130" w:rsidRDefault="00516959" w:rsidP="00516959">
      <w:r w:rsidRPr="00294130">
        <w:rPr>
          <w:rStyle w:val="Style13ptBold"/>
        </w:rPr>
        <w:t>Feder 16</w:t>
      </w:r>
      <w:r>
        <w:t xml:space="preserve"> – David Feder, JD from Harvard Law School, associate at Munger, Tolles &amp; Olson in Los Angeles, an Olin-Searle Fellow at Harvard Law School. [Esquivel-Quintana v. Lynch: The Potential Sleeper Case of the Supreme Court Term, Notice &amp; Comment, 9-13-16, Esquivel-Quintana v. Lynch: The Potential Sleeper Case of the Supreme Court Term, by David Feder]//BPS</w:t>
      </w:r>
    </w:p>
    <w:p w14:paraId="1A1D77AE" w14:textId="77777777" w:rsidR="00516959" w:rsidRPr="00294130" w:rsidRDefault="00516959" w:rsidP="00516959">
      <w:pPr>
        <w:rPr>
          <w:sz w:val="16"/>
        </w:rPr>
      </w:pPr>
      <w:r w:rsidRPr="00294130">
        <w:rPr>
          <w:sz w:val="16"/>
        </w:rPr>
        <w:t xml:space="preserve">So </w:t>
      </w:r>
      <w:r w:rsidRPr="00294130">
        <w:rPr>
          <w:rStyle w:val="StyleUnderline"/>
        </w:rPr>
        <w:t xml:space="preserve">what happens if the Court decides that Chevron deference is </w:t>
      </w:r>
      <w:r w:rsidRPr="00294130">
        <w:rPr>
          <w:rStyle w:val="Emphasis"/>
        </w:rPr>
        <w:t>inappropriate</w:t>
      </w:r>
      <w:r w:rsidRPr="00294130">
        <w:rPr>
          <w:rStyle w:val="StyleUnderline"/>
        </w:rPr>
        <w:t xml:space="preserve"> for a hybrid civil-criminal statute? It is </w:t>
      </w:r>
      <w:r w:rsidRPr="00294130">
        <w:rPr>
          <w:rStyle w:val="Emphasis"/>
        </w:rPr>
        <w:t>likely</w:t>
      </w:r>
      <w:r w:rsidRPr="00294130">
        <w:rPr>
          <w:sz w:val="16"/>
        </w:rPr>
        <w:t xml:space="preserve"> that </w:t>
      </w:r>
      <w:r w:rsidRPr="00456038">
        <w:rPr>
          <w:rStyle w:val="StyleUnderline"/>
          <w:highlight w:val="cyan"/>
        </w:rPr>
        <w:t>Chevron will lose</w:t>
      </w:r>
      <w:r w:rsidRPr="00294130">
        <w:rPr>
          <w:rStyle w:val="StyleUnderline"/>
        </w:rPr>
        <w:t xml:space="preserve"> </w:t>
      </w:r>
      <w:r w:rsidRPr="00294130">
        <w:rPr>
          <w:rStyle w:val="Emphasis"/>
        </w:rPr>
        <w:t xml:space="preserve">a </w:t>
      </w:r>
      <w:r w:rsidRPr="003F3BC2">
        <w:rPr>
          <w:rStyle w:val="Emphasis"/>
        </w:rPr>
        <w:t xml:space="preserve">good deal of </w:t>
      </w:r>
      <w:r w:rsidRPr="00456038">
        <w:rPr>
          <w:rStyle w:val="Emphasis"/>
          <w:highlight w:val="cyan"/>
        </w:rPr>
        <w:t>its bite</w:t>
      </w:r>
      <w:r w:rsidRPr="00294130">
        <w:rPr>
          <w:sz w:val="16"/>
        </w:rPr>
        <w:t xml:space="preserve">. Though there does not yet appear to be a definitive empirical study, anecdotal </w:t>
      </w:r>
      <w:r w:rsidRPr="00456038">
        <w:rPr>
          <w:rStyle w:val="Emphasis"/>
          <w:highlight w:val="cyan"/>
        </w:rPr>
        <w:t>ev</w:t>
      </w:r>
      <w:r w:rsidRPr="00294130">
        <w:rPr>
          <w:rStyle w:val="Emphasis"/>
        </w:rPr>
        <w:t>idence</w:t>
      </w:r>
      <w:r w:rsidRPr="00294130">
        <w:rPr>
          <w:rStyle w:val="StyleUnderline"/>
        </w:rPr>
        <w:t xml:space="preserve"> </w:t>
      </w:r>
      <w:r w:rsidRPr="00456038">
        <w:rPr>
          <w:rStyle w:val="StyleUnderline"/>
          <w:highlight w:val="cyan"/>
        </w:rPr>
        <w:t>suggests</w:t>
      </w:r>
      <w:r w:rsidRPr="00294130">
        <w:rPr>
          <w:sz w:val="16"/>
        </w:rPr>
        <w:t xml:space="preserve"> that </w:t>
      </w:r>
      <w:r w:rsidRPr="00456038">
        <w:rPr>
          <w:rStyle w:val="StyleUnderline"/>
          <w:highlight w:val="cyan"/>
        </w:rPr>
        <w:t xml:space="preserve">there are </w:t>
      </w:r>
      <w:r w:rsidRPr="00456038">
        <w:rPr>
          <w:rStyle w:val="Emphasis"/>
          <w:highlight w:val="cyan"/>
        </w:rPr>
        <w:t>a good number</w:t>
      </w:r>
      <w:r w:rsidRPr="00456038">
        <w:rPr>
          <w:rStyle w:val="StyleUnderline"/>
          <w:highlight w:val="cyan"/>
        </w:rPr>
        <w:t xml:space="preserve"> of</w:t>
      </w:r>
      <w:r w:rsidRPr="00294130">
        <w:rPr>
          <w:rStyle w:val="StyleUnderline"/>
        </w:rPr>
        <w:t xml:space="preserve"> these sorts of </w:t>
      </w:r>
      <w:r w:rsidRPr="00456038">
        <w:rPr>
          <w:rStyle w:val="StyleUnderline"/>
          <w:highlight w:val="cyan"/>
        </w:rPr>
        <w:t>statutes</w:t>
      </w:r>
      <w:r w:rsidRPr="00294130">
        <w:rPr>
          <w:sz w:val="16"/>
        </w:rPr>
        <w:t xml:space="preserve">—and they’re very familiar ones. Leading </w:t>
      </w:r>
      <w:r w:rsidRPr="00456038">
        <w:rPr>
          <w:rStyle w:val="StyleUnderline"/>
          <w:highlight w:val="cyan"/>
        </w:rPr>
        <w:t>examples include</w:t>
      </w:r>
      <w:r w:rsidRPr="00294130">
        <w:rPr>
          <w:sz w:val="16"/>
        </w:rPr>
        <w:t xml:space="preserve"> the </w:t>
      </w:r>
      <w:r w:rsidRPr="00456038">
        <w:rPr>
          <w:rStyle w:val="StyleUnderline"/>
          <w:highlight w:val="cyan"/>
        </w:rPr>
        <w:t>C</w:t>
      </w:r>
      <w:r w:rsidRPr="003F3BC2">
        <w:rPr>
          <w:rStyle w:val="StyleUnderline"/>
        </w:rPr>
        <w:t xml:space="preserve">lean </w:t>
      </w:r>
      <w:r w:rsidRPr="00456038">
        <w:rPr>
          <w:rStyle w:val="StyleUnderline"/>
          <w:highlight w:val="cyan"/>
        </w:rPr>
        <w:t>W</w:t>
      </w:r>
      <w:r w:rsidRPr="003F3BC2">
        <w:rPr>
          <w:rStyle w:val="StyleUnderline"/>
        </w:rPr>
        <w:t xml:space="preserve">ater </w:t>
      </w:r>
      <w:r w:rsidRPr="00456038">
        <w:rPr>
          <w:rStyle w:val="StyleUnderline"/>
          <w:highlight w:val="cyan"/>
        </w:rPr>
        <w:t>A</w:t>
      </w:r>
      <w:r w:rsidRPr="003F3BC2">
        <w:rPr>
          <w:rStyle w:val="StyleUnderline"/>
        </w:rPr>
        <w:t>ct</w:t>
      </w:r>
      <w:r w:rsidRPr="003F3BC2">
        <w:rPr>
          <w:sz w:val="16"/>
        </w:rPr>
        <w:t xml:space="preserve">, 33 U.S.C. § 1251 et seq.; the </w:t>
      </w:r>
      <w:r w:rsidRPr="00456038">
        <w:rPr>
          <w:rStyle w:val="StyleUnderline"/>
          <w:highlight w:val="cyan"/>
        </w:rPr>
        <w:t>R</w:t>
      </w:r>
      <w:r w:rsidRPr="003F3BC2">
        <w:rPr>
          <w:sz w:val="16"/>
        </w:rPr>
        <w:t xml:space="preserve">acketeer </w:t>
      </w:r>
      <w:r w:rsidRPr="00456038">
        <w:rPr>
          <w:rStyle w:val="StyleUnderline"/>
          <w:highlight w:val="cyan"/>
        </w:rPr>
        <w:t>I</w:t>
      </w:r>
      <w:r w:rsidRPr="003F3BC2">
        <w:rPr>
          <w:sz w:val="16"/>
        </w:rPr>
        <w:t xml:space="preserve">nfluenced and </w:t>
      </w:r>
      <w:r w:rsidRPr="00456038">
        <w:rPr>
          <w:rStyle w:val="StyleUnderline"/>
          <w:highlight w:val="cyan"/>
        </w:rPr>
        <w:t>C</w:t>
      </w:r>
      <w:r w:rsidRPr="003F3BC2">
        <w:rPr>
          <w:sz w:val="16"/>
        </w:rPr>
        <w:t xml:space="preserve">orrupt </w:t>
      </w:r>
      <w:r w:rsidRPr="00456038">
        <w:rPr>
          <w:rStyle w:val="StyleUnderline"/>
          <w:highlight w:val="cyan"/>
        </w:rPr>
        <w:t>O</w:t>
      </w:r>
      <w:r w:rsidRPr="003F3BC2">
        <w:rPr>
          <w:sz w:val="16"/>
        </w:rPr>
        <w:t xml:space="preserve">rganizations Act, 18 U.S.C. § 1961 et seq.; </w:t>
      </w:r>
      <w:r w:rsidRPr="003F3BC2">
        <w:rPr>
          <w:rStyle w:val="StyleUnderline"/>
        </w:rPr>
        <w:t>the Truth in Lending</w:t>
      </w:r>
      <w:r w:rsidRPr="003F3BC2">
        <w:rPr>
          <w:sz w:val="16"/>
        </w:rPr>
        <w:t xml:space="preserve"> Act, 15 U.S.C. § 1601 et seq.; and </w:t>
      </w:r>
      <w:r w:rsidRPr="003F3BC2">
        <w:rPr>
          <w:rStyle w:val="StyleUnderline"/>
        </w:rPr>
        <w:t>the S</w:t>
      </w:r>
      <w:r w:rsidRPr="003F3BC2">
        <w:rPr>
          <w:sz w:val="16"/>
        </w:rPr>
        <w:t xml:space="preserve">ecurities </w:t>
      </w:r>
      <w:r w:rsidRPr="003F3BC2">
        <w:rPr>
          <w:rStyle w:val="StyleUnderline"/>
        </w:rPr>
        <w:t>E</w:t>
      </w:r>
      <w:r w:rsidRPr="003F3BC2">
        <w:rPr>
          <w:sz w:val="16"/>
        </w:rPr>
        <w:t xml:space="preserve">xchange </w:t>
      </w:r>
      <w:r w:rsidRPr="003F3BC2">
        <w:rPr>
          <w:rStyle w:val="StyleUnderline"/>
        </w:rPr>
        <w:t>A</w:t>
      </w:r>
      <w:r w:rsidRPr="003F3BC2">
        <w:rPr>
          <w:sz w:val="16"/>
        </w:rPr>
        <w:t>ct of 1934, 15 U.S.C. § 78a et seq. See Margaret V. Sachs, Harmonizing Civil and Criminal Enforcement of Federal Regulatory Statutes: The Case of the Securities Exchange Act of 1934, 2001 U. Ill. L. Rev. 1025, 1026. Accordingly, for those interested in the debate over Chevron, Esquivel-Quintana remains an important case to keep an eye on.</w:t>
      </w:r>
    </w:p>
    <w:p w14:paraId="15B61DFB" w14:textId="77777777" w:rsidR="00516959" w:rsidRDefault="00516959" w:rsidP="00516959">
      <w:pPr>
        <w:pStyle w:val="Heading3"/>
      </w:pPr>
      <w:r>
        <w:t>2NC – Link – AT: Exceptions Don’t Spillover</w:t>
      </w:r>
    </w:p>
    <w:p w14:paraId="06A8E0EE" w14:textId="77777777" w:rsidR="00516959" w:rsidRDefault="00516959" w:rsidP="00516959">
      <w:pPr>
        <w:pStyle w:val="Heading4"/>
      </w:pPr>
      <w:r>
        <w:t xml:space="preserve">The aff ensures </w:t>
      </w:r>
      <w:r>
        <w:rPr>
          <w:i/>
          <w:iCs w:val="0"/>
        </w:rPr>
        <w:t>Chevron</w:t>
      </w:r>
      <w:r>
        <w:t xml:space="preserve"> dies a death by a thousand cuts.</w:t>
      </w:r>
    </w:p>
    <w:p w14:paraId="17C9CD86" w14:textId="77777777" w:rsidR="00516959" w:rsidRDefault="00516959" w:rsidP="00516959">
      <w:r w:rsidRPr="00752B9D">
        <w:rPr>
          <w:rStyle w:val="Style13ptBold"/>
        </w:rPr>
        <w:t>Steinberg 17</w:t>
      </w:r>
      <w:r>
        <w:t xml:space="preserve"> – Asher Steinberg founded The Narrowest Grounds, a law blog, and has clerked for multiple members of the federal bench, JD from Georgetown Law.  [Another Addition to the Chevron Anticanon: Judge Kavanaugh on the "Major Rules" Doctrine, 5-7-2017, http://narrowestgrounds.blogspot.com/2017/05/another-addition-to-chevron-anticanon.html]//BPS</w:t>
      </w:r>
    </w:p>
    <w:p w14:paraId="33DE56F6" w14:textId="77777777" w:rsidR="00516959" w:rsidRPr="00752B9D" w:rsidRDefault="00516959" w:rsidP="00516959">
      <w:pPr>
        <w:rPr>
          <w:sz w:val="16"/>
        </w:rPr>
      </w:pPr>
      <w:r w:rsidRPr="00752B9D">
        <w:rPr>
          <w:rStyle w:val="StyleUnderline"/>
        </w:rPr>
        <w:t>One</w:t>
      </w:r>
      <w:r w:rsidRPr="00752B9D">
        <w:rPr>
          <w:sz w:val="16"/>
        </w:rPr>
        <w:t xml:space="preserve">* </w:t>
      </w:r>
      <w:r w:rsidRPr="00752B9D">
        <w:rPr>
          <w:rStyle w:val="StyleUnderline"/>
        </w:rPr>
        <w:t xml:space="preserve">of the </w:t>
      </w:r>
      <w:r w:rsidRPr="00752B9D">
        <w:rPr>
          <w:rStyle w:val="Emphasis"/>
        </w:rPr>
        <w:t>many moves</w:t>
      </w:r>
      <w:r w:rsidRPr="00752B9D">
        <w:rPr>
          <w:rStyle w:val="StyleUnderline"/>
        </w:rPr>
        <w:t xml:space="preserve"> in </w:t>
      </w:r>
      <w:r w:rsidRPr="00752B9D">
        <w:rPr>
          <w:rStyle w:val="Emphasis"/>
        </w:rPr>
        <w:t>Team Death to Chevron by a Thousand Cuts' arsenal</w:t>
      </w:r>
      <w:r w:rsidRPr="00752B9D">
        <w:rPr>
          <w:sz w:val="16"/>
        </w:rPr>
        <w:t xml:space="preserve"> is what's heretofore been known as the major-questions exception:  the idea, formulated most clearly in King v. Burwell, that agencies shouldn't receive Chevron deference on really important questions, just the not-so-important ones. (Judge Kavanaugh thinks the doctrine stands for an entirely different idea; I'll get to that shortly.)  The theory of the major-questions exception is not, as some defensive Chevronistas charge, that Congress wants major open questions to be decided by courts.  Rather, it's that Congress probably made a decision, even if obscurely expressed, on any given "major" question, and doesn't usually intend to punt such questions to agencies.  I find this a perfectly defensible premise; the trouble is that the major-questions exception doesn't follow from it.  What follows is that major questions likely present Step One problems where Congress "spoke to the precise question at issue," as Chevron puts it, and decided it one way or another; in the rare event a court should find a major question was genuinely undecided, that would seem a case for administrative gap-filling, not judicial.</w:t>
      </w:r>
    </w:p>
    <w:p w14:paraId="73BAE791" w14:textId="77777777" w:rsidR="00516959" w:rsidRPr="00CC4950" w:rsidRDefault="00516959" w:rsidP="00516959">
      <w:pPr>
        <w:rPr>
          <w:sz w:val="16"/>
        </w:rPr>
      </w:pPr>
      <w:r w:rsidRPr="00FE7015">
        <w:rPr>
          <w:sz w:val="16"/>
        </w:rPr>
        <w:t xml:space="preserve">* </w:t>
      </w:r>
      <w:r w:rsidRPr="00FE7015">
        <w:rPr>
          <w:rStyle w:val="Emphasis"/>
        </w:rPr>
        <w:t>The other 999 cuts</w:t>
      </w:r>
      <w:r w:rsidRPr="00752B9D">
        <w:rPr>
          <w:rStyle w:val="StyleUnderline"/>
        </w:rPr>
        <w:t xml:space="preserve"> include </w:t>
      </w:r>
      <w:r w:rsidRPr="00752B9D">
        <w:rPr>
          <w:rStyle w:val="Emphasis"/>
        </w:rPr>
        <w:t>a civil/criminal dual-use statute exception</w:t>
      </w:r>
      <w:r w:rsidRPr="00752B9D">
        <w:rPr>
          <w:sz w:val="16"/>
        </w:rPr>
        <w:t xml:space="preserve">—by the by, if you're someone who's been thinking about or working on Esquivel-Quintana lately, </w:t>
      </w:r>
      <w:r w:rsidRPr="00FE7015">
        <w:rPr>
          <w:rStyle w:val="StyleUnderline"/>
        </w:rPr>
        <w:t xml:space="preserve">that one's </w:t>
      </w:r>
      <w:r w:rsidRPr="00FE7015">
        <w:rPr>
          <w:rStyle w:val="Emphasis"/>
        </w:rPr>
        <w:t>a very bad idea</w:t>
      </w:r>
      <w:r w:rsidRPr="00752B9D">
        <w:rPr>
          <w:sz w:val="16"/>
        </w:rPr>
        <w:t xml:space="preserve"> for reasons laid out in the linked post—use of </w:t>
      </w:r>
      <w:r w:rsidRPr="00752B9D">
        <w:rPr>
          <w:rStyle w:val="StyleUnderline"/>
        </w:rPr>
        <w:t xml:space="preserve">alternative ambiguity-resolving canons, like the </w:t>
      </w:r>
      <w:r w:rsidRPr="00752B9D">
        <w:rPr>
          <w:rStyle w:val="Emphasis"/>
        </w:rPr>
        <w:t>not-so-existent doctrine</w:t>
      </w:r>
      <w:r w:rsidRPr="00752B9D">
        <w:rPr>
          <w:rStyle w:val="StyleUnderline"/>
        </w:rPr>
        <w:t xml:space="preserve"> of</w:t>
      </w:r>
      <w:r w:rsidRPr="00752B9D">
        <w:rPr>
          <w:sz w:val="16"/>
        </w:rPr>
        <w:t xml:space="preserve"> immigration </w:t>
      </w:r>
      <w:r w:rsidRPr="00752B9D">
        <w:rPr>
          <w:rStyle w:val="Emphasis"/>
        </w:rPr>
        <w:t>lenity</w:t>
      </w:r>
      <w:r w:rsidRPr="00752B9D">
        <w:rPr>
          <w:sz w:val="16"/>
        </w:rPr>
        <w:t xml:space="preserve">, at Step One, </w:t>
      </w:r>
      <w:r w:rsidRPr="00752B9D">
        <w:rPr>
          <w:rStyle w:val="StyleUnderline"/>
        </w:rPr>
        <w:t>clause-by-clause inquiries</w:t>
      </w:r>
      <w:r w:rsidRPr="00752B9D">
        <w:rPr>
          <w:sz w:val="16"/>
        </w:rPr>
        <w:t xml:space="preserve"> into intended delegation, </w:t>
      </w:r>
      <w:r w:rsidRPr="00752B9D">
        <w:rPr>
          <w:rStyle w:val="StyleUnderline"/>
        </w:rPr>
        <w:t>Breyerian Step Zero balancing, and denying deference to agencies that change their minds based on "</w:t>
      </w:r>
      <w:r w:rsidRPr="00752B9D">
        <w:rPr>
          <w:rStyle w:val="Emphasis"/>
        </w:rPr>
        <w:t xml:space="preserve">shifting </w:t>
      </w:r>
      <w:r w:rsidRPr="008A6DFA">
        <w:rPr>
          <w:rStyle w:val="Emphasis"/>
        </w:rPr>
        <w:t>political winds [i.e., democracy],</w:t>
      </w:r>
      <w:r w:rsidRPr="008A6DFA">
        <w:rPr>
          <w:rStyle w:val="StyleUnderline"/>
        </w:rPr>
        <w:t>" li</w:t>
      </w:r>
      <w:r w:rsidRPr="00752B9D">
        <w:rPr>
          <w:rStyle w:val="StyleUnderline"/>
        </w:rPr>
        <w:t xml:space="preserve">ke Chevron says </w:t>
      </w:r>
      <w:r w:rsidRPr="00752B9D">
        <w:rPr>
          <w:rStyle w:val="Emphasis"/>
        </w:rPr>
        <w:t>they're supposed to</w:t>
      </w:r>
      <w:r w:rsidRPr="00752B9D">
        <w:rPr>
          <w:sz w:val="16"/>
        </w:rPr>
        <w:t>.</w:t>
      </w:r>
    </w:p>
    <w:p w14:paraId="64529B76" w14:textId="77777777" w:rsidR="00516959" w:rsidRDefault="00516959" w:rsidP="00516959">
      <w:pPr>
        <w:pStyle w:val="Heading4"/>
      </w:pPr>
      <w:r>
        <w:t xml:space="preserve">It spills over to the </w:t>
      </w:r>
      <w:r>
        <w:rPr>
          <w:u w:val="single"/>
        </w:rPr>
        <w:t>whole framework</w:t>
      </w:r>
      <w:r>
        <w:t>.</w:t>
      </w:r>
    </w:p>
    <w:p w14:paraId="5022EC63" w14:textId="77777777" w:rsidR="00516959" w:rsidRPr="001D655B" w:rsidRDefault="00516959" w:rsidP="00516959">
      <w:r w:rsidRPr="00242E54">
        <w:rPr>
          <w:rStyle w:val="Style13ptBold"/>
        </w:rPr>
        <w:t>Greenberg 96</w:t>
      </w:r>
      <w:r>
        <w:t xml:space="preserve"> – Sanford N. Greenberg, Law Professor at the Chicago-Kent School of Law. [Who Says It's a Crime? Chevron Deference to Agency Interpretations of Regulatory Statutes That Create Criminal Liability, University of Pittsburg Law Review, 58(1), HeinOnline]//BPS</w:t>
      </w:r>
    </w:p>
    <w:p w14:paraId="66D368BB" w14:textId="77777777" w:rsidR="00516959" w:rsidRPr="001D655B" w:rsidRDefault="00516959" w:rsidP="00516959">
      <w:pPr>
        <w:rPr>
          <w:sz w:val="16"/>
        </w:rPr>
      </w:pPr>
      <w:r w:rsidRPr="001D655B">
        <w:rPr>
          <w:sz w:val="16"/>
        </w:rPr>
        <w:t xml:space="preserve">E. </w:t>
      </w:r>
      <w:r w:rsidRPr="001D655B">
        <w:rPr>
          <w:rStyle w:val="StyleUnderline"/>
        </w:rPr>
        <w:t xml:space="preserve">Criminal and Civil Sanctions: </w:t>
      </w:r>
      <w:r w:rsidRPr="001D655B">
        <w:rPr>
          <w:rStyle w:val="Emphasis"/>
        </w:rPr>
        <w:t>No Bright Line</w:t>
      </w:r>
    </w:p>
    <w:p w14:paraId="5765B4CF" w14:textId="77777777" w:rsidR="00516959" w:rsidRPr="001D655B" w:rsidRDefault="00516959" w:rsidP="00516959">
      <w:pPr>
        <w:rPr>
          <w:sz w:val="16"/>
        </w:rPr>
      </w:pPr>
      <w:r w:rsidRPr="001D655B">
        <w:rPr>
          <w:rStyle w:val="Emphasis"/>
        </w:rPr>
        <w:t>Even if</w:t>
      </w:r>
      <w:r w:rsidRPr="001D655B">
        <w:rPr>
          <w:rStyle w:val="StyleUnderline"/>
        </w:rPr>
        <w:t xml:space="preserve"> the</w:t>
      </w:r>
      <w:r w:rsidRPr="001D655B">
        <w:rPr>
          <w:sz w:val="16"/>
        </w:rPr>
        <w:t xml:space="preserve"> criminal liability </w:t>
      </w:r>
      <w:r w:rsidRPr="001D655B">
        <w:rPr>
          <w:rStyle w:val="StyleUnderline"/>
        </w:rPr>
        <w:t>exception were desirable, it might</w:t>
      </w:r>
      <w:r w:rsidRPr="001D655B">
        <w:rPr>
          <w:sz w:val="16"/>
        </w:rPr>
        <w:t xml:space="preserve"> sometimes </w:t>
      </w:r>
      <w:r w:rsidRPr="001D655B">
        <w:rPr>
          <w:rStyle w:val="StyleUnderline"/>
        </w:rPr>
        <w:t xml:space="preserve">prove </w:t>
      </w:r>
      <w:r w:rsidRPr="001D655B">
        <w:rPr>
          <w:rStyle w:val="Emphasis"/>
        </w:rPr>
        <w:t>difficult for courts</w:t>
      </w:r>
      <w:r w:rsidRPr="001D655B">
        <w:rPr>
          <w:rStyle w:val="StyleUnderline"/>
        </w:rPr>
        <w:t xml:space="preserve"> to administer</w:t>
      </w:r>
      <w:r w:rsidRPr="001D655B">
        <w:rPr>
          <w:sz w:val="16"/>
        </w:rPr>
        <w:t>. Although the proposed exception rests on the notion that criminal sanctions differ fundamentally from civil sanctions, 85 no bright line divides these categories. 386 Regulatory statutes often contain nominally civil enforcement provisions that may be deemed criminal in nature for certain purposes, including double jeopardy387 and self-incrimination. 38 When a nominally civil sanction actually operates as criminal punishment in a given case, one could argue that the criminal liability exception should be triggered. However, it would not always be readily apparent whether Chevron or its criminal liability exception should apply.389 Recent developments in double jeopardy jurisprudence illustrate this problem.</w:t>
      </w:r>
    </w:p>
    <w:p w14:paraId="73D65219" w14:textId="77777777" w:rsidR="00516959" w:rsidRPr="001D655B" w:rsidRDefault="00516959" w:rsidP="00516959">
      <w:pPr>
        <w:rPr>
          <w:sz w:val="16"/>
        </w:rPr>
      </w:pPr>
      <w:r w:rsidRPr="001D655B">
        <w:rPr>
          <w:sz w:val="16"/>
        </w:rPr>
        <w:t>Footnote 386 begins:</w:t>
      </w:r>
    </w:p>
    <w:p w14:paraId="00186E50" w14:textId="77777777" w:rsidR="00516959" w:rsidRPr="001D655B" w:rsidRDefault="00516959" w:rsidP="00516959">
      <w:pPr>
        <w:rPr>
          <w:sz w:val="16"/>
        </w:rPr>
      </w:pPr>
      <w:r w:rsidRPr="001D655B">
        <w:rPr>
          <w:sz w:val="16"/>
        </w:rPr>
        <w:t xml:space="preserve">386. See Mary M. Cheh, Constitutional Limits on Using Civil Remedies to Achieve Criminal Law Objectives: Understanding and Transcending the Criminal-Civil Law Distinction, 42 HAS'riNGS LI. 1325, 1329 (1991) (noting "that </w:t>
      </w:r>
      <w:r w:rsidRPr="001D655B">
        <w:rPr>
          <w:rStyle w:val="StyleUnderline"/>
        </w:rPr>
        <w:t xml:space="preserve">it is </w:t>
      </w:r>
      <w:r w:rsidRPr="001D655B">
        <w:rPr>
          <w:rStyle w:val="Emphasis"/>
        </w:rPr>
        <w:t>extremely difficult</w:t>
      </w:r>
      <w:r w:rsidRPr="001D655B">
        <w:rPr>
          <w:rStyle w:val="StyleUnderline"/>
        </w:rPr>
        <w:t xml:space="preserve"> to draw </w:t>
      </w:r>
      <w:r w:rsidRPr="001D655B">
        <w:rPr>
          <w:rStyle w:val="Emphasis"/>
        </w:rPr>
        <w:t>principled lines</w:t>
      </w:r>
      <w:r w:rsidRPr="001D655B">
        <w:rPr>
          <w:rStyle w:val="StyleUnderline"/>
        </w:rPr>
        <w:t xml:space="preserve"> to distinguish</w:t>
      </w:r>
      <w:r w:rsidRPr="001D655B">
        <w:rPr>
          <w:sz w:val="16"/>
        </w:rPr>
        <w:t xml:space="preserve"> between </w:t>
      </w:r>
      <w:r w:rsidRPr="001D655B">
        <w:rPr>
          <w:rStyle w:val="StyleUnderline"/>
        </w:rPr>
        <w:t>criminal and civil cases</w:t>
      </w:r>
      <w:r w:rsidRPr="001D655B">
        <w:rPr>
          <w:sz w:val="16"/>
        </w:rPr>
        <w:t>").</w:t>
      </w:r>
    </w:p>
    <w:p w14:paraId="444CB5D3" w14:textId="77777777" w:rsidR="00516959" w:rsidRPr="001D655B" w:rsidRDefault="00516959" w:rsidP="00516959">
      <w:pPr>
        <w:rPr>
          <w:sz w:val="16"/>
        </w:rPr>
      </w:pPr>
      <w:r w:rsidRPr="001D655B">
        <w:rPr>
          <w:sz w:val="16"/>
        </w:rPr>
        <w:t>Footnote 386 ends and footnote 389 begins:</w:t>
      </w:r>
    </w:p>
    <w:p w14:paraId="4DE8336C" w14:textId="77777777" w:rsidR="00516959" w:rsidRPr="001D655B" w:rsidRDefault="00516959" w:rsidP="00516959">
      <w:pPr>
        <w:rPr>
          <w:sz w:val="16"/>
        </w:rPr>
      </w:pPr>
      <w:r w:rsidRPr="001D655B">
        <w:rPr>
          <w:sz w:val="16"/>
        </w:rPr>
        <w:t xml:space="preserve">389. The difficulty in distinguishing civil from criminal sanctions in some instances does not require us to abandon all attempts to treat civil and criminal issues differently. Too much in our legal system relates to that distinction to cast it aside. See generally Cheh, supra note 386, at 1329-30 (contending that legislative labeling of civil versus criminal procedures should generally be determinative of which constitutional protections apply). </w:t>
      </w:r>
      <w:r w:rsidRPr="001D655B">
        <w:rPr>
          <w:rStyle w:val="Emphasis"/>
        </w:rPr>
        <w:t>My much narrower contention</w:t>
      </w:r>
      <w:r w:rsidRPr="001D655B">
        <w:rPr>
          <w:sz w:val="16"/>
        </w:rPr>
        <w:t xml:space="preserve"> here </w:t>
      </w:r>
      <w:r w:rsidRPr="001D655B">
        <w:rPr>
          <w:rStyle w:val="StyleUnderline"/>
        </w:rPr>
        <w:t xml:space="preserve">is that </w:t>
      </w:r>
      <w:r w:rsidRPr="001D655B">
        <w:rPr>
          <w:rStyle w:val="Emphasis"/>
        </w:rPr>
        <w:t>a key assumption</w:t>
      </w:r>
      <w:r w:rsidRPr="001D655B">
        <w:rPr>
          <w:rStyle w:val="StyleUnderline"/>
        </w:rPr>
        <w:t xml:space="preserve"> underlying </w:t>
      </w:r>
      <w:r w:rsidRPr="001D655B">
        <w:rPr>
          <w:rStyle w:val="Emphasis"/>
        </w:rPr>
        <w:t>the criminal liability exception</w:t>
      </w:r>
      <w:r w:rsidRPr="001D655B">
        <w:rPr>
          <w:rStyle w:val="StyleUnderline"/>
        </w:rPr>
        <w:t xml:space="preserve">, </w:t>
      </w:r>
      <w:r w:rsidRPr="001D655B">
        <w:rPr>
          <w:rStyle w:val="Emphasis"/>
        </w:rPr>
        <w:t>the allegedly bright line</w:t>
      </w:r>
      <w:r w:rsidRPr="001D655B">
        <w:rPr>
          <w:rStyle w:val="StyleUnderline"/>
        </w:rPr>
        <w:t xml:space="preserve"> separating criminal and civil sanctions, is </w:t>
      </w:r>
      <w:r w:rsidRPr="001D655B">
        <w:rPr>
          <w:rStyle w:val="Emphasis"/>
        </w:rPr>
        <w:t>incorrect</w:t>
      </w:r>
      <w:r w:rsidRPr="001D655B">
        <w:rPr>
          <w:sz w:val="16"/>
        </w:rPr>
        <w:t xml:space="preserve">. Consequently, </w:t>
      </w:r>
      <w:r w:rsidRPr="001D655B">
        <w:rPr>
          <w:rStyle w:val="StyleUnderline"/>
        </w:rPr>
        <w:t xml:space="preserve">courts should </w:t>
      </w:r>
      <w:r w:rsidRPr="001D655B">
        <w:rPr>
          <w:rStyle w:val="Emphasis"/>
        </w:rPr>
        <w:t>avoid, if possible</w:t>
      </w:r>
      <w:r w:rsidRPr="001D655B">
        <w:rPr>
          <w:rStyle w:val="StyleUnderline"/>
        </w:rPr>
        <w:t xml:space="preserve">, </w:t>
      </w:r>
      <w:r w:rsidRPr="001D655B">
        <w:rPr>
          <w:rStyle w:val="Emphasis"/>
        </w:rPr>
        <w:t>unnecessarily complicating</w:t>
      </w:r>
      <w:r w:rsidRPr="001D655B">
        <w:rPr>
          <w:rStyle w:val="StyleUnderline"/>
        </w:rPr>
        <w:t xml:space="preserve"> statutory construction by </w:t>
      </w:r>
      <w:r w:rsidRPr="001D655B">
        <w:rPr>
          <w:rStyle w:val="Emphasis"/>
        </w:rPr>
        <w:t>first</w:t>
      </w:r>
      <w:r w:rsidRPr="001D655B">
        <w:rPr>
          <w:rStyle w:val="StyleUnderline"/>
        </w:rPr>
        <w:t xml:space="preserve"> having to decide if a case involves criminal</w:t>
      </w:r>
      <w:r w:rsidRPr="001D655B">
        <w:rPr>
          <w:sz w:val="16"/>
        </w:rPr>
        <w:t xml:space="preserve"> or civil </w:t>
      </w:r>
      <w:r w:rsidRPr="001D655B">
        <w:rPr>
          <w:rStyle w:val="StyleUnderline"/>
        </w:rPr>
        <w:t>punishment</w:t>
      </w:r>
      <w:r w:rsidRPr="001D655B">
        <w:rPr>
          <w:sz w:val="16"/>
        </w:rPr>
        <w:t>.</w:t>
      </w:r>
    </w:p>
    <w:p w14:paraId="6009A08E" w14:textId="77777777" w:rsidR="00516959" w:rsidRPr="001D655B" w:rsidRDefault="00516959" w:rsidP="00516959">
      <w:pPr>
        <w:rPr>
          <w:sz w:val="16"/>
        </w:rPr>
      </w:pPr>
      <w:r w:rsidRPr="001D655B">
        <w:rPr>
          <w:sz w:val="16"/>
        </w:rPr>
        <w:t>Footnote 389 ends and the article continues:</w:t>
      </w:r>
    </w:p>
    <w:p w14:paraId="6C615E1F" w14:textId="77777777" w:rsidR="00516959" w:rsidRPr="001D655B" w:rsidRDefault="00516959" w:rsidP="00516959">
      <w:pPr>
        <w:rPr>
          <w:sz w:val="16"/>
        </w:rPr>
      </w:pPr>
      <w:r w:rsidRPr="001D655B">
        <w:rPr>
          <w:rStyle w:val="StyleUnderline"/>
        </w:rPr>
        <w:t xml:space="preserve">As the Supreme Court </w:t>
      </w:r>
      <w:r w:rsidRPr="001D655B">
        <w:rPr>
          <w:rStyle w:val="Emphasis"/>
        </w:rPr>
        <w:t>unanimously recognized</w:t>
      </w:r>
      <w:r w:rsidRPr="001D655B">
        <w:rPr>
          <w:sz w:val="16"/>
        </w:rPr>
        <w:t xml:space="preserve"> in a 1989 Double Jeopardy Clause case, </w:t>
      </w:r>
      <w:r w:rsidRPr="001D655B">
        <w:rPr>
          <w:rStyle w:val="StyleUnderline"/>
        </w:rPr>
        <w:t xml:space="preserve">"a civil penalty ... may be </w:t>
      </w:r>
      <w:r w:rsidRPr="001D655B">
        <w:rPr>
          <w:rStyle w:val="Emphasis"/>
        </w:rPr>
        <w:t>so extreme</w:t>
      </w:r>
      <w:r w:rsidRPr="001D655B">
        <w:rPr>
          <w:rStyle w:val="StyleUnderline"/>
        </w:rPr>
        <w:t xml:space="preserve"> and </w:t>
      </w:r>
      <w:r w:rsidRPr="001D655B">
        <w:rPr>
          <w:rStyle w:val="Emphasis"/>
        </w:rPr>
        <w:t>so divorced</w:t>
      </w:r>
      <w:r w:rsidRPr="001D655B">
        <w:rPr>
          <w:rStyle w:val="StyleUnderline"/>
        </w:rPr>
        <w:t xml:space="preserve"> from</w:t>
      </w:r>
      <w:r w:rsidRPr="001D655B">
        <w:rPr>
          <w:sz w:val="16"/>
        </w:rPr>
        <w:t xml:space="preserve"> the Government's </w:t>
      </w:r>
      <w:r w:rsidRPr="001D655B">
        <w:rPr>
          <w:rStyle w:val="StyleUnderline"/>
        </w:rPr>
        <w:t>damages</w:t>
      </w:r>
      <w:r w:rsidRPr="001D655B">
        <w:rPr>
          <w:sz w:val="16"/>
        </w:rPr>
        <w:t xml:space="preserve"> and expenses </w:t>
      </w:r>
      <w:r w:rsidRPr="001D655B">
        <w:rPr>
          <w:rStyle w:val="StyleUnderline"/>
        </w:rPr>
        <w:t>as to constitute punishment.</w:t>
      </w:r>
      <w:r>
        <w:rPr>
          <w:rStyle w:val="StyleUnderline"/>
        </w:rPr>
        <w:t>”</w:t>
      </w:r>
      <w:r w:rsidRPr="001D655B">
        <w:rPr>
          <w:sz w:val="16"/>
        </w:rPr>
        <w:t xml:space="preserve"> 390 Although the civil or criminal nature of a given proceeding is typically a question of "statutory language, structure, and intent, ' 391 a more fact-intensive inquiry, focusing on "the purposes actually served by the sanction," is needed to "determin[e] whether a particular civil sanction constitutes criminal punishment" for purposes of the Double Jeopardy Clause.392 This inquiry requires courts to distinguish between sanctions that are "remedial" in nature and those that "serve[] the twin aims of retribution and deterrence. ' 393 The Halper Court suggested that a penalty would be more than remedial if it was significantly disproportionate to the Government's damages and costs, including the costs of investigation and prosecution. 394</w:t>
      </w:r>
    </w:p>
    <w:p w14:paraId="6E64B2BC" w14:textId="77777777" w:rsidR="00516959" w:rsidRPr="001D655B" w:rsidRDefault="00516959" w:rsidP="00516959">
      <w:pPr>
        <w:rPr>
          <w:sz w:val="16"/>
        </w:rPr>
      </w:pPr>
      <w:r w:rsidRPr="001D655B">
        <w:rPr>
          <w:sz w:val="16"/>
        </w:rPr>
        <w:t xml:space="preserve">The Court's reasoning in Halper has been extended to test double jeopardy challenges to administrative sanctions assessed under several regulatory statutes.39 5 Although the Court indicated in United States v. Ursery396 that Halper's double jeopardy analysis does not apply to civil in rem forfeitures (or, by analogy, to other sanctions, such as disbarment, whose "nonpunitive purposes" are "virtually impossible to quantify" 397), Halper still provides the appropriate analytical framework for assessing whether civil monetary penalties can trigger double jeopardy violations. 39 But </w:t>
      </w:r>
      <w:r w:rsidRPr="001D655B">
        <w:rPr>
          <w:rStyle w:val="StyleUnderline"/>
        </w:rPr>
        <w:t xml:space="preserve">that framework has proved to be </w:t>
      </w:r>
      <w:r w:rsidRPr="001D655B">
        <w:rPr>
          <w:rStyle w:val="Emphasis"/>
        </w:rPr>
        <w:t>quite difficult</w:t>
      </w:r>
      <w:r w:rsidRPr="001D655B">
        <w:rPr>
          <w:rStyle w:val="StyleUnderline"/>
        </w:rPr>
        <w:t xml:space="preserve"> to apply</w:t>
      </w:r>
      <w:r w:rsidRPr="001D655B">
        <w:rPr>
          <w:sz w:val="16"/>
        </w:rPr>
        <w:t>.</w:t>
      </w:r>
    </w:p>
    <w:p w14:paraId="2829D0A8" w14:textId="77777777" w:rsidR="00516959" w:rsidRPr="001D655B" w:rsidRDefault="00516959" w:rsidP="00516959">
      <w:pPr>
        <w:rPr>
          <w:sz w:val="16"/>
        </w:rPr>
      </w:pPr>
      <w:r w:rsidRPr="001D655B">
        <w:rPr>
          <w:sz w:val="16"/>
        </w:rPr>
        <w:t>Even the attempt to distinguish remedial purposes from retribution and deterrence may not be sufficient in deciding whether nominally civil penalties are civil or criminal in operation. For example, many regulatory sanctions are at least partially motivated by a desire to deter certain behavior. According to the Occupational Safety and Health Review Commission (OSHRC),399 "deterrence has both civil (remedial) and punitive aspects." 400 Under this view, a sanction serves remedial deterrent purposes if it operates to induce compliance of the sanctioned party.401 However, if a sanction operates to serve general deterrence purposes, then it becomes punitive in nature.402</w:t>
      </w:r>
    </w:p>
    <w:p w14:paraId="67368855" w14:textId="77777777" w:rsidR="00516959" w:rsidRPr="001D655B" w:rsidRDefault="00516959" w:rsidP="00516959">
      <w:pPr>
        <w:rPr>
          <w:sz w:val="16"/>
        </w:rPr>
      </w:pPr>
      <w:r w:rsidRPr="001D655B">
        <w:rPr>
          <w:rStyle w:val="StyleUnderline"/>
        </w:rPr>
        <w:t>The boundaries</w:t>
      </w:r>
      <w:r w:rsidRPr="001D655B">
        <w:rPr>
          <w:sz w:val="16"/>
        </w:rPr>
        <w:t xml:space="preserve"> between retributive and remedial sanctions </w:t>
      </w:r>
      <w:r w:rsidRPr="001D655B">
        <w:rPr>
          <w:rStyle w:val="StyleUnderline"/>
        </w:rPr>
        <w:t xml:space="preserve">are </w:t>
      </w:r>
      <w:r w:rsidRPr="001D655B">
        <w:rPr>
          <w:rStyle w:val="Emphasis"/>
        </w:rPr>
        <w:t>far from self-evident</w:t>
      </w:r>
      <w:r w:rsidRPr="001D655B">
        <w:rPr>
          <w:sz w:val="16"/>
        </w:rPr>
        <w:t>. Halper itself does not define "retribution," but OSHA's nominally civil penalties are at least partially retributive in effect because they are "assessed according to the gravity of the violation." 4 3 OSHA itself identifies "gravity" as one of four factors to be considered in assessing administrative penalties, 40 and OSHRC typically treats it as "the most significant element in a penalty assessment." 4 05 While acknowledging that "an aspect of retributiveness is necessarily present when the amount of the penalty increases with the magnitude of the violation," OSHRC nonetheless reasoned that "a civil OSHA penalty cannot be considered punitive.., if the amount of the penalty is reasonable and appropriate to effectuate the remedial purposes of [OSHA], that is, to achieve the goal of a safe and healthful workplace." 406</w:t>
      </w:r>
    </w:p>
    <w:p w14:paraId="321913C6" w14:textId="77777777" w:rsidR="00516959" w:rsidRPr="001D655B" w:rsidRDefault="00516959" w:rsidP="00516959">
      <w:pPr>
        <w:rPr>
          <w:sz w:val="16"/>
        </w:rPr>
      </w:pPr>
      <w:r w:rsidRPr="001D655B">
        <w:rPr>
          <w:rStyle w:val="Emphasis"/>
        </w:rPr>
        <w:t>The potential administrative difficulty</w:t>
      </w:r>
      <w:r w:rsidRPr="001D655B">
        <w:rPr>
          <w:rStyle w:val="StyleUnderline"/>
        </w:rPr>
        <w:t xml:space="preserve"> created by </w:t>
      </w:r>
      <w:r w:rsidRPr="001D655B">
        <w:rPr>
          <w:rStyle w:val="Emphasis"/>
        </w:rPr>
        <w:t>the criminal liability exception</w:t>
      </w:r>
      <w:r w:rsidRPr="001D655B">
        <w:rPr>
          <w:rStyle w:val="StyleUnderline"/>
        </w:rPr>
        <w:t xml:space="preserve"> is well illustrated</w:t>
      </w:r>
      <w:r w:rsidRPr="001D655B">
        <w:rPr>
          <w:sz w:val="16"/>
        </w:rPr>
        <w:t xml:space="preserve"> by the facts and penalty structure involved </w:t>
      </w:r>
      <w:r w:rsidRPr="001D655B">
        <w:rPr>
          <w:rStyle w:val="StyleUnderline"/>
        </w:rPr>
        <w:t>in</w:t>
      </w:r>
      <w:r w:rsidRPr="001D655B">
        <w:rPr>
          <w:sz w:val="16"/>
        </w:rPr>
        <w:t xml:space="preserve"> SA. </w:t>
      </w:r>
      <w:r w:rsidRPr="001D655B">
        <w:rPr>
          <w:rStyle w:val="StyleUnderline"/>
        </w:rPr>
        <w:t>Healy</w:t>
      </w:r>
      <w:r w:rsidRPr="001D655B">
        <w:rPr>
          <w:sz w:val="16"/>
        </w:rPr>
        <w:t xml:space="preserve"> Co. 407 After three of its employees died in a methane gas explosion, the employer in Healy defended itself in separate proceedings that involved criminal and civil penalties for willfully violating various OSHA standards. 408 Although the Secretary of Labor generally seeks separate civil penalties based on the number of different standards allegedly violated, 40 9 the Secretary cited Healy for multiple violations of the same standards, pursuant to the Secretary's " 'egregious' or 'instance-by-instance' policy. ' 410 This policy permits the Secretary to seek separate penalties "for each 'instance' of a violation in situations where the Secretary fe[els] that the employer was acting in a flagrant manner or the violations were particularly severe." 41' OSHRC itself has concluded that the policy is "neither mandated nor prohibited" by OSHA,412 and it has approved application of the policy under certain conditions.413 In Healy, OSHRC noted that "instance-by-instance" penalties often have a general deterrence purpose 414 and threaten to become "punitive" rather than remedial in some cases. 415 While affirming the administrative law judge's finding that civil penalties could be assessed against Healy without violating the Double Jeopardy Clause, OSHRC remanded the case for further factual findings to assure that the amount of the civil penalties was consistent with Halper.4 6 Following remand, however, the Seventh Circuit set aside the OSHRC order, reasoning that the nominally civil penalty actually served the goals of "general and specific deterrence, the standard objectives of the criminal law. If we were to treat deterrence (and the costs of achieving it) as 'remedial', then the entire criminal apparatus would be remedial, for its penalties can be (and often are) justified without regard to the concept of retribution." 417</w:t>
      </w:r>
    </w:p>
    <w:p w14:paraId="0718662E" w14:textId="77777777" w:rsidR="00516959" w:rsidRPr="001D655B" w:rsidRDefault="00516959" w:rsidP="00516959">
      <w:pPr>
        <w:rPr>
          <w:sz w:val="16"/>
        </w:rPr>
      </w:pPr>
      <w:r w:rsidRPr="001D655B">
        <w:rPr>
          <w:rStyle w:val="Emphasis"/>
        </w:rPr>
        <w:t>The complexity</w:t>
      </w:r>
      <w:r w:rsidRPr="001D655B">
        <w:rPr>
          <w:rStyle w:val="StyleUnderline"/>
        </w:rPr>
        <w:t xml:space="preserve"> of </w:t>
      </w:r>
      <w:r w:rsidRPr="001D655B">
        <w:rPr>
          <w:rStyle w:val="Emphasis"/>
        </w:rPr>
        <w:t>this constitutional double jeopardy analysis</w:t>
      </w:r>
      <w:r w:rsidRPr="001D655B">
        <w:rPr>
          <w:rStyle w:val="StyleUnderline"/>
        </w:rPr>
        <w:t xml:space="preserve"> could </w:t>
      </w:r>
      <w:r w:rsidRPr="001D655B">
        <w:rPr>
          <w:rStyle w:val="Emphasis"/>
        </w:rPr>
        <w:t>easily spill over</w:t>
      </w:r>
      <w:r w:rsidRPr="001D655B">
        <w:rPr>
          <w:rStyle w:val="StyleUnderline"/>
        </w:rPr>
        <w:t xml:space="preserve"> into </w:t>
      </w:r>
      <w:r w:rsidRPr="001D655B">
        <w:rPr>
          <w:rStyle w:val="Emphasis"/>
        </w:rPr>
        <w:t>the Chevron arena</w:t>
      </w:r>
      <w:r w:rsidRPr="001D655B">
        <w:rPr>
          <w:rStyle w:val="StyleUnderline"/>
        </w:rPr>
        <w:t xml:space="preserve"> if courts adopt the criminal liability exception</w:t>
      </w:r>
      <w:r w:rsidRPr="001D655B">
        <w:rPr>
          <w:sz w:val="16"/>
        </w:rPr>
        <w:t>. 418 A reviewing court might have to decide whether to apply Chevron in addressing either or both of the following questions: (1) whether the Secretary's "instance-by-instance" penalty structure is consistent with OSHA; and (2) whether the standards on which both criminal and civil penalties are based are consistent with the statute. Although either question potentially implicates criminal liability, neither necessarily does.419 For example, the same issue of statutory interpretation involving a specific standard could arise in a case in which the penalty was so low as to be unquestionably civil, or it could arise in a case that, like Healy, raises troubling double jeopardy concerns. Moreover, because the double jeopardy question can arise if a criminal case follows an administrative adjudication, 420 the challenge to a statutory interpretation in the administrative case could reach the courts even before the criminal case were brought, and thus the double jeopardy issue might not have become apparent at the time that the reviewing court had to decide whether to apply Chevron.</w:t>
      </w:r>
    </w:p>
    <w:p w14:paraId="4E149E9E" w14:textId="77777777" w:rsidR="00516959" w:rsidRPr="001D655B" w:rsidRDefault="00516959" w:rsidP="00516959">
      <w:pPr>
        <w:rPr>
          <w:sz w:val="16"/>
        </w:rPr>
      </w:pPr>
      <w:r w:rsidRPr="001D655B">
        <w:rPr>
          <w:sz w:val="16"/>
        </w:rPr>
        <w:t>Footnote 418 begins:</w:t>
      </w:r>
    </w:p>
    <w:p w14:paraId="0815FE2D" w14:textId="77777777" w:rsidR="00516959" w:rsidRPr="001D655B" w:rsidRDefault="00516959" w:rsidP="00516959">
      <w:pPr>
        <w:rPr>
          <w:rStyle w:val="StyleUnderline"/>
        </w:rPr>
      </w:pPr>
      <w:r w:rsidRPr="001D655B">
        <w:rPr>
          <w:sz w:val="16"/>
        </w:rPr>
        <w:t xml:space="preserve">418. </w:t>
      </w:r>
      <w:r w:rsidRPr="001D655B">
        <w:rPr>
          <w:rStyle w:val="StyleUnderline"/>
        </w:rPr>
        <w:t xml:space="preserve">For </w:t>
      </w:r>
      <w:r w:rsidRPr="001D655B">
        <w:rPr>
          <w:rStyle w:val="Emphasis"/>
        </w:rPr>
        <w:t>analogous reasons</w:t>
      </w:r>
      <w:r w:rsidRPr="001D655B">
        <w:rPr>
          <w:rStyle w:val="StyleUnderline"/>
        </w:rPr>
        <w:t>, the court in Oklahoma</w:t>
      </w:r>
      <w:r w:rsidRPr="001D655B">
        <w:rPr>
          <w:sz w:val="16"/>
        </w:rPr>
        <w:t xml:space="preserve"> Natural Gas Co. </w:t>
      </w:r>
      <w:r w:rsidRPr="001D655B">
        <w:rPr>
          <w:rStyle w:val="StyleUnderline"/>
        </w:rPr>
        <w:t>v. FERC</w:t>
      </w:r>
      <w:r w:rsidRPr="001D655B">
        <w:rPr>
          <w:sz w:val="16"/>
        </w:rPr>
        <w:t xml:space="preserve">, 28 F.3d 1281, 1284 (D.C. Cir. 1994), </w:t>
      </w:r>
      <w:r w:rsidRPr="001D655B">
        <w:rPr>
          <w:rStyle w:val="StyleUnderline"/>
        </w:rPr>
        <w:t xml:space="preserve">refused to accept </w:t>
      </w:r>
      <w:r w:rsidRPr="001D655B">
        <w:rPr>
          <w:rStyle w:val="Emphasis"/>
        </w:rPr>
        <w:t>another Chevron exception</w:t>
      </w:r>
      <w:r w:rsidRPr="001D655B">
        <w:rPr>
          <w:sz w:val="16"/>
        </w:rPr>
        <w:t xml:space="preserve"> proposed by the petitioner </w:t>
      </w:r>
      <w:r w:rsidRPr="001D655B">
        <w:rPr>
          <w:rStyle w:val="StyleUnderline"/>
        </w:rPr>
        <w:t>in that case:</w:t>
      </w:r>
    </w:p>
    <w:p w14:paraId="4EC4B19B" w14:textId="77777777" w:rsidR="00516959" w:rsidRPr="001D655B" w:rsidRDefault="00516959" w:rsidP="00516959">
      <w:pPr>
        <w:ind w:left="720"/>
        <w:rPr>
          <w:sz w:val="16"/>
        </w:rPr>
      </w:pPr>
      <w:r w:rsidRPr="001D655B">
        <w:rPr>
          <w:sz w:val="16"/>
        </w:rPr>
        <w:t xml:space="preserve">Petitioner argues ... that wherever a federal agency's exercise of authority will preempt state power, Chevron deference is inappropriate. But with the exception of the negative exercises of federal authority, all agency legal interpretations have some preemptive effect; no state law in direct contradiction will survive. </w:t>
      </w:r>
      <w:r w:rsidRPr="001D655B">
        <w:rPr>
          <w:rStyle w:val="StyleUnderline"/>
        </w:rPr>
        <w:t xml:space="preserve">Petitioner's </w:t>
      </w:r>
      <w:r w:rsidRPr="001D655B">
        <w:rPr>
          <w:rStyle w:val="Emphasis"/>
        </w:rPr>
        <w:t>special non-deference principle</w:t>
      </w:r>
      <w:r w:rsidRPr="001D655B">
        <w:rPr>
          <w:rStyle w:val="StyleUnderline"/>
        </w:rPr>
        <w:t xml:space="preserve"> would</w:t>
      </w:r>
      <w:r w:rsidRPr="001D655B">
        <w:rPr>
          <w:sz w:val="16"/>
        </w:rPr>
        <w:t xml:space="preserve"> therefore </w:t>
      </w:r>
      <w:r w:rsidRPr="001D655B">
        <w:rPr>
          <w:rStyle w:val="StyleUnderline"/>
        </w:rPr>
        <w:t xml:space="preserve">have to be applied </w:t>
      </w:r>
      <w:r w:rsidRPr="001D655B">
        <w:rPr>
          <w:rStyle w:val="Emphasis"/>
        </w:rPr>
        <w:t>almost universally</w:t>
      </w:r>
      <w:r w:rsidRPr="001D655B">
        <w:rPr>
          <w:rStyle w:val="StyleUnderline"/>
        </w:rPr>
        <w:t xml:space="preserve">, </w:t>
      </w:r>
      <w:r w:rsidRPr="001D655B">
        <w:rPr>
          <w:rStyle w:val="Emphasis"/>
        </w:rPr>
        <w:t>overturning</w:t>
      </w:r>
      <w:r w:rsidRPr="001D655B">
        <w:rPr>
          <w:rStyle w:val="StyleUnderline"/>
        </w:rPr>
        <w:t xml:space="preserve"> Chevron</w:t>
      </w:r>
      <w:r w:rsidRPr="001D655B">
        <w:rPr>
          <w:sz w:val="16"/>
        </w:rPr>
        <w:t xml:space="preserve">. Alternatively, the issue of deference would turn on a survey of state rules to see if any extant ones happened to succumb under preemption principles. </w:t>
      </w:r>
      <w:r w:rsidRPr="001D655B">
        <w:rPr>
          <w:rStyle w:val="StyleUnderline"/>
        </w:rPr>
        <w:t xml:space="preserve">This approach, though </w:t>
      </w:r>
      <w:r w:rsidRPr="001D655B">
        <w:rPr>
          <w:rStyle w:val="Emphasis"/>
        </w:rPr>
        <w:t>less of an onslaught</w:t>
      </w:r>
      <w:r w:rsidRPr="001D655B">
        <w:rPr>
          <w:rStyle w:val="StyleUnderline"/>
        </w:rPr>
        <w:t xml:space="preserve"> on Chevron, would be </w:t>
      </w:r>
      <w:r w:rsidRPr="001D655B">
        <w:rPr>
          <w:rStyle w:val="Emphasis"/>
        </w:rPr>
        <w:t>completely unprincipled</w:t>
      </w:r>
      <w:r w:rsidRPr="001D655B">
        <w:rPr>
          <w:sz w:val="16"/>
        </w:rPr>
        <w:t>, for deference would depend on what rules states happened to have adopted at the moment of review.</w:t>
      </w:r>
    </w:p>
    <w:p w14:paraId="6ADE560E" w14:textId="77777777" w:rsidR="00516959" w:rsidRPr="001D655B" w:rsidRDefault="00516959" w:rsidP="00516959">
      <w:pPr>
        <w:rPr>
          <w:sz w:val="16"/>
        </w:rPr>
      </w:pPr>
      <w:r w:rsidRPr="001D655B">
        <w:rPr>
          <w:sz w:val="16"/>
        </w:rPr>
        <w:t>IV. CONCLUSION</w:t>
      </w:r>
    </w:p>
    <w:p w14:paraId="6E98539D" w14:textId="77777777" w:rsidR="00516959" w:rsidRPr="001D655B" w:rsidRDefault="00516959" w:rsidP="00516959">
      <w:pPr>
        <w:rPr>
          <w:sz w:val="16"/>
        </w:rPr>
      </w:pPr>
      <w:r w:rsidRPr="001D655B">
        <w:rPr>
          <w:sz w:val="16"/>
        </w:rPr>
        <w:t xml:space="preserve">The Chevron doctrine is not a panacea, and courts certainly should not simply rubber stamp an agency's construction of its own statutory authority. Proponents of the criminal liability and deportation exceptions are correct to suggest that excessive judicial deference raises serious concerns when individuals face criminal penalties or deportation. Properly applied, however, </w:t>
      </w:r>
      <w:r w:rsidRPr="001D655B">
        <w:rPr>
          <w:rStyle w:val="StyleUnderline"/>
        </w:rPr>
        <w:t>Chevron</w:t>
      </w:r>
      <w:r w:rsidRPr="001D655B">
        <w:rPr>
          <w:sz w:val="16"/>
        </w:rPr>
        <w:t xml:space="preserve"> and other well-established administrative law doctrines </w:t>
      </w:r>
      <w:r w:rsidRPr="001D655B">
        <w:rPr>
          <w:rStyle w:val="StyleUnderline"/>
        </w:rPr>
        <w:t xml:space="preserve">should </w:t>
      </w:r>
      <w:r w:rsidRPr="001D655B">
        <w:rPr>
          <w:rStyle w:val="Emphasis"/>
        </w:rPr>
        <w:t>promote</w:t>
      </w:r>
      <w:r w:rsidRPr="001D655B">
        <w:rPr>
          <w:rStyle w:val="StyleUnderline"/>
        </w:rPr>
        <w:t xml:space="preserve"> the fair warning value that lies at </w:t>
      </w:r>
      <w:r w:rsidRPr="001D655B">
        <w:rPr>
          <w:rStyle w:val="Emphasis"/>
        </w:rPr>
        <w:t>the heart of the rule of lenity</w:t>
      </w:r>
      <w:r w:rsidRPr="001D655B">
        <w:rPr>
          <w:rStyle w:val="StyleUnderline"/>
        </w:rPr>
        <w:t xml:space="preserve"> and </w:t>
      </w:r>
      <w:r w:rsidRPr="001D655B">
        <w:rPr>
          <w:rStyle w:val="Emphasis"/>
        </w:rPr>
        <w:t>its deportation analogue</w:t>
      </w:r>
      <w:r w:rsidRPr="001D655B">
        <w:rPr>
          <w:sz w:val="16"/>
        </w:rPr>
        <w:t>.</w:t>
      </w:r>
    </w:p>
    <w:p w14:paraId="64CCAA0A" w14:textId="77777777" w:rsidR="00516959" w:rsidRDefault="00516959" w:rsidP="00516959">
      <w:pPr>
        <w:rPr>
          <w:sz w:val="16"/>
        </w:rPr>
      </w:pPr>
      <w:r w:rsidRPr="001D655B">
        <w:rPr>
          <w:sz w:val="16"/>
        </w:rPr>
        <w:t xml:space="preserve">Rejecting the proposed exceptions will serve another important value as well: simplicity. American administrative law suffers from a plethora of complex doctrines. </w:t>
      </w:r>
      <w:r w:rsidRPr="001D655B">
        <w:rPr>
          <w:rStyle w:val="StyleUnderline"/>
        </w:rPr>
        <w:t xml:space="preserve">Complexity undermines </w:t>
      </w:r>
      <w:r w:rsidRPr="001D655B">
        <w:rPr>
          <w:rStyle w:val="Emphasis"/>
        </w:rPr>
        <w:t>uniformity</w:t>
      </w:r>
      <w:r w:rsidRPr="001D655B">
        <w:rPr>
          <w:rStyle w:val="StyleUnderline"/>
        </w:rPr>
        <w:t xml:space="preserve">, </w:t>
      </w:r>
      <w:r w:rsidRPr="001D655B">
        <w:rPr>
          <w:rStyle w:val="Emphasis"/>
        </w:rPr>
        <w:t>predictability</w:t>
      </w:r>
      <w:r w:rsidRPr="001D655B">
        <w:rPr>
          <w:rStyle w:val="StyleUnderline"/>
        </w:rPr>
        <w:t xml:space="preserve">, </w:t>
      </w:r>
      <w:r w:rsidRPr="001D655B">
        <w:rPr>
          <w:rStyle w:val="Emphasis"/>
        </w:rPr>
        <w:t>the equal treatment</w:t>
      </w:r>
      <w:r w:rsidRPr="001D655B">
        <w:rPr>
          <w:rStyle w:val="StyleUnderline"/>
        </w:rPr>
        <w:t xml:space="preserve"> of </w:t>
      </w:r>
      <w:r w:rsidRPr="001D655B">
        <w:rPr>
          <w:rStyle w:val="Emphasis"/>
        </w:rPr>
        <w:t>similarly situated parties</w:t>
      </w:r>
      <w:r w:rsidRPr="001D655B">
        <w:rPr>
          <w:rStyle w:val="StyleUnderline"/>
        </w:rPr>
        <w:t xml:space="preserve">, and </w:t>
      </w:r>
      <w:r w:rsidRPr="001D655B">
        <w:rPr>
          <w:rStyle w:val="Emphasis"/>
        </w:rPr>
        <w:t>the timely resolution</w:t>
      </w:r>
      <w:r w:rsidRPr="001D655B">
        <w:rPr>
          <w:rStyle w:val="StyleUnderline"/>
        </w:rPr>
        <w:t xml:space="preserve"> of</w:t>
      </w:r>
      <w:r w:rsidRPr="001D655B">
        <w:rPr>
          <w:sz w:val="16"/>
        </w:rPr>
        <w:t xml:space="preserve"> legal </w:t>
      </w:r>
      <w:r w:rsidRPr="001D655B">
        <w:rPr>
          <w:rStyle w:val="StyleUnderline"/>
        </w:rPr>
        <w:t>disputes</w:t>
      </w:r>
      <w:r w:rsidRPr="001D655B">
        <w:rPr>
          <w:sz w:val="16"/>
        </w:rPr>
        <w:t xml:space="preserve">. Chevron appeared to promise a modest decrease in complexity by offering a relatively straightforward two-step formula to reconcile the various pre-Chevron approaches to statutory construction of regulatory statutes. But courts do not always appear to be listening to the same tune when they dance the Chevron two-step, and sometimes they appear to ignore the music entirely. Judging is an art and not an exact science, so some inconsistency is inevitable. Such </w:t>
      </w:r>
      <w:r w:rsidRPr="001D655B">
        <w:rPr>
          <w:rStyle w:val="StyleUnderline"/>
        </w:rPr>
        <w:t>inconsistency</w:t>
      </w:r>
      <w:r w:rsidRPr="001D655B">
        <w:rPr>
          <w:sz w:val="16"/>
        </w:rPr>
        <w:t xml:space="preserve">, however, </w:t>
      </w:r>
      <w:r w:rsidRPr="001D655B">
        <w:rPr>
          <w:rStyle w:val="StyleUnderline"/>
        </w:rPr>
        <w:t xml:space="preserve">should not be </w:t>
      </w:r>
      <w:r w:rsidRPr="001D655B">
        <w:rPr>
          <w:rStyle w:val="Emphasis"/>
        </w:rPr>
        <w:t>compounded</w:t>
      </w:r>
      <w:r w:rsidRPr="001D655B">
        <w:rPr>
          <w:rStyle w:val="StyleUnderline"/>
        </w:rPr>
        <w:t xml:space="preserve"> by the creation of the </w:t>
      </w:r>
      <w:r w:rsidRPr="001D655B">
        <w:rPr>
          <w:rStyle w:val="Emphasis"/>
        </w:rPr>
        <w:t>unnecessary criminal liability and deportation exceptions</w:t>
      </w:r>
      <w:r w:rsidRPr="001D655B">
        <w:rPr>
          <w:sz w:val="16"/>
        </w:rPr>
        <w:t>.</w:t>
      </w:r>
    </w:p>
    <w:p w14:paraId="1AA43327" w14:textId="77777777" w:rsidR="00516959" w:rsidRDefault="00516959" w:rsidP="00516959">
      <w:pPr>
        <w:pStyle w:val="Heading4"/>
      </w:pPr>
      <w:r>
        <w:t>Yes spillover.</w:t>
      </w:r>
    </w:p>
    <w:p w14:paraId="284B19C3" w14:textId="77777777" w:rsidR="00516959" w:rsidRPr="00335C3C" w:rsidRDefault="00516959" w:rsidP="00516959">
      <w:r w:rsidRPr="005C0316">
        <w:rPr>
          <w:b/>
          <w:bCs/>
          <w:sz w:val="26"/>
          <w:szCs w:val="26"/>
        </w:rPr>
        <w:t>Sapper and Nightengale 19</w:t>
      </w:r>
      <w:r>
        <w:t xml:space="preserve"> - </w:t>
      </w:r>
      <w:r w:rsidRPr="005C0316">
        <w:t>Senior Counsel in the Washington, D.C. office of Ogletree Deakins, where he practices administrative and regulatory la</w:t>
      </w:r>
      <w:r>
        <w:t xml:space="preserve">w, </w:t>
      </w:r>
      <w:r w:rsidRPr="005C0316">
        <w:t>advises and represents management on workplace safety and health issues before federal enforcement agencies</w:t>
      </w:r>
      <w:r>
        <w:t>, (Arthur G., Gwendolyn K., “</w:t>
      </w:r>
      <w:r w:rsidRPr="005C0316">
        <w:t>Supreme Court Places Another Limitation on Chevron Deference</w:t>
      </w:r>
      <w:r>
        <w:t xml:space="preserve">,” </w:t>
      </w:r>
      <w:r>
        <w:rPr>
          <w:i/>
          <w:iCs/>
        </w:rPr>
        <w:t>The National Law Review</w:t>
      </w:r>
      <w:r>
        <w:t xml:space="preserve">, 5-31-19, </w:t>
      </w:r>
      <w:hyperlink r:id="rId328" w:history="1">
        <w:r w:rsidRPr="00DC67D3">
          <w:rPr>
            <w:rStyle w:val="Hyperlink"/>
          </w:rPr>
          <w:t>https://www.natlawreview.com/article/supreme-court-places-another-limitation-chevron-deference</w:t>
        </w:r>
      </w:hyperlink>
      <w:r>
        <w:t>, Accessed 7-5-20, LASA-AH)</w:t>
      </w:r>
    </w:p>
    <w:p w14:paraId="64282953" w14:textId="77777777" w:rsidR="00516959" w:rsidRPr="005C0316" w:rsidRDefault="00516959" w:rsidP="00516959">
      <w:pPr>
        <w:rPr>
          <w:u w:val="single"/>
        </w:rPr>
      </w:pPr>
      <w:r w:rsidRPr="005C0316">
        <w:rPr>
          <w:u w:val="single"/>
        </w:rPr>
        <w:t>Wider Implications?</w:t>
      </w:r>
    </w:p>
    <w:p w14:paraId="73C64D09" w14:textId="77777777" w:rsidR="00516959" w:rsidRPr="005C0316" w:rsidRDefault="00516959" w:rsidP="00516959">
      <w:pPr>
        <w:rPr>
          <w:u w:val="single"/>
        </w:rPr>
      </w:pPr>
      <w:r w:rsidRPr="005C0316">
        <w:rPr>
          <w:u w:val="single"/>
        </w:rPr>
        <w:t xml:space="preserve">The Court’s holding and its use of Adams Fruit </w:t>
      </w:r>
      <w:r w:rsidRPr="005C0316">
        <w:rPr>
          <w:rStyle w:val="Emphasis"/>
        </w:rPr>
        <w:t>might extend to other questions</w:t>
      </w:r>
      <w:r>
        <w:t xml:space="preserve">. One example is a statute of limitations. Although usually nonjurisdictional, </w:t>
      </w:r>
      <w:r w:rsidRPr="005C0316">
        <w:rPr>
          <w:u w:val="single"/>
        </w:rPr>
        <w:t>statutes of limitations are often intended to cabin an agency’s prosecution authority. In AKM LLC v. Secretary of Labor, 675 F.3d 752 (D.C. Cir. 2012), Judge Brown stated in a concurring opinion:</w:t>
      </w:r>
    </w:p>
    <w:p w14:paraId="19864417" w14:textId="77777777" w:rsidR="00516959" w:rsidRDefault="00516959" w:rsidP="00516959">
      <w:r w:rsidRPr="005C0316">
        <w:rPr>
          <w:u w:val="single"/>
        </w:rPr>
        <w:t>Agency interpretations of statutes of limitations . . . are . . . poor candidates for deferenc</w:t>
      </w:r>
      <w:r>
        <w:t xml:space="preserve">e. In general, </w:t>
      </w:r>
      <w:r w:rsidRPr="005C0316">
        <w:rPr>
          <w:u w:val="single"/>
        </w:rPr>
        <w:t>statutes of limitations are not the sort of technical provisions requiring or even benefiting from an agency’s special expertise.</w:t>
      </w:r>
      <w:r>
        <w:t xml:space="preserve"> Rather, much like many jurisdictional provisions, these are texts with which courts are intimately familiar, as we interpret and apply them every day.</w:t>
      </w:r>
    </w:p>
    <w:p w14:paraId="4EEED689" w14:textId="77777777" w:rsidR="00516959" w:rsidRPr="005C0316" w:rsidRDefault="00516959" w:rsidP="00516959">
      <w:pPr>
        <w:rPr>
          <w:rStyle w:val="Emphasis"/>
        </w:rPr>
      </w:pPr>
      <w:r>
        <w:t xml:space="preserve">Finally, and perhaps most compellingly, </w:t>
      </w:r>
      <w:r w:rsidRPr="005C0316">
        <w:rPr>
          <w:u w:val="single"/>
        </w:rPr>
        <w:t xml:space="preserve">statutes of limitations are designed to </w:t>
      </w:r>
      <w:r w:rsidRPr="005C0316">
        <w:rPr>
          <w:rStyle w:val="Emphasis"/>
        </w:rPr>
        <w:t>constrain the government’s enforcement authority.</w:t>
      </w:r>
    </w:p>
    <w:p w14:paraId="3BA917BE" w14:textId="77777777" w:rsidR="00516959" w:rsidRPr="00CA211E" w:rsidRDefault="00516959" w:rsidP="00516959">
      <w:r>
        <w:t>Counsel might do well to keep this example in mind in the wake of Smith v. Berryhill.</w:t>
      </w:r>
    </w:p>
    <w:p w14:paraId="323E371F" w14:textId="77777777" w:rsidR="00516959" w:rsidRDefault="00516959" w:rsidP="00516959">
      <w:pPr>
        <w:pStyle w:val="Heading3"/>
      </w:pPr>
      <w:r>
        <w:t>2NC – IL – Nuclear Energy</w:t>
      </w:r>
    </w:p>
    <w:p w14:paraId="17D57828" w14:textId="77777777" w:rsidR="00516959" w:rsidRPr="00B75E88" w:rsidRDefault="00516959" w:rsidP="00516959">
      <w:pPr>
        <w:pStyle w:val="Heading4"/>
      </w:pPr>
      <w:r>
        <w:t xml:space="preserve">DOE deference ensures </w:t>
      </w:r>
      <w:r>
        <w:rPr>
          <w:u w:val="single"/>
        </w:rPr>
        <w:t>loans</w:t>
      </w:r>
      <w:r>
        <w:t xml:space="preserve"> for </w:t>
      </w:r>
      <w:r>
        <w:rPr>
          <w:u w:val="single"/>
        </w:rPr>
        <w:t>nuke power</w:t>
      </w:r>
      <w:r>
        <w:t>.</w:t>
      </w:r>
    </w:p>
    <w:p w14:paraId="736F4C7A" w14:textId="77777777" w:rsidR="00516959" w:rsidRPr="00791E15" w:rsidRDefault="00516959" w:rsidP="00516959">
      <w:pPr>
        <w:rPr>
          <w:sz w:val="20"/>
          <w:szCs w:val="20"/>
        </w:rPr>
      </w:pPr>
      <w:r w:rsidRPr="00791E15">
        <w:rPr>
          <w:rStyle w:val="Style13ptBold"/>
        </w:rPr>
        <w:t xml:space="preserve">Kaley </w:t>
      </w:r>
      <w:r w:rsidRPr="00791E15">
        <w:rPr>
          <w:rStyle w:val="Style13ptBold"/>
          <w:sz w:val="24"/>
          <w:szCs w:val="20"/>
        </w:rPr>
        <w:t>16.</w:t>
      </w:r>
      <w:r>
        <w:t xml:space="preserve"> </w:t>
      </w:r>
      <w:r w:rsidRPr="00791E15">
        <w:rPr>
          <w:sz w:val="20"/>
          <w:szCs w:val="20"/>
        </w:rPr>
        <w:t>Marisa P. Kaley, J.D., Boston College Law School, cum laude, Senior Note Editor of the Boston College, Environmental Affairs Law Review, B.A., Wellesley College, (2016, “Nuclear Power As An Alternative Green Fuel: Why Uprates To Commercial Nuclear Reactors Deserve To Be Eligible For Federal Loan Guarantees, And Why The Doe's Decision To Make Them So Warrants Chevron Deference,” Boston College Environmental Affairs Law Review, 43, 145, Nexis Uni)//pacc</w:t>
      </w:r>
    </w:p>
    <w:p w14:paraId="0FD5DC22" w14:textId="77777777" w:rsidR="00516959" w:rsidRPr="00C65A27" w:rsidRDefault="00516959" w:rsidP="00516959">
      <w:pPr>
        <w:rPr>
          <w:sz w:val="14"/>
        </w:rPr>
      </w:pPr>
      <w:r w:rsidRPr="00456038">
        <w:rPr>
          <w:highlight w:val="cyan"/>
          <w:u w:val="single"/>
        </w:rPr>
        <w:t>As</w:t>
      </w:r>
      <w:r w:rsidRPr="0004170D">
        <w:rPr>
          <w:u w:val="single"/>
        </w:rPr>
        <w:t xml:space="preserve"> the </w:t>
      </w:r>
      <w:r w:rsidRPr="00456038">
        <w:rPr>
          <w:highlight w:val="cyan"/>
          <w:u w:val="single"/>
        </w:rPr>
        <w:t>U</w:t>
      </w:r>
      <w:r w:rsidRPr="00C65A27">
        <w:rPr>
          <w:sz w:val="14"/>
        </w:rPr>
        <w:t xml:space="preserve">nited </w:t>
      </w:r>
      <w:r w:rsidRPr="00456038">
        <w:rPr>
          <w:highlight w:val="cyan"/>
          <w:u w:val="single"/>
        </w:rPr>
        <w:t>S</w:t>
      </w:r>
      <w:r w:rsidRPr="00C65A27">
        <w:rPr>
          <w:sz w:val="14"/>
        </w:rPr>
        <w:t xml:space="preserve">tates </w:t>
      </w:r>
      <w:r w:rsidRPr="00456038">
        <w:rPr>
          <w:highlight w:val="cyan"/>
          <w:u w:val="single"/>
        </w:rPr>
        <w:t>faces</w:t>
      </w:r>
      <w:r w:rsidRPr="0004170D">
        <w:rPr>
          <w:u w:val="single"/>
        </w:rPr>
        <w:t xml:space="preserve"> a </w:t>
      </w:r>
      <w:r w:rsidRPr="00456038">
        <w:rPr>
          <w:highlight w:val="cyan"/>
          <w:u w:val="single"/>
        </w:rPr>
        <w:t>future</w:t>
      </w:r>
      <w:r w:rsidRPr="0004170D">
        <w:rPr>
          <w:u w:val="single"/>
        </w:rPr>
        <w:t xml:space="preserve"> in </w:t>
      </w:r>
      <w:r w:rsidRPr="00456038">
        <w:rPr>
          <w:highlight w:val="cyan"/>
          <w:u w:val="single"/>
        </w:rPr>
        <w:t>which</w:t>
      </w:r>
      <w:r w:rsidRPr="00C65A27">
        <w:rPr>
          <w:sz w:val="14"/>
        </w:rPr>
        <w:t xml:space="preserve"> the </w:t>
      </w:r>
      <w:r w:rsidRPr="00456038">
        <w:rPr>
          <w:rStyle w:val="Emphasis"/>
          <w:highlight w:val="cyan"/>
        </w:rPr>
        <w:t>demand for electricity</w:t>
      </w:r>
      <w:r w:rsidRPr="0004170D">
        <w:rPr>
          <w:rStyle w:val="Emphasis"/>
        </w:rPr>
        <w:t xml:space="preserve"> is forecast to </w:t>
      </w:r>
      <w:r w:rsidRPr="00456038">
        <w:rPr>
          <w:rStyle w:val="Emphasis"/>
          <w:highlight w:val="cyan"/>
        </w:rPr>
        <w:t>grow</w:t>
      </w:r>
      <w:r w:rsidRPr="00C65A27">
        <w:rPr>
          <w:sz w:val="14"/>
        </w:rPr>
        <w:t xml:space="preserve"> even </w:t>
      </w:r>
      <w:r w:rsidRPr="0004170D">
        <w:rPr>
          <w:u w:val="single"/>
        </w:rPr>
        <w:t>as society</w:t>
      </w:r>
      <w:r w:rsidRPr="00C65A27">
        <w:rPr>
          <w:sz w:val="14"/>
        </w:rPr>
        <w:t xml:space="preserve"> and government </w:t>
      </w:r>
      <w:r w:rsidRPr="0004170D">
        <w:rPr>
          <w:u w:val="single"/>
        </w:rPr>
        <w:t>take steps to halt global warming, it makes sense</w:t>
      </w:r>
      <w:r w:rsidRPr="00C65A27">
        <w:rPr>
          <w:sz w:val="14"/>
        </w:rPr>
        <w:t xml:space="preserve"> that </w:t>
      </w:r>
      <w:r w:rsidRPr="00456038">
        <w:rPr>
          <w:highlight w:val="cyan"/>
          <w:u w:val="single"/>
        </w:rPr>
        <w:t>alternatives to fossil fuels</w:t>
      </w:r>
      <w:r w:rsidRPr="00C65A27">
        <w:rPr>
          <w:sz w:val="14"/>
        </w:rPr>
        <w:t xml:space="preserve"> are </w:t>
      </w:r>
      <w:r w:rsidRPr="00456038">
        <w:rPr>
          <w:highlight w:val="cyan"/>
          <w:u w:val="single"/>
        </w:rPr>
        <w:t>becom</w:t>
      </w:r>
      <w:r w:rsidRPr="00C65A27">
        <w:rPr>
          <w:sz w:val="14"/>
        </w:rPr>
        <w:t xml:space="preserve">ing </w:t>
      </w:r>
      <w:r w:rsidRPr="0004170D">
        <w:rPr>
          <w:u w:val="single"/>
        </w:rPr>
        <w:t xml:space="preserve">increasingly </w:t>
      </w:r>
      <w:r w:rsidRPr="00456038">
        <w:rPr>
          <w:highlight w:val="cyan"/>
          <w:u w:val="single"/>
        </w:rPr>
        <w:t>attractive</w:t>
      </w:r>
      <w:r w:rsidRPr="00C65A27">
        <w:rPr>
          <w:sz w:val="14"/>
        </w:rPr>
        <w:t xml:space="preserve">. Power plants that rely on </w:t>
      </w:r>
      <w:r w:rsidRPr="00456038">
        <w:rPr>
          <w:highlight w:val="cyan"/>
          <w:u w:val="single"/>
        </w:rPr>
        <w:t>nuclear energy</w:t>
      </w:r>
      <w:r w:rsidRPr="00C65A27">
        <w:rPr>
          <w:sz w:val="14"/>
        </w:rPr>
        <w:t xml:space="preserve"> rather than coal or natural gas </w:t>
      </w:r>
      <w:r w:rsidRPr="0004170D">
        <w:rPr>
          <w:u w:val="single"/>
        </w:rPr>
        <w:t>have</w:t>
      </w:r>
      <w:r w:rsidRPr="00C65A27">
        <w:rPr>
          <w:sz w:val="14"/>
        </w:rPr>
        <w:t xml:space="preserve"> the </w:t>
      </w:r>
      <w:r w:rsidRPr="0004170D">
        <w:rPr>
          <w:u w:val="single"/>
        </w:rPr>
        <w:t xml:space="preserve">ability to </w:t>
      </w:r>
      <w:r w:rsidRPr="00456038">
        <w:rPr>
          <w:highlight w:val="cyan"/>
          <w:u w:val="single"/>
        </w:rPr>
        <w:t xml:space="preserve">generate electricity </w:t>
      </w:r>
      <w:r w:rsidRPr="00456038">
        <w:rPr>
          <w:rStyle w:val="Emphasis"/>
          <w:highlight w:val="cyan"/>
        </w:rPr>
        <w:t>without emitting</w:t>
      </w:r>
      <w:r w:rsidRPr="0004170D">
        <w:rPr>
          <w:rStyle w:val="Emphasis"/>
        </w:rPr>
        <w:t xml:space="preserve"> any carbon</w:t>
      </w:r>
      <w:r w:rsidRPr="00C65A27">
        <w:rPr>
          <w:sz w:val="14"/>
        </w:rPr>
        <w:t xml:space="preserve"> dioxide, </w:t>
      </w:r>
      <w:r w:rsidRPr="00456038">
        <w:rPr>
          <w:highlight w:val="cyan"/>
          <w:u w:val="single"/>
        </w:rPr>
        <w:t>yet</w:t>
      </w:r>
      <w:r w:rsidRPr="0004170D">
        <w:rPr>
          <w:u w:val="single"/>
        </w:rPr>
        <w:t xml:space="preserve"> the </w:t>
      </w:r>
      <w:r w:rsidRPr="00456038">
        <w:rPr>
          <w:highlight w:val="cyan"/>
          <w:u w:val="single"/>
        </w:rPr>
        <w:t>cost to build and maintain</w:t>
      </w:r>
      <w:r w:rsidRPr="0004170D">
        <w:rPr>
          <w:u w:val="single"/>
        </w:rPr>
        <w:t xml:space="preserve"> them </w:t>
      </w:r>
      <w:r w:rsidRPr="00456038">
        <w:rPr>
          <w:highlight w:val="cyan"/>
          <w:u w:val="single"/>
        </w:rPr>
        <w:t>can be enormous</w:t>
      </w:r>
      <w:r w:rsidRPr="00C65A27">
        <w:rPr>
          <w:sz w:val="14"/>
        </w:rPr>
        <w:t>. Title XVII of Energy Policy Act of 2005 (the "Act"), which authorizes the Secretary of the Department of Energy ("</w:t>
      </w:r>
      <w:r w:rsidRPr="0004170D">
        <w:rPr>
          <w:u w:val="single"/>
        </w:rPr>
        <w:t>DOE</w:t>
      </w:r>
      <w:r w:rsidRPr="00C65A27">
        <w:rPr>
          <w:sz w:val="14"/>
        </w:rPr>
        <w:t xml:space="preserve">") to make </w:t>
      </w:r>
      <w:r w:rsidRPr="00456038">
        <w:rPr>
          <w:highlight w:val="cyan"/>
          <w:u w:val="single"/>
        </w:rPr>
        <w:t>loan</w:t>
      </w:r>
      <w:r w:rsidRPr="0004170D">
        <w:rPr>
          <w:u w:val="single"/>
        </w:rPr>
        <w:t xml:space="preserve"> guarantee</w:t>
      </w:r>
      <w:r w:rsidRPr="00456038">
        <w:rPr>
          <w:highlight w:val="cyan"/>
          <w:u w:val="single"/>
        </w:rPr>
        <w:t>s</w:t>
      </w:r>
      <w:r w:rsidRPr="0004170D">
        <w:rPr>
          <w:u w:val="single"/>
        </w:rPr>
        <w:t xml:space="preserve"> for</w:t>
      </w:r>
      <w:r w:rsidRPr="00C65A27">
        <w:rPr>
          <w:sz w:val="14"/>
        </w:rPr>
        <w:t xml:space="preserve"> certain </w:t>
      </w:r>
      <w:r w:rsidRPr="0004170D">
        <w:rPr>
          <w:u w:val="single"/>
        </w:rPr>
        <w:t>nuclear projects</w:t>
      </w:r>
      <w:r w:rsidRPr="00C65A27">
        <w:rPr>
          <w:sz w:val="14"/>
        </w:rPr>
        <w:t xml:space="preserve">, can </w:t>
      </w:r>
      <w:r w:rsidRPr="0004170D">
        <w:rPr>
          <w:u w:val="single"/>
        </w:rPr>
        <w:t xml:space="preserve">help </w:t>
      </w:r>
      <w:r w:rsidRPr="00456038">
        <w:rPr>
          <w:highlight w:val="cyan"/>
          <w:u w:val="single"/>
        </w:rPr>
        <w:t>encourage wider</w:t>
      </w:r>
      <w:r w:rsidRPr="0004170D">
        <w:rPr>
          <w:u w:val="single"/>
        </w:rPr>
        <w:t xml:space="preserve"> commercial </w:t>
      </w:r>
      <w:r w:rsidRPr="00456038">
        <w:rPr>
          <w:highlight w:val="cyan"/>
          <w:u w:val="single"/>
        </w:rPr>
        <w:t>use</w:t>
      </w:r>
      <w:r w:rsidRPr="0004170D">
        <w:rPr>
          <w:u w:val="single"/>
        </w:rPr>
        <w:t xml:space="preserve"> of new energy tech</w:t>
      </w:r>
      <w:r w:rsidRPr="00C65A27">
        <w:rPr>
          <w:sz w:val="14"/>
        </w:rPr>
        <w:t xml:space="preserve">nology </w:t>
      </w:r>
      <w:r w:rsidRPr="00456038">
        <w:rPr>
          <w:rStyle w:val="Emphasis"/>
          <w:highlight w:val="cyan"/>
        </w:rPr>
        <w:t xml:space="preserve">to benefit </w:t>
      </w:r>
      <w:r w:rsidRPr="00C65A27">
        <w:rPr>
          <w:rStyle w:val="Emphasis"/>
        </w:rPr>
        <w:t xml:space="preserve">the </w:t>
      </w:r>
      <w:r w:rsidRPr="00456038">
        <w:rPr>
          <w:rStyle w:val="Emphasis"/>
          <w:highlight w:val="cyan"/>
        </w:rPr>
        <w:t>environment</w:t>
      </w:r>
      <w:r w:rsidRPr="00C65A27">
        <w:rPr>
          <w:sz w:val="14"/>
        </w:rPr>
        <w:t>.</w:t>
      </w:r>
    </w:p>
    <w:p w14:paraId="1A6AC8EA" w14:textId="77777777" w:rsidR="00516959" w:rsidRDefault="00516959" w:rsidP="00516959">
      <w:pPr>
        <w:rPr>
          <w:sz w:val="14"/>
        </w:rPr>
      </w:pPr>
      <w:r w:rsidRPr="0004170D">
        <w:rPr>
          <w:u w:val="single"/>
        </w:rPr>
        <w:t xml:space="preserve">The </w:t>
      </w:r>
      <w:r w:rsidRPr="00456038">
        <w:rPr>
          <w:highlight w:val="cyan"/>
          <w:u w:val="single"/>
        </w:rPr>
        <w:t>DOE's interp</w:t>
      </w:r>
      <w:r w:rsidRPr="0004170D">
        <w:rPr>
          <w:u w:val="single"/>
        </w:rPr>
        <w:t>retation of the statute</w:t>
      </w:r>
      <w:r w:rsidRPr="00C65A27">
        <w:rPr>
          <w:sz w:val="14"/>
        </w:rPr>
        <w:t>--which permits uprates to existing nuclear reactors to apply for loan guarantees--</w:t>
      </w:r>
      <w:r w:rsidRPr="0004170D">
        <w:rPr>
          <w:u w:val="single"/>
        </w:rPr>
        <w:t xml:space="preserve">can </w:t>
      </w:r>
      <w:r w:rsidRPr="00456038">
        <w:rPr>
          <w:highlight w:val="cyan"/>
          <w:u w:val="single"/>
        </w:rPr>
        <w:t>provide</w:t>
      </w:r>
      <w:r w:rsidRPr="0004170D">
        <w:rPr>
          <w:u w:val="single"/>
        </w:rPr>
        <w:t xml:space="preserve"> financial </w:t>
      </w:r>
      <w:r w:rsidRPr="00456038">
        <w:rPr>
          <w:highlight w:val="cyan"/>
          <w:u w:val="single"/>
        </w:rPr>
        <w:t>assistance</w:t>
      </w:r>
      <w:r w:rsidRPr="0004170D">
        <w:rPr>
          <w:u w:val="single"/>
        </w:rPr>
        <w:t xml:space="preserve"> to projects that are</w:t>
      </w:r>
      <w:r w:rsidRPr="00C65A27">
        <w:rPr>
          <w:sz w:val="14"/>
        </w:rPr>
        <w:t xml:space="preserve"> less dramatic than the construction of brand new reactors yet still </w:t>
      </w:r>
      <w:r w:rsidRPr="0004170D">
        <w:rPr>
          <w:u w:val="single"/>
        </w:rPr>
        <w:t>capable of benefitting the environment through increased nuclear generation capacity</w:t>
      </w:r>
      <w:r w:rsidRPr="00C65A27">
        <w:rPr>
          <w:sz w:val="14"/>
        </w:rPr>
        <w:t xml:space="preserve">. Critics stand ready to accuse the DOE of illegally funding nuclear projects should it extend a loan guarantee to an uprate project because they believe that such projects cannot satisfy the two threshold eligibility requirements of Title XVII. The DOE clearly believes, however, that </w:t>
      </w:r>
      <w:r w:rsidRPr="00C65A27">
        <w:rPr>
          <w:u w:val="single"/>
        </w:rPr>
        <w:t>there are uprates that can avoid</w:t>
      </w:r>
      <w:r w:rsidRPr="00C65A27">
        <w:rPr>
          <w:sz w:val="14"/>
        </w:rPr>
        <w:t xml:space="preserve">, reduce, or sequester </w:t>
      </w:r>
      <w:r w:rsidRPr="00C65A27">
        <w:rPr>
          <w:u w:val="single"/>
        </w:rPr>
        <w:t>green-house gases while employing new or significantly improved tech</w:t>
      </w:r>
      <w:r w:rsidRPr="00C65A27">
        <w:rPr>
          <w:sz w:val="14"/>
        </w:rPr>
        <w:t xml:space="preserve">nology. For that reason, combined with Congress's failure to address the eligibility of particular projects in the statute and the fact that the DOE's interpretation is consistent with the underlying policy of the Act, </w:t>
      </w:r>
      <w:r w:rsidRPr="0004170D">
        <w:rPr>
          <w:u w:val="single"/>
        </w:rPr>
        <w:t xml:space="preserve">a </w:t>
      </w:r>
      <w:r w:rsidRPr="00456038">
        <w:rPr>
          <w:rStyle w:val="Emphasis"/>
          <w:highlight w:val="cyan"/>
        </w:rPr>
        <w:t>court should defer</w:t>
      </w:r>
      <w:r w:rsidRPr="00456038">
        <w:rPr>
          <w:highlight w:val="cyan"/>
          <w:u w:val="single"/>
        </w:rPr>
        <w:t xml:space="preserve"> to</w:t>
      </w:r>
      <w:r w:rsidRPr="00C65A27">
        <w:rPr>
          <w:sz w:val="14"/>
        </w:rPr>
        <w:t xml:space="preserve">  [*179]  </w:t>
      </w:r>
      <w:r w:rsidRPr="0004170D">
        <w:rPr>
          <w:u w:val="single"/>
        </w:rPr>
        <w:t xml:space="preserve">the </w:t>
      </w:r>
      <w:r w:rsidRPr="00456038">
        <w:rPr>
          <w:highlight w:val="cyan"/>
          <w:u w:val="single"/>
        </w:rPr>
        <w:t>DOE's decision</w:t>
      </w:r>
      <w:r w:rsidRPr="0004170D">
        <w:rPr>
          <w:u w:val="single"/>
        </w:rPr>
        <w:t xml:space="preserve"> to include uprates to existing nuclear reactors among the projects that are eligible for Title XVII loan guarantees</w:t>
      </w:r>
      <w:r w:rsidRPr="00C65A27">
        <w:rPr>
          <w:sz w:val="14"/>
        </w:rPr>
        <w:t>.</w:t>
      </w:r>
    </w:p>
    <w:p w14:paraId="0DAA7434" w14:textId="77777777" w:rsidR="00516959" w:rsidRPr="009B74AC" w:rsidRDefault="00516959" w:rsidP="00516959">
      <w:pPr>
        <w:pStyle w:val="Heading4"/>
      </w:pPr>
      <w:r>
        <w:t xml:space="preserve">Which solves </w:t>
      </w:r>
      <w:r>
        <w:rPr>
          <w:u w:val="single"/>
        </w:rPr>
        <w:t>climate change</w:t>
      </w:r>
      <w:r>
        <w:t>.</w:t>
      </w:r>
    </w:p>
    <w:p w14:paraId="5F38B566" w14:textId="77777777" w:rsidR="00516959" w:rsidRPr="008B3F57" w:rsidRDefault="00516959" w:rsidP="00516959">
      <w:pPr>
        <w:rPr>
          <w:sz w:val="20"/>
          <w:szCs w:val="20"/>
        </w:rPr>
      </w:pPr>
      <w:r w:rsidRPr="00791E15">
        <w:rPr>
          <w:rStyle w:val="Style13ptBold"/>
        </w:rPr>
        <w:t xml:space="preserve">Kaley </w:t>
      </w:r>
      <w:r w:rsidRPr="00791E15">
        <w:rPr>
          <w:rStyle w:val="Style13ptBold"/>
          <w:sz w:val="24"/>
          <w:szCs w:val="20"/>
        </w:rPr>
        <w:t>16.</w:t>
      </w:r>
      <w:r>
        <w:t xml:space="preserve"> </w:t>
      </w:r>
      <w:r w:rsidRPr="00791E15">
        <w:rPr>
          <w:sz w:val="20"/>
          <w:szCs w:val="20"/>
        </w:rPr>
        <w:t>Marisa P. Kaley, J.D., Boston College Law School, cum laude, Senior Note Editor of the Boston College, Environmental Affairs Law Review, B.A., Wellesley College, (2016, “Nuclear Power As An Alternative Green Fuel: Why Uprates To Commercial Nuclear Reactors Deserve To Be Eligible For Federal Loan Guarantees, And Why The Doe's Decision To Make Them So Warrants Chevron Deference,” Boston College Environmental Affairs Law Review, 43, 145, Nexis Uni)//pacc</w:t>
      </w:r>
    </w:p>
    <w:p w14:paraId="1D93E0F9" w14:textId="77777777" w:rsidR="00516959" w:rsidRPr="00B75E88" w:rsidRDefault="00516959" w:rsidP="00516959">
      <w:pPr>
        <w:rPr>
          <w:sz w:val="14"/>
        </w:rPr>
      </w:pPr>
      <w:r w:rsidRPr="00456038">
        <w:rPr>
          <w:highlight w:val="cyan"/>
          <w:u w:val="single"/>
        </w:rPr>
        <w:t>The agency</w:t>
      </w:r>
      <w:r w:rsidRPr="008B3F57">
        <w:rPr>
          <w:u w:val="single"/>
        </w:rPr>
        <w:t xml:space="preserve"> has </w:t>
      </w:r>
      <w:r w:rsidRPr="004B11F6">
        <w:rPr>
          <w:rStyle w:val="Emphasis"/>
        </w:rPr>
        <w:t xml:space="preserve">already </w:t>
      </w:r>
      <w:r w:rsidRPr="00456038">
        <w:rPr>
          <w:rStyle w:val="Emphasis"/>
          <w:highlight w:val="cyan"/>
        </w:rPr>
        <w:t>established</w:t>
      </w:r>
      <w:r w:rsidRPr="008B3F57">
        <w:rPr>
          <w:u w:val="single"/>
        </w:rPr>
        <w:t xml:space="preserve"> that </w:t>
      </w:r>
      <w:r w:rsidRPr="00456038">
        <w:rPr>
          <w:highlight w:val="cyan"/>
          <w:u w:val="single"/>
        </w:rPr>
        <w:t>using nuc</w:t>
      </w:r>
      <w:r w:rsidRPr="004B11F6">
        <w:rPr>
          <w:u w:val="single"/>
        </w:rPr>
        <w:t>lear</w:t>
      </w:r>
      <w:r w:rsidRPr="008B3F57">
        <w:rPr>
          <w:u w:val="single"/>
        </w:rPr>
        <w:t xml:space="preserve"> </w:t>
      </w:r>
      <w:r w:rsidRPr="00456038">
        <w:rPr>
          <w:highlight w:val="cyan"/>
          <w:u w:val="single"/>
        </w:rPr>
        <w:t>power</w:t>
      </w:r>
      <w:r w:rsidRPr="008B3F57">
        <w:rPr>
          <w:u w:val="single"/>
        </w:rPr>
        <w:t xml:space="preserve"> to generate electricity "</w:t>
      </w:r>
      <w:r w:rsidRPr="00456038">
        <w:rPr>
          <w:highlight w:val="cyan"/>
          <w:u w:val="single"/>
        </w:rPr>
        <w:t xml:space="preserve">offers </w:t>
      </w:r>
      <w:r w:rsidRPr="00456038">
        <w:rPr>
          <w:rStyle w:val="Emphasis"/>
          <w:highlight w:val="cyan"/>
        </w:rPr>
        <w:t>environmental benefits</w:t>
      </w:r>
      <w:r w:rsidRPr="004B11F6">
        <w:rPr>
          <w:sz w:val="14"/>
        </w:rPr>
        <w:t xml:space="preserve"> consistent with the statutory objectives of Title XVII" </w:t>
      </w:r>
      <w:r w:rsidRPr="004B11F6">
        <w:rPr>
          <w:u w:val="single"/>
        </w:rPr>
        <w:t xml:space="preserve">because </w:t>
      </w:r>
      <w:r w:rsidRPr="00456038">
        <w:rPr>
          <w:highlight w:val="cyan"/>
          <w:u w:val="single"/>
        </w:rPr>
        <w:t xml:space="preserve">doing so </w:t>
      </w:r>
      <w:r w:rsidRPr="00456038">
        <w:rPr>
          <w:rStyle w:val="Emphasis"/>
          <w:highlight w:val="cyan"/>
        </w:rPr>
        <w:t>emits</w:t>
      </w:r>
      <w:r w:rsidRPr="004B11F6">
        <w:rPr>
          <w:rStyle w:val="Emphasis"/>
        </w:rPr>
        <w:t xml:space="preserve"> "considerably </w:t>
      </w:r>
      <w:r w:rsidRPr="00456038">
        <w:rPr>
          <w:rStyle w:val="Emphasis"/>
          <w:highlight w:val="cyan"/>
        </w:rPr>
        <w:t>less" carbon</w:t>
      </w:r>
      <w:r w:rsidRPr="004B11F6">
        <w:rPr>
          <w:rStyle w:val="Emphasis"/>
        </w:rPr>
        <w:t xml:space="preserve"> dioxide</w:t>
      </w:r>
      <w:r w:rsidRPr="004B11F6">
        <w:rPr>
          <w:u w:val="single"/>
        </w:rPr>
        <w:t xml:space="preserve"> </w:t>
      </w:r>
      <w:r w:rsidRPr="00456038">
        <w:rPr>
          <w:highlight w:val="cyan"/>
          <w:u w:val="single"/>
        </w:rPr>
        <w:t>than comparable</w:t>
      </w:r>
      <w:r w:rsidRPr="004B11F6">
        <w:rPr>
          <w:u w:val="single"/>
        </w:rPr>
        <w:t xml:space="preserve"> coal or </w:t>
      </w:r>
      <w:r w:rsidRPr="00456038">
        <w:rPr>
          <w:highlight w:val="cyan"/>
          <w:u w:val="single"/>
        </w:rPr>
        <w:t>natural-gas</w:t>
      </w:r>
      <w:r w:rsidRPr="004B11F6">
        <w:rPr>
          <w:u w:val="single"/>
        </w:rPr>
        <w:t xml:space="preserve">-fired </w:t>
      </w:r>
      <w:r w:rsidRPr="00456038">
        <w:rPr>
          <w:highlight w:val="cyan"/>
          <w:u w:val="single"/>
        </w:rPr>
        <w:t>plants</w:t>
      </w:r>
      <w:r w:rsidRPr="004B11F6">
        <w:rPr>
          <w:sz w:val="14"/>
        </w:rPr>
        <w:t xml:space="preserve">. 252 </w:t>
      </w:r>
      <w:r w:rsidRPr="004B11F6">
        <w:rPr>
          <w:u w:val="single"/>
        </w:rPr>
        <w:t>Because uprates enable an existing reactor to produce</w:t>
      </w:r>
      <w:r w:rsidRPr="004B11F6">
        <w:rPr>
          <w:sz w:val="14"/>
        </w:rPr>
        <w:t xml:space="preserve"> even </w:t>
      </w:r>
      <w:r w:rsidRPr="004B11F6">
        <w:rPr>
          <w:u w:val="single"/>
        </w:rPr>
        <w:t xml:space="preserve">more electricity by </w:t>
      </w:r>
      <w:r w:rsidRPr="00456038">
        <w:rPr>
          <w:highlight w:val="cyan"/>
          <w:u w:val="single"/>
        </w:rPr>
        <w:t>increasing</w:t>
      </w:r>
      <w:r w:rsidRPr="004B11F6">
        <w:rPr>
          <w:u w:val="single"/>
        </w:rPr>
        <w:t xml:space="preserve"> its </w:t>
      </w:r>
      <w:r w:rsidRPr="00456038">
        <w:rPr>
          <w:highlight w:val="cyan"/>
          <w:u w:val="single"/>
        </w:rPr>
        <w:t>capacity by</w:t>
      </w:r>
      <w:r w:rsidRPr="004B11F6">
        <w:rPr>
          <w:u w:val="single"/>
        </w:rPr>
        <w:t xml:space="preserve"> as much as </w:t>
      </w:r>
      <w:r w:rsidRPr="00456038">
        <w:rPr>
          <w:rStyle w:val="Emphasis"/>
          <w:highlight w:val="cyan"/>
        </w:rPr>
        <w:t>twenty percent</w:t>
      </w:r>
      <w:r w:rsidRPr="004B11F6">
        <w:rPr>
          <w:u w:val="single"/>
        </w:rPr>
        <w:t xml:space="preserve">, </w:t>
      </w:r>
      <w:r w:rsidRPr="00456038">
        <w:rPr>
          <w:highlight w:val="cyan"/>
          <w:u w:val="single"/>
        </w:rPr>
        <w:t>this</w:t>
      </w:r>
      <w:r w:rsidRPr="004B11F6">
        <w:rPr>
          <w:sz w:val="14"/>
        </w:rPr>
        <w:t xml:space="preserve"> type of project </w:t>
      </w:r>
      <w:r w:rsidRPr="00456038">
        <w:rPr>
          <w:highlight w:val="cyan"/>
          <w:u w:val="single"/>
        </w:rPr>
        <w:t xml:space="preserve">can </w:t>
      </w:r>
      <w:r w:rsidRPr="00456038">
        <w:rPr>
          <w:rStyle w:val="Emphasis"/>
          <w:highlight w:val="cyan"/>
        </w:rPr>
        <w:t>reduce reliance on</w:t>
      </w:r>
      <w:r w:rsidRPr="004B11F6">
        <w:rPr>
          <w:rStyle w:val="Emphasis"/>
        </w:rPr>
        <w:t xml:space="preserve"> coal</w:t>
      </w:r>
      <w:r w:rsidRPr="004B11F6">
        <w:rPr>
          <w:u w:val="single"/>
        </w:rPr>
        <w:t xml:space="preserve"> and </w:t>
      </w:r>
      <w:r w:rsidRPr="00456038">
        <w:rPr>
          <w:highlight w:val="cyan"/>
          <w:u w:val="single"/>
        </w:rPr>
        <w:t>natural-gas</w:t>
      </w:r>
      <w:r w:rsidRPr="004B11F6">
        <w:rPr>
          <w:u w:val="single"/>
        </w:rPr>
        <w:t>-fired electric plants</w:t>
      </w:r>
      <w:r w:rsidRPr="004B11F6">
        <w:rPr>
          <w:sz w:val="14"/>
        </w:rPr>
        <w:t xml:space="preserve"> in the same way that other eligible projects--such as the new reactors at the Vogtle Plant--do. 253 Simply put, </w:t>
      </w:r>
      <w:r w:rsidRPr="004B11F6">
        <w:rPr>
          <w:u w:val="single"/>
        </w:rPr>
        <w:t xml:space="preserve">the </w:t>
      </w:r>
      <w:r w:rsidRPr="00456038">
        <w:rPr>
          <w:highlight w:val="cyan"/>
          <w:u w:val="single"/>
        </w:rPr>
        <w:t>mo</w:t>
      </w:r>
      <w:r w:rsidRPr="004B11F6">
        <w:rPr>
          <w:u w:val="single"/>
        </w:rPr>
        <w:t xml:space="preserve">re uprates that receive </w:t>
      </w:r>
      <w:r w:rsidRPr="00456038">
        <w:rPr>
          <w:highlight w:val="cyan"/>
          <w:u w:val="single"/>
        </w:rPr>
        <w:t>loan</w:t>
      </w:r>
      <w:r w:rsidRPr="004B11F6">
        <w:rPr>
          <w:sz w:val="14"/>
        </w:rPr>
        <w:t xml:space="preserve"> guarantee</w:t>
      </w:r>
      <w:r w:rsidRPr="00456038">
        <w:rPr>
          <w:highlight w:val="cyan"/>
          <w:u w:val="single"/>
        </w:rPr>
        <w:t>s</w:t>
      </w:r>
      <w:r w:rsidRPr="004B11F6">
        <w:rPr>
          <w:u w:val="single"/>
        </w:rPr>
        <w:t>,</w:t>
      </w:r>
      <w:r w:rsidRPr="004B11F6">
        <w:rPr>
          <w:sz w:val="14"/>
        </w:rPr>
        <w:t xml:space="preserve"> </w:t>
      </w:r>
      <w:r w:rsidRPr="004B11F6">
        <w:rPr>
          <w:u w:val="single"/>
        </w:rPr>
        <w:t xml:space="preserve">the </w:t>
      </w:r>
      <w:r w:rsidRPr="00456038">
        <w:rPr>
          <w:highlight w:val="cyan"/>
          <w:u w:val="single"/>
        </w:rPr>
        <w:t>mo</w:t>
      </w:r>
      <w:r w:rsidRPr="004B11F6">
        <w:rPr>
          <w:u w:val="single"/>
        </w:rPr>
        <w:t xml:space="preserve">re </w:t>
      </w:r>
      <w:r w:rsidRPr="00456038">
        <w:rPr>
          <w:highlight w:val="cyan"/>
          <w:u w:val="single"/>
        </w:rPr>
        <w:t>electricity</w:t>
      </w:r>
      <w:r w:rsidRPr="004B11F6">
        <w:rPr>
          <w:sz w:val="14"/>
        </w:rPr>
        <w:t xml:space="preserve"> that can be produced from comparatively cleaner sources of energy. 254 As of November 2015 </w:t>
      </w:r>
      <w:r w:rsidRPr="004B11F6">
        <w:rPr>
          <w:u w:val="single"/>
        </w:rPr>
        <w:t>the NRC reported four pending applications</w:t>
      </w:r>
      <w:r w:rsidRPr="004B11F6">
        <w:rPr>
          <w:sz w:val="14"/>
        </w:rPr>
        <w:t xml:space="preserve"> for up-rates, with another seven expected to apply in 2017. 255 </w:t>
      </w:r>
      <w:r w:rsidRPr="004B11F6">
        <w:rPr>
          <w:u w:val="single"/>
        </w:rPr>
        <w:t>With</w:t>
      </w:r>
      <w:r w:rsidRPr="004B11F6">
        <w:rPr>
          <w:sz w:val="14"/>
        </w:rPr>
        <w:t xml:space="preserve"> the </w:t>
      </w:r>
      <w:r w:rsidRPr="004B11F6">
        <w:rPr>
          <w:u w:val="single"/>
        </w:rPr>
        <w:t>cost</w:t>
      </w:r>
      <w:r w:rsidRPr="004B11F6">
        <w:rPr>
          <w:sz w:val="14"/>
        </w:rPr>
        <w:t xml:space="preserve"> of performing an uprate </w:t>
      </w:r>
      <w:r w:rsidRPr="004B11F6">
        <w:rPr>
          <w:u w:val="single"/>
        </w:rPr>
        <w:t>ranging from hundreds of millions to several billion dollars</w:t>
      </w:r>
      <w:r w:rsidRPr="004B11F6">
        <w:rPr>
          <w:sz w:val="14"/>
        </w:rPr>
        <w:t>, the DOE presumably sees uprates as a category of eligible projects that are both costly enough to prompt reactor owners to apply for loan guarantees, and effective enough in increasing the amount of electricity generated by environmentally friendly sources to be consistent with Title XVII. 256</w:t>
      </w:r>
    </w:p>
    <w:p w14:paraId="4D2A7EE8" w14:textId="77777777" w:rsidR="00516959" w:rsidRDefault="00516959" w:rsidP="00516959">
      <w:pPr>
        <w:pStyle w:val="Heading3"/>
      </w:pPr>
      <w:r>
        <w:t>2NC – IL – Trade</w:t>
      </w:r>
    </w:p>
    <w:p w14:paraId="72536AF0" w14:textId="77777777" w:rsidR="00516959" w:rsidRPr="001E6ADC" w:rsidRDefault="00516959" w:rsidP="00516959">
      <w:pPr>
        <w:pStyle w:val="Heading4"/>
      </w:pPr>
      <w:r>
        <w:rPr>
          <w:i/>
          <w:iCs w:val="0"/>
        </w:rPr>
        <w:t>Chevron</w:t>
      </w:r>
      <w:r>
        <w:t>’s key to trade.</w:t>
      </w:r>
    </w:p>
    <w:p w14:paraId="053A5F2B" w14:textId="77777777" w:rsidR="00516959" w:rsidRPr="006B15E6" w:rsidRDefault="00516959" w:rsidP="00516959">
      <w:r w:rsidRPr="005D1F3D">
        <w:rPr>
          <w:b/>
          <w:bCs/>
          <w:sz w:val="26"/>
          <w:szCs w:val="26"/>
        </w:rPr>
        <w:t>Berkowitz and Colsher 17</w:t>
      </w:r>
      <w:r>
        <w:t xml:space="preserve"> – partner at </w:t>
      </w:r>
      <w:r w:rsidRPr="005D1F3D">
        <w:t>Shearman &amp; Sterling’s Litigation</w:t>
      </w:r>
      <w:r>
        <w:t xml:space="preserve"> and his</w:t>
      </w:r>
      <w:r w:rsidRPr="005D1F3D">
        <w:t xml:space="preserve"> </w:t>
      </w:r>
      <w:r>
        <w:t>p</w:t>
      </w:r>
      <w:r w:rsidRPr="005D1F3D">
        <w:t>ractice focuses on patent litigation in federal district courts and the International Trade Commission (ITC)</w:t>
      </w:r>
      <w:r>
        <w:t xml:space="preserve">, </w:t>
      </w:r>
      <w:r w:rsidRPr="005D1F3D">
        <w:t>a senior associate in the Litigation practice, focusing on intellectual property litigation and counseling</w:t>
      </w:r>
      <w:r>
        <w:t>, (Matthew G. and Patrick, “</w:t>
      </w:r>
      <w:r w:rsidRPr="005D1F3D">
        <w:t>How Eliminating Agency Deference Might Affect PTAB And ITC</w:t>
      </w:r>
      <w:r>
        <w:t xml:space="preserve">,” </w:t>
      </w:r>
      <w:r>
        <w:rPr>
          <w:i/>
          <w:iCs/>
        </w:rPr>
        <w:t>Law 360</w:t>
      </w:r>
      <w:r>
        <w:t xml:space="preserve">, 4-10-17, </w:t>
      </w:r>
      <w:hyperlink r:id="rId329" w:history="1">
        <w:r w:rsidRPr="009C6468">
          <w:rPr>
            <w:rStyle w:val="Hyperlink"/>
          </w:rPr>
          <w:t>https://www.shearman.com/~/media/Files/NewsInsights/Publications/2017/04/How-Eliminating-Agency-Deference-Might-Affect-PTAB-And-ITC.pdf</w:t>
        </w:r>
      </w:hyperlink>
      <w:r>
        <w:t>, Accessed 7-2-20, LASA-AH)</w:t>
      </w:r>
    </w:p>
    <w:p w14:paraId="2B61B057" w14:textId="77777777" w:rsidR="00516959" w:rsidRDefault="00516959" w:rsidP="00516959">
      <w:r>
        <w:t>Potential Effects on ITC Practice</w:t>
      </w:r>
    </w:p>
    <w:p w14:paraId="5DB6CA87" w14:textId="77777777" w:rsidR="00516959" w:rsidRDefault="00516959" w:rsidP="00516959">
      <w:r w:rsidRPr="006B15E6">
        <w:rPr>
          <w:u w:val="single"/>
        </w:rPr>
        <w:t xml:space="preserve">Elimination of Chevron and Auer could </w:t>
      </w:r>
      <w:r w:rsidRPr="006B15E6">
        <w:rPr>
          <w:rStyle w:val="Emphasis"/>
        </w:rPr>
        <w:t xml:space="preserve">have an effect on ITC </w:t>
      </w:r>
      <w:r w:rsidRPr="006B15E6">
        <w:rPr>
          <w:u w:val="single"/>
        </w:rPr>
        <w:t>practice as well</w:t>
      </w:r>
      <w:r>
        <w:t xml:space="preserve">. Although the Federal Circuit has been somewhat reluctant in the past to apply Chevron and Auer, it is not without exception. For example, the </w:t>
      </w:r>
      <w:r w:rsidRPr="006B15E6">
        <w:rPr>
          <w:u w:val="single"/>
        </w:rPr>
        <w:t>Federal Circuit</w:t>
      </w:r>
      <w:r>
        <w:t xml:space="preserve">, sitting en banc, in the 2015 Suprema decision </w:t>
      </w:r>
      <w:r w:rsidRPr="006B15E6">
        <w:rPr>
          <w:u w:val="single"/>
        </w:rPr>
        <w:t>addressed the proper interpretation of Section 337’s</w:t>
      </w:r>
      <w:r>
        <w:t xml:space="preserve"> provision </w:t>
      </w:r>
      <w:r w:rsidRPr="006B15E6">
        <w:rPr>
          <w:u w:val="single"/>
        </w:rPr>
        <w:t>declaring unlawful the importation of “articles that ... infringe a valid and enforceable United States patent</w:t>
      </w:r>
      <w:r>
        <w:t>” and more specifically, whether this provision covers importation of goods that, after importation, are used by the importer to directly infringe at the inducement of the goods’ seller.[28]</w:t>
      </w:r>
    </w:p>
    <w:p w14:paraId="48847D7A" w14:textId="77777777" w:rsidR="00516959" w:rsidRDefault="00516959" w:rsidP="00516959">
      <w:r w:rsidRPr="006B15E6">
        <w:rPr>
          <w:u w:val="single"/>
        </w:rPr>
        <w:t>The patent at issue concerned technology used in biometric imaging scanners</w:t>
      </w:r>
      <w:r>
        <w:t xml:space="preserve">. </w:t>
      </w:r>
      <w:r w:rsidRPr="006B15E6">
        <w:rPr>
          <w:u w:val="single"/>
        </w:rPr>
        <w:t>Respondent Suprema</w:t>
      </w:r>
      <w:r>
        <w:t xml:space="preserve"> is a Korean company that </w:t>
      </w:r>
      <w:r w:rsidRPr="006B15E6">
        <w:rPr>
          <w:u w:val="single"/>
        </w:rPr>
        <w:t>makes hardware for scanning fingerprints</w:t>
      </w:r>
      <w:r>
        <w:t xml:space="preserve">. It sells the scanners to Mentalix, which </w:t>
      </w:r>
      <w:r w:rsidRPr="006B15E6">
        <w:rPr>
          <w:u w:val="single"/>
        </w:rPr>
        <w:t>imports them into the U.S. and bundles and resells them with custom software created using Suprema’s SDK.</w:t>
      </w:r>
      <w:r>
        <w:t xml:space="preserve"> The administrative law judge found that Suprema’s scanners, when used with the SDKs and Mentalix’s software, directly infringed the claims, and recommended a limited exclusion order and cease and desist order with respect to Suprema’s scanners. </w:t>
      </w:r>
      <w:r w:rsidRPr="006B15E6">
        <w:rPr>
          <w:u w:val="single"/>
        </w:rPr>
        <w:t>The commission upheld the ALJ’s determination and issued an exclusion order. A divided Federal Circuit panel vacated the commission’s finding, reasoning that Section 337’s language, “articles that infringe,”</w:t>
      </w:r>
      <w:r>
        <w:t xml:space="preserve"> is a temporal requirement and that infringement must be measured at the time of importation. As a practical matter, </w:t>
      </w:r>
      <w:r w:rsidRPr="006B15E6">
        <w:rPr>
          <w:u w:val="single"/>
        </w:rPr>
        <w:t xml:space="preserve">the panel’s ruling </w:t>
      </w:r>
      <w:r w:rsidRPr="006B15E6">
        <w:rPr>
          <w:rStyle w:val="Emphasis"/>
        </w:rPr>
        <w:t>all but eliminated trade relief</w:t>
      </w:r>
      <w:r w:rsidRPr="006B15E6">
        <w:rPr>
          <w:u w:val="single"/>
        </w:rPr>
        <w:t xml:space="preserve"> under Section 337 for induced infringement and potentially for all types of method claim infringement.</w:t>
      </w:r>
    </w:p>
    <w:p w14:paraId="1DCE8265" w14:textId="77777777" w:rsidR="00516959" w:rsidRPr="00CB3F1F" w:rsidRDefault="00516959" w:rsidP="00516959">
      <w:r>
        <w:t xml:space="preserve">However, </w:t>
      </w:r>
      <w:r w:rsidRPr="006B15E6">
        <w:rPr>
          <w:u w:val="single"/>
        </w:rPr>
        <w:t xml:space="preserve">the en banc Federal Circuit vacated the panel opinion, holding that the commission’s interpretation of Section 337 was </w:t>
      </w:r>
      <w:r w:rsidRPr="006B15E6">
        <w:rPr>
          <w:rStyle w:val="Emphasis"/>
        </w:rPr>
        <w:t>entitled to Chevron deference</w:t>
      </w:r>
      <w:r w:rsidRPr="006B15E6">
        <w:rPr>
          <w:u w:val="single"/>
        </w:rPr>
        <w:t xml:space="preserve"> and was reasonable given Congress’s mandate to safeguard U.S. commercial interests at the border</w:t>
      </w:r>
      <w:r>
        <w:t>. Should the Regulatory Accountability Act of 2017 pass, the question of whether Section 337 extends to induced infringement and method claims would again be open. If the original Federal Circuit panel ruling is any indication, the answer would be “no.”</w:t>
      </w:r>
    </w:p>
    <w:p w14:paraId="166D24B3" w14:textId="77777777" w:rsidR="00516959" w:rsidRDefault="00516959" w:rsidP="00516959">
      <w:pPr>
        <w:pStyle w:val="Heading3"/>
      </w:pPr>
      <w:r>
        <w:t>2NC – IL – Patents</w:t>
      </w:r>
    </w:p>
    <w:p w14:paraId="7425AFDB" w14:textId="77777777" w:rsidR="00516959" w:rsidRPr="00472A6F" w:rsidRDefault="00516959" w:rsidP="00516959"/>
    <w:p w14:paraId="64D853AD" w14:textId="77777777" w:rsidR="00516959" w:rsidRDefault="00516959" w:rsidP="00516959">
      <w:pPr>
        <w:pStyle w:val="Heading4"/>
      </w:pPr>
      <w:r w:rsidRPr="00805A42">
        <w:rPr>
          <w:i/>
          <w:iCs w:val="0"/>
        </w:rPr>
        <w:t>Chevron</w:t>
      </w:r>
      <w:r>
        <w:t xml:space="preserve"> underpins PTO efficacy.</w:t>
      </w:r>
    </w:p>
    <w:p w14:paraId="5A0EFC12" w14:textId="77777777" w:rsidR="00516959" w:rsidRPr="00100893" w:rsidRDefault="00516959" w:rsidP="00516959">
      <w:r w:rsidRPr="00100893">
        <w:rPr>
          <w:b/>
          <w:bCs/>
          <w:sz w:val="26"/>
          <w:szCs w:val="26"/>
        </w:rPr>
        <w:t>Wasserman 13</w:t>
      </w:r>
      <w:r>
        <w:t xml:space="preserve"> –</w:t>
      </w:r>
      <w:r w:rsidRPr="00100893">
        <w:t xml:space="preserve"> joined the University of Texas law faculty in 2016. Her research focuses on the institutional design of innovation policy, with a particular emphasis on patent law and administrative law</w:t>
      </w:r>
      <w:r>
        <w:t>, (Melissa F., “</w:t>
      </w:r>
      <w:r w:rsidRPr="00100893">
        <w:t>The Changing Guard of Patent Law: Chevron Deference for the PTO</w:t>
      </w:r>
      <w:r>
        <w:t xml:space="preserve">,” </w:t>
      </w:r>
      <w:r>
        <w:rPr>
          <w:i/>
          <w:iCs/>
        </w:rPr>
        <w:t>William and Mary Law Review</w:t>
      </w:r>
      <w:r>
        <w:t xml:space="preserve">, 6-21-13, </w:t>
      </w:r>
      <w:hyperlink r:id="rId330" w:history="1">
        <w:r w:rsidRPr="00F9106D">
          <w:rPr>
            <w:rStyle w:val="Hyperlink"/>
          </w:rPr>
          <w:t>https://scholarship.law.wm.edu/wmlr/vol54/iss6/5/</w:t>
        </w:r>
      </w:hyperlink>
      <w:r>
        <w:t>, Accessed 6-25-20, LASA-AH)</w:t>
      </w:r>
    </w:p>
    <w:p w14:paraId="0BE931C8" w14:textId="77777777" w:rsidR="00516959" w:rsidRDefault="00516959" w:rsidP="00516959">
      <w:r>
        <w:t xml:space="preserve">First, in its seminal decision Dickinson v. Zurko, </w:t>
      </w:r>
      <w:r w:rsidRPr="008C76EC">
        <w:rPr>
          <w:u w:val="single"/>
        </w:rPr>
        <w:t>the Supreme Court largely rejected the notion that the application of administrative law norms to the PTO should be modified due to the Federal Circuit’s expertise.187</w:t>
      </w:r>
      <w:r>
        <w:t xml:space="preserve"> In Zurko, </w:t>
      </w:r>
      <w:r w:rsidRPr="008C76EC">
        <w:rPr>
          <w:u w:val="single"/>
        </w:rPr>
        <w:t>the Court held that the APA provided the proper standard for reviewing the PTO’s factual determinations, reversing the Federal Circuit’s view that a less deferential standard of “clearly erroneous” governe</w:t>
      </w:r>
      <w:r>
        <w:t>d.188 The Court went on to reprimand the Federal Circuit for its endorsement of patent law exceptionalism, stating that “[t]he APA was meant to bring uniformity to a field full of variation and diversity,” and that unjustified departures from administrative law norms frustrated this very purpose.189 Although the Court acknowledged the expertise of the Federal Circuit, it nevertheless rejected the notion that such expertise justified a departure from current administrative law principles.190</w:t>
      </w:r>
    </w:p>
    <w:p w14:paraId="0C278712" w14:textId="77777777" w:rsidR="00516959" w:rsidRDefault="00516959" w:rsidP="00516959">
      <w:r>
        <w:t xml:space="preserve">Second, although the FCIA signaled congressional intent for the Federal Circuit to be the primary interpreter of the Patent Act, several reasons support being wary of the idea that this explicit delegation trumps a subsequent implicit delegation of interpretative authority to the PTO. </w:t>
      </w:r>
      <w:r w:rsidRPr="008C76EC">
        <w:rPr>
          <w:u w:val="single"/>
        </w:rPr>
        <w:t>To begin, nothing in Chevron or its progeny support the claim that if Congress wants the PTO’s legal decisions to receive Chevron deference, it must explicitly state as much</w:t>
      </w:r>
      <w:r>
        <w:t>. In fact, as discussed above, re</w:t>
      </w:r>
      <w:r w:rsidRPr="008C76EC">
        <w:rPr>
          <w:u w:val="single"/>
        </w:rPr>
        <w:t>quiring explicit delegations is counter to the very heart of Chevron—</w:t>
      </w:r>
      <w:r w:rsidRPr="008C76EC">
        <w:rPr>
          <w:rStyle w:val="Emphasis"/>
        </w:rPr>
        <w:t>the innovative aspect of which was the</w:t>
      </w:r>
      <w:r w:rsidRPr="008C76EC">
        <w:rPr>
          <w:u w:val="single"/>
        </w:rPr>
        <w:t xml:space="preserve"> extension of strong judicial deference to implicit delegations</w:t>
      </w:r>
      <w:r>
        <w:t>.191 Moreover</w:t>
      </w:r>
      <w:r w:rsidRPr="008C76EC">
        <w:rPr>
          <w:u w:val="single"/>
        </w:rPr>
        <w:t xml:space="preserve">, this argument must be rejected to the extent that it is based on the premise that Congress does not intend to delegate interpretative authority to an agency </w:t>
      </w:r>
      <w:r w:rsidRPr="008C76EC">
        <w:t>every time it confers formal adjudicatory authority</w:t>
      </w:r>
      <w:r>
        <w:t xml:space="preserve">. Even though commentators have lamented that the Chevron framework is largely based on a legal fiction, </w:t>
      </w:r>
      <w:r w:rsidRPr="008C76EC">
        <w:rPr>
          <w:u w:val="single"/>
        </w:rPr>
        <w:t>this critique is not specific to the PTO but takes aim at the Court’s deference paradigm more generally.192 It is also highly unlikely that Congress “unambiguously expressed intent”</w:t>
      </w:r>
      <w:r>
        <w:t xml:space="preserve"> in the FCIA to subsequently prevent strong deference to the PTO, as Congress enacted the FCIA two years before the Supreme Court announced the legal framework of Chevron, a decision that greatly expanded the instances in which courts owed agencies strong judicial deference.193</w:t>
      </w:r>
    </w:p>
    <w:p w14:paraId="637586F8" w14:textId="77777777" w:rsidR="00516959" w:rsidRPr="0059670C" w:rsidRDefault="00516959" w:rsidP="00516959">
      <w:r>
        <w:t xml:space="preserve">Importantly, the </w:t>
      </w:r>
      <w:r w:rsidRPr="008C76EC">
        <w:rPr>
          <w:u w:val="single"/>
        </w:rPr>
        <w:t>underlying goal of the FCIA</w:t>
      </w:r>
      <w:r w:rsidRPr="0059670C">
        <w:t>, to bring uniformity to patent law,</w:t>
      </w:r>
      <w:r w:rsidRPr="008C76EC">
        <w:rPr>
          <w:u w:val="single"/>
        </w:rPr>
        <w:t>194 will not be disturbed by granting Chevron deference to the PTO’s interpretations of ambiguous terms of the Patent Act</w:t>
      </w:r>
      <w:r>
        <w:t xml:space="preserve">. Because the </w:t>
      </w:r>
      <w:r w:rsidRPr="008C76EC">
        <w:rPr>
          <w:u w:val="single"/>
        </w:rPr>
        <w:t xml:space="preserve">PTO’s legal determinations announced during postgrant review proceedings will carry the force of law, the Agency, </w:t>
      </w:r>
      <w:r w:rsidRPr="0059670C">
        <w:t>just like the Federal Circuit did before</w:t>
      </w:r>
      <w:r w:rsidRPr="008C76EC">
        <w:rPr>
          <w:u w:val="single"/>
        </w:rPr>
        <w:t>, will be announcing substantive patent law standards that govern the entire nation</w:t>
      </w:r>
      <w:r>
        <w:t xml:space="preserve">. Moreover, a uniform body of patentability standards will be developed regardless of whether the courts or the Agency decide an unsettled legal question first. </w:t>
      </w:r>
      <w:r w:rsidRPr="008C76EC">
        <w:rPr>
          <w:u w:val="single"/>
        </w:rPr>
        <w:t>However, that body of law is more likely to be announced by the PTO than the cour</w:t>
      </w:r>
      <w:r>
        <w:t xml:space="preserve">ts. To help illustrate why, imagine that the issue of whether genes constitute patentable subject matter is </w:t>
      </w:r>
      <w:r w:rsidRPr="008C76EC">
        <w:rPr>
          <w:u w:val="single"/>
        </w:rPr>
        <w:t>unsettled. If the PTO decides this legal issue in a postgrant review proceeding before a district court is faced with such a decision, the Federal Circuit will likely uphold the Agency’s decision under Chevron deference.1</w:t>
      </w:r>
      <w:r>
        <w:t xml:space="preserve">95 A district court that is later faced with the issue of whether genes constitute patentable subject matter will be bound by the Federal Circuit decision, as will later Federal Circuit panels. </w:t>
      </w:r>
      <w:r w:rsidRPr="008C76EC">
        <w:rPr>
          <w:u w:val="single"/>
        </w:rPr>
        <w:t>The PTO’s viewpoint, assuming it conflicts with the lower court’s decision, is still likely to prevail even if a district court decides the issue first and the Federal Circuit upholds the lower court decision.</w:t>
      </w:r>
      <w:r>
        <w:t xml:space="preserve"> The Federal Circuit, under National Cable &amp; Telecommunications Ass’n v. Brand X Internet Services, </w:t>
      </w:r>
      <w:r w:rsidRPr="008C76EC">
        <w:rPr>
          <w:u w:val="single"/>
        </w:rPr>
        <w:t>is obligated to uphold the PTO’s interpretation of an ambiguous term even in the face of contrary judicial precedent.196 As a result, granting the PTO primary interpretative authority over the core patentability standards will result in a uniform standard that governs the entire nation—</w:t>
      </w:r>
      <w:r w:rsidRPr="0059670C">
        <w:t>the standard, however, is likely to be the one announced by the PTO, not the Federal Circuit.</w:t>
      </w:r>
    </w:p>
    <w:p w14:paraId="2EC7B23C" w14:textId="77777777" w:rsidR="00516959" w:rsidRPr="008C76EC" w:rsidRDefault="00516959" w:rsidP="00516959">
      <w:pPr>
        <w:rPr>
          <w:u w:val="single"/>
        </w:rPr>
      </w:pPr>
      <w:r>
        <w:t xml:space="preserve">Finally, it should be noted that although the </w:t>
      </w:r>
      <w:r w:rsidRPr="008C76EC">
        <w:rPr>
          <w:u w:val="single"/>
        </w:rPr>
        <w:t>PTO’s</w:t>
      </w:r>
      <w:r>
        <w:t xml:space="preserve"> </w:t>
      </w:r>
      <w:r w:rsidRPr="008C76EC">
        <w:rPr>
          <w:u w:val="single"/>
        </w:rPr>
        <w:t>role</w:t>
      </w:r>
      <w:r>
        <w:t xml:space="preserve"> in crafting substantive patent law </w:t>
      </w:r>
      <w:r w:rsidRPr="008C76EC">
        <w:rPr>
          <w:u w:val="single"/>
        </w:rPr>
        <w:t xml:space="preserve">would be greatly </w:t>
      </w:r>
      <w:r w:rsidRPr="008C76EC">
        <w:rPr>
          <w:rStyle w:val="Emphasis"/>
        </w:rPr>
        <w:t>elevated in this new paradigm</w:t>
      </w:r>
      <w:r>
        <w:t xml:space="preserve">, </w:t>
      </w:r>
      <w:r w:rsidRPr="008C76EC">
        <w:rPr>
          <w:u w:val="single"/>
        </w:rPr>
        <w:t>the Federal Circuit would continue to play a critical role in the development of patent law in at least three ways.</w:t>
      </w:r>
      <w:r>
        <w:t xml:space="preserve"> First, the Federal Circuit would review the fruits of the PTO’s postgrant review proceedings. In this role, </w:t>
      </w:r>
      <w:r w:rsidRPr="008C76EC">
        <w:rPr>
          <w:u w:val="single"/>
        </w:rPr>
        <w:t>the appellate court would continue to shape substantive patent law by determining both whether the relevant language of the Patent Act was ambiguous and, if so, whether the PTO’s interpretation of that language was reasonable</w:t>
      </w:r>
      <w:r>
        <w:t xml:space="preserve">. Second, </w:t>
      </w:r>
      <w:r w:rsidRPr="008C76EC">
        <w:rPr>
          <w:u w:val="single"/>
        </w:rPr>
        <w:t>the court would also continue to play a significant role interpreting patent law during validity disputes and review of patent denials, although that role would be more circumscribed than it is presently</w:t>
      </w:r>
      <w:r>
        <w:t xml:space="preserve">. If, for example, litigants raise an issue that had been directly addressed by the PTO during a postgrant review proceeding and that interpretation had been upheld by the Federal Circuit, </w:t>
      </w:r>
      <w:r w:rsidRPr="008C76EC">
        <w:rPr>
          <w:u w:val="single"/>
        </w:rPr>
        <w:t xml:space="preserve">the appellate court would apply the PTO’s determination </w:t>
      </w:r>
      <w:r w:rsidRPr="008C76EC">
        <w:rPr>
          <w:rStyle w:val="Emphasis"/>
        </w:rPr>
        <w:t>without further interpretation</w:t>
      </w:r>
      <w:r>
        <w:t xml:space="preserve">. However, if a party raises a challenge to the validity of a patent that implicates an ambiguity in the PTO’s interpretation or raises a question of first impression, </w:t>
      </w:r>
      <w:r w:rsidRPr="008C76EC">
        <w:rPr>
          <w:u w:val="single"/>
        </w:rPr>
        <w:t>the Federal Circuit would continue to decide in the first instance what the appropriate legal standard should be.</w:t>
      </w:r>
      <w:r>
        <w:t xml:space="preserve">197 Third, </w:t>
      </w:r>
      <w:r w:rsidRPr="008C76EC">
        <w:rPr>
          <w:u w:val="single"/>
        </w:rPr>
        <w:t>the Federal Circuit would remain the primary interpreter of the sections of the Patent Act that are directed towards infringement and damages— standards the PTO would not address during a validity determination.</w:t>
      </w:r>
    </w:p>
    <w:p w14:paraId="3E0D6EFB" w14:textId="77777777" w:rsidR="00516959" w:rsidRDefault="00516959" w:rsidP="00516959">
      <w:pPr>
        <w:rPr>
          <w:u w:val="single"/>
        </w:rPr>
      </w:pPr>
      <w:r>
        <w:t xml:space="preserve">In sum, </w:t>
      </w:r>
      <w:r w:rsidRPr="008C76EC">
        <w:rPr>
          <w:u w:val="single"/>
        </w:rPr>
        <w:t>because Congress intended the postgrant review proceedings to be effectuated through formal adjudications and the ordinary principles of administrative law apply to the PTO, the Chevron step zero inquiry has been satisfied.</w:t>
      </w:r>
      <w:r>
        <w:t xml:space="preserve"> Thus, the PTO’s reasonable legislative interpretation of ambiguous terms of the </w:t>
      </w:r>
      <w:r w:rsidRPr="008C76EC">
        <w:rPr>
          <w:u w:val="single"/>
        </w:rPr>
        <w:t>Patent Act announced during postgrant review proceedings should be afforded Chevron deference.</w:t>
      </w:r>
    </w:p>
    <w:p w14:paraId="24675C17" w14:textId="77777777" w:rsidR="00516959" w:rsidRPr="002D7D78" w:rsidRDefault="00516959" w:rsidP="00516959">
      <w:pPr>
        <w:pStyle w:val="Heading4"/>
      </w:pPr>
      <w:r>
        <w:t xml:space="preserve">The PTO uses </w:t>
      </w:r>
      <w:r w:rsidRPr="002D7D78">
        <w:rPr>
          <w:i/>
          <w:iCs w:val="0"/>
        </w:rPr>
        <w:t>Chevron</w:t>
      </w:r>
      <w:r>
        <w:t xml:space="preserve"> now, </w:t>
      </w:r>
      <w:r w:rsidRPr="002D7D78">
        <w:t>BUT</w:t>
      </w:r>
      <w:r>
        <w:t xml:space="preserve"> </w:t>
      </w:r>
      <w:r w:rsidRPr="002D7D78">
        <w:rPr>
          <w:u w:val="single"/>
        </w:rPr>
        <w:t>jurisprudential</w:t>
      </w:r>
      <w:r>
        <w:t xml:space="preserve"> uncertainty puts it on the </w:t>
      </w:r>
      <w:r>
        <w:rPr>
          <w:u w:val="single"/>
        </w:rPr>
        <w:t>brink</w:t>
      </w:r>
      <w:r>
        <w:t>.</w:t>
      </w:r>
    </w:p>
    <w:p w14:paraId="2C44AE15" w14:textId="77777777" w:rsidR="00516959" w:rsidRPr="005D1F3D" w:rsidRDefault="00516959" w:rsidP="00516959">
      <w:r w:rsidRPr="005D1F3D">
        <w:rPr>
          <w:b/>
          <w:bCs/>
          <w:sz w:val="26"/>
          <w:szCs w:val="26"/>
        </w:rPr>
        <w:t>Berkowitz and Colsher 17</w:t>
      </w:r>
      <w:r>
        <w:t xml:space="preserve"> – partner at </w:t>
      </w:r>
      <w:r w:rsidRPr="005D1F3D">
        <w:t>Shearman &amp; Sterling’s Litigation</w:t>
      </w:r>
      <w:r>
        <w:t xml:space="preserve"> and his</w:t>
      </w:r>
      <w:r w:rsidRPr="005D1F3D">
        <w:t xml:space="preserve"> </w:t>
      </w:r>
      <w:r>
        <w:t>p</w:t>
      </w:r>
      <w:r w:rsidRPr="005D1F3D">
        <w:t>ractice focuses on patent litigation in federal district courts and the International Trade Commission (ITC)</w:t>
      </w:r>
      <w:r>
        <w:t xml:space="preserve">, </w:t>
      </w:r>
      <w:r w:rsidRPr="005D1F3D">
        <w:t>a senior associate in the Litigation practice, focusing on intellectual property litigation and counseling</w:t>
      </w:r>
      <w:r>
        <w:t>, (Matthew G. and Patrick, “</w:t>
      </w:r>
      <w:r w:rsidRPr="005D1F3D">
        <w:t>How Eliminating Agency Deference Might Affect PTAB And ITC</w:t>
      </w:r>
      <w:r>
        <w:t xml:space="preserve">,” </w:t>
      </w:r>
      <w:r>
        <w:rPr>
          <w:i/>
          <w:iCs/>
        </w:rPr>
        <w:t>Law 360</w:t>
      </w:r>
      <w:r>
        <w:t xml:space="preserve">, 4-10-17, </w:t>
      </w:r>
      <w:hyperlink r:id="rId331" w:history="1">
        <w:r w:rsidRPr="009C6468">
          <w:rPr>
            <w:rStyle w:val="Hyperlink"/>
          </w:rPr>
          <w:t>https://www.shearman.com/~/media/Files/NewsInsights/Publications/2017/04/How-Eliminating-Agency-Deference-Might-Affect-PTAB-And-ITC.pdf</w:t>
        </w:r>
      </w:hyperlink>
      <w:r>
        <w:t>, Accessed 7-2-20, LASA-AH)</w:t>
      </w:r>
    </w:p>
    <w:p w14:paraId="61D7194B" w14:textId="77777777" w:rsidR="00516959" w:rsidRPr="005D1F3D" w:rsidRDefault="00516959" w:rsidP="00516959">
      <w:pPr>
        <w:rPr>
          <w:u w:val="single"/>
        </w:rPr>
      </w:pPr>
      <w:r>
        <w:t xml:space="preserve">More than 30 years ago, </w:t>
      </w:r>
      <w:r w:rsidRPr="005D1F3D">
        <w:rPr>
          <w:u w:val="single"/>
        </w:rPr>
        <w:t>in Chevron U.S.A. Inc. v. Natural Resources Defense Council</w:t>
      </w:r>
      <w:r>
        <w:t xml:space="preserve"> Inc., the </w:t>
      </w:r>
      <w:r w:rsidRPr="005D1F3D">
        <w:rPr>
          <w:u w:val="single"/>
        </w:rPr>
        <w:t>U.S. Supreme Court held that, with regard to judicial review of an agency’s construction of a statute which it administer</w:t>
      </w:r>
      <w:r>
        <w:t xml:space="preserve">s, if Congress has not directly spoken to the precise question at issue, the question for the court is whether the agency’s answer is based on a permissible construction of the statute. And, 20 years ago, </w:t>
      </w:r>
      <w:r w:rsidRPr="005D1F3D">
        <w:rPr>
          <w:u w:val="single"/>
        </w:rPr>
        <w:t>in Auer v. Robbins, the Supreme Court extended this “Chevron deference” principle to an agency’s interpretation of its own rules and regulatory schemes</w:t>
      </w:r>
      <w:r>
        <w:t xml:space="preserve">. These two decisions </w:t>
      </w:r>
      <w:r w:rsidRPr="005D1F3D">
        <w:rPr>
          <w:u w:val="single"/>
        </w:rPr>
        <w:t>— Chevron and Auer</w:t>
      </w:r>
      <w:r>
        <w:t xml:space="preserve"> — </w:t>
      </w:r>
      <w:r w:rsidRPr="005D1F3D">
        <w:rPr>
          <w:u w:val="single"/>
        </w:rPr>
        <w:t>have</w:t>
      </w:r>
      <w:r>
        <w:t xml:space="preserve"> had </w:t>
      </w:r>
      <w:r w:rsidRPr="005D1F3D">
        <w:rPr>
          <w:u w:val="single"/>
        </w:rPr>
        <w:t xml:space="preserve">widespread implications in administrative law, including with respect to deference afforded </w:t>
      </w:r>
      <w:r w:rsidRPr="005D1F3D">
        <w:rPr>
          <w:rStyle w:val="Emphasis"/>
        </w:rPr>
        <w:t>the U.S. Patent and Trademark</w:t>
      </w:r>
      <w:r w:rsidRPr="005D1F3D">
        <w:rPr>
          <w:u w:val="single"/>
        </w:rPr>
        <w:t xml:space="preserve"> </w:t>
      </w:r>
      <w:r w:rsidRPr="005D1F3D">
        <w:rPr>
          <w:rStyle w:val="Emphasis"/>
        </w:rPr>
        <w:t>Office</w:t>
      </w:r>
      <w:r w:rsidRPr="005D1F3D">
        <w:rPr>
          <w:u w:val="single"/>
        </w:rPr>
        <w:t xml:space="preserve"> in creating and interpreting its own rules</w:t>
      </w:r>
      <w:r>
        <w:t xml:space="preserve">. Indeed, just last year, </w:t>
      </w:r>
      <w:r w:rsidRPr="005D1F3D">
        <w:rPr>
          <w:u w:val="single"/>
        </w:rPr>
        <w:t>the Supreme Court upheld the USPTO’s application of the broadest reasonable interpretation standard in inter partes review as a “reasonable exercise” of authority under Chevron.</w:t>
      </w:r>
    </w:p>
    <w:p w14:paraId="13F23EE5" w14:textId="77777777" w:rsidR="00516959" w:rsidRPr="005D1F3D" w:rsidRDefault="00516959" w:rsidP="00516959">
      <w:pPr>
        <w:rPr>
          <w:u w:val="single"/>
        </w:rPr>
      </w:pPr>
      <w:r>
        <w:t xml:space="preserve">Now, with a Republican-controlled government, Chevron and Auer have gotten a lot of attention as symbols of an overly regulated state. Newly sworn-in Supreme Court Justice Neil Gorsuch penned a now-famous concurrence in August 2016 questioning whether Chevron and other deference doctrines are consistent with constitutional separation of powers. More recently, the U.S. House passed legislation, introduced by Rep. Bob Goodlatte, R-Va., to eliminate many applications of Chevron and Auer deference, effectively along party lines. This article examines </w:t>
      </w:r>
      <w:r w:rsidRPr="005D1F3D">
        <w:rPr>
          <w:u w:val="single"/>
        </w:rPr>
        <w:t>the potential impact on patent law if Chevron and Auer deference are eliminated, with particular focus on post-grant review proceedings before the Patent Trial and Appeal Board and Section 337 investigations before the U.S. International Trade Commission.</w:t>
      </w:r>
    </w:p>
    <w:p w14:paraId="4F639934" w14:textId="77777777" w:rsidR="00516959" w:rsidRDefault="00516959" w:rsidP="00516959">
      <w:r>
        <w:t>Chevron and Auer: Deference to Administrative Agencies</w:t>
      </w:r>
    </w:p>
    <w:p w14:paraId="3AF93AB4" w14:textId="77777777" w:rsidR="00516959" w:rsidRDefault="00516959" w:rsidP="00516959">
      <w:r>
        <w:t xml:space="preserve">The </w:t>
      </w:r>
      <w:r w:rsidRPr="005D1F3D">
        <w:rPr>
          <w:u w:val="single"/>
        </w:rPr>
        <w:t>Supreme Court has “long recognized that considerable weight should be accorded to an executive department’s construction of a statutory scheme it is entrusted to administer.”[1] In the landmark Chevron decision, the Supreme Court adopted a two-part test to determine whether an agency is entitled to deference in its statutory interpretations</w:t>
      </w:r>
      <w:r>
        <w:t>. First, the court must determine “whether Congress has directly spoken to the precise question at issue.”[2] “If the intent of Congress is clear, that is the end of the matter; for the court, as well as the agency, must give effect to the unambiguously expressed intent of Congress.”[3] However, if the court determines “the statute is silent or ambiguous with respect to the specific issue,” the court continues to a second step and asks “whether the agency’s answer is based on a permissible construction of the statute.”[4]</w:t>
      </w:r>
    </w:p>
    <w:p w14:paraId="064DEAEE" w14:textId="77777777" w:rsidR="00516959" w:rsidRPr="005D1F3D" w:rsidRDefault="00516959" w:rsidP="00516959">
      <w:pPr>
        <w:rPr>
          <w:u w:val="single"/>
        </w:rPr>
      </w:pPr>
      <w:r>
        <w:t xml:space="preserve">Subsequently, </w:t>
      </w:r>
      <w:r w:rsidRPr="005D1F3D">
        <w:rPr>
          <w:u w:val="single"/>
        </w:rPr>
        <w:t>the Supreme Court in Auer applied Chevron deference to interpretations of an agency’s own regulations, holding that an agency’s interpretation is “</w:t>
      </w:r>
      <w:r w:rsidRPr="005D1F3D">
        <w:rPr>
          <w:rStyle w:val="Emphasis"/>
        </w:rPr>
        <w:t>controlling unless ‘plainly erroneous</w:t>
      </w:r>
      <w:r w:rsidRPr="005D1F3D">
        <w:rPr>
          <w:u w:val="single"/>
        </w:rPr>
        <w:t xml:space="preserve"> or inconsistent with the regulation.’”[5]</w:t>
      </w:r>
    </w:p>
    <w:p w14:paraId="763A5046" w14:textId="77777777" w:rsidR="00516959" w:rsidRDefault="00516959" w:rsidP="00516959">
      <w:r>
        <w:t xml:space="preserve">More recently, some justices have begun to question agency deference. For example, in his 2013 dissent in Decker, Justice Antonin Scalia — who authored Auer — queried: “For decades, and for no good reason, we have been giving agencies the authority to say what their rules mean, under the harmlesssounding banner of ‘defer[ring] to an agency’s interpretation of its own regulations.’”[6] </w:t>
      </w:r>
      <w:r w:rsidRPr="005D1F3D">
        <w:rPr>
          <w:u w:val="single"/>
        </w:rPr>
        <w:t>Supreme Court Justice Neil Gorsuch has also questioned Chevron in a concurrence recently penned while on the Tenth Circuit. He stated, “the fact is Chevron and Brand X permit executive bureaucracies to swallow huge amounts of core judicial and legislative power and concentrate federal power in a way that seems more than a little difficult to square with the Constitution of the framers’ design.</w:t>
      </w:r>
      <w:r>
        <w:t xml:space="preserve">”[7] Nonetheless, </w:t>
      </w:r>
      <w:r w:rsidRPr="005D1F3D">
        <w:rPr>
          <w:rStyle w:val="Emphasis"/>
        </w:rPr>
        <w:t>Chevron and Auer remain the law,</w:t>
      </w:r>
      <w:r>
        <w:t xml:space="preserve"> and </w:t>
      </w:r>
      <w:r w:rsidRPr="005D1F3D">
        <w:rPr>
          <w:u w:val="single"/>
        </w:rPr>
        <w:t>courts frequently give considerable deference to and uphold (at times questionable) agency interpretations.</w:t>
      </w:r>
      <w:r>
        <w:t xml:space="preserve"> As Justice Anthony Kennedy writing for the majority in Decker put it: “It is well established that an agency’s interpretation need not be the only possible reading of a regulation — or even the best one — to prevail.”[8]</w:t>
      </w:r>
    </w:p>
    <w:p w14:paraId="362686E4" w14:textId="77777777" w:rsidR="00516959" w:rsidRPr="002D7D78" w:rsidRDefault="00516959" w:rsidP="00516959">
      <w:pPr>
        <w:pStyle w:val="Heading4"/>
      </w:pPr>
      <w:r>
        <w:rPr>
          <w:i/>
          <w:iCs w:val="0"/>
        </w:rPr>
        <w:t>Cuozzo</w:t>
      </w:r>
      <w:r>
        <w:t xml:space="preserve"> is key.</w:t>
      </w:r>
    </w:p>
    <w:p w14:paraId="7F119D3C" w14:textId="77777777" w:rsidR="00516959" w:rsidRPr="006B15E6" w:rsidRDefault="00516959" w:rsidP="00516959">
      <w:r w:rsidRPr="005D1F3D">
        <w:rPr>
          <w:b/>
          <w:bCs/>
          <w:sz w:val="26"/>
          <w:szCs w:val="26"/>
        </w:rPr>
        <w:t>Berkowitz and Colsher 17</w:t>
      </w:r>
      <w:r>
        <w:t xml:space="preserve"> – partner at </w:t>
      </w:r>
      <w:r w:rsidRPr="005D1F3D">
        <w:t>Shearman &amp; Sterling’s Litigation</w:t>
      </w:r>
      <w:r>
        <w:t xml:space="preserve"> and his</w:t>
      </w:r>
      <w:r w:rsidRPr="005D1F3D">
        <w:t xml:space="preserve"> </w:t>
      </w:r>
      <w:r>
        <w:t>p</w:t>
      </w:r>
      <w:r w:rsidRPr="005D1F3D">
        <w:t>ractice focuses on patent litigation in federal district courts and the International Trade Commission (ITC)</w:t>
      </w:r>
      <w:r>
        <w:t xml:space="preserve">, </w:t>
      </w:r>
      <w:r w:rsidRPr="005D1F3D">
        <w:t>a senior associate in the Litigation practice, focusing on intellectual property litigation and counseling</w:t>
      </w:r>
      <w:r>
        <w:t>, (Matthew G. and Patrick, “</w:t>
      </w:r>
      <w:r w:rsidRPr="005D1F3D">
        <w:t>How Eliminating Agency Deference Might Affect PTAB And ITC</w:t>
      </w:r>
      <w:r>
        <w:t xml:space="preserve">,” </w:t>
      </w:r>
      <w:r>
        <w:rPr>
          <w:i/>
          <w:iCs/>
        </w:rPr>
        <w:t>Law 360</w:t>
      </w:r>
      <w:r>
        <w:t xml:space="preserve">, 4-10-17, </w:t>
      </w:r>
      <w:hyperlink r:id="rId332" w:history="1">
        <w:r w:rsidRPr="009C6468">
          <w:rPr>
            <w:rStyle w:val="Hyperlink"/>
          </w:rPr>
          <w:t>https://www.shearman.com/~/media/Files/NewsInsights/Publications/2017/04/How-Eliminating-Agency-Deference-Might-Affect-PTAB-And-ITC.pdf</w:t>
        </w:r>
      </w:hyperlink>
      <w:r>
        <w:t>, Accessed 7-2-20, LASA-AH)</w:t>
      </w:r>
    </w:p>
    <w:p w14:paraId="61CA00C7" w14:textId="77777777" w:rsidR="00516959" w:rsidRDefault="00516959" w:rsidP="00516959">
      <w:r>
        <w:t>Broadest Reasonable Interpretation of Claims</w:t>
      </w:r>
    </w:p>
    <w:p w14:paraId="1D8CC769" w14:textId="77777777" w:rsidR="00516959" w:rsidRDefault="00516959" w:rsidP="00516959">
      <w:r w:rsidRPr="005D1F3D">
        <w:rPr>
          <w:u w:val="single"/>
        </w:rPr>
        <w:t>In Cuozzo, the Supreme Court cited Chevron to uphold the PTO’s use of the broad reasonable interpretation claim construction standard during the prosecution of patent applications</w:t>
      </w:r>
      <w:r>
        <w:t xml:space="preserve"> and administrative proceedings challenging issued patents (as opposed to the Phillips standard used in district court litigations). According to the court, “[n]either the statute’s language, nor its purpose, nor its legislative history suggests that Congress decided what standard should apply in inter partes review.”[12] </w:t>
      </w:r>
      <w:r w:rsidRPr="005D1F3D">
        <w:rPr>
          <w:u w:val="single"/>
        </w:rPr>
        <w:t>In Chevron step two, the court found BRI “a reasonable exercise of the Patent Office’s rulemaking authority.”[</w:t>
      </w:r>
      <w:r>
        <w:t xml:space="preserve">13] The court reasoned that </w:t>
      </w:r>
      <w:r w:rsidRPr="005D1F3D">
        <w:rPr>
          <w:u w:val="single"/>
        </w:rPr>
        <w:t xml:space="preserve">BRI “helps ensure precision in drafting claims and prevents a patent from tying up too much knowledge, </w:t>
      </w:r>
      <w:r>
        <w:t>which, in turn, helps members of the public draw useful information from the disclosed invention and understand the lawful limits of the claim.”[14] Motions to Amend</w:t>
      </w:r>
    </w:p>
    <w:p w14:paraId="3CCAB6F3" w14:textId="77777777" w:rsidR="00516959" w:rsidRPr="005D1F3D" w:rsidRDefault="00516959" w:rsidP="00516959">
      <w:pPr>
        <w:rPr>
          <w:u w:val="single"/>
        </w:rPr>
      </w:pPr>
      <w:r>
        <w:t xml:space="preserve">The </w:t>
      </w:r>
      <w:r w:rsidRPr="005D1F3D">
        <w:rPr>
          <w:u w:val="single"/>
        </w:rPr>
        <w:t>AIA provides authority to the PTO to “prescribe regulations” “governing inter partes review” and to “set[] forth standards and procedures for allowing the patent owner to move to amend the patent.</w:t>
      </w:r>
      <w:r>
        <w:t xml:space="preserve">”[15] With respect to motions to amend, the PTO created two relevant regulations. First, 37 C.F.R. § 42.20, which governs motions practice “generally,” requires “prior authorization” for all motions, and places on the moving party “the burden to establish that it is entitled to the requested relief.” Second, 37 C.F.R. § 42.121, which governs motions to amend specifically, requires that “[a] motion to amend may be denied where: (i) The amendment does not respond to a ground of unpatentability involved in the trial; or (ii) The amendment seeks to enlarge the scope of the claims of the patent or introduce new subject matter.” </w:t>
      </w:r>
      <w:r w:rsidRPr="005D1F3D">
        <w:rPr>
          <w:u w:val="single"/>
        </w:rPr>
        <w:t>In its 2013 “informative” Idle Free decision, the PTAB set forth the specific amendment procedure, which places the burden on the patent owner to show patentability</w:t>
      </w:r>
      <w:r>
        <w:t xml:space="preserve">: </w:t>
      </w:r>
      <w:r w:rsidRPr="005D1F3D">
        <w:rPr>
          <w:u w:val="single"/>
        </w:rPr>
        <w:t>A patent owner should identify specifically the feature or features added to each substitute claim, as compared to the challenged claim it replaces,</w:t>
      </w:r>
      <w:r>
        <w:t xml:space="preserve"> and come forward with technical facts and reasoning about those feature(s), including construction of new claim terms, sufficient to persuade the Board that the proposed substitute claim is patentable over the prior art of record, and over prior art not of record but known to the patent owner. </w:t>
      </w:r>
      <w:r w:rsidRPr="005D1F3D">
        <w:rPr>
          <w:u w:val="single"/>
        </w:rPr>
        <w:t>The burden is not on the petitioner to show unpatentability, but on the patent owner to show patentable distinction over the prior art of record and also prior art known to the patent owner.[16]</w:t>
      </w:r>
    </w:p>
    <w:p w14:paraId="47D95DC5" w14:textId="77777777" w:rsidR="00516959" w:rsidRPr="006B15E6" w:rsidRDefault="00516959" w:rsidP="00516959">
      <w:pPr>
        <w:rPr>
          <w:u w:val="single"/>
        </w:rPr>
      </w:pPr>
      <w:r>
        <w:t xml:space="preserve">The Federal Circuit in Microsoft v. Proxyconn upheld the PTAB’s test because, under Auer, </w:t>
      </w:r>
      <w:r w:rsidRPr="005D1F3D">
        <w:rPr>
          <w:u w:val="single"/>
        </w:rPr>
        <w:t>the PTAB’s interpretation of the PTO’s regulations was not “plainly erroneous or inconsistent with the regulation</w:t>
      </w:r>
      <w:r>
        <w:t>.”[17] While acknowledging that “[s]ome question the wisdom of the PTO’s approach” of placing the burden on the patentee to show patentability of the amended claims, the Federal Circuit determined that the PTAB “</w:t>
      </w:r>
      <w:r w:rsidRPr="006B15E6">
        <w:rPr>
          <w:u w:val="single"/>
        </w:rPr>
        <w:t xml:space="preserve">has </w:t>
      </w:r>
      <w:r w:rsidRPr="006B15E6">
        <w:rPr>
          <w:rStyle w:val="Emphasis"/>
        </w:rPr>
        <w:t>reasonably interpreted</w:t>
      </w:r>
      <w:r w:rsidRPr="006B15E6">
        <w:rPr>
          <w:u w:val="single"/>
        </w:rPr>
        <w:t xml:space="preserve"> [the PTO’s regulations].”</w:t>
      </w:r>
    </w:p>
    <w:p w14:paraId="78EF3211" w14:textId="77777777" w:rsidR="00516959" w:rsidRPr="005D1F3D" w:rsidRDefault="00516959" w:rsidP="00516959">
      <w:pPr>
        <w:rPr>
          <w:u w:val="single"/>
        </w:rPr>
      </w:pPr>
      <w:r>
        <w:t xml:space="preserve">The Federal Circuit’s deference on motions to amend is not without limits. The Federal Circuit held in Adidas v. Nike that, where there was no allegation of “conduct violating the duty of candor,” </w:t>
      </w:r>
      <w:r w:rsidRPr="006B15E6">
        <w:t>the PTAB was wrong to require that a patent owner cannot carry its burden of establishing patentability “over prior art not of record but known to the patent owner</w:t>
      </w:r>
      <w:r>
        <w:t>” with nothing more than a simply confirmatory statement.[18] And</w:t>
      </w:r>
      <w:r w:rsidRPr="005D1F3D">
        <w:rPr>
          <w:u w:val="single"/>
        </w:rPr>
        <w:t>, the Federal Circuit is currently reconsidering en banc the PTAB’s test in In re Aqua Products, asking the question:</w:t>
      </w:r>
      <w:r>
        <w:t xml:space="preserve"> “When the patent owner moves to amend its claims under 35 U.S.C. § 316(d), may the PTO require the patent owner to bear the burden of persuasion, or a burden of production, regarding patentability of the amended claims as a condition of allowing them? Which burdens are permitted under 35 U.S.C. § 316(e)?”[19] </w:t>
      </w:r>
      <w:r w:rsidRPr="005D1F3D">
        <w:rPr>
          <w:u w:val="single"/>
        </w:rPr>
        <w:t xml:space="preserve">Unsurprisingly, the PTO </w:t>
      </w:r>
      <w:r w:rsidRPr="005D1F3D">
        <w:rPr>
          <w:rStyle w:val="Emphasis"/>
        </w:rPr>
        <w:t>heavily relies in its briefing on the Chevron</w:t>
      </w:r>
      <w:r w:rsidRPr="005D1F3D">
        <w:rPr>
          <w:u w:val="single"/>
        </w:rPr>
        <w:t xml:space="preserve"> and Auer deference afforded to administrative agencies.[20]</w:t>
      </w:r>
    </w:p>
    <w:p w14:paraId="0B60BEC6" w14:textId="77777777" w:rsidR="00516959" w:rsidRDefault="00516959" w:rsidP="00516959">
      <w:r>
        <w:t>IPR Institution on Less-Than-All Grounds</w:t>
      </w:r>
    </w:p>
    <w:p w14:paraId="19836A81" w14:textId="77777777" w:rsidR="00516959" w:rsidRDefault="00516959" w:rsidP="00516959">
      <w:r>
        <w:t xml:space="preserve">As discussed above, </w:t>
      </w:r>
      <w:r w:rsidRPr="005D1F3D">
        <w:rPr>
          <w:u w:val="single"/>
        </w:rPr>
        <w:t>the AIA directs the PTO to prescribe regulations for IPRs.</w:t>
      </w:r>
      <w:r>
        <w:t xml:space="preserve"> The AIA further mandates that the </w:t>
      </w:r>
      <w:r w:rsidRPr="005D1F3D">
        <w:rPr>
          <w:u w:val="single"/>
        </w:rPr>
        <w:t>PTO “consider the effect of any such regulation on the economy, the integrity of the patent system, the efficient administration of the Office, and the ability of the Office to timely complete proceedings</w:t>
      </w:r>
      <w:r>
        <w:t>.”[21] The Federal Circuit held in Harmonic that the PTO’s regulations as set forth in 37 C.F.R. § 42.108 (providing discretion to the PTAB to institute or deny institution on “some or all” grounds) “is a reasonable interpretation of the statutory provision governing the institution of inter partes review” as it provides for efficient administration and timely completion of IPRs.[22] Same Panel for Institution and Final Decisions</w:t>
      </w:r>
    </w:p>
    <w:p w14:paraId="61998FA8" w14:textId="77777777" w:rsidR="00516959" w:rsidRDefault="00516959" w:rsidP="00516959">
      <w:r>
        <w:t>The AIA provides the PTO director the power to institute IPRs, and directs the PTAB to “issue a final written decision with respect to the patentability of any patent claim challenged by the petitioner.”[23] As a practical matter, the director delegated institution decisions to the PTAB. Although the AIA did not explicitly provide to the director such delegation powers, the Federal Circuit found in Ethicon that delegation is implied.[24] Moreover, the “rule itself is entitled to Chevron deference ... . The reference to ‘the Director’ in the statute is ambiguous as to whether it requires her personal participation and the regulation is a permissible interpretation of the statute.”[25] Thus, “both as a matter of inherent authority and general rulemaking authority, the Director had authority to delegate the institution decision to the Board,” and “[t]here is nothing in the Constitution or the statute that precludes the same Board panel from making the decision to institute and then rendering the final decision.”[26]</w:t>
      </w:r>
    </w:p>
    <w:p w14:paraId="5B291418" w14:textId="77777777" w:rsidR="00516959" w:rsidRDefault="00516959" w:rsidP="00516959">
      <w:r>
        <w:t>Potential Effects of Eliminating PTAB Deference</w:t>
      </w:r>
    </w:p>
    <w:p w14:paraId="51F4C46B" w14:textId="77777777" w:rsidR="00516959" w:rsidRDefault="00516959" w:rsidP="00516959">
      <w:pPr>
        <w:rPr>
          <w:u w:val="single"/>
        </w:rPr>
      </w:pPr>
      <w:r w:rsidRPr="005D1F3D">
        <w:rPr>
          <w:u w:val="single"/>
        </w:rPr>
        <w:t xml:space="preserve">If Congress eliminates administrative agency deference, unsuccessful petitioners and patent owners alike will undoubtedly seek to revisit many facets of post-grant review proceedings. </w:t>
      </w:r>
      <w:r>
        <w:t xml:space="preserve">The most important </w:t>
      </w:r>
      <w:r w:rsidRPr="005D1F3D">
        <w:rPr>
          <w:u w:val="single"/>
        </w:rPr>
        <w:t>post-Chevron issue concerning post-grant practice might be whether the PTAB can continue to deny institution of proposed grounds of review on the basis of “redundancy”</w:t>
      </w:r>
      <w:r>
        <w:t xml:space="preserve"> or other grounds unrelated to the merits. </w:t>
      </w:r>
      <w:r w:rsidRPr="006B15E6">
        <w:rPr>
          <w:u w:val="single"/>
        </w:rPr>
        <w:t>Requiring institution</w:t>
      </w:r>
      <w:r>
        <w:t xml:space="preserve"> on all meritorious </w:t>
      </w:r>
      <w:r w:rsidRPr="006B15E6">
        <w:rPr>
          <w:rStyle w:val="Emphasis"/>
        </w:rPr>
        <w:t xml:space="preserve">grounds will likely favor the petitioner </w:t>
      </w:r>
      <w:r>
        <w:t xml:space="preserve">— the more grounds instituted, the more likely one ground will be successful. </w:t>
      </w:r>
      <w:r w:rsidRPr="005D1F3D">
        <w:rPr>
          <w:u w:val="single"/>
        </w:rPr>
        <w:t>Additionally, although the difference between the BRI and Phillips claim construction standard often makes little difference, it does in some instances result in the difference between patentability and unpatentability.</w:t>
      </w:r>
      <w:r>
        <w:t xml:space="preserve"> Take, for example, Google v. ContentGuard, where the </w:t>
      </w:r>
      <w:r w:rsidRPr="005D1F3D">
        <w:rPr>
          <w:u w:val="single"/>
        </w:rPr>
        <w:t>PTAB found a claim unpatentable under BRI, but the same claim patentable in the context of a motion to amend when the (narrower) Phillips construction was specifically substituted into the claim.[</w:t>
      </w:r>
      <w:r>
        <w:t xml:space="preserve">27] Additionally, </w:t>
      </w:r>
      <w:r w:rsidRPr="005D1F3D">
        <w:rPr>
          <w:u w:val="single"/>
        </w:rPr>
        <w:t xml:space="preserve">should BRI be eliminated, it will be more difficult for a petitioner to </w:t>
      </w:r>
      <w:r w:rsidRPr="005D1F3D">
        <w:rPr>
          <w:rStyle w:val="Emphasis"/>
        </w:rPr>
        <w:t>credibly argue for a broad construction</w:t>
      </w:r>
      <w:r w:rsidRPr="005D1F3D">
        <w:rPr>
          <w:u w:val="single"/>
        </w:rPr>
        <w:t xml:space="preserve"> in an IPR for the purpose of patent invalidity, and a narrow construction in district court for the purpose of non-infringement.</w:t>
      </w:r>
    </w:p>
    <w:p w14:paraId="362025B2" w14:textId="77777777" w:rsidR="00516959" w:rsidRDefault="00516959" w:rsidP="00516959">
      <w:pPr>
        <w:pStyle w:val="Heading4"/>
      </w:pPr>
      <w:r>
        <w:t xml:space="preserve">Removing </w:t>
      </w:r>
      <w:r w:rsidRPr="002D7D78">
        <w:rPr>
          <w:i/>
          <w:iCs w:val="0"/>
        </w:rPr>
        <w:t>Chevron</w:t>
      </w:r>
      <w:r>
        <w:t xml:space="preserve"> creates short-term </w:t>
      </w:r>
      <w:r>
        <w:rPr>
          <w:u w:val="single"/>
        </w:rPr>
        <w:t>uncertainty</w:t>
      </w:r>
      <w:r>
        <w:t xml:space="preserve"> within patent proceedings.</w:t>
      </w:r>
    </w:p>
    <w:p w14:paraId="0A52FBED" w14:textId="77777777" w:rsidR="00516959" w:rsidRPr="006B15E6" w:rsidRDefault="00516959" w:rsidP="00516959">
      <w:r w:rsidRPr="005D1F3D">
        <w:rPr>
          <w:b/>
          <w:bCs/>
          <w:sz w:val="26"/>
          <w:szCs w:val="26"/>
        </w:rPr>
        <w:t>Berkowitz and Colsher 17</w:t>
      </w:r>
      <w:r>
        <w:t xml:space="preserve"> – partner at </w:t>
      </w:r>
      <w:r w:rsidRPr="005D1F3D">
        <w:t>Shearman &amp; Sterling’s Litigation</w:t>
      </w:r>
      <w:r>
        <w:t xml:space="preserve"> and his</w:t>
      </w:r>
      <w:r w:rsidRPr="005D1F3D">
        <w:t xml:space="preserve"> </w:t>
      </w:r>
      <w:r>
        <w:t>p</w:t>
      </w:r>
      <w:r w:rsidRPr="005D1F3D">
        <w:t>ractice focuses on patent litigation in federal district courts and the International Trade Commission (ITC)</w:t>
      </w:r>
      <w:r>
        <w:t xml:space="preserve">, </w:t>
      </w:r>
      <w:r w:rsidRPr="005D1F3D">
        <w:t>a senior associate in the Litigation practice, focusing on intellectual property litigation and counseling</w:t>
      </w:r>
      <w:r>
        <w:t>, (Matthew G. and Patrick, “</w:t>
      </w:r>
      <w:r w:rsidRPr="005D1F3D">
        <w:t>How Eliminating Agency Deference Might Affect PTAB And ITC</w:t>
      </w:r>
      <w:r>
        <w:t xml:space="preserve">,” </w:t>
      </w:r>
      <w:r>
        <w:rPr>
          <w:i/>
          <w:iCs/>
        </w:rPr>
        <w:t>Law 360</w:t>
      </w:r>
      <w:r>
        <w:t xml:space="preserve">, 4-10-17, </w:t>
      </w:r>
      <w:hyperlink r:id="rId333" w:history="1">
        <w:r w:rsidRPr="009C6468">
          <w:rPr>
            <w:rStyle w:val="Hyperlink"/>
          </w:rPr>
          <w:t>https://www.shearman.com/~/media/Files/NewsInsights/Publications/2017/04/How-Eliminating-Agency-Deference-Might-Affect-PTAB-And-ITC.pdf</w:t>
        </w:r>
      </w:hyperlink>
      <w:r>
        <w:t>, Accessed 7-2-20, LASA-AH)</w:t>
      </w:r>
    </w:p>
    <w:p w14:paraId="2C9779E8" w14:textId="77777777" w:rsidR="00516959" w:rsidRDefault="00516959" w:rsidP="00516959">
      <w:pPr>
        <w:rPr>
          <w:rStyle w:val="Emphasis"/>
        </w:rPr>
      </w:pPr>
      <w:r w:rsidRPr="006B15E6">
        <w:rPr>
          <w:u w:val="single"/>
        </w:rPr>
        <w:t>Eliminating agency deference</w:t>
      </w:r>
      <w:r>
        <w:t xml:space="preserve"> will, in many respects, </w:t>
      </w:r>
      <w:r w:rsidRPr="006B15E6">
        <w:rPr>
          <w:u w:val="single"/>
        </w:rPr>
        <w:t xml:space="preserve">have profound effects </w:t>
      </w:r>
      <w:r w:rsidRPr="006B15E6">
        <w:rPr>
          <w:rStyle w:val="Emphasis"/>
        </w:rPr>
        <w:t>on patent-related administrative proceedings</w:t>
      </w:r>
      <w:r w:rsidRPr="006B15E6">
        <w:rPr>
          <w:u w:val="single"/>
        </w:rPr>
        <w:t xml:space="preserve">. </w:t>
      </w:r>
      <w:r>
        <w:t xml:space="preserve">It will effectively </w:t>
      </w:r>
      <w:r w:rsidRPr="006B15E6">
        <w:rPr>
          <w:u w:val="single"/>
        </w:rPr>
        <w:t xml:space="preserve">erase decades of jurisprudence and create </w:t>
      </w:r>
      <w:r w:rsidRPr="006B15E6">
        <w:rPr>
          <w:rStyle w:val="Emphasis"/>
        </w:rPr>
        <w:t>substantial uncertainty</w:t>
      </w:r>
      <w:r w:rsidRPr="006B15E6">
        <w:rPr>
          <w:u w:val="single"/>
        </w:rPr>
        <w:t xml:space="preserve"> (at least in the near-term) as what were once well-settled issues are relitigated.</w:t>
      </w:r>
      <w:r>
        <w:t xml:space="preserve"> It will </w:t>
      </w:r>
      <w:r w:rsidRPr="006B15E6">
        <w:rPr>
          <w:u w:val="single"/>
        </w:rPr>
        <w:t>shift the balance of power from the administrative branch to the judicial branch</w:t>
      </w:r>
      <w:r>
        <w:t xml:space="preserve">. No longer will agencies be largely free to interpret the relevant statutes and the regulations which they create. Instead, </w:t>
      </w:r>
      <w:r w:rsidRPr="006B15E6">
        <w:rPr>
          <w:u w:val="single"/>
        </w:rPr>
        <w:t>agency actions will be reviewed de novo with a blank slate</w:t>
      </w:r>
      <w:r>
        <w:t xml:space="preserve">. All in all, just as the </w:t>
      </w:r>
      <w:r w:rsidRPr="006B15E6">
        <w:rPr>
          <w:u w:val="single"/>
        </w:rPr>
        <w:t xml:space="preserve">creation of agency deference significantly altered the course of patent-related proceedings, so too would the </w:t>
      </w:r>
      <w:r w:rsidRPr="006B15E6">
        <w:rPr>
          <w:rStyle w:val="Emphasis"/>
        </w:rPr>
        <w:t>elimination of such deference.</w:t>
      </w:r>
    </w:p>
    <w:p w14:paraId="4A2C85B5" w14:textId="77777777" w:rsidR="00516959" w:rsidRPr="00A41F85" w:rsidRDefault="00516959" w:rsidP="00516959">
      <w:pPr>
        <w:pStyle w:val="Heading4"/>
      </w:pPr>
      <w:r>
        <w:t>PTO gets deference.</w:t>
      </w:r>
    </w:p>
    <w:p w14:paraId="29125516" w14:textId="77777777" w:rsidR="00516959" w:rsidRPr="00072EF0" w:rsidRDefault="00516959" w:rsidP="00516959">
      <w:r w:rsidRPr="00072EF0">
        <w:rPr>
          <w:b/>
          <w:bCs/>
          <w:sz w:val="26"/>
          <w:szCs w:val="26"/>
        </w:rPr>
        <w:t>Micheals 19</w:t>
      </w:r>
      <w:r>
        <w:t xml:space="preserve"> - </w:t>
      </w:r>
      <w:r w:rsidRPr="00072EF0">
        <w:t>an Assistant Professor of Law at University of Houston Law Center, where he currently teaches Patent Law, Intellectual Property Survey, and Statutory Interpretation &amp; Regulatio</w:t>
      </w:r>
      <w:r>
        <w:t>n, (Andrew, “</w:t>
      </w:r>
      <w:r w:rsidRPr="00072EF0">
        <w:t>Examining the USPTO’s Bid for Adjudicatory Chevron Deference</w:t>
      </w:r>
      <w:r>
        <w:t xml:space="preserve">,” </w:t>
      </w:r>
      <w:r>
        <w:rPr>
          <w:i/>
          <w:iCs/>
        </w:rPr>
        <w:t>IP Watchdog</w:t>
      </w:r>
      <w:r>
        <w:t xml:space="preserve">, 10-1-19, </w:t>
      </w:r>
      <w:hyperlink r:id="rId334" w:history="1">
        <w:r w:rsidRPr="00DC67D3">
          <w:rPr>
            <w:rStyle w:val="Hyperlink"/>
          </w:rPr>
          <w:t>https://www.ipwatchdog.com/2019/10/01/examining-usptos-bid-adjudicatory-chevron-deference/id=114132/</w:t>
        </w:r>
      </w:hyperlink>
      <w:r>
        <w:t>, Accessed 7-4-20, LASA-AH)</w:t>
      </w:r>
    </w:p>
    <w:p w14:paraId="3F56E8C9" w14:textId="77777777" w:rsidR="00516959" w:rsidRPr="00F84F7A" w:rsidRDefault="00516959" w:rsidP="00516959">
      <w:r w:rsidRPr="00F84F7A">
        <w:t>In response to a request for supplemental briefing from the Federal Circuit in Facebook v. Windy City Innovations, the U.S. Patent and Trademark Office (</w:t>
      </w:r>
      <w:r w:rsidRPr="00F84F7A">
        <w:rPr>
          <w:u w:val="single"/>
        </w:rPr>
        <w:t>USPTO</w:t>
      </w:r>
      <w:r w:rsidRPr="00F84F7A">
        <w:t xml:space="preserve">) recently </w:t>
      </w:r>
      <w:r w:rsidRPr="00F84F7A">
        <w:rPr>
          <w:u w:val="single"/>
        </w:rPr>
        <w:t>argued</w:t>
      </w:r>
      <w:r w:rsidRPr="00F84F7A">
        <w:t xml:space="preserve"> that its </w:t>
      </w:r>
      <w:r w:rsidRPr="00F84F7A">
        <w:rPr>
          <w:u w:val="single"/>
        </w:rPr>
        <w:t>precedential panel opinions interpreting the</w:t>
      </w:r>
      <w:r w:rsidRPr="00F84F7A">
        <w:t xml:space="preserve"> America Invents Act </w:t>
      </w:r>
      <w:r w:rsidRPr="00F84F7A">
        <w:rPr>
          <w:u w:val="single"/>
        </w:rPr>
        <w:t xml:space="preserve">(AIA) are entitled to </w:t>
      </w:r>
      <w:r w:rsidRPr="00F84F7A">
        <w:rPr>
          <w:rStyle w:val="Emphasis"/>
        </w:rPr>
        <w:t>Chevron deference</w:t>
      </w:r>
      <w:r w:rsidRPr="00F84F7A">
        <w:t xml:space="preserve">, under which (essentially) </w:t>
      </w:r>
      <w:r w:rsidRPr="00F84F7A">
        <w:rPr>
          <w:u w:val="single"/>
        </w:rPr>
        <w:t>courts must defer to an agency interpretation of a statute so long as the interpretation is reasonable</w:t>
      </w:r>
      <w:r w:rsidRPr="00F84F7A">
        <w:t xml:space="preserve">. To the extent that </w:t>
      </w:r>
      <w:r w:rsidRPr="00F84F7A">
        <w:rPr>
          <w:u w:val="single"/>
        </w:rPr>
        <w:t>this bid for Chevron deference is limited to procedural administrative Patent Trial and Appeal Board (PTAB</w:t>
      </w:r>
      <w:r w:rsidRPr="00F84F7A">
        <w:t>) matters such as the one at issue in that case, (an interpretation of 35 U.S.C. § 315(c) which relates to the USPTO Director’s ability to join a party in inter partes review [IPR]), it is arguably defensible. But to the extent that the agency claims (or plans to claim) that its precedential PTAB opinions are owed deference on issues of substantive patent law, it is likely incorrect.</w:t>
      </w:r>
    </w:p>
    <w:p w14:paraId="042D3EEA" w14:textId="77777777" w:rsidR="00516959" w:rsidRPr="00F84F7A" w:rsidRDefault="00516959" w:rsidP="00516959">
      <w:r w:rsidRPr="00F84F7A">
        <w:t>Deference Under Mead</w:t>
      </w:r>
    </w:p>
    <w:p w14:paraId="56D34CF5" w14:textId="77777777" w:rsidR="00516959" w:rsidRPr="00F84F7A" w:rsidRDefault="00516959" w:rsidP="00516959">
      <w:pPr>
        <w:rPr>
          <w:u w:val="single"/>
        </w:rPr>
      </w:pPr>
      <w:r w:rsidRPr="00F84F7A">
        <w:rPr>
          <w:u w:val="single"/>
        </w:rPr>
        <w:t>The basis for this distinction lies in the agency’s Congressional grant of authority.</w:t>
      </w:r>
      <w:r w:rsidRPr="00F84F7A">
        <w:t xml:space="preserve"> According to the Supreme Court decision in Mead, </w:t>
      </w:r>
      <w:r w:rsidRPr="00F84F7A">
        <w:rPr>
          <w:u w:val="single"/>
        </w:rPr>
        <w:t>“administrative implementation of a particular statutory provision qualifies for Chevron deference when it appears that [1] Congress delegated authority to the agency generally to make rules carrying the force of law</w:t>
      </w:r>
      <w:r w:rsidRPr="00F84F7A">
        <w:t xml:space="preserve">, and [2] that the agency interpretation claiming deference was promulgated in the exercise of that authority.” United States v. Mead Corp., 533 U.S. 218, 226-27 (2001). </w:t>
      </w:r>
      <w:r w:rsidRPr="00F84F7A">
        <w:rPr>
          <w:u w:val="single"/>
        </w:rPr>
        <w:t>The Court in Mead thus set forth two distinct requirements; first, that there be a delegation of authority from Congress, and second, that the agency interpretation claiming deference be a proper exercise of that authority.</w:t>
      </w:r>
    </w:p>
    <w:p w14:paraId="033C2474" w14:textId="77777777" w:rsidR="00516959" w:rsidRPr="00F84F7A" w:rsidRDefault="00516959" w:rsidP="00516959">
      <w:r w:rsidRPr="00F84F7A">
        <w:t xml:space="preserve">The first requirement of Mead, the delegation of authority, is likely met for procedural PTAB issues, but not for substantive patent law issues. Although </w:t>
      </w:r>
      <w:r w:rsidRPr="00F84F7A">
        <w:rPr>
          <w:u w:val="single"/>
        </w:rPr>
        <w:t>the AIA does explicitly provide the USPTO with authority to prescribe regulations “establishing and governing inter partes review,</w:t>
      </w:r>
      <w:r w:rsidRPr="00F84F7A">
        <w:t>” 35 U.S.C. § 316(a)(4</w:t>
      </w:r>
      <w:r w:rsidRPr="00F84F7A">
        <w:rPr>
          <w:u w:val="single"/>
        </w:rPr>
        <w:t>), Congress has made no such grant of authority to the USPTO with respect to issues of substantive patent law</w:t>
      </w:r>
      <w:r w:rsidRPr="00F84F7A">
        <w:t>. See, e.g., Merck &amp; Co. v. Kessler, 80 F.3d 1543, 1549-50 (Fed. Cir. 1996) (explaining that Congress has authorized the PTO to “promulgate regulations direct only to ‘the conduct of proceedings in the PTO,’ but not ‘to issue substantive rules’”); Ass’n for Molecular Pathology v. U.S.PTO, 687 F.3d 1303, 1357 (Fed. Cir. 2012) (Bryson, J., concurring in part dissenting in part) (“the PTO lacks substantive rulemaking authority as to issues such as patentability”).</w:t>
      </w:r>
    </w:p>
    <w:p w14:paraId="354F3AA0" w14:textId="77777777" w:rsidR="00516959" w:rsidRDefault="00516959" w:rsidP="00516959">
      <w:r w:rsidRPr="00F84F7A">
        <w:t>When, in exercising its procedural rulemaking authority, the USPTO issues notice and comment regulations governing the conduct of IPR</w:t>
      </w:r>
      <w:r w:rsidRPr="00F84F7A">
        <w:rPr>
          <w:u w:val="single"/>
        </w:rPr>
        <w:t xml:space="preserve">, such regulations are likely </w:t>
      </w:r>
      <w:r w:rsidRPr="00F84F7A">
        <w:rPr>
          <w:rStyle w:val="Emphasis"/>
        </w:rPr>
        <w:t>entitled to Chevron deference.</w:t>
      </w:r>
      <w:r w:rsidRPr="00F84F7A">
        <w:rPr>
          <w:u w:val="single"/>
        </w:rPr>
        <w:t xml:space="preserve"> </w:t>
      </w:r>
      <w:r w:rsidRPr="00F84F7A">
        <w:t xml:space="preserve">This was the case in </w:t>
      </w:r>
      <w:r w:rsidRPr="00F84F7A">
        <w:rPr>
          <w:u w:val="single"/>
        </w:rPr>
        <w:t>Cuozzo, where the Supreme Court deferred under Chevron to the USPTO’s (subsequently revoked) regulation providing for the broadest reasonable construction claim interpretation standard in IPR</w:t>
      </w:r>
      <w:r w:rsidRPr="00F84F7A">
        <w:t xml:space="preserve">. See Cuozzo Speed Techs., LLC v. Lee, 136 S. Ct. 2131, 2146 (2016) (“the Patent Office’s regulation, selecting the broadest reasonable construction standard, is reasonable”). </w:t>
      </w:r>
      <w:r w:rsidRPr="00F84F7A">
        <w:rPr>
          <w:u w:val="single"/>
        </w:rPr>
        <w:t>Similarly, in SAS Institute, the Supreme Court applied the Chevron framework to the USPTO’s regulation allowing for the use of “partial institution”</w:t>
      </w:r>
      <w:r w:rsidRPr="00F84F7A">
        <w:t xml:space="preserve"> in IPRs, but avoided deferring by finding that the PTO’s interpretation of the statute was unreasonable. See SAS Inst., Inc. v. Iancu, 138 S. Ct. 1348, 1358 (2018) (“we are left with no uncertainty that could warrant deference”).</w:t>
      </w:r>
    </w:p>
    <w:p w14:paraId="3B88E6B7" w14:textId="77777777" w:rsidR="00516959" w:rsidRPr="00175A75" w:rsidRDefault="00516959" w:rsidP="00516959">
      <w:pPr>
        <w:pStyle w:val="Heading4"/>
      </w:pPr>
      <w:r w:rsidRPr="00A41F85">
        <w:rPr>
          <w:i/>
          <w:iCs w:val="0"/>
        </w:rPr>
        <w:t>Chevron</w:t>
      </w:r>
      <w:r w:rsidRPr="00175A75">
        <w:t xml:space="preserve"> expands the PTO’s authority</w:t>
      </w:r>
      <w:r>
        <w:t>.</w:t>
      </w:r>
    </w:p>
    <w:p w14:paraId="0E07DC1E" w14:textId="77777777" w:rsidR="00516959" w:rsidRPr="00D63F7F" w:rsidRDefault="00516959" w:rsidP="00516959">
      <w:r w:rsidRPr="004D5A95">
        <w:rPr>
          <w:b/>
          <w:bCs/>
          <w:sz w:val="26"/>
          <w:szCs w:val="26"/>
        </w:rPr>
        <w:t>Long 09</w:t>
      </w:r>
      <w:r>
        <w:t xml:space="preserve"> - </w:t>
      </w:r>
      <w:r w:rsidRPr="004D5A95">
        <w:t>serves on the committee of The Center for Cybersecurity at Columbia University's Data Science Institute and is a former faculty director of Columbia Law School's Program on Law and Technology</w:t>
      </w:r>
      <w:r>
        <w:t xml:space="preserve">, (Clarissa, “THE PTO AND THE MARKET FOR INFLUENCE IN PATENT LAW,” </w:t>
      </w:r>
      <w:r w:rsidRPr="004D5A95">
        <w:t>University of Pennsylvania Law Review 157(6):1965-1999</w:t>
      </w:r>
      <w:r>
        <w:t xml:space="preserve">, 6-1-9, </w:t>
      </w:r>
      <w:hyperlink r:id="rId335" w:history="1">
        <w:r w:rsidRPr="00DC67D3">
          <w:rPr>
            <w:rStyle w:val="Hyperlink"/>
          </w:rPr>
          <w:t>https://www.law.upenn.edu/live/files/81-long157upalrev19652009pdf</w:t>
        </w:r>
      </w:hyperlink>
      <w:r>
        <w:t>, Accessed 7-4-20, LASA-AH)</w:t>
      </w:r>
    </w:p>
    <w:p w14:paraId="5E941202" w14:textId="77777777" w:rsidR="00516959" w:rsidRPr="00F84F7A" w:rsidRDefault="00516959" w:rsidP="00516959">
      <w:r w:rsidRPr="00F84F7A">
        <w:t xml:space="preserve">Some commentators have advocated in favor of </w:t>
      </w:r>
      <w:r w:rsidRPr="00F84F7A">
        <w:rPr>
          <w:u w:val="single"/>
        </w:rPr>
        <w:t>expanding the scope of PTO rulemaking authority</w:t>
      </w:r>
      <w:r w:rsidRPr="00F84F7A">
        <w:t xml:space="preserve">, proposing that </w:t>
      </w:r>
      <w:r w:rsidRPr="00F84F7A">
        <w:rPr>
          <w:u w:val="single"/>
        </w:rPr>
        <w:t>the Federal Circuit ought to review the PTO’s interpretations of the Patent Act using the framework set forth in Chevron for questions of law and mixed questions of law and fact</w:t>
      </w:r>
      <w:r w:rsidRPr="00F84F7A">
        <w:t>.</w:t>
      </w:r>
      <w:r w:rsidRPr="00F84F7A">
        <w:rPr>
          <w:u w:val="single"/>
        </w:rPr>
        <w:t>78 Under a broad reading of Chevron, the PTO would assume the primary responsibility for interpreting the Patent Act</w:t>
      </w:r>
      <w:r w:rsidRPr="00F84F7A">
        <w:t xml:space="preserve"> when the statutory term at issue is ambiguous or the Act is silent regarding its meaning—an interpretive role traditionally reserved for the Federal Circuit as an Article III court.79 This would, </w:t>
      </w:r>
      <w:r w:rsidRPr="00F84F7A">
        <w:rPr>
          <w:u w:val="single"/>
        </w:rPr>
        <w:t xml:space="preserve">at least in theory, </w:t>
      </w:r>
      <w:r w:rsidRPr="00F84F7A">
        <w:rPr>
          <w:rStyle w:val="Emphasis"/>
        </w:rPr>
        <w:t>constitute a shift in power</w:t>
      </w:r>
      <w:r w:rsidRPr="00F84F7A">
        <w:rPr>
          <w:u w:val="single"/>
        </w:rPr>
        <w:t xml:space="preserve"> from the Federal Circuit to the PTO</w:t>
      </w:r>
      <w:r w:rsidRPr="00F84F7A">
        <w:t>. Whether this would actually constitute a shift in power is a different matter.80</w:t>
      </w:r>
    </w:p>
    <w:p w14:paraId="7183CFE2" w14:textId="77777777" w:rsidR="00516959" w:rsidRPr="00A41F85" w:rsidRDefault="00516959" w:rsidP="00516959">
      <w:pPr>
        <w:rPr>
          <w:u w:val="single"/>
        </w:rPr>
      </w:pPr>
      <w:r w:rsidRPr="00F84F7A">
        <w:rPr>
          <w:u w:val="single"/>
        </w:rPr>
        <w:t xml:space="preserve">Many of the most important provisions of the Patent Act are fraught with </w:t>
      </w:r>
      <w:r w:rsidRPr="00F84F7A">
        <w:rPr>
          <w:rStyle w:val="Emphasis"/>
        </w:rPr>
        <w:t>textual ambiguity.</w:t>
      </w:r>
      <w:r w:rsidRPr="00F84F7A">
        <w:t xml:space="preserve"> Words such as “nonobvious,” “used,” “process”—and for the epistemologically minded, “known”—appear throughout the Patent Act.81 Congress quite notably spoke directly to few questions of patent law when it wrote the Patent Act in 1952.82 </w:t>
      </w:r>
      <w:r w:rsidRPr="00F84F7A">
        <w:rPr>
          <w:u w:val="single"/>
        </w:rPr>
        <w:t>In the absence of such direction, Chevron would give the PTO potentially broad power to interpret the Patent Act.</w:t>
      </w:r>
      <w:r w:rsidRPr="00F84F7A">
        <w:t xml:space="preserve">83 For example, </w:t>
      </w:r>
      <w:r w:rsidRPr="00F84F7A">
        <w:rPr>
          <w:u w:val="single"/>
        </w:rPr>
        <w:t>the PTO could raise or lower the threshold at which an invention is declared obvious by altering its definition of the word “obvious” or by redefining the word “process” to declare subject matter off limits.</w:t>
      </w:r>
    </w:p>
    <w:p w14:paraId="68CB064A" w14:textId="77777777" w:rsidR="00516959" w:rsidRDefault="00516959" w:rsidP="00516959">
      <w:pPr>
        <w:pStyle w:val="Heading3"/>
      </w:pPr>
      <w:r>
        <w:t>2NC – IL – Patents – AT: Golden</w:t>
      </w:r>
    </w:p>
    <w:p w14:paraId="4FBD2205" w14:textId="77777777" w:rsidR="00516959" w:rsidRPr="00175A75" w:rsidRDefault="00516959" w:rsidP="00516959">
      <w:pPr>
        <w:pStyle w:val="Heading4"/>
      </w:pPr>
      <w:r w:rsidRPr="00175A75">
        <w:t xml:space="preserve">Golden’s </w:t>
      </w:r>
      <w:r>
        <w:t>wrong.</w:t>
      </w:r>
    </w:p>
    <w:p w14:paraId="25CEEB31" w14:textId="77777777" w:rsidR="00516959" w:rsidRPr="00966CD2" w:rsidRDefault="00516959" w:rsidP="00516959">
      <w:r w:rsidRPr="00966CD2">
        <w:rPr>
          <w:b/>
          <w:bCs/>
          <w:sz w:val="26"/>
          <w:szCs w:val="26"/>
        </w:rPr>
        <w:t>Picozzi 14</w:t>
      </w:r>
      <w:r>
        <w:t xml:space="preserve"> - </w:t>
      </w:r>
      <w:r w:rsidRPr="00966CD2">
        <w:t>J.D. Candidate at Yale Law School</w:t>
      </w:r>
      <w:r>
        <w:t>, (Ben, “</w:t>
      </w:r>
      <w:r w:rsidRPr="00966CD2">
        <w:t>John Golden: Is the USPTO Entitled to Chevron Deference?</w:t>
      </w:r>
      <w:r>
        <w:t xml:space="preserve">,” </w:t>
      </w:r>
      <w:r>
        <w:rPr>
          <w:i/>
          <w:iCs/>
        </w:rPr>
        <w:t>Written Description</w:t>
      </w:r>
      <w:r>
        <w:t xml:space="preserve">, 5-28-14, </w:t>
      </w:r>
      <w:hyperlink r:id="rId336" w:history="1">
        <w:r w:rsidRPr="00DC67D3">
          <w:rPr>
            <w:rStyle w:val="Hyperlink"/>
          </w:rPr>
          <w:t>https://writtendescription.blogspot.com/2014/05/john-golden-is-uspto-entitlted-to.html</w:t>
        </w:r>
      </w:hyperlink>
      <w:r>
        <w:t>, Accessed 7-4-20, LASA-AH)</w:t>
      </w:r>
    </w:p>
    <w:p w14:paraId="0E217452" w14:textId="77777777" w:rsidR="00516959" w:rsidRPr="00F84F7A" w:rsidRDefault="00516959" w:rsidP="00516959">
      <w:r w:rsidRPr="00F84F7A">
        <w:rPr>
          <w:u w:val="single"/>
        </w:rPr>
        <w:t>John Golden argues that this emphasis on Chevron is misguided in his recent Essay, The USPTO’s Soft Power: Who Needs Chevron Deference?</w:t>
      </w:r>
      <w:r w:rsidRPr="00F84F7A">
        <w:t>. Golden argues that these the PTO is unlikely to succeed in acquiring this interpretive authority from courts. The Supreme Court generally requires Congress to clearly express its intent to fundamentally alter a regulatory scheme. (“[Congress] does not . . . hide elephants in mouseholes.”) Not only does the AIA’s language not meet this requirement, but Congressional drafters eliminated a proposed provision granting general rulemaking authority.</w:t>
      </w:r>
    </w:p>
    <w:p w14:paraId="34782623" w14:textId="77777777" w:rsidR="00516959" w:rsidRPr="00F84F7A" w:rsidRDefault="00516959" w:rsidP="00516959">
      <w:r w:rsidRPr="00F84F7A">
        <w:t xml:space="preserve">Nevertheless, Golden argues, </w:t>
      </w:r>
      <w:r w:rsidRPr="00F84F7A">
        <w:rPr>
          <w:u w:val="single"/>
        </w:rPr>
        <w:t>the PTO can and does guide substantive patent law even without substantive interpretive authority. The Federal Circuit and other courts have acknowledged that the agency’s substantive interpretations may be persuasive, although not controlling</w:t>
      </w:r>
      <w:r w:rsidRPr="00F84F7A">
        <w:t>. Golden cites the Federal Circuit’s recognition of the Utility Examination Guidelines in Fisher and Enzo as examples of the PTO's success in influencing substantive patent law.</w:t>
      </w:r>
    </w:p>
    <w:p w14:paraId="005BD6F9" w14:textId="77777777" w:rsidR="00516959" w:rsidRPr="00F84F7A" w:rsidRDefault="00516959" w:rsidP="00516959">
      <w:r w:rsidRPr="00F84F7A">
        <w:rPr>
          <w:u w:val="single"/>
        </w:rPr>
        <w:t xml:space="preserve">Golden’s arguments seem </w:t>
      </w:r>
      <w:r w:rsidRPr="00F84F7A">
        <w:rPr>
          <w:rStyle w:val="Emphasis"/>
        </w:rPr>
        <w:t>counterintuitive</w:t>
      </w:r>
      <w:r w:rsidRPr="00F84F7A">
        <w:rPr>
          <w:u w:val="single"/>
        </w:rPr>
        <w:t xml:space="preserve"> given that, at present, </w:t>
      </w:r>
      <w:r w:rsidRPr="00F84F7A">
        <w:rPr>
          <w:rStyle w:val="Emphasis"/>
        </w:rPr>
        <w:t>the Supreme Court—not the PTO</w:t>
      </w:r>
      <w:r w:rsidRPr="00F84F7A">
        <w:rPr>
          <w:u w:val="single"/>
        </w:rPr>
        <w:t>—appears to be driving change in substantive patent law, especially with respect to subject-matter eligibility</w:t>
      </w:r>
      <w:r w:rsidRPr="00F84F7A">
        <w:t xml:space="preserve">. The </w:t>
      </w:r>
      <w:r w:rsidRPr="00F84F7A">
        <w:rPr>
          <w:u w:val="single"/>
        </w:rPr>
        <w:t>PTO</w:t>
      </w:r>
      <w:r w:rsidRPr="00F84F7A">
        <w:t xml:space="preserve"> recently </w:t>
      </w:r>
      <w:r w:rsidRPr="00F84F7A">
        <w:rPr>
          <w:u w:val="single"/>
        </w:rPr>
        <w:t>issued its post-Myriad Guidelines and will</w:t>
      </w:r>
      <w:r w:rsidRPr="00F84F7A">
        <w:t xml:space="preserve"> likely </w:t>
      </w:r>
      <w:r w:rsidRPr="00F84F7A">
        <w:rPr>
          <w:u w:val="single"/>
        </w:rPr>
        <w:t>need to issue additional Guidelines</w:t>
      </w:r>
      <w:r w:rsidRPr="00F84F7A">
        <w:t xml:space="preserve"> after the Court decides Alice Corp. v. CLS Bank. And in Bilski and Comiskey, </w:t>
      </w:r>
      <w:r w:rsidRPr="00F84F7A">
        <w:rPr>
          <w:u w:val="single"/>
        </w:rPr>
        <w:t>the PTO asked the Court and the Federal Circuit respectively for judicial “guidance.”</w:t>
      </w:r>
      <w:r w:rsidRPr="00F84F7A">
        <w:t xml:space="preserve"> However, Golden’s conclusion is relatively modest. He challenges the assumption that the PTO is powerless. Although the PTO can persuade the courts, it will not always be able to do so.</w:t>
      </w:r>
    </w:p>
    <w:p w14:paraId="5E52C228" w14:textId="77777777" w:rsidR="00516959" w:rsidRPr="00A41F85" w:rsidRDefault="00516959" w:rsidP="00516959">
      <w:r w:rsidRPr="00F84F7A">
        <w:rPr>
          <w:u w:val="single"/>
        </w:rPr>
        <w:t xml:space="preserve">The PTO’s persuasive power is perhaps </w:t>
      </w:r>
      <w:r w:rsidRPr="00F84F7A">
        <w:rPr>
          <w:rStyle w:val="Emphasis"/>
        </w:rPr>
        <w:t xml:space="preserve">more limited than Golden acknowledges. </w:t>
      </w:r>
      <w:r w:rsidRPr="00F84F7A">
        <w:rPr>
          <w:u w:val="single"/>
        </w:rPr>
        <w:t>Whether the PTO can guide substantive patent law</w:t>
      </w:r>
      <w:r w:rsidRPr="00F84F7A">
        <w:t>—with or without Chevron deference—</w:t>
      </w:r>
      <w:r w:rsidRPr="00F84F7A">
        <w:rPr>
          <w:u w:val="single"/>
        </w:rPr>
        <w:t>depends significantly on the PTO’s ability to control patent policy</w:t>
      </w:r>
      <w:r w:rsidRPr="00F84F7A">
        <w:t xml:space="preserve"> within the government. As Arti Rai has argued, </w:t>
      </w:r>
      <w:r w:rsidRPr="00F84F7A">
        <w:rPr>
          <w:u w:val="single"/>
        </w:rPr>
        <w:t xml:space="preserve">the PTO is one of many executive branch actors who influence patent policy. The </w:t>
      </w:r>
      <w:r w:rsidRPr="00F84F7A">
        <w:rPr>
          <w:rStyle w:val="Emphasis"/>
        </w:rPr>
        <w:t>increasing influence of non-PTO actors</w:t>
      </w:r>
      <w:r w:rsidRPr="00F84F7A">
        <w:rPr>
          <w:u w:val="single"/>
        </w:rPr>
        <w:t xml:space="preserve"> in is evident in the DOJ’s position in Myriad, which disavowed the PTO’s Guidelines.</w:t>
      </w:r>
      <w:r w:rsidRPr="00F84F7A">
        <w:t xml:space="preserve"> (The OSTP and the NEC’s leadership in the Administration’s patent initiatives exemplifies non-PTO actors’ influence over other aspects of patent policy.) Furthermore, </w:t>
      </w:r>
      <w:r w:rsidRPr="00F84F7A">
        <w:rPr>
          <w:u w:val="single"/>
        </w:rPr>
        <w:t>the PTO’s institutional power affects the agency’s ability to persuade judges sensitive to the executive branch politics.</w:t>
      </w:r>
      <w:r w:rsidRPr="00F84F7A">
        <w:t xml:space="preserve"> Bryson’s Myriad dissent argued that the DOJ’s disavowal of PTO’s position “substantially undermined” the deference to which the policy was entitled. Justice Ginsburg made a similar suggestion during oral arguments.</w:t>
      </w:r>
    </w:p>
    <w:p w14:paraId="27EF5F1D" w14:textId="77777777" w:rsidR="00516959" w:rsidRDefault="00516959" w:rsidP="00516959">
      <w:pPr>
        <w:pStyle w:val="Heading3"/>
      </w:pPr>
      <w:r>
        <w:t>2NC – IL – COVID</w:t>
      </w:r>
    </w:p>
    <w:p w14:paraId="25209096" w14:textId="77777777" w:rsidR="00516959" w:rsidRDefault="00516959" w:rsidP="00516959">
      <w:pPr>
        <w:pStyle w:val="Heading4"/>
      </w:pPr>
      <w:r>
        <w:t>Pharma’s key to a COVID vaccine.</w:t>
      </w:r>
    </w:p>
    <w:p w14:paraId="6D57950B" w14:textId="77777777" w:rsidR="00516959" w:rsidRPr="00F07B3C" w:rsidRDefault="00516959" w:rsidP="00516959">
      <w:r w:rsidRPr="00F07B3C">
        <w:rPr>
          <w:b/>
          <w:bCs/>
          <w:sz w:val="26"/>
          <w:szCs w:val="26"/>
        </w:rPr>
        <w:t>Pineda and Royzman 20</w:t>
      </w:r>
      <w:r>
        <w:t xml:space="preserve"> - </w:t>
      </w:r>
      <w:r w:rsidRPr="00F07B3C">
        <w:t>Ph.D.</w:t>
      </w:r>
      <w:r>
        <w:t xml:space="preserve"> in biomedical sciences</w:t>
      </w:r>
      <w:r w:rsidRPr="00F07B3C">
        <w:t>, concentrates on intellectual property matters involving biotechnological inventions</w:t>
      </w:r>
      <w:r>
        <w:t xml:space="preserve">, </w:t>
      </w:r>
      <w:r w:rsidRPr="00F07B3C">
        <w:t>Ph. D., represents pharmaceutical, biotech and medical device companies in patent litigation</w:t>
      </w:r>
      <w:r>
        <w:t>, (Andre and Irena, “</w:t>
      </w:r>
      <w:r w:rsidRPr="00F07B3C">
        <w:t>Biopharmaceutical Industry Fights COVID-19 Pandemic with Innovation and Speed</w:t>
      </w:r>
      <w:r>
        <w:t xml:space="preserve">,” </w:t>
      </w:r>
      <w:r>
        <w:rPr>
          <w:i/>
          <w:iCs/>
        </w:rPr>
        <w:t>JD SUPRA</w:t>
      </w:r>
      <w:r>
        <w:t xml:space="preserve">, 4-11-20, </w:t>
      </w:r>
      <w:hyperlink r:id="rId337" w:history="1">
        <w:r w:rsidRPr="009C6468">
          <w:rPr>
            <w:rStyle w:val="Hyperlink"/>
          </w:rPr>
          <w:t>https://www.jdsupra.com/legalnews/biopharmaceutical-industry-fights-covid-41304/</w:t>
        </w:r>
      </w:hyperlink>
      <w:r>
        <w:t>, Accessed 7-2-20, LASA-AH)</w:t>
      </w:r>
    </w:p>
    <w:p w14:paraId="53FDBCEF" w14:textId="77777777" w:rsidR="00516959" w:rsidRDefault="00516959" w:rsidP="00516959">
      <w:r w:rsidRPr="00F07B3C">
        <w:rPr>
          <w:u w:val="single"/>
        </w:rPr>
        <w:t>Producing and testing a vaccine or other therapy in time to address the current pandemic is a major hurdle on both the research and regulatory fronts.</w:t>
      </w:r>
      <w:r>
        <w:t xml:space="preserve"> </w:t>
      </w:r>
      <w:r w:rsidRPr="00F07B3C">
        <w:rPr>
          <w:u w:val="single"/>
        </w:rPr>
        <w:t>Companies</w:t>
      </w:r>
      <w:r>
        <w:t xml:space="preserve"> and regulatory agencies </w:t>
      </w:r>
      <w:r w:rsidRPr="00F07B3C">
        <w:rPr>
          <w:u w:val="single"/>
        </w:rPr>
        <w:t xml:space="preserve">have taken drastic steps to </w:t>
      </w:r>
      <w:r w:rsidRPr="00F07B3C">
        <w:rPr>
          <w:rStyle w:val="Emphasis"/>
        </w:rPr>
        <w:t>speed up this timeline</w:t>
      </w:r>
      <w:r>
        <w:t>. The Food and Drug Administration (</w:t>
      </w:r>
      <w:r w:rsidRPr="00F07B3C">
        <w:rPr>
          <w:u w:val="single"/>
        </w:rPr>
        <w:t>FDA</w:t>
      </w:r>
      <w:r>
        <w:t xml:space="preserve">), for example, has </w:t>
      </w:r>
      <w:r w:rsidRPr="00F07B3C">
        <w:rPr>
          <w:u w:val="single"/>
        </w:rPr>
        <w:t>created</w:t>
      </w:r>
      <w:r>
        <w:t xml:space="preserve"> an emergency program called the Coronavirus Treatment Acceleration Program (</w:t>
      </w:r>
      <w:r w:rsidRPr="00F07B3C">
        <w:rPr>
          <w:u w:val="single"/>
        </w:rPr>
        <w:t>CTAP</w:t>
      </w:r>
      <w:r>
        <w:t xml:space="preserve">), redeploying staff in order to facilitate the rapid review and clinical development of new therapeutics. </w:t>
      </w:r>
      <w:r w:rsidRPr="00F07B3C">
        <w:rPr>
          <w:u w:val="single"/>
        </w:rPr>
        <w:t>Companies are working to manufacture therapies on a large scale</w:t>
      </w:r>
      <w:r>
        <w:t xml:space="preserve"> in order </w:t>
      </w:r>
      <w:r w:rsidRPr="00F07B3C">
        <w:rPr>
          <w:u w:val="single"/>
        </w:rPr>
        <w:t xml:space="preserve">to meet demand as quickly as possible </w:t>
      </w:r>
      <w:r>
        <w:t>if the therapies prove to be successful.</w:t>
      </w:r>
    </w:p>
    <w:p w14:paraId="4845F311" w14:textId="77777777" w:rsidR="00516959" w:rsidRPr="00F07B3C" w:rsidRDefault="00516959" w:rsidP="00516959">
      <w:pPr>
        <w:rPr>
          <w:u w:val="single"/>
        </w:rPr>
      </w:pPr>
      <w:r>
        <w:t xml:space="preserve">There is reason for optimism. </w:t>
      </w:r>
      <w:r w:rsidRPr="00F07B3C">
        <w:rPr>
          <w:u w:val="single"/>
        </w:rPr>
        <w:t xml:space="preserve">Vaccine testing, for example, has </w:t>
      </w:r>
      <w:r w:rsidRPr="00F07B3C">
        <w:rPr>
          <w:rStyle w:val="Emphasis"/>
        </w:rPr>
        <w:t>proceeded at unprecedented speed</w:t>
      </w:r>
      <w:r>
        <w:t xml:space="preserve">. A vaccine for SARS-CoV-2, developed by Moderna, was given to a human subject on March 16, a mere two months after the viral genome sequence was published. Johnson &amp; Johnson selected its lead vaccine candidate in March and is aiming to initiate clinical trials in early fall. Regeneron is working toward initiating a clinical trial this summer of an antibody cocktail that can be administered as a prophylaxis. Last week, the </w:t>
      </w:r>
      <w:r w:rsidRPr="00F07B3C">
        <w:rPr>
          <w:u w:val="single"/>
        </w:rPr>
        <w:t>FDA approved the first diagnostic test to detect antibodies against SARS-CoV-2, from Cellex Inc., under emergency use authorization</w:t>
      </w:r>
      <w:r>
        <w:t xml:space="preserve">. </w:t>
      </w:r>
      <w:r w:rsidRPr="00F07B3C">
        <w:rPr>
          <w:u w:val="single"/>
        </w:rPr>
        <w:t xml:space="preserve">Resources are being mobilized and </w:t>
      </w:r>
      <w:r w:rsidRPr="00F07B3C">
        <w:rPr>
          <w:rStyle w:val="Emphasis"/>
        </w:rPr>
        <w:t>scientific innovation</w:t>
      </w:r>
      <w:r w:rsidRPr="00F07B3C">
        <w:rPr>
          <w:u w:val="single"/>
        </w:rPr>
        <w:t xml:space="preserve"> is being harnessed to meet the pandemic with full force.</w:t>
      </w:r>
    </w:p>
    <w:p w14:paraId="3E8AAFA3" w14:textId="77777777" w:rsidR="00516959" w:rsidRDefault="00516959" w:rsidP="00516959">
      <w:pPr>
        <w:rPr>
          <w:u w:val="single"/>
        </w:rPr>
      </w:pPr>
      <w:r>
        <w:t xml:space="preserve">The biopharmaceutical industry is engaging its resources in other ways as well. Companies have committed millions of dollars of support for the public health response. Others have shared vital medical resources, such as donating 500,000 test kits to New York State, or provided personal protective equipment (PPE) to hospitals in need. Companies also are employing their expertise to conduct diagnostic tests themselves. </w:t>
      </w:r>
      <w:r w:rsidRPr="00F07B3C">
        <w:rPr>
          <w:u w:val="single"/>
        </w:rPr>
        <w:t>But ultimately</w:t>
      </w:r>
      <w:r w:rsidRPr="00F07B3C">
        <w:rPr>
          <w:rStyle w:val="Emphasis"/>
        </w:rPr>
        <w:t xml:space="preserve">, it is the rapid advancement of scientific research </w:t>
      </w:r>
      <w:r w:rsidRPr="00F07B3C">
        <w:rPr>
          <w:u w:val="single"/>
        </w:rPr>
        <w:t>that will put an end to the current pandemic.</w:t>
      </w:r>
    </w:p>
    <w:p w14:paraId="6980DF99" w14:textId="77777777" w:rsidR="00516959" w:rsidRDefault="00516959" w:rsidP="00516959">
      <w:pPr>
        <w:pStyle w:val="Heading4"/>
      </w:pPr>
      <w:r>
        <w:t xml:space="preserve">Slow patent courts would </w:t>
      </w:r>
      <w:r>
        <w:rPr>
          <w:u w:val="single"/>
        </w:rPr>
        <w:t>slow it down</w:t>
      </w:r>
      <w:r>
        <w:t>.</w:t>
      </w:r>
    </w:p>
    <w:p w14:paraId="100ED331" w14:textId="77777777" w:rsidR="00516959" w:rsidRPr="00245C08" w:rsidRDefault="00516959" w:rsidP="00516959">
      <w:r w:rsidRPr="00245C08">
        <w:rPr>
          <w:b/>
          <w:bCs/>
          <w:sz w:val="26"/>
          <w:szCs w:val="26"/>
        </w:rPr>
        <w:t>Pham 20</w:t>
      </w:r>
      <w:r>
        <w:t xml:space="preserve"> - </w:t>
      </w:r>
      <w:r w:rsidRPr="00245C08">
        <w:t>Co-Chair of the Emerging Technology Practice and is a registered patent attorney with experience in the strategic creation, implementation and protection of intellectual property rights for high technology and life science clients</w:t>
      </w:r>
      <w:r>
        <w:t>, (Chinh H., “</w:t>
      </w:r>
      <w:r w:rsidRPr="00245C08">
        <w:t>The Race for a COVID-19 Vaccine is On: Key Factors May Impact Patent Protection</w:t>
      </w:r>
      <w:r>
        <w:t xml:space="preserve">,” 5-26-20, </w:t>
      </w:r>
      <w:r>
        <w:rPr>
          <w:i/>
          <w:iCs/>
        </w:rPr>
        <w:t>The National Law Review</w:t>
      </w:r>
      <w:r>
        <w:t>,</w:t>
      </w:r>
      <w:r w:rsidRPr="00245C08">
        <w:t xml:space="preserve"> </w:t>
      </w:r>
      <w:hyperlink r:id="rId338" w:history="1">
        <w:r w:rsidRPr="009C6468">
          <w:rPr>
            <w:rStyle w:val="Hyperlink"/>
          </w:rPr>
          <w:t>https://www.natlawreview.com/article/race-covid-19-vaccine-key-factors-may-impact-patent-protection</w:t>
        </w:r>
      </w:hyperlink>
      <w:r>
        <w:t>, Accessed 7-2-20, LASA-AH)</w:t>
      </w:r>
    </w:p>
    <w:p w14:paraId="23C8B3C7" w14:textId="77777777" w:rsidR="00516959" w:rsidRDefault="00516959" w:rsidP="00516959">
      <w:r>
        <w:t xml:space="preserve">The </w:t>
      </w:r>
      <w:r w:rsidRPr="004A4318">
        <w:rPr>
          <w:u w:val="single"/>
        </w:rPr>
        <w:t>search for a vaccine for the COVID-19</w:t>
      </w:r>
      <w:r>
        <w:t xml:space="preserve"> strain of coronavirus has </w:t>
      </w:r>
      <w:r w:rsidRPr="004A4318">
        <w:rPr>
          <w:u w:val="single"/>
        </w:rPr>
        <w:t xml:space="preserve">put the spotlight once again on the </w:t>
      </w:r>
      <w:r w:rsidRPr="004A4318">
        <w:rPr>
          <w:rStyle w:val="Emphasis"/>
        </w:rPr>
        <w:t>innovative pharmaceuticals sector</w:t>
      </w:r>
      <w:r>
        <w:t xml:space="preserve">.  As pharmaceutical </w:t>
      </w:r>
      <w:r w:rsidRPr="004A4318">
        <w:rPr>
          <w:u w:val="single"/>
        </w:rPr>
        <w:t>companies and innovators across the globe work diligently on a vaccine, many of these companies may be looking to protect their innovation</w:t>
      </w:r>
      <w:r>
        <w:t>. While patents have many benefits, in the face of a global health emergency, there are some key factors innovators should consider.</w:t>
      </w:r>
    </w:p>
    <w:p w14:paraId="65A59CE0" w14:textId="77777777" w:rsidR="00516959" w:rsidRDefault="00516959" w:rsidP="00516959">
      <w:r>
        <w:t xml:space="preserve">Timeline for Patent Registration </w:t>
      </w:r>
    </w:p>
    <w:p w14:paraId="1D803770" w14:textId="77777777" w:rsidR="00516959" w:rsidRDefault="00516959" w:rsidP="00516959">
      <w:r w:rsidRPr="004A4318">
        <w:rPr>
          <w:u w:val="single"/>
        </w:rPr>
        <w:t xml:space="preserve">Patents can provide broad protection for </w:t>
      </w:r>
      <w:r w:rsidRPr="004A4318">
        <w:rPr>
          <w:rStyle w:val="Emphasis"/>
        </w:rPr>
        <w:t>invention and innovation</w:t>
      </w:r>
      <w:r>
        <w:t>.  They can also create a significant advantage in the marketplace. However</w:t>
      </w:r>
      <w:r w:rsidRPr="004A4318">
        <w:rPr>
          <w:u w:val="single"/>
        </w:rPr>
        <w:t>, patent registration takes time and may require significant resources. According to the United States Patent and Trademark Office (USPTO)</w:t>
      </w:r>
      <w:r>
        <w:t xml:space="preserve">, on average, it takes approximately 22 months to get patent approval.  </w:t>
      </w:r>
      <w:r w:rsidRPr="004A4318">
        <w:rPr>
          <w:u w:val="single"/>
        </w:rPr>
        <w:t>This period may be shortened by taking advantage of one of the USPTO’s accelerated examination procedures and may be shortened by utilizing the USPTO prioritized examination option</w:t>
      </w:r>
      <w:r>
        <w:t xml:space="preserve">, where a final decision on patentability is made within 12 months from the filing date of the patent application. </w:t>
      </w:r>
    </w:p>
    <w:p w14:paraId="5ADB730A" w14:textId="77777777" w:rsidR="00516959" w:rsidRDefault="00516959" w:rsidP="00516959">
      <w:r>
        <w:t>For a potential COVID-19 vaccine being developed now, the USPTO recently announced a new pilot program, where the USPTO will waive typical fees associated with prioritized examination to applicants who qualify for small or micro entity status.  In addition, the USPTO will endeavor to reach a final decision on the applications in this pilot program within six months.</w:t>
      </w:r>
    </w:p>
    <w:p w14:paraId="2FD93F0B" w14:textId="77777777" w:rsidR="00516959" w:rsidRDefault="00516959" w:rsidP="00516959">
      <w:r w:rsidRPr="004A4318">
        <w:rPr>
          <w:u w:val="single"/>
        </w:rPr>
        <w:t>A shorter period to a patent decision may cut down on the costs to a company and allow the company to enjoy the benefits of exclusivity that come with a patent</w:t>
      </w:r>
      <w:r>
        <w:t xml:space="preserve">.  However, </w:t>
      </w:r>
      <w:r w:rsidRPr="004A4318">
        <w:rPr>
          <w:rStyle w:val="Emphasis"/>
        </w:rPr>
        <w:t>such exclusivity may be short-lived</w:t>
      </w:r>
      <w:r>
        <w:t>, especially in the presence of an ongoing pandemic.</w:t>
      </w:r>
    </w:p>
    <w:p w14:paraId="3C545EDD" w14:textId="77777777" w:rsidR="00516959" w:rsidRPr="00417BAB" w:rsidRDefault="00516959" w:rsidP="00516959">
      <w:pPr>
        <w:pStyle w:val="Heading4"/>
      </w:pPr>
      <w:r>
        <w:t xml:space="preserve">Short-term </w:t>
      </w:r>
      <w:r>
        <w:rPr>
          <w:u w:val="single"/>
        </w:rPr>
        <w:t>instability</w:t>
      </w:r>
      <w:r>
        <w:t xml:space="preserve"> in patents would </w:t>
      </w:r>
      <w:r>
        <w:rPr>
          <w:u w:val="single"/>
        </w:rPr>
        <w:t>throw off</w:t>
      </w:r>
      <w:r>
        <w:t xml:space="preserve"> a vaccine.</w:t>
      </w:r>
    </w:p>
    <w:p w14:paraId="0BC82446" w14:textId="77777777" w:rsidR="00516959" w:rsidRPr="007524F1" w:rsidRDefault="00516959" w:rsidP="00516959">
      <w:r w:rsidRPr="007524F1">
        <w:rPr>
          <w:b/>
          <w:bCs/>
          <w:sz w:val="26"/>
          <w:szCs w:val="26"/>
        </w:rPr>
        <w:t>Keene 20</w:t>
      </w:r>
      <w:r>
        <w:t xml:space="preserve"> – author for Klemchuk LLP, a</w:t>
      </w:r>
      <w:r w:rsidRPr="007524F1">
        <w:t xml:space="preserve"> litigation, intellectual property, transactional, and international law firm dedicated to protecting innovation</w:t>
      </w:r>
      <w:r>
        <w:t>, (Peggy, “</w:t>
      </w:r>
      <w:r w:rsidRPr="007524F1">
        <w:t>Fears Arise as Vaccines for COVID-19 May Be Patentable</w:t>
      </w:r>
      <w:r>
        <w:t xml:space="preserve">,” </w:t>
      </w:r>
      <w:r>
        <w:rPr>
          <w:i/>
          <w:iCs/>
        </w:rPr>
        <w:t>Klemchuk LLP</w:t>
      </w:r>
      <w:r>
        <w:t xml:space="preserve">, 5-19-20, </w:t>
      </w:r>
      <w:hyperlink r:id="rId339" w:history="1">
        <w:r w:rsidRPr="009C6468">
          <w:rPr>
            <w:rStyle w:val="Hyperlink"/>
          </w:rPr>
          <w:t>https://www.klemchuk.com/ip-law-trends/vaccine-patents-for-covid-19-concerns</w:t>
        </w:r>
      </w:hyperlink>
      <w:r>
        <w:t>, Accessed 7-2-20, LASA-AH)</w:t>
      </w:r>
    </w:p>
    <w:p w14:paraId="182438B2" w14:textId="77777777" w:rsidR="00516959" w:rsidRPr="00245C08" w:rsidRDefault="00516959" w:rsidP="00516959">
      <w:pPr>
        <w:rPr>
          <w:u w:val="single"/>
        </w:rPr>
      </w:pPr>
      <w:r>
        <w:t xml:space="preserve">As most experts in the field know, </w:t>
      </w:r>
      <w:r w:rsidRPr="00245C08">
        <w:rPr>
          <w:u w:val="single"/>
        </w:rPr>
        <w:t xml:space="preserve">patenting vaccines is not unusual and is why pharmaceuticals remain one of </w:t>
      </w:r>
      <w:r w:rsidRPr="00245C08">
        <w:rPr>
          <w:rStyle w:val="Emphasis"/>
        </w:rPr>
        <w:t>the most intellectual property heavy</w:t>
      </w:r>
      <w:r w:rsidRPr="00245C08">
        <w:rPr>
          <w:u w:val="single"/>
        </w:rPr>
        <w:t xml:space="preserve"> fields professionally.</w:t>
      </w:r>
      <w:r>
        <w:t xml:space="preserve">  But as the pandemic continues to spread across the globe, </w:t>
      </w:r>
      <w:r w:rsidRPr="00245C08">
        <w:rPr>
          <w:u w:val="single"/>
        </w:rPr>
        <w:t xml:space="preserve">health officials have begun to question whether COVID-19 vaccine patents will be troublesome. </w:t>
      </w:r>
    </w:p>
    <w:p w14:paraId="409FBF09" w14:textId="77777777" w:rsidR="00516959" w:rsidRDefault="00516959" w:rsidP="00516959">
      <w:r>
        <w:t>Vaccine Patents During a Pandemic</w:t>
      </w:r>
    </w:p>
    <w:p w14:paraId="4B7082DA" w14:textId="77777777" w:rsidR="00516959" w:rsidRPr="00245C08" w:rsidRDefault="00516959" w:rsidP="00516959">
      <w:pPr>
        <w:rPr>
          <w:rStyle w:val="Emphasis"/>
        </w:rPr>
      </w:pPr>
      <w:r w:rsidRPr="00245C08">
        <w:rPr>
          <w:u w:val="single"/>
        </w:rPr>
        <w:t>Lawyers</w:t>
      </w:r>
      <w:r>
        <w:t xml:space="preserve"> around the world have already </w:t>
      </w:r>
      <w:r w:rsidRPr="00245C08">
        <w:rPr>
          <w:u w:val="single"/>
        </w:rPr>
        <w:t xml:space="preserve">begun anticipating the potential for an increase in litigation as well as governmental intervention if vaccine makers and distributors </w:t>
      </w:r>
      <w:r w:rsidRPr="00245C08">
        <w:rPr>
          <w:rStyle w:val="Emphasis"/>
        </w:rPr>
        <w:t>cannot come to an agreement of how ownership rights</w:t>
      </w:r>
      <w:r w:rsidRPr="00245C08">
        <w:rPr>
          <w:u w:val="single"/>
        </w:rPr>
        <w:t xml:space="preserve"> will be protected.</w:t>
      </w:r>
      <w:r>
        <w:t xml:space="preserve">  And with the addition of international health authorities, legal experts expect that </w:t>
      </w:r>
      <w:r w:rsidRPr="00245C08">
        <w:rPr>
          <w:u w:val="single"/>
        </w:rPr>
        <w:t xml:space="preserve">there can be significant difficulty with widespread distribution of a vaccine without </w:t>
      </w:r>
      <w:r w:rsidRPr="00245C08">
        <w:rPr>
          <w:rStyle w:val="Emphasis"/>
        </w:rPr>
        <w:t xml:space="preserve">careful planning, infrastructure, and oversight.   </w:t>
      </w:r>
    </w:p>
    <w:p w14:paraId="3658C315" w14:textId="77777777" w:rsidR="00516959" w:rsidRPr="00245C08" w:rsidRDefault="00516959" w:rsidP="00516959">
      <w:pPr>
        <w:rPr>
          <w:u w:val="single"/>
        </w:rPr>
      </w:pPr>
      <w:r>
        <w:t xml:space="preserve">In preparation for the potential for increased patent litigation, some </w:t>
      </w:r>
      <w:r w:rsidRPr="00245C08">
        <w:rPr>
          <w:u w:val="single"/>
        </w:rPr>
        <w:t>countries are trying to head off the conflict by announcing that they will require that vaccine patent licenses be granted and compulsory once manufactured</w:t>
      </w:r>
      <w:r>
        <w:t xml:space="preserve">.  Other countries have also asked the World Health Organization to lead organizational efforts and broker agreements that will require countries to cooperate, share information, and agree to nonexclusive vaccine patent licenses.  Many experts worry, however, </w:t>
      </w:r>
      <w:r w:rsidRPr="00245C08">
        <w:rPr>
          <w:u w:val="single"/>
        </w:rPr>
        <w:t xml:space="preserve">that countries that are not a part of the World Health Organization may lose out on access to COVID-19 vaccines or may not be able to share pertinent information relevant to finding a cure or vaccine. </w:t>
      </w:r>
    </w:p>
    <w:p w14:paraId="0640C6F6" w14:textId="77777777" w:rsidR="00516959" w:rsidRPr="00245C08" w:rsidRDefault="00516959" w:rsidP="00516959">
      <w:pPr>
        <w:rPr>
          <w:u w:val="single"/>
        </w:rPr>
      </w:pPr>
      <w:r w:rsidRPr="00245C08">
        <w:rPr>
          <w:u w:val="single"/>
        </w:rPr>
        <w:t xml:space="preserve">The </w:t>
      </w:r>
      <w:r w:rsidRPr="00245C08">
        <w:rPr>
          <w:rStyle w:val="Emphasis"/>
        </w:rPr>
        <w:t>Need for Cohesion</w:t>
      </w:r>
      <w:r w:rsidRPr="00245C08">
        <w:rPr>
          <w:u w:val="single"/>
        </w:rPr>
        <w:t xml:space="preserve"> in Anticipation of Vaccine Patents for COVID-19</w:t>
      </w:r>
    </w:p>
    <w:p w14:paraId="7E1D8608" w14:textId="77777777" w:rsidR="00516959" w:rsidRDefault="00516959" w:rsidP="00516959">
      <w:r>
        <w:t xml:space="preserve">With health systems and </w:t>
      </w:r>
      <w:r w:rsidRPr="00245C08">
        <w:rPr>
          <w:u w:val="single"/>
        </w:rPr>
        <w:t xml:space="preserve">governments already strained and squabbling amongst themselves, health experts worry that legal wrangling could further exacerbate rapid distribution </w:t>
      </w:r>
      <w:r w:rsidRPr="00245C08">
        <w:rPr>
          <w:rStyle w:val="Emphasis"/>
        </w:rPr>
        <w:t>of a cure or vaccine</w:t>
      </w:r>
      <w:r>
        <w:t>.  Likewise</w:t>
      </w:r>
      <w:r w:rsidRPr="00245C08">
        <w:rPr>
          <w:u w:val="single"/>
        </w:rPr>
        <w:t>, if countries do not mutually agree, prohibit vaccine patents, or require nonexclusive vaccine patent licensing, the cost of procuring vaccines could be too high for some countries</w:t>
      </w:r>
      <w:r>
        <w:t xml:space="preserve">.  As such, in order to stem and curb the global pandemic, it behooves both health and legal experts to follow the development of potential COVID-19 vaccines and assist in proper patenting and licensing processes that may ensure optimal distribution. </w:t>
      </w:r>
    </w:p>
    <w:p w14:paraId="4DABE9BA" w14:textId="77777777" w:rsidR="00516959" w:rsidRDefault="00516959" w:rsidP="00516959">
      <w:r>
        <w:t>Key Takeaways Regarding Vaccine Patents for COVID-19</w:t>
      </w:r>
    </w:p>
    <w:p w14:paraId="5732521F" w14:textId="77777777" w:rsidR="00516959" w:rsidRDefault="00516959" w:rsidP="00516959">
      <w:r>
        <w:t>As the potential for a COVID-19 vaccine appears to be on the horizon, worries about vaccine patents and expensive licenses have health and legal experts voicing concerns because, without proper oversight:</w:t>
      </w:r>
    </w:p>
    <w:p w14:paraId="40854907" w14:textId="77777777" w:rsidR="00516959" w:rsidRDefault="00516959" w:rsidP="00516959">
      <w:r>
        <w:t xml:space="preserve">vaccines may be too expensive to distribute to those who need it; </w:t>
      </w:r>
    </w:p>
    <w:p w14:paraId="544F5C3F" w14:textId="77777777" w:rsidR="00516959" w:rsidRDefault="00516959" w:rsidP="00516959">
      <w:r>
        <w:t>major conflicts may arise between countries that have licenses and those that do not; and</w:t>
      </w:r>
    </w:p>
    <w:p w14:paraId="0392BA67" w14:textId="77777777" w:rsidR="00516959" w:rsidRDefault="00516959" w:rsidP="00516959">
      <w:pPr>
        <w:rPr>
          <w:u w:val="single"/>
        </w:rPr>
      </w:pPr>
      <w:r w:rsidRPr="00245C08">
        <w:rPr>
          <w:u w:val="single"/>
        </w:rPr>
        <w:t xml:space="preserve">patent disputes may </w:t>
      </w:r>
      <w:r w:rsidRPr="00245C08">
        <w:rPr>
          <w:rStyle w:val="Emphasis"/>
        </w:rPr>
        <w:t>cause the vaccine distribution to be tied</w:t>
      </w:r>
      <w:r w:rsidRPr="00245C08">
        <w:rPr>
          <w:u w:val="single"/>
        </w:rPr>
        <w:t xml:space="preserve"> </w:t>
      </w:r>
      <w:r w:rsidRPr="00245C08">
        <w:rPr>
          <w:rStyle w:val="Emphasis"/>
        </w:rPr>
        <w:t>up</w:t>
      </w:r>
      <w:r w:rsidRPr="00245C08">
        <w:rPr>
          <w:u w:val="single"/>
        </w:rPr>
        <w:t xml:space="preserve"> during litigation.</w:t>
      </w:r>
    </w:p>
    <w:p w14:paraId="2F05A8E8" w14:textId="77777777" w:rsidR="00516959" w:rsidRDefault="00516959" w:rsidP="00516959">
      <w:pPr>
        <w:pStyle w:val="Heading3"/>
      </w:pPr>
      <w:r>
        <w:t>2NC – IL – Pharma</w:t>
      </w:r>
    </w:p>
    <w:p w14:paraId="072D9B8F" w14:textId="77777777" w:rsidR="00516959" w:rsidRDefault="00516959" w:rsidP="00516959">
      <w:pPr>
        <w:pStyle w:val="Heading4"/>
        <w:rPr>
          <w:u w:val="single"/>
        </w:rPr>
      </w:pPr>
      <w:r>
        <w:t xml:space="preserve">Pharmaceutical innovation through </w:t>
      </w:r>
      <w:r>
        <w:rPr>
          <w:u w:val="single"/>
        </w:rPr>
        <w:t>protecting patents</w:t>
      </w:r>
      <w:r>
        <w:t xml:space="preserve"> is key to adapt to </w:t>
      </w:r>
      <w:r>
        <w:rPr>
          <w:u w:val="single"/>
        </w:rPr>
        <w:t>emerging threats</w:t>
      </w:r>
      <w:r>
        <w:t xml:space="preserve"> and reduce </w:t>
      </w:r>
      <w:r>
        <w:rPr>
          <w:u w:val="single"/>
        </w:rPr>
        <w:t>human suffering</w:t>
      </w:r>
    </w:p>
    <w:p w14:paraId="7BB5772A" w14:textId="77777777" w:rsidR="00516959" w:rsidRPr="00894046" w:rsidRDefault="00516959" w:rsidP="00516959">
      <w:r w:rsidRPr="005B6ABD">
        <w:rPr>
          <w:rStyle w:val="Style13ptBold"/>
        </w:rPr>
        <w:t>Engelhardt and Garrett 08</w:t>
      </w:r>
      <w:r>
        <w:t xml:space="preserve"> - </w:t>
      </w:r>
      <w:r w:rsidRPr="00894046">
        <w:t>an American philosopher, holding doctorates in both philosophy from the University of Texas at Austin and medicine from Tulane Universit</w:t>
      </w:r>
      <w:r>
        <w:t>y,</w:t>
      </w:r>
      <w:r w:rsidRPr="00894046">
        <w:t xml:space="preserve"> a Research Associate at the Children's Mercy Bioethics Center at Children's Mercy Hospital in Kansas City</w:t>
      </w:r>
      <w:r>
        <w:t>, (H. Tristram Jr., Jeremy R., “</w:t>
      </w:r>
      <w:r w:rsidRPr="00894046">
        <w:t>Innovation and the Pharmaceutical Industry : Critical Reflections on the Virtues of Profit</w:t>
      </w:r>
      <w:r>
        <w:t xml:space="preserve">,” </w:t>
      </w:r>
      <w:r>
        <w:rPr>
          <w:i/>
          <w:iCs/>
        </w:rPr>
        <w:t>ProQuest</w:t>
      </w:r>
      <w:r>
        <w:t xml:space="preserve">, </w:t>
      </w:r>
      <w:r w:rsidRPr="00894046">
        <w:t>2008-06-12</w:t>
      </w:r>
      <w:r>
        <w:t xml:space="preserve">, </w:t>
      </w:r>
      <w:r w:rsidRPr="00894046">
        <w:t>https://www.researchgate.net/publication/248670473_Innovation_and_the_Pharmaceutical_Industry_Critical_Reflections_on_the_Virtues_of_Profit_edited_by_H_Tristram_Engelhardt_and_Jeremy_R_Garrett_Salem_MA_M_M_Scrivener_Press_2008_250_pp_6900</w:t>
      </w:r>
      <w:r>
        <w:t>, Accessed 6-26-20, LASA-AH)</w:t>
      </w:r>
    </w:p>
    <w:p w14:paraId="7BA98BA0" w14:textId="77777777" w:rsidR="00516959" w:rsidRDefault="00516959" w:rsidP="00516959">
      <w:r>
        <w:t xml:space="preserve">5 . </w:t>
      </w:r>
      <w:r w:rsidRPr="00894046">
        <w:rPr>
          <w:u w:val="single"/>
        </w:rPr>
        <w:t>A decision to limit patent protection for expensive drugs in the developing world is tantamount to a choice (insofar as profit attracts investment,</w:t>
      </w:r>
      <w:r>
        <w:rPr>
          <w:u w:val="single"/>
        </w:rPr>
        <w:t xml:space="preserve"> </w:t>
      </w:r>
      <w:r>
        <w:t xml:space="preserve">and investment supports innovation) to help current patients in the developing world at a cost to patients </w:t>
      </w:r>
      <w:r w:rsidRPr="00894046">
        <w:rPr>
          <w:u w:val="single"/>
        </w:rPr>
        <w:t>in the developing world in the</w:t>
      </w:r>
      <w:r>
        <w:rPr>
          <w:u w:val="single"/>
        </w:rPr>
        <w:t xml:space="preserve"> </w:t>
      </w:r>
      <w:r w:rsidRPr="00894046">
        <w:rPr>
          <w:u w:val="single"/>
        </w:rPr>
        <w:t xml:space="preserve">f u t u re who </w:t>
      </w:r>
      <w:r w:rsidRPr="00894046">
        <w:rPr>
          <w:rStyle w:val="Emphasis"/>
        </w:rPr>
        <w:t>will not have better drugs</w:t>
      </w:r>
      <w:r w:rsidRPr="00894046">
        <w:rPr>
          <w:u w:val="single"/>
        </w:rPr>
        <w:t>, since investment will tend to shift</w:t>
      </w:r>
      <w:r>
        <w:rPr>
          <w:u w:val="single"/>
        </w:rPr>
        <w:t xml:space="preserve"> </w:t>
      </w:r>
      <w:r w:rsidRPr="00894046">
        <w:rPr>
          <w:u w:val="single"/>
        </w:rPr>
        <w:t>instead to addressing the ills of the developed world and thus to benefiting patients in the future in jurisdictions where patent protection is</w:t>
      </w:r>
      <w:r>
        <w:rPr>
          <w:u w:val="single"/>
        </w:rPr>
        <w:t xml:space="preserve"> </w:t>
      </w:r>
      <w:r>
        <w:t>b e t t e r. All else being equal, choices to limit profits through abolishing patent protection will benefit future patients in those countries that do p rotect patent rights.</w:t>
      </w:r>
    </w:p>
    <w:p w14:paraId="325E859E" w14:textId="77777777" w:rsidR="00516959" w:rsidRDefault="00516959" w:rsidP="00516959">
      <w:r>
        <w:t>6 . The unavailability of cheaply priced pharmaceuticals and medical devices is not to be ascribed primarily to the companies producing them, but to governments that do not tax to provide funds to purchase those pharmaceuticals and medical devices at their market price so as to distribute them at a discount (i.e., absorbing the costs of the discount), as well as to the failure of individuals out of charity to contribute funds t o w a rds such goals.</w:t>
      </w:r>
    </w:p>
    <w:p w14:paraId="6F38C80D" w14:textId="77777777" w:rsidR="00516959" w:rsidRDefault="00516959" w:rsidP="00516959">
      <w:r>
        <w:t>7 . The choice not to interfere with higher prices for pharmaceuticals and medical devices in the United States re p resents a choice to advantage patients in the United States and indeed throughout the world in the f u t u re by supporting further innovation.</w:t>
      </w:r>
    </w:p>
    <w:p w14:paraId="705F89C4" w14:textId="77777777" w:rsidR="00516959" w:rsidRDefault="00516959" w:rsidP="00516959">
      <w:r>
        <w:t>8 . In summary, insofar as profit and financial re w a rd through market mechanisms contribute in an important degree to innovation, and insofar as such innovation is necessary to improving the human condition, and insofar as the pursuit of such improvement is, all things being equal, a moral obligation, then limiting financial re w a rd for the pharmaceutical and medical-device industries through (a) lowering the prices of drugs and medical devices, (b) limiting patent protection, or (c) providing large and/or ill-justified awards to injured patients is w rong.</w:t>
      </w:r>
    </w:p>
    <w:p w14:paraId="1C35058A" w14:textId="77777777" w:rsidR="00516959" w:rsidRPr="00894046" w:rsidRDefault="00516959" w:rsidP="00516959">
      <w:pPr>
        <w:rPr>
          <w:rStyle w:val="Emphasis"/>
        </w:rPr>
      </w:pPr>
      <w:r>
        <w:t xml:space="preserve">These points display the </w:t>
      </w:r>
      <w:r w:rsidRPr="00894046">
        <w:rPr>
          <w:u w:val="single"/>
        </w:rPr>
        <w:t>intractable bond among profit, innovation,</w:t>
      </w:r>
      <w:r>
        <w:rPr>
          <w:u w:val="single"/>
        </w:rPr>
        <w:t xml:space="preserve"> </w:t>
      </w:r>
      <w:r w:rsidRPr="00894046">
        <w:rPr>
          <w:u w:val="single"/>
        </w:rPr>
        <w:t>and a philanthropic commitment to aid humans in need</w:t>
      </w:r>
      <w:r>
        <w:t xml:space="preserve">. </w:t>
      </w:r>
      <w:r w:rsidRPr="00894046">
        <w:rPr>
          <w:u w:val="single"/>
        </w:rPr>
        <w:t>The pro f i t</w:t>
      </w:r>
      <w:r>
        <w:rPr>
          <w:u w:val="single"/>
        </w:rPr>
        <w:t xml:space="preserve"> </w:t>
      </w:r>
      <w:r w:rsidRPr="00894046">
        <w:rPr>
          <w:u w:val="single"/>
        </w:rPr>
        <w:t>motive</w:t>
      </w:r>
      <w:r>
        <w:t xml:space="preserve"> in the market, insofar as it is positively </w:t>
      </w:r>
      <w:r w:rsidRPr="00894046">
        <w:rPr>
          <w:u w:val="single"/>
        </w:rPr>
        <w:t>associated with the possibility of lowering morbidi</w:t>
      </w:r>
      <w:r>
        <w:t xml:space="preserve">ty and mortality risks </w:t>
      </w:r>
      <w:r w:rsidRPr="00894046">
        <w:rPr>
          <w:u w:val="single"/>
        </w:rPr>
        <w:t xml:space="preserve">should be seen as integral to the project of </w:t>
      </w:r>
      <w:r w:rsidRPr="00894046">
        <w:rPr>
          <w:rStyle w:val="Emphasis"/>
        </w:rPr>
        <w:t>bettering the human condition.</w:t>
      </w:r>
      <w:r>
        <w:rPr>
          <w:rStyle w:val="Emphasis"/>
        </w:rPr>
        <w:t xml:space="preserve"> </w:t>
      </w:r>
      <w:r>
        <w:t xml:space="preserve">This state of affairs does not foreclose pursuing goals other than </w:t>
      </w:r>
      <w:r w:rsidRPr="00894046">
        <w:rPr>
          <w:u w:val="single"/>
        </w:rPr>
        <w:t>the</w:t>
      </w:r>
      <w:r>
        <w:rPr>
          <w:u w:val="single"/>
        </w:rPr>
        <w:t xml:space="preserve"> </w:t>
      </w:r>
      <w:r w:rsidRPr="00894046">
        <w:rPr>
          <w:u w:val="single"/>
        </w:rPr>
        <w:t>development of innovative pharmaceuticals and medical devices</w:t>
      </w:r>
      <w:r>
        <w:t xml:space="preserve">. Some may in fact value aiding patients in the present more than aiding patients in the future. Others may value the pursuit of equality over d e c reasing human suffering, that is, over decreasing morbidity and mortality risks. </w:t>
      </w:r>
      <w:r w:rsidRPr="00894046">
        <w:rPr>
          <w:u w:val="single"/>
        </w:rPr>
        <w:t>They may support making all worse off in material</w:t>
      </w:r>
      <w:r>
        <w:rPr>
          <w:u w:val="single"/>
        </w:rPr>
        <w:t xml:space="preserve"> </w:t>
      </w:r>
      <w:r w:rsidRPr="00894046">
        <w:rPr>
          <w:u w:val="single"/>
        </w:rPr>
        <w:t>wealth and in protection against morbidity and mortality risks, as long</w:t>
      </w:r>
      <w:r>
        <w:rPr>
          <w:u w:val="single"/>
        </w:rPr>
        <w:t xml:space="preserve"> </w:t>
      </w:r>
      <w:r w:rsidRPr="00894046">
        <w:rPr>
          <w:u w:val="single"/>
        </w:rPr>
        <w:t>as people are made more equal.</w:t>
      </w:r>
      <w:r>
        <w:t xml:space="preserve"> Such views are unlikely, however, to be the settled, informed view of most people, given the disinclination of most to early death and greater suffering, and </w:t>
      </w:r>
      <w:r w:rsidRPr="00894046">
        <w:rPr>
          <w:u w:val="single"/>
        </w:rPr>
        <w:t xml:space="preserve">given the </w:t>
      </w:r>
      <w:r w:rsidRPr="00894046">
        <w:rPr>
          <w:rStyle w:val="Emphasis"/>
        </w:rPr>
        <w:t>threats posed to</w:t>
      </w:r>
      <w:r>
        <w:rPr>
          <w:rStyle w:val="Emphasis"/>
        </w:rPr>
        <w:t xml:space="preserve"> </w:t>
      </w:r>
      <w:r w:rsidRPr="00894046">
        <w:rPr>
          <w:rStyle w:val="Emphasis"/>
        </w:rPr>
        <w:t xml:space="preserve">human well-being </w:t>
      </w:r>
      <w:r w:rsidRPr="00894046">
        <w:rPr>
          <w:u w:val="single"/>
        </w:rPr>
        <w:t xml:space="preserve">in the </w:t>
      </w:r>
      <w:r w:rsidRPr="00894046">
        <w:rPr>
          <w:rStyle w:val="Emphasis"/>
        </w:rPr>
        <w:t>absence of continued innovation</w:t>
      </w:r>
      <w:r w:rsidRPr="00894046">
        <w:rPr>
          <w:u w:val="single"/>
        </w:rPr>
        <w:t xml:space="preserve"> in pharmaceuticals and medical devices</w:t>
      </w:r>
      <w:r>
        <w:t xml:space="preserve">. That is, the inclination against the pursuit of profit generated by various forms of jealousy is </w:t>
      </w:r>
      <w:r w:rsidRPr="00894046">
        <w:rPr>
          <w:u w:val="single"/>
        </w:rPr>
        <w:t xml:space="preserve">likely to be counterbalanced </w:t>
      </w:r>
      <w:r w:rsidRPr="00894046">
        <w:rPr>
          <w:rStyle w:val="Emphasis"/>
        </w:rPr>
        <w:t>by a fear of suffering and death.</w:t>
      </w:r>
    </w:p>
    <w:p w14:paraId="392230D0" w14:textId="77777777" w:rsidR="00516959" w:rsidRDefault="00516959" w:rsidP="00516959">
      <w:pPr>
        <w:rPr>
          <w:u w:val="single"/>
        </w:rPr>
      </w:pPr>
      <w:r>
        <w:t xml:space="preserve">A better appreciation of the </w:t>
      </w:r>
      <w:r w:rsidRPr="00894046">
        <w:rPr>
          <w:u w:val="single"/>
        </w:rPr>
        <w:t>contributions made by the pharmaceutical and medical-device industries</w:t>
      </w:r>
      <w:r>
        <w:t xml:space="preserve"> is likely to be </w:t>
      </w:r>
      <w:r w:rsidRPr="00894046">
        <w:rPr>
          <w:u w:val="single"/>
        </w:rPr>
        <w:t>gained through</w:t>
      </w:r>
      <w:r>
        <w:t xml:space="preserve"> better </w:t>
      </w:r>
      <w:r w:rsidRPr="00894046">
        <w:rPr>
          <w:u w:val="single"/>
        </w:rPr>
        <w:t xml:space="preserve">knowledge of the dependence of humans on </w:t>
      </w:r>
      <w:r w:rsidRPr="00894046">
        <w:rPr>
          <w:rStyle w:val="Emphasis"/>
        </w:rPr>
        <w:t>pharmaceutical innovation</w:t>
      </w:r>
      <w:r>
        <w:rPr>
          <w:u w:val="single"/>
        </w:rPr>
        <w:t xml:space="preserve"> </w:t>
      </w:r>
      <w:r w:rsidRPr="00894046">
        <w:rPr>
          <w:u w:val="single"/>
        </w:rPr>
        <w:t>for their very existenc</w:t>
      </w:r>
      <w:r>
        <w:t xml:space="preserve">e. In order </w:t>
      </w:r>
      <w:r w:rsidRPr="00894046">
        <w:rPr>
          <w:u w:val="single"/>
        </w:rPr>
        <w:t>to maintain the status quo of</w:t>
      </w:r>
      <w:r>
        <w:t xml:space="preserve"> curre n t </w:t>
      </w:r>
      <w:r w:rsidRPr="00894046">
        <w:rPr>
          <w:u w:val="single"/>
        </w:rPr>
        <w:t>morbidity and mortality risks</w:t>
      </w:r>
      <w:r>
        <w:t xml:space="preserve">, </w:t>
      </w:r>
      <w:r w:rsidRPr="00894046">
        <w:rPr>
          <w:u w:val="single"/>
        </w:rPr>
        <w:t xml:space="preserve">one needs ever new ways of </w:t>
      </w:r>
      <w:r w:rsidRPr="00894046">
        <w:rPr>
          <w:rStyle w:val="Emphasis"/>
        </w:rPr>
        <w:t>controlling</w:t>
      </w:r>
      <w:r>
        <w:rPr>
          <w:rStyle w:val="Emphasis"/>
        </w:rPr>
        <w:t xml:space="preserve"> </w:t>
      </w:r>
      <w:r w:rsidRPr="00894046">
        <w:rPr>
          <w:rStyle w:val="Emphasis"/>
        </w:rPr>
        <w:t>threatening microbial agents</w:t>
      </w:r>
      <w:r w:rsidRPr="00894046">
        <w:rPr>
          <w:u w:val="single"/>
        </w:rPr>
        <w:t>.</w:t>
      </w:r>
      <w:r>
        <w:t xml:space="preserve"> This is the case because ever </w:t>
      </w:r>
      <w:r w:rsidRPr="00894046">
        <w:rPr>
          <w:u w:val="single"/>
        </w:rPr>
        <w:t>new risks are</w:t>
      </w:r>
      <w:r>
        <w:rPr>
          <w:u w:val="single"/>
        </w:rPr>
        <w:t xml:space="preserve"> </w:t>
      </w:r>
      <w:r w:rsidRPr="00894046">
        <w:rPr>
          <w:u w:val="single"/>
        </w:rPr>
        <w:t xml:space="preserve">always emerging to </w:t>
      </w:r>
      <w:r w:rsidRPr="00894046">
        <w:rPr>
          <w:rStyle w:val="Emphasis"/>
        </w:rPr>
        <w:t>threaten the survival of humans</w:t>
      </w:r>
      <w:r w:rsidRPr="00894046">
        <w:rPr>
          <w:u w:val="single"/>
        </w:rPr>
        <w:t>, as through microbial antibiotic resistance and the threat of new pathogens</w:t>
      </w:r>
      <w:r>
        <w:t xml:space="preserve"> (e.g., human immunodeficiency virus and avian flu). The history of mankind until recently has been the history ofre c u r rent devastating plagues with especially dramatic adverse impacts on urban populations. </w:t>
      </w:r>
      <w:r w:rsidRPr="00894046">
        <w:rPr>
          <w:u w:val="single"/>
        </w:rPr>
        <w:t>Pharmaceutical</w:t>
      </w:r>
      <w:r>
        <w:rPr>
          <w:u w:val="single"/>
        </w:rPr>
        <w:t xml:space="preserve"> </w:t>
      </w:r>
      <w:r w:rsidRPr="00894046">
        <w:rPr>
          <w:u w:val="single"/>
        </w:rPr>
        <w:t>advance is necessary to protect against what have up until recently been</w:t>
      </w:r>
      <w:r>
        <w:rPr>
          <w:u w:val="single"/>
        </w:rPr>
        <w:t xml:space="preserve"> </w:t>
      </w:r>
      <w:r w:rsidRPr="00894046">
        <w:rPr>
          <w:u w:val="single"/>
        </w:rPr>
        <w:t>natural, predictable occurrences</w:t>
      </w:r>
      <w:r>
        <w:t xml:space="preserve">. There is also a wide spectrum of s o u rces of human morbidity and mortality, ranging from cancer to A l z h e i m e r’s, that is likely to be ameliorated over time through medicaltechnological developments. How long it will take to achieve those developments will depend on the re s o u rces and energies invested. </w:t>
      </w:r>
      <w:r w:rsidRPr="00894046">
        <w:rPr>
          <w:u w:val="single"/>
        </w:rPr>
        <w:t>The</w:t>
      </w:r>
      <w:r>
        <w:rPr>
          <w:u w:val="single"/>
        </w:rPr>
        <w:t xml:space="preserve"> </w:t>
      </w:r>
      <w:r w:rsidRPr="00894046">
        <w:rPr>
          <w:u w:val="single"/>
        </w:rPr>
        <w:t>pharmaceutical and medical-device industries, supported and driven by</w:t>
      </w:r>
      <w:r>
        <w:rPr>
          <w:u w:val="single"/>
        </w:rPr>
        <w:t xml:space="preserve"> </w:t>
      </w:r>
      <w:r w:rsidRPr="00894046">
        <w:rPr>
          <w:u w:val="single"/>
        </w:rPr>
        <w:t xml:space="preserve">the profit motive, are core to the project of </w:t>
      </w:r>
      <w:r w:rsidRPr="00894046">
        <w:rPr>
          <w:rStyle w:val="Emphasis"/>
        </w:rPr>
        <w:t>decreasing human suffering</w:t>
      </w:r>
      <w:r w:rsidRPr="00805A42">
        <w:rPr>
          <w:rStyle w:val="StyleUnderline"/>
        </w:rPr>
        <w:t xml:space="preserve"> </w:t>
      </w:r>
      <w:r w:rsidRPr="00894046">
        <w:rPr>
          <w:u w:val="single"/>
        </w:rPr>
        <w:t>and premature death</w:t>
      </w:r>
      <w:r>
        <w:rPr>
          <w:u w:val="single"/>
        </w:rPr>
        <w:t>.</w:t>
      </w:r>
    </w:p>
    <w:p w14:paraId="6FB75F72" w14:textId="77777777" w:rsidR="00516959" w:rsidRPr="00417BAB" w:rsidRDefault="00516959" w:rsidP="00516959">
      <w:pPr>
        <w:pStyle w:val="Heading4"/>
      </w:pPr>
      <w:r>
        <w:t xml:space="preserve">Patents supply </w:t>
      </w:r>
      <w:r>
        <w:rPr>
          <w:u w:val="single"/>
        </w:rPr>
        <w:t>innovation</w:t>
      </w:r>
      <w:r>
        <w:t>.</w:t>
      </w:r>
    </w:p>
    <w:p w14:paraId="68D587FB" w14:textId="77777777" w:rsidR="00516959" w:rsidRPr="00351CA5" w:rsidRDefault="00516959" w:rsidP="00516959">
      <w:r w:rsidRPr="00351CA5">
        <w:rPr>
          <w:b/>
          <w:bCs/>
          <w:sz w:val="26"/>
          <w:szCs w:val="26"/>
        </w:rPr>
        <w:t>Michel and Battalgia 20</w:t>
      </w:r>
      <w:r>
        <w:t xml:space="preserve"> – Chief Judge Michel </w:t>
      </w:r>
      <w:r w:rsidRPr="003C2F11">
        <w:t>appointed to the United States Court of Appeals for the Federal Circuit in March of 1988 by President Ronald Reagan</w:t>
      </w:r>
      <w:r>
        <w:t xml:space="preserve">, </w:t>
      </w:r>
      <w:r w:rsidRPr="00351CA5">
        <w:t>an accomplished first-chair trial lawyer, appellate lawyer, and former US Justice Department lawyer who has successfully tried to verdict a broad array of civil and criminal cases</w:t>
      </w:r>
      <w:r>
        <w:t>, (Paul and John, “</w:t>
      </w:r>
      <w:r w:rsidRPr="00351CA5">
        <w:t>Pandemics and the Need for U.S. Patent Laws That ‘Promote … Progress’ and Invention: The Federal Circuit, En Banc, Can Fix This</w:t>
      </w:r>
      <w:r>
        <w:t xml:space="preserve">,” </w:t>
      </w:r>
      <w:r>
        <w:rPr>
          <w:i/>
          <w:iCs/>
        </w:rPr>
        <w:t>IP Watchdog</w:t>
      </w:r>
      <w:r>
        <w:t xml:space="preserve">, 4-12-20, </w:t>
      </w:r>
      <w:hyperlink r:id="rId340" w:history="1">
        <w:r w:rsidRPr="00DC67D3">
          <w:rPr>
            <w:rStyle w:val="Hyperlink"/>
          </w:rPr>
          <w:t>https://www.ipwatchdog.com/2020/04/12/pandemics-need-us-patent-laws-promote-progress-invention-federal-circuit-en-banc-can-fix/id=120575/</w:t>
        </w:r>
      </w:hyperlink>
      <w:r>
        <w:t>, Accessed 7-4-20, LASA-AH)</w:t>
      </w:r>
    </w:p>
    <w:p w14:paraId="62CE93DB" w14:textId="77777777" w:rsidR="00516959" w:rsidRDefault="00516959" w:rsidP="00516959">
      <w:r>
        <w:t xml:space="preserve">Needless to say, </w:t>
      </w:r>
      <w:r w:rsidRPr="00351CA5">
        <w:rPr>
          <w:u w:val="single"/>
        </w:rPr>
        <w:t>no one involved in U.S. patent law or policy wants the pandemic or its multi-faceted consequences</w:t>
      </w:r>
      <w:r>
        <w:t xml:space="preserve">. </w:t>
      </w:r>
      <w:r w:rsidRPr="00351CA5">
        <w:rPr>
          <w:u w:val="single"/>
        </w:rPr>
        <w:t>Nor would a contrary ruling in Athena, supra, have meant that an innovator would have had at the ready the desired diagnostic testing for coronaviru</w:t>
      </w:r>
      <w:r>
        <w:t>s. Nor a ready-made or known treatment, cure or vaccine. That said, the famous Burkean wisdom of course applies here. To paraphrase, “evil” or horrendous things can prevail if good people stand by and do nothing—and allowing bad precedents to go uncorrected has consequences.</w:t>
      </w:r>
    </w:p>
    <w:p w14:paraId="2A0B1313" w14:textId="77777777" w:rsidR="00516959" w:rsidRDefault="00516959" w:rsidP="00516959">
      <w:r>
        <w:t xml:space="preserve">Unfortunately, </w:t>
      </w:r>
      <w:r w:rsidRPr="00351CA5">
        <w:rPr>
          <w:u w:val="single"/>
        </w:rPr>
        <w:t xml:space="preserve">we are seeing those consequences play out with U.S. </w:t>
      </w:r>
      <w:r w:rsidRPr="00351CA5">
        <w:rPr>
          <w:rStyle w:val="Emphasis"/>
        </w:rPr>
        <w:t>patent law in real time</w:t>
      </w:r>
      <w:r>
        <w:t xml:space="preserve">. For nearly 15 years, </w:t>
      </w:r>
      <w:r w:rsidRPr="00351CA5">
        <w:rPr>
          <w:u w:val="single"/>
        </w:rPr>
        <w:t>the Supreme Court’s IP opinions that have had the effect of de-valuing U.S. patent rights, making it</w:t>
      </w:r>
      <w:r>
        <w:t xml:space="preserve"> increasingly </w:t>
      </w:r>
      <w:r w:rsidRPr="00351CA5">
        <w:rPr>
          <w:u w:val="single"/>
        </w:rPr>
        <w:t>difficult</w:t>
      </w:r>
      <w:r>
        <w:t xml:space="preserve"> (for example) </w:t>
      </w:r>
      <w:r w:rsidRPr="00351CA5">
        <w:rPr>
          <w:u w:val="single"/>
        </w:rPr>
        <w:t>for U.S. intellectual-property owners to obtain injunctive relief against those who infringe,</w:t>
      </w:r>
      <w:r>
        <w:t xml:space="preserve"> trespass on, </w:t>
      </w:r>
      <w:r w:rsidRPr="00351CA5">
        <w:rPr>
          <w:u w:val="single"/>
        </w:rPr>
        <w:t>or</w:t>
      </w:r>
      <w:r>
        <w:t xml:space="preserve"> otherwise </w:t>
      </w:r>
      <w:r w:rsidRPr="00351CA5">
        <w:rPr>
          <w:u w:val="single"/>
        </w:rPr>
        <w:t xml:space="preserve">steal their patented ideas and property rights. </w:t>
      </w:r>
      <w:r>
        <w:t>See, e.g., eBay Inc. v. MercExchange, LLC, 547 U.S. 388, 391 (2006). (By contrast, the patent laws of China have made such injunctive relief available as a matter of course, with some reporting that prevailing patentees there obtain injunctions for nearly 90% of all requests.) And through the years, whether by Supreme Court precedent or other law-making</w:t>
      </w:r>
      <w:r w:rsidRPr="00351CA5">
        <w:rPr>
          <w:u w:val="single"/>
        </w:rPr>
        <w:t xml:space="preserve">, it has become </w:t>
      </w:r>
      <w:r w:rsidRPr="00351CA5">
        <w:rPr>
          <w:rStyle w:val="Emphasis"/>
        </w:rPr>
        <w:t>increasingly easy to</w:t>
      </w:r>
      <w:r w:rsidRPr="00351CA5">
        <w:rPr>
          <w:u w:val="single"/>
        </w:rPr>
        <w:t xml:space="preserve"> invalidate U.S. patents</w:t>
      </w:r>
      <w:r>
        <w:t xml:space="preserve">, see, e.g., KSR Int’l Co. v. Teleflex, Inc., 550 US 398, 415 (2007), and to render the subject matter of a patent ineligible for protection under §101. (We do not tackle here the separate pitfalls created by the 2011 America Invents Act.) </w:t>
      </w:r>
      <w:r w:rsidRPr="00351CA5">
        <w:rPr>
          <w:u w:val="single"/>
        </w:rPr>
        <w:t>This includes ineligibility not just for diagnostic testing, but for software, business methods, and quite possibly anything else in a patent claim that can be subjectively deemed</w:t>
      </w:r>
      <w:r>
        <w:t xml:space="preserve"> “directed to” </w:t>
      </w:r>
      <w:r w:rsidRPr="00351CA5">
        <w:rPr>
          <w:u w:val="single"/>
        </w:rPr>
        <w:t>an “abstract idea, law of nature, or natural phenomena</w:t>
      </w:r>
      <w:r>
        <w:t>”; and doesn’t reflect an “inventive concept,” per the Supreme Court’s Mayo-Alice “framework” for Section101.</w:t>
      </w:r>
    </w:p>
    <w:p w14:paraId="05E78391" w14:textId="77777777" w:rsidR="00516959" w:rsidRDefault="00516959" w:rsidP="00516959">
      <w:r>
        <w:t xml:space="preserve">To be sure, this is not an article focused on Supreme Court Section101 precedent and the harms to innovation that it has wrought, though that has certainly played a major or even primary role in the harm to U.S. innovation. (And indeed, the proper analysis of that Section 101 precedent is a subject that warrants separate, in-depth treatment.) The larger point here is that, </w:t>
      </w:r>
      <w:r w:rsidRPr="00351CA5">
        <w:rPr>
          <w:u w:val="single"/>
        </w:rPr>
        <w:t>given the expanding uncertainty with the case law on U.S. patents—</w:t>
      </w:r>
      <w:r>
        <w:t>and whether, for example, they’ll protect the subject matter of a million- (or even billion-) dollar investment—</w:t>
      </w:r>
      <w:r w:rsidRPr="00351CA5">
        <w:rPr>
          <w:rStyle w:val="Emphasis"/>
        </w:rPr>
        <w:t>U.S. investment in R&amp;D has dropped</w:t>
      </w:r>
      <w:r w:rsidRPr="00351CA5">
        <w:rPr>
          <w:u w:val="single"/>
        </w:rPr>
        <w:t>.</w:t>
      </w:r>
      <w:r>
        <w:t xml:space="preserve"> And perhaps most notably</w:t>
      </w:r>
      <w:r w:rsidRPr="00351CA5">
        <w:rPr>
          <w:u w:val="single"/>
        </w:rPr>
        <w:t>, it has dropped among innovative bio-pharmaceutical companies</w:t>
      </w:r>
      <w:r>
        <w:t xml:space="preserve">. See, e.g., </w:t>
      </w:r>
      <w:r w:rsidRPr="00351CA5">
        <w:rPr>
          <w:u w:val="single"/>
        </w:rPr>
        <w:t>Unpredictability in Patent Law and Its Effect on Pharmaceutical Innovation,</w:t>
      </w:r>
      <w:r>
        <w:t xml:space="preserve"> by Christopher M. Holman, 76 Mo. L. Rev. 645, 663-64 (summer 2015) (“In recent years, </w:t>
      </w:r>
      <w:r w:rsidRPr="00351CA5">
        <w:rPr>
          <w:u w:val="single"/>
        </w:rPr>
        <w:t>major innovative pharmaceutical companies have experienced two pronounced and significant trends: a decreasing output of innovative new drugs and cutbacks in research and development (R&amp;D) investment”</w:t>
      </w:r>
      <w:r>
        <w:t xml:space="preserve">). And </w:t>
      </w:r>
      <w:r w:rsidRPr="00351CA5">
        <w:rPr>
          <w:u w:val="single"/>
        </w:rPr>
        <w:t>innovation</w:t>
      </w:r>
      <w:r>
        <w:t>—</w:t>
      </w:r>
      <w:r w:rsidRPr="00351CA5">
        <w:rPr>
          <w:u w:val="single"/>
        </w:rPr>
        <w:t>the lifeblood of the American economy—</w:t>
      </w:r>
      <w:r w:rsidRPr="00351CA5">
        <w:rPr>
          <w:rStyle w:val="Emphasis"/>
        </w:rPr>
        <w:t xml:space="preserve">has dropped with </w:t>
      </w:r>
      <w:r w:rsidRPr="00351CA5">
        <w:rPr>
          <w:u w:val="single"/>
        </w:rPr>
        <w:t>it.</w:t>
      </w:r>
      <w:r>
        <w:t xml:space="preserve"> See, e.g., id. (explaining that the “</w:t>
      </w:r>
      <w:r w:rsidRPr="00351CA5">
        <w:rPr>
          <w:u w:val="single"/>
        </w:rPr>
        <w:t>high level of unpredictability</w:t>
      </w:r>
      <w:r>
        <w:t xml:space="preserve"> in today’s patent law </w:t>
      </w:r>
      <w:r w:rsidRPr="00351CA5">
        <w:rPr>
          <w:u w:val="single"/>
        </w:rPr>
        <w:t xml:space="preserve">is a </w:t>
      </w:r>
      <w:r w:rsidRPr="00351CA5">
        <w:rPr>
          <w:rStyle w:val="Emphasis"/>
        </w:rPr>
        <w:t>significant impediment</w:t>
      </w:r>
      <w:r w:rsidRPr="00351CA5">
        <w:rPr>
          <w:u w:val="single"/>
        </w:rPr>
        <w:t xml:space="preserve"> to the development of new medicines</w:t>
      </w:r>
      <w:r>
        <w:t>” and cause of the “R&amp;D crisis”); Bloomberg Innovation Index (2018); The U.S. Drops out of the Top 10 in Innovation Ranking, Bloomberg News (Jan. 22, 2018), by Michelle Jamrisko &amp; Wei Lu, available at (visited March 28, 2020).</w:t>
      </w:r>
    </w:p>
    <w:p w14:paraId="1DAF05FA" w14:textId="77777777" w:rsidR="00516959" w:rsidRPr="00417BAB" w:rsidRDefault="00516959" w:rsidP="00516959">
      <w:pPr>
        <w:pStyle w:val="Heading4"/>
      </w:pPr>
      <w:r>
        <w:t xml:space="preserve">Unpredictability wrecks </w:t>
      </w:r>
      <w:r>
        <w:rPr>
          <w:u w:val="single"/>
        </w:rPr>
        <w:t>investment</w:t>
      </w:r>
      <w:r>
        <w:t>.</w:t>
      </w:r>
    </w:p>
    <w:p w14:paraId="5E85196A" w14:textId="77777777" w:rsidR="00516959" w:rsidRPr="003302D6" w:rsidRDefault="00516959" w:rsidP="00516959">
      <w:r w:rsidRPr="003302D6">
        <w:rPr>
          <w:b/>
          <w:bCs/>
          <w:sz w:val="26"/>
          <w:szCs w:val="26"/>
        </w:rPr>
        <w:t>Holman 11</w:t>
      </w:r>
      <w:r>
        <w:t xml:space="preserve"> - </w:t>
      </w:r>
      <w:r w:rsidRPr="003302D6">
        <w:t>University of Missouri - Kansas City School of Law</w:t>
      </w:r>
      <w:r>
        <w:t>, (Christopher M., “</w:t>
      </w:r>
      <w:r w:rsidRPr="003302D6">
        <w:t>Unpredictability in patent law and its effect on pharmaceutical innovation</w:t>
      </w:r>
      <w:r>
        <w:t xml:space="preserve">,” </w:t>
      </w:r>
      <w:r w:rsidRPr="003302D6">
        <w:t>Missouri Law Review(Vol. 76, Issue 3)</w:t>
      </w:r>
      <w:r>
        <w:t xml:space="preserve">, Summer 2011, </w:t>
      </w:r>
      <w:hyperlink r:id="rId341" w:history="1">
        <w:r w:rsidRPr="00DC67D3">
          <w:rPr>
            <w:rStyle w:val="Hyperlink"/>
          </w:rPr>
          <w:t>https://www.researchgate.net/publication/265179404_Unpredictability_in_Patent_Law_and_Its_Effect_on_Pharmaceutical_Innovation</w:t>
        </w:r>
      </w:hyperlink>
      <w:r>
        <w:t>, Accessed 7-4-20, LASA-AH)</w:t>
      </w:r>
    </w:p>
    <w:p w14:paraId="332CF04B" w14:textId="77777777" w:rsidR="00516959" w:rsidRPr="00344C08" w:rsidRDefault="00516959" w:rsidP="00516959">
      <w:pPr>
        <w:rPr>
          <w:u w:val="single"/>
        </w:rPr>
      </w:pPr>
      <w:r w:rsidRPr="00344C08">
        <w:t xml:space="preserve">Policymakers could gain insight into the problem of decreasing pharmaceutical innovation by consulting with Robert Armitage, longtime Senior Vice President and General Counsel for Lilly. Were they to do so, Mr. Armitage likely would point to an </w:t>
      </w:r>
      <w:r w:rsidRPr="00344C08">
        <w:rPr>
          <w:u w:val="single"/>
        </w:rPr>
        <w:t xml:space="preserve">unacceptably high level of uncertainty and unpredictability in the U.S. patent system as a </w:t>
      </w:r>
      <w:r w:rsidRPr="00344C08">
        <w:rPr>
          <w:rStyle w:val="Emphasis"/>
        </w:rPr>
        <w:t>major disincentive for the investment</w:t>
      </w:r>
      <w:r w:rsidRPr="00344C08">
        <w:rPr>
          <w:u w:val="single"/>
        </w:rPr>
        <w:t xml:space="preserve"> necessary to bring innovative new drug products to market.</w:t>
      </w:r>
    </w:p>
    <w:p w14:paraId="5E0B3F97" w14:textId="77777777" w:rsidR="00516959" w:rsidRPr="00344C08" w:rsidRDefault="00516959" w:rsidP="00516959">
      <w:r w:rsidRPr="00344C08">
        <w:t>Unfortunately, neither President Obama nor Director Collins was in attendance at a conference held at the University of Illinois on September 22, 2010, commemorating the thirtieth anniversary of Diamond v. Chakrabarty. (18) If they had been, they would have witnessed Mr. Armitage's presentation, entitled: "The Role of Patents in Ensuring Innovation: A View from Industry." (19) The Lilly vice president opened his talk with a PowerPoint slide dominated by this bullet point: "</w:t>
      </w:r>
      <w:r w:rsidRPr="00344C08">
        <w:rPr>
          <w:u w:val="single"/>
        </w:rPr>
        <w:t>Uncertain, unpredictable patent enforceability will destroy the ability to make the high-risk investments to create new medicines</w:t>
      </w:r>
      <w:r w:rsidRPr="00344C08">
        <w:t xml:space="preserve">." (20) He explained how, </w:t>
      </w:r>
      <w:r w:rsidRPr="00344C08">
        <w:rPr>
          <w:u w:val="single"/>
        </w:rPr>
        <w:t>from the perspective of an innovative pharmaceutical company, the current state of the U.S. patent system had rendered it extremely difficult for companies and their investors to predict with an adequate degree of confidence whether they will be able to successfully enforce their patents to maintain a sufficient period of protection from generic competition</w:t>
      </w:r>
      <w:r w:rsidRPr="00344C08">
        <w:t>. (21) He substantiated this point with a couple of recent examples in which key Lilly patents were invalidated unexpectedly in patent challenges launched by generic competitors. (22) While there are clearly a number of factors contributing to the decrease in investment and innovation, we should take seriously concerns voiced by those within the industry since we as a society rely upon this industry to generate continuing advances in medicine and healthcare.</w:t>
      </w:r>
    </w:p>
    <w:p w14:paraId="70937598" w14:textId="77777777" w:rsidR="00516959" w:rsidRPr="00344C08" w:rsidRDefault="00516959" w:rsidP="00516959">
      <w:r w:rsidRPr="00344C08">
        <w:rPr>
          <w:u w:val="single"/>
        </w:rPr>
        <w:t>Taking a promising drug candidate through development</w:t>
      </w:r>
      <w:r w:rsidRPr="00344C08">
        <w:t xml:space="preserve">, clinical trials, and onto the market </w:t>
      </w:r>
      <w:r w:rsidRPr="00344C08">
        <w:rPr>
          <w:u w:val="single"/>
        </w:rPr>
        <w:t xml:space="preserve">is a notoriously </w:t>
      </w:r>
      <w:r w:rsidRPr="00344C08">
        <w:rPr>
          <w:rStyle w:val="Emphasis"/>
        </w:rPr>
        <w:t>expensive and high risk gamble</w:t>
      </w:r>
      <w:r w:rsidRPr="00344C08">
        <w:t xml:space="preserve">. Only a small fraction of the drug candidates in which pharmaceutical companies invest become commercially successful products. </w:t>
      </w:r>
      <w:r w:rsidRPr="00344C08">
        <w:rPr>
          <w:u w:val="single"/>
        </w:rPr>
        <w:t xml:space="preserve">Drug companies spend millions, even hundreds of millions of dollars on a promising drug candidate only to find out that the compound lacks the safety and efficacy profile necessary to meet the stringent standards of FDA approval. </w:t>
      </w:r>
      <w:r w:rsidRPr="00344C08">
        <w:t>(23)</w:t>
      </w:r>
    </w:p>
    <w:p w14:paraId="64133E14" w14:textId="77777777" w:rsidR="00516959" w:rsidRPr="00344C08" w:rsidRDefault="00516959" w:rsidP="00516959">
      <w:r w:rsidRPr="00344C08">
        <w:t xml:space="preserve">The process appears to have become more challenging in recent years. For example, the number of Phase III terminations during 2007-2009 was reportedly twice that of 2004-2006. (24) </w:t>
      </w:r>
      <w:r w:rsidRPr="00344C08">
        <w:rPr>
          <w:u w:val="single"/>
        </w:rPr>
        <w:t>A recent study, covering 2004 through 2010, found that only 7% of traditional small molecule chemical drugs that entered human clinical trials obtained FDA marketing approval</w:t>
      </w:r>
      <w:r w:rsidRPr="00344C08">
        <w:t xml:space="preserve">. (25) The problem is particularly pronounced with respect to the most critical drug categories - the success rate for cancer drugs was found to be "a mere 4.7%, with cardiovascular drugs second-worst at 5.7%." (26) </w:t>
      </w:r>
      <w:r w:rsidRPr="00344C08">
        <w:rPr>
          <w:u w:val="single"/>
        </w:rPr>
        <w:t>The low success rate for these drugs is attributed in part to the implementation of more demanding standards of proof by FDA regulators</w:t>
      </w:r>
      <w:r w:rsidRPr="00344C08">
        <w:t>, such as requiring convincing evidence that cardiovascular drugs reduce heart attacks and strokes rather than just lower a risk factor, such as cholesterol levels. (27)</w:t>
      </w:r>
    </w:p>
    <w:p w14:paraId="51417AD4" w14:textId="77777777" w:rsidR="00516959" w:rsidRPr="00344C08" w:rsidRDefault="00516959" w:rsidP="00516959">
      <w:r w:rsidRPr="00344C08">
        <w:t>Notably, these dismal statistics apply to drug candidates that were tested on human subjects. (28) Most drug candidates never make it that far; it typically requires millions of dollars of investment just to get to the point where the FDA will approve administering the drug to human subjects in Phase I clinical trials. (29)</w:t>
      </w:r>
    </w:p>
    <w:p w14:paraId="5811F0A1" w14:textId="77777777" w:rsidR="00516959" w:rsidRPr="00344C08" w:rsidRDefault="00516959" w:rsidP="00516959">
      <w:r w:rsidRPr="00344C08">
        <w:t xml:space="preserve">FDA approval of a new drug is a landmark accomplishment, but by no means a guarantee of commercial success and adequate return on investment. </w:t>
      </w:r>
      <w:r w:rsidRPr="00344C08">
        <w:rPr>
          <w:u w:val="single"/>
        </w:rPr>
        <w:t>Innovative drugs are often subject to competition by other products used to treat the same indication</w:t>
      </w:r>
      <w:r w:rsidRPr="00344C08">
        <w:t xml:space="preserve">. </w:t>
      </w:r>
      <w:r w:rsidRPr="00344C08">
        <w:rPr>
          <w:u w:val="single"/>
        </w:rPr>
        <w:t xml:space="preserve">Profits can be </w:t>
      </w:r>
      <w:r w:rsidRPr="00344C08">
        <w:rPr>
          <w:rStyle w:val="Emphasis"/>
        </w:rPr>
        <w:t>relatively small</w:t>
      </w:r>
      <w:r w:rsidRPr="00344C08">
        <w:rPr>
          <w:u w:val="single"/>
        </w:rPr>
        <w:t xml:space="preserve"> in the case of orphan drugs, </w:t>
      </w:r>
      <w:r w:rsidRPr="00344C08">
        <w:t>and more generally, in situations where the patient population is relatively small or impecuniary.</w:t>
      </w:r>
    </w:p>
    <w:p w14:paraId="4349339E" w14:textId="77777777" w:rsidR="00516959" w:rsidRPr="00344C08" w:rsidRDefault="00516959" w:rsidP="00516959">
      <w:r w:rsidRPr="00344C08">
        <w:t>Even if a drug is a commercial success, the company is not out of the woods. Product liability suits, often based on unanticipated adverse side effects, are endemic and costly to defend. Some recent judicial decisions have gone so far as to hold a drug company liable for alleged injuries caused by a drug sold by a generic competitor. (30)</w:t>
      </w:r>
    </w:p>
    <w:p w14:paraId="6A4E1A26" w14:textId="77777777" w:rsidR="00516959" w:rsidRPr="00344C08" w:rsidRDefault="00516959" w:rsidP="00516959">
      <w:r w:rsidRPr="00344C08">
        <w:t xml:space="preserve">In the face of these long odds, </w:t>
      </w:r>
      <w:r w:rsidRPr="00344C08">
        <w:rPr>
          <w:u w:val="single"/>
        </w:rPr>
        <w:t xml:space="preserve">patents play a critical role in creating the </w:t>
      </w:r>
      <w:r w:rsidRPr="00344C08">
        <w:rPr>
          <w:rStyle w:val="Emphasis"/>
        </w:rPr>
        <w:t>necessary incentives for investment</w:t>
      </w:r>
      <w:r w:rsidRPr="00344C08">
        <w:t xml:space="preserve">. In most cases, </w:t>
      </w:r>
      <w:r w:rsidRPr="00344C08">
        <w:rPr>
          <w:u w:val="single"/>
        </w:rPr>
        <w:t>the prospect of adequate patent protection is a prerequisite for a pharmaceutical company's decision to try and develop a promising drug candidate into an approved drug product.</w:t>
      </w:r>
      <w:r w:rsidRPr="00344C08">
        <w:t xml:space="preserve"> (31) While the Food, Drug, and Cosmetics Act (</w:t>
      </w:r>
      <w:r w:rsidRPr="00344C08">
        <w:rPr>
          <w:u w:val="single"/>
        </w:rPr>
        <w:t>FDCA</w:t>
      </w:r>
      <w:r w:rsidRPr="00344C08">
        <w:t xml:space="preserve">) </w:t>
      </w:r>
      <w:r w:rsidRPr="00344C08">
        <w:rPr>
          <w:u w:val="single"/>
        </w:rPr>
        <w:t>provides drug innovators with five years of data exclusivity, most would agree that the period of market exclusivity afforded by this short data exclusivity period is insufficient to incentivize adequate investment</w:t>
      </w:r>
      <w:r w:rsidRPr="00344C08">
        <w:t xml:space="preserve">. (32) In practice, most new drugs enjoy the benefit of a de facto period of market exclusivity closer to eleven to thirteen years, (33) and patents have played a critical role in extending the period of market exclusivity well beyond the five years of data exclusivity. (34) </w:t>
      </w:r>
      <w:r w:rsidRPr="00344C08">
        <w:rPr>
          <w:u w:val="single"/>
        </w:rPr>
        <w:t xml:space="preserve">These additional years are critical for providing the necessary profits to justify the expensive and risky investment. </w:t>
      </w:r>
      <w:r w:rsidRPr="00344C08">
        <w:t>(35) Without the availability of adequate patent protection, drug companies will choose not to make the investment, resulting in many potentially life-saving compounds never being developed into drugs. (36)</w:t>
      </w:r>
    </w:p>
    <w:p w14:paraId="514E1745" w14:textId="77777777" w:rsidR="00516959" w:rsidRDefault="00516959" w:rsidP="00516959">
      <w:pPr>
        <w:rPr>
          <w:rStyle w:val="Emphasis"/>
        </w:rPr>
      </w:pPr>
      <w:r w:rsidRPr="00344C08">
        <w:t xml:space="preserve">But as pointed out by Mr. Armitage, </w:t>
      </w:r>
      <w:r w:rsidRPr="00344C08">
        <w:rPr>
          <w:u w:val="single"/>
        </w:rPr>
        <w:t>the unpredictable application of patent law to drug patents repeatedly has cut short the period of market exclusivity that the innovator had counted on when deciding to bring the drug to market</w:t>
      </w:r>
      <w:r w:rsidRPr="00344C08">
        <w:t xml:space="preserve">. (37) Assuming that investors in drug development are rational, the </w:t>
      </w:r>
      <w:r w:rsidRPr="00344C08">
        <w:rPr>
          <w:u w:val="single"/>
        </w:rPr>
        <w:t>level of investment will drop off as investors see the patents on which the last generation of investors depended upon for a recoupment of their investment unexpectedly torpedoed by the patent challenges of generic competitors</w:t>
      </w:r>
      <w:r w:rsidRPr="00344C08">
        <w:t xml:space="preserve">. After witnessing repeated cases where a drug company has its patent rights negated based on unpredictable and unanticipated applications of the law, </w:t>
      </w:r>
      <w:r w:rsidRPr="00344C08">
        <w:rPr>
          <w:u w:val="single"/>
        </w:rPr>
        <w:t>rational investors will discount the value of patents, which could in some cases result in a decision not to invest in the development of a promising drug candidate</w:t>
      </w:r>
      <w:r w:rsidRPr="00344C08">
        <w:t xml:space="preserve">. </w:t>
      </w:r>
      <w:r w:rsidRPr="00344C08">
        <w:rPr>
          <w:u w:val="single"/>
        </w:rPr>
        <w:t xml:space="preserve">The current unpredictable environment, wherein the investment backed expectations of investors are given short shrift, </w:t>
      </w:r>
      <w:r w:rsidRPr="00344C08">
        <w:rPr>
          <w:rStyle w:val="Emphasis"/>
        </w:rPr>
        <w:t>disincentivizes investment</w:t>
      </w:r>
      <w:r w:rsidRPr="00344C08">
        <w:rPr>
          <w:u w:val="single"/>
        </w:rPr>
        <w:t xml:space="preserve"> and thereby </w:t>
      </w:r>
      <w:r w:rsidRPr="00344C08">
        <w:rPr>
          <w:rStyle w:val="Emphasis"/>
        </w:rPr>
        <w:t>hampers innovation.</w:t>
      </w:r>
    </w:p>
    <w:p w14:paraId="3BDF8862" w14:textId="77777777" w:rsidR="00516959" w:rsidRPr="00175A75" w:rsidRDefault="00516959" w:rsidP="00516959">
      <w:pPr>
        <w:pStyle w:val="Heading4"/>
      </w:pPr>
      <w:r w:rsidRPr="00175A75">
        <w:t xml:space="preserve">Chevron </w:t>
      </w:r>
      <w:r>
        <w:rPr>
          <w:u w:val="single"/>
        </w:rPr>
        <w:t>significantly expands</w:t>
      </w:r>
      <w:r w:rsidRPr="00175A75">
        <w:t xml:space="preserve"> the PTO</w:t>
      </w:r>
      <w:r>
        <w:t>.</w:t>
      </w:r>
    </w:p>
    <w:p w14:paraId="097FFB09" w14:textId="77777777" w:rsidR="00516959" w:rsidRPr="00D63F7F" w:rsidRDefault="00516959" w:rsidP="00516959">
      <w:r w:rsidRPr="004D5A95">
        <w:rPr>
          <w:b/>
          <w:bCs/>
          <w:sz w:val="26"/>
          <w:szCs w:val="26"/>
        </w:rPr>
        <w:t>Long 09</w:t>
      </w:r>
      <w:r>
        <w:t xml:space="preserve"> - </w:t>
      </w:r>
      <w:r w:rsidRPr="004D5A95">
        <w:t>serves on the committee of The Center for Cybersecurity at Columbia University's Data Science Institute and is a former faculty director of Columbia Law School's Program on Law and Technology</w:t>
      </w:r>
      <w:r>
        <w:t xml:space="preserve">, (Clarissa, “THE PTO AND THE MARKET FOR INFLUENCE IN PATENT LAW,” </w:t>
      </w:r>
      <w:r w:rsidRPr="004D5A95">
        <w:t>University of Pennsylvania Law Review 157(6):1965-1999</w:t>
      </w:r>
      <w:r>
        <w:t xml:space="preserve">, 6-1-9, </w:t>
      </w:r>
      <w:hyperlink r:id="rId342" w:history="1">
        <w:r w:rsidRPr="00DC67D3">
          <w:rPr>
            <w:rStyle w:val="Hyperlink"/>
          </w:rPr>
          <w:t>https://www.law.upenn.edu/live/files/81-long157upalrev19652009pdf</w:t>
        </w:r>
      </w:hyperlink>
      <w:r>
        <w:t>, Accessed 7-4-20, LASA-AH)</w:t>
      </w:r>
    </w:p>
    <w:p w14:paraId="0DCE3D2C" w14:textId="77777777" w:rsidR="00516959" w:rsidRPr="00F84F7A" w:rsidRDefault="00516959" w:rsidP="00516959">
      <w:r w:rsidRPr="00F84F7A">
        <w:t xml:space="preserve">Some commentators have advocated in favor of </w:t>
      </w:r>
      <w:r w:rsidRPr="00F84F7A">
        <w:rPr>
          <w:u w:val="single"/>
        </w:rPr>
        <w:t>expanding the scope of PTO rulemaking authority</w:t>
      </w:r>
      <w:r w:rsidRPr="00F84F7A">
        <w:t xml:space="preserve">, proposing that </w:t>
      </w:r>
      <w:r w:rsidRPr="00F84F7A">
        <w:rPr>
          <w:u w:val="single"/>
        </w:rPr>
        <w:t>the Federal Circuit ought to review the PTO’s interpretations of the Patent Act using the framework set forth in Chevron for questions of law and mixed questions of law and fact</w:t>
      </w:r>
      <w:r w:rsidRPr="00F84F7A">
        <w:t>.</w:t>
      </w:r>
      <w:r w:rsidRPr="00F84F7A">
        <w:rPr>
          <w:u w:val="single"/>
        </w:rPr>
        <w:t>78 Under a broad reading of Chevron, the PTO would assume the primary responsibility for interpreting the Patent Act</w:t>
      </w:r>
      <w:r w:rsidRPr="00F84F7A">
        <w:t xml:space="preserve"> when the statutory term at issue is ambiguous or the Act is silent regarding its meaning—an interpretive role traditionally reserved for the Federal Circuit as an Article III court.79 This would, </w:t>
      </w:r>
      <w:r w:rsidRPr="00F84F7A">
        <w:rPr>
          <w:u w:val="single"/>
        </w:rPr>
        <w:t xml:space="preserve">at least in theory, </w:t>
      </w:r>
      <w:r w:rsidRPr="00F84F7A">
        <w:rPr>
          <w:rStyle w:val="Emphasis"/>
        </w:rPr>
        <w:t>constitute a shift in power</w:t>
      </w:r>
      <w:r w:rsidRPr="00F84F7A">
        <w:rPr>
          <w:u w:val="single"/>
        </w:rPr>
        <w:t xml:space="preserve"> from the Federal Circuit to the PTO</w:t>
      </w:r>
      <w:r w:rsidRPr="00F84F7A">
        <w:t>. Whether this would actually constitute a shift in power is a different matter.80</w:t>
      </w:r>
    </w:p>
    <w:p w14:paraId="3C0D7D9A" w14:textId="77777777" w:rsidR="00516959" w:rsidRDefault="00516959" w:rsidP="00516959">
      <w:pPr>
        <w:rPr>
          <w:u w:val="single"/>
        </w:rPr>
      </w:pPr>
      <w:r w:rsidRPr="00F84F7A">
        <w:rPr>
          <w:u w:val="single"/>
        </w:rPr>
        <w:t xml:space="preserve">Many of the most important provisions of the Patent Act are fraught with </w:t>
      </w:r>
      <w:r w:rsidRPr="00F84F7A">
        <w:rPr>
          <w:rStyle w:val="Emphasis"/>
        </w:rPr>
        <w:t>textual ambiguity.</w:t>
      </w:r>
      <w:r w:rsidRPr="00F84F7A">
        <w:t xml:space="preserve"> Words such as “nonobvious,” “used,” “process”—and for the epistemologically minded, “known”—appear throughout the Patent Act.81 Congress quite notably spoke directly to few questions of patent law when it wrote the Patent Act in 1952.82 </w:t>
      </w:r>
      <w:r w:rsidRPr="00F84F7A">
        <w:rPr>
          <w:u w:val="single"/>
        </w:rPr>
        <w:t>In the absence of such direction, Chevron would give the PTO potentially broad power to interpret the Patent Act.</w:t>
      </w:r>
      <w:r w:rsidRPr="00F84F7A">
        <w:t xml:space="preserve">83 For example, </w:t>
      </w:r>
      <w:r w:rsidRPr="00F84F7A">
        <w:rPr>
          <w:u w:val="single"/>
        </w:rPr>
        <w:t>the PTO could raise or lower the threshold at which an invention is declared obvious by altering its definition of the word “obvious” or by redefining the word “process” to declare subject matter off limits.</w:t>
      </w:r>
    </w:p>
    <w:p w14:paraId="6C9854C2" w14:textId="77777777" w:rsidR="00516959" w:rsidRPr="00175A75" w:rsidRDefault="00516959" w:rsidP="00516959">
      <w:pPr>
        <w:pStyle w:val="Heading4"/>
      </w:pPr>
      <w:r w:rsidRPr="00175A75">
        <w:t xml:space="preserve">That’s </w:t>
      </w:r>
      <w:r>
        <w:rPr>
          <w:u w:val="single"/>
        </w:rPr>
        <w:t>desirable</w:t>
      </w:r>
      <w:r>
        <w:t>.</w:t>
      </w:r>
      <w:r w:rsidRPr="00175A75">
        <w:t xml:space="preserve"> </w:t>
      </w:r>
    </w:p>
    <w:p w14:paraId="2AF8922F" w14:textId="77777777" w:rsidR="00516959" w:rsidRPr="00D63F7F" w:rsidRDefault="00516959" w:rsidP="00516959">
      <w:r w:rsidRPr="004D5A95">
        <w:rPr>
          <w:b/>
          <w:bCs/>
          <w:sz w:val="26"/>
          <w:szCs w:val="26"/>
        </w:rPr>
        <w:t>Long 09</w:t>
      </w:r>
      <w:r>
        <w:t xml:space="preserve"> - </w:t>
      </w:r>
      <w:r w:rsidRPr="004D5A95">
        <w:t>serves on the committee of The Center for Cybersecurity at Columbia University's Data Science Institute and is a former faculty director of Columbia Law School's Program on Law and Technology</w:t>
      </w:r>
      <w:r>
        <w:t xml:space="preserve">, (Clarissa, “THE PTO AND THE MARKET FOR INFLUENCE IN PATENT LAW,” </w:t>
      </w:r>
      <w:r w:rsidRPr="004D5A95">
        <w:t>University of Pennsylvania Law Review 157(6):1965-1999</w:t>
      </w:r>
      <w:r>
        <w:t xml:space="preserve">, 6-1-9, </w:t>
      </w:r>
      <w:hyperlink r:id="rId343" w:history="1">
        <w:r w:rsidRPr="00DC67D3">
          <w:rPr>
            <w:rStyle w:val="Hyperlink"/>
          </w:rPr>
          <w:t>https://www.law.upenn.edu/live/files/81-long157upalrev19652009pdf</w:t>
        </w:r>
      </w:hyperlink>
      <w:r>
        <w:t>, Accessed 7-4-20, LASA-AH)</w:t>
      </w:r>
    </w:p>
    <w:p w14:paraId="1D0CEAB8" w14:textId="77777777" w:rsidR="00516959" w:rsidRPr="00F84F7A" w:rsidRDefault="00516959" w:rsidP="00516959">
      <w:r w:rsidRPr="00F84F7A">
        <w:t xml:space="preserve">While we often think of agency entanglement with the constituency it is supposed to regulate as an unalloyed bad, </w:t>
      </w:r>
      <w:r w:rsidRPr="00F84F7A">
        <w:rPr>
          <w:u w:val="single"/>
        </w:rPr>
        <w:t xml:space="preserve">there are some benefits that have come out of the PTO’s </w:t>
      </w:r>
      <w:r w:rsidRPr="00F84F7A">
        <w:rPr>
          <w:rStyle w:val="Emphasis"/>
        </w:rPr>
        <w:t>attempts to increase its influence</w:t>
      </w:r>
      <w:r w:rsidRPr="00F84F7A">
        <w:rPr>
          <w:u w:val="single"/>
        </w:rPr>
        <w:t>.</w:t>
      </w:r>
      <w:r w:rsidRPr="00F84F7A">
        <w:t xml:space="preserve"> The </w:t>
      </w:r>
      <w:r w:rsidRPr="00F84F7A">
        <w:rPr>
          <w:u w:val="single"/>
        </w:rPr>
        <w:t>PTO’s attempts to appeal to the inventive community have resulted in more resources being funneled to the PTO, more airtime being given to some of the problems that plague the PTO, and more rigorous debate about the faults and flaws of the patent system</w:t>
      </w:r>
      <w:r w:rsidRPr="00F84F7A">
        <w:t>. At the same time, there are dangers to the PTO’s expanded power. In this Part, I discuss a few of the benefits and concerns surrounding an expanded sphere of influence for the PTO.</w:t>
      </w:r>
    </w:p>
    <w:p w14:paraId="13955FED" w14:textId="77777777" w:rsidR="00516959" w:rsidRPr="00F84F7A" w:rsidRDefault="00516959" w:rsidP="00516959">
      <w:r w:rsidRPr="00F84F7A">
        <w:t>A. Transparency</w:t>
      </w:r>
    </w:p>
    <w:p w14:paraId="648DBAB9" w14:textId="77777777" w:rsidR="00516959" w:rsidRPr="00F84F7A" w:rsidRDefault="00516959" w:rsidP="00516959">
      <w:r w:rsidRPr="00F84F7A">
        <w:t xml:space="preserve">Accusations that the PTO is behaving self-interestedly are nothing new. </w:t>
      </w:r>
      <w:r w:rsidRPr="00F84F7A">
        <w:rPr>
          <w:u w:val="single"/>
        </w:rPr>
        <w:t>Within a few years of the PTO’s creation</w:t>
      </w:r>
      <w:r w:rsidRPr="00F84F7A">
        <w:t xml:space="preserve"> by the Jackson administration in 1836,117 U.S. Congressman Thomas W. </w:t>
      </w:r>
      <w:r w:rsidRPr="00F84F7A">
        <w:rPr>
          <w:u w:val="single"/>
        </w:rPr>
        <w:t>Gilmer accused the</w:t>
      </w:r>
      <w:r w:rsidRPr="00F84F7A">
        <w:t xml:space="preserve"> then-Patent </w:t>
      </w:r>
      <w:r w:rsidRPr="00F84F7A">
        <w:rPr>
          <w:u w:val="single"/>
        </w:rPr>
        <w:t>Office</w:t>
      </w:r>
      <w:r w:rsidRPr="00F84F7A">
        <w:t xml:space="preserve">, among other entities, </w:t>
      </w:r>
      <w:r w:rsidRPr="00F84F7A">
        <w:rPr>
          <w:u w:val="single"/>
        </w:rPr>
        <w:t>of obstructing Congress’s attempts to determine how the Patent Office might reduce its own expenditures</w:t>
      </w:r>
      <w:r w:rsidRPr="00F84F7A">
        <w:t xml:space="preserve">.118 What is new is </w:t>
      </w:r>
      <w:r w:rsidRPr="00F84F7A">
        <w:rPr>
          <w:u w:val="single"/>
        </w:rPr>
        <w:t xml:space="preserve">the PTO’s </w:t>
      </w:r>
      <w:r w:rsidRPr="00F84F7A">
        <w:rPr>
          <w:rStyle w:val="Emphasis"/>
        </w:rPr>
        <w:t>appeal to the inventive community</w:t>
      </w:r>
      <w:r w:rsidRPr="00F84F7A">
        <w:rPr>
          <w:u w:val="single"/>
        </w:rPr>
        <w:t xml:space="preserve"> in its quest to expand its role in the market for influence.119</w:t>
      </w:r>
    </w:p>
    <w:p w14:paraId="2C412AD1" w14:textId="77777777" w:rsidR="00516959" w:rsidRDefault="00516959" w:rsidP="00516959">
      <w:pPr>
        <w:rPr>
          <w:u w:val="single"/>
        </w:rPr>
      </w:pPr>
      <w:r w:rsidRPr="00F84F7A">
        <w:t xml:space="preserve"> We can think of the </w:t>
      </w:r>
      <w:r w:rsidRPr="00F84F7A">
        <w:rPr>
          <w:u w:val="single"/>
        </w:rPr>
        <w:t>PTO’s annual reports as an attempt to improve rapport with the inventive community</w:t>
      </w:r>
      <w:r w:rsidRPr="00F84F7A">
        <w:t xml:space="preserve">. One of the explicit functions of the reports is to demonstrate that the </w:t>
      </w:r>
      <w:r w:rsidRPr="00F84F7A">
        <w:rPr>
          <w:u w:val="single"/>
        </w:rPr>
        <w:t>PTO sees itself as sympathetic to the concerns of the inventive community.</w:t>
      </w:r>
      <w:r w:rsidRPr="00F84F7A">
        <w:t xml:space="preserve"> As the PTO itself has said of one of the communications it sent to the patent community: “</w:t>
      </w:r>
      <w:r w:rsidRPr="00F84F7A">
        <w:rPr>
          <w:u w:val="single"/>
        </w:rPr>
        <w:t>The 21st Century Strategic Plan is a five-year plan that identifies critical tasks designed to provide the USPTO and external stakeholders with a long-term vision of agency goals, potential funding levels, and planned outcomes.</w:t>
      </w:r>
      <w:r w:rsidRPr="00F84F7A">
        <w:t xml:space="preserve">”120 It also described the same document as having been created “in order to address issues raised by intellectual property stakeholders.”121 </w:t>
      </w:r>
      <w:r w:rsidRPr="00F84F7A">
        <w:rPr>
          <w:u w:val="single"/>
        </w:rPr>
        <w:t>One of the advantages of the publication of such information is that it functions as a form of informative, and not entirely cheap, speech. The reports transmit in formation about the PTO’s positions on a variety of important patent policy, legal, and financial matters</w:t>
      </w:r>
      <w:r w:rsidRPr="00F84F7A">
        <w:t xml:space="preserve">. Much of the information conveyed in the reports is subject to external verification. </w:t>
      </w:r>
      <w:r w:rsidRPr="00F84F7A">
        <w:rPr>
          <w:u w:val="single"/>
        </w:rPr>
        <w:t>The PTO has become much more forthcoming about information pertaining to its internal operations</w:t>
      </w:r>
      <w:r w:rsidRPr="00F84F7A">
        <w:t xml:space="preserve">. As a result, although the PTO started out as an experience good, over time it has become more like a search good, at least with respect to its policies.122 </w:t>
      </w:r>
      <w:r w:rsidRPr="00F84F7A">
        <w:rPr>
          <w:u w:val="single"/>
        </w:rPr>
        <w:t xml:space="preserve">If the information that the PTO reveals is costly speech that is accurate, verifiable, and provides greater institutional transparency, </w:t>
      </w:r>
      <w:r w:rsidRPr="00F84F7A">
        <w:rPr>
          <w:rStyle w:val="Emphasis"/>
        </w:rPr>
        <w:t>this creates a social benefit</w:t>
      </w:r>
      <w:r w:rsidRPr="00F84F7A">
        <w:rPr>
          <w:u w:val="single"/>
        </w:rPr>
        <w:t>. This is the optimistic view.</w:t>
      </w:r>
    </w:p>
    <w:p w14:paraId="5B146512" w14:textId="77777777" w:rsidR="00516959" w:rsidRPr="00A41F85" w:rsidRDefault="00516959" w:rsidP="00516959">
      <w:pPr>
        <w:pStyle w:val="Heading4"/>
      </w:pPr>
      <w:r>
        <w:t xml:space="preserve">Key to </w:t>
      </w:r>
      <w:r>
        <w:rPr>
          <w:u w:val="single"/>
        </w:rPr>
        <w:t>novel technologies</w:t>
      </w:r>
      <w:r>
        <w:t>.</w:t>
      </w:r>
    </w:p>
    <w:p w14:paraId="387658E1" w14:textId="77777777" w:rsidR="00516959" w:rsidRPr="00063017" w:rsidRDefault="00516959" w:rsidP="00516959">
      <w:r w:rsidRPr="00063017">
        <w:rPr>
          <w:b/>
          <w:bCs/>
          <w:sz w:val="26"/>
          <w:szCs w:val="26"/>
        </w:rPr>
        <w:t>Masur et al. 10</w:t>
      </w:r>
      <w:r>
        <w:t xml:space="preserve"> - r</w:t>
      </w:r>
      <w:r w:rsidRPr="00063017">
        <w:t>eceived a BS in physics and an AB in political science from Stanford University in 1999 and his JD from Harvard Law School in 2003</w:t>
      </w:r>
      <w:r>
        <w:t xml:space="preserve">, (Jonathon, James B. Speta is a </w:t>
      </w:r>
      <w:r w:rsidRPr="00063017">
        <w:t>Professor</w:t>
      </w:r>
      <w:r>
        <w:t xml:space="preserve"> at</w:t>
      </w:r>
      <w:r w:rsidRPr="00063017">
        <w:t xml:space="preserve"> Northwestern University School of Law</w:t>
      </w:r>
      <w:r>
        <w:t xml:space="preserve">, </w:t>
      </w:r>
      <w:r w:rsidRPr="00063017">
        <w:t>Nicholas M. Zovko</w:t>
      </w:r>
      <w:r>
        <w:t xml:space="preserve"> is </w:t>
      </w:r>
      <w:r w:rsidRPr="00063017">
        <w:t>an attorney at the law firm Knobbe Martens</w:t>
      </w:r>
      <w:r>
        <w:t xml:space="preserve">, </w:t>
      </w:r>
      <w:r w:rsidRPr="00063017">
        <w:t>Donald L. Zuhn, Jr is a partner at McDonnell Boehnen Hulbert &amp; Berghoff LLP, where his practice focuses on biotechnology and pharmaceutical patent</w:t>
      </w:r>
      <w:r>
        <w:t xml:space="preserve"> law, “Who Defines the Law? USPTO Rulemaking Authority,” </w:t>
      </w:r>
      <w:r>
        <w:rPr>
          <w:i/>
          <w:iCs/>
        </w:rPr>
        <w:t>Northwestern Journal of Technology and Intellectual Property, Volume 8 Issue 3</w:t>
      </w:r>
      <w:r>
        <w:t xml:space="preserve">, Summer 2010, </w:t>
      </w:r>
      <w:hyperlink r:id="rId344" w:history="1">
        <w:r w:rsidRPr="00DC67D3">
          <w:rPr>
            <w:rStyle w:val="Hyperlink"/>
          </w:rPr>
          <w:t>https://scholarlycommons.law.northwestern.edu/cgi/viewcontent.cgi?article=1113&amp;context=njtip</w:t>
        </w:r>
      </w:hyperlink>
      <w:r>
        <w:t>, Accessed 7-4-20, LASA-AH)</w:t>
      </w:r>
    </w:p>
    <w:p w14:paraId="2F3C7473" w14:textId="77777777" w:rsidR="00516959" w:rsidRPr="00884A5F" w:rsidRDefault="00516959" w:rsidP="00516959">
      <w:r w:rsidRPr="00884A5F">
        <w:t xml:space="preserve">I'll just confine myself to one other quick point, also something that Jim raised to some degree, and this was about </w:t>
      </w:r>
      <w:r w:rsidRPr="00884A5F">
        <w:rPr>
          <w:u w:val="single"/>
        </w:rPr>
        <w:t>the political economy of Chevron deference in the Federal Circuit and the issue of who the primary rule-maker is in the world of patent law.</w:t>
      </w:r>
      <w:r w:rsidRPr="00884A5F">
        <w:t xml:space="preserve"> It's really striking that at every juncture, </w:t>
      </w:r>
      <w:r w:rsidRPr="00884A5F">
        <w:rPr>
          <w:u w:val="single"/>
        </w:rPr>
        <w:t xml:space="preserve">the Federal Circuit has opposed the PTO's ability to gain more rulemaking </w:t>
      </w:r>
      <w:r w:rsidRPr="00884A5F">
        <w:t xml:space="preserve">power. They didn't want to give the PTO deference per the APA, didn't want to give the PTO Chevron deference, and so on and so forth, case after case after case. The quick answer, of course, is that the Federal Circuit doesn't want to do this because if the PTO doesn't get any deference, </w:t>
      </w:r>
      <w:r w:rsidRPr="00884A5F">
        <w:rPr>
          <w:u w:val="single"/>
        </w:rPr>
        <w:t>if the PTO doesn't really have these powers, then the Federal Circuit gets to make all of the key decisions.</w:t>
      </w:r>
      <w:r w:rsidRPr="00884A5F">
        <w:t xml:space="preserve"> That's undoubtedly true. You might wonder, then, why do we see Chevron deference in the rest of the world at large? Why is it that the Supreme Court and the Circuit Courts have been all too eager to grant Chevron deference left and right to other sorts of administrative agencies when you might think that they would be jealous guardians of their own power, much like the Federal Circuit.</w:t>
      </w:r>
    </w:p>
    <w:p w14:paraId="3D4C28E8" w14:textId="77777777" w:rsidR="00516959" w:rsidRPr="00884A5F" w:rsidRDefault="00516959" w:rsidP="00516959">
      <w:r w:rsidRPr="00884A5F">
        <w:t xml:space="preserve">¶33 The key point is that the Federal Circuit is a specialized court that really does one thing and one thing only. Obviously, it has a few other tasks, but </w:t>
      </w:r>
      <w:r w:rsidRPr="00884A5F">
        <w:rPr>
          <w:u w:val="single"/>
        </w:rPr>
        <w:t>the Federal Circuit is</w:t>
      </w:r>
      <w:r w:rsidRPr="00884A5F">
        <w:t xml:space="preserve">, first and foremost, </w:t>
      </w:r>
      <w:r w:rsidRPr="00884A5F">
        <w:rPr>
          <w:u w:val="single"/>
        </w:rPr>
        <w:t>a patent court, and it thinks of itself as a patent court.</w:t>
      </w:r>
      <w:r w:rsidRPr="00884A5F">
        <w:t xml:space="preserve"> Whereas the First Circuit, the Seventh Circuit, the Ninth Circuit, they've got a lot going on, and they're more than happy to hand over some of the most technically difficult decisions to administrative agencies when they have the option to. It's not like their dockets are bereft of other interesting cases. So I think that in some sense, </w:t>
      </w:r>
      <w:r w:rsidRPr="00884A5F">
        <w:rPr>
          <w:u w:val="single"/>
        </w:rPr>
        <w:t>by creating the Federal Circuit as this particularized specialized court, Congress has created kind of an institutional rivalry within the patent law for control of the law because it's created this other body that has patent law to its name and not much else</w:t>
      </w:r>
      <w:r w:rsidRPr="00884A5F">
        <w:t xml:space="preserve">. And that's why </w:t>
      </w:r>
      <w:r w:rsidRPr="00884A5F">
        <w:rPr>
          <w:u w:val="single"/>
        </w:rPr>
        <w:t>any movement away from the Federal Circuit</w:t>
      </w:r>
      <w:r w:rsidRPr="00884A5F">
        <w:t xml:space="preserve"> as the prime or even sole expositor of the patent law </w:t>
      </w:r>
      <w:r w:rsidRPr="00884A5F">
        <w:rPr>
          <w:u w:val="single"/>
        </w:rPr>
        <w:t>is going to have to be taken by someone else.</w:t>
      </w:r>
      <w:r w:rsidRPr="00884A5F">
        <w:t xml:space="preserve"> It's going to have to be done by the Supreme Court or Congress. </w:t>
      </w:r>
      <w:r w:rsidRPr="00884A5F">
        <w:rPr>
          <w:u w:val="single"/>
        </w:rPr>
        <w:t>We can never, I think, count on the Federal Circuit to do it itself, and that has been borne out by the pattern of these cases in which the Federal Circuit will deny deference and then the Supreme Court will occasionally correct it.</w:t>
      </w:r>
      <w:r w:rsidRPr="00884A5F">
        <w:t xml:space="preserve"> So I hope that there is movement on this</w:t>
      </w:r>
      <w:r w:rsidRPr="00884A5F">
        <w:rPr>
          <w:u w:val="single"/>
        </w:rPr>
        <w:t xml:space="preserve">. I think that the patent law would benefit </w:t>
      </w:r>
      <w:r w:rsidRPr="00884A5F">
        <w:rPr>
          <w:rStyle w:val="Emphasis"/>
        </w:rPr>
        <w:t>from the input of the PTO.</w:t>
      </w:r>
      <w:r w:rsidRPr="00884A5F">
        <w:rPr>
          <w:u w:val="single"/>
        </w:rPr>
        <w:t xml:space="preserve"> I suspect that we're not going to get that movement from the Federal Circuit itself</w:t>
      </w:r>
      <w:r w:rsidRPr="00884A5F">
        <w:t>. Should we open it up for questions?</w:t>
      </w:r>
    </w:p>
    <w:p w14:paraId="2DCA30E9" w14:textId="77777777" w:rsidR="00516959" w:rsidRPr="00A41F85" w:rsidRDefault="00516959" w:rsidP="00516959">
      <w:pPr>
        <w:pStyle w:val="Heading4"/>
      </w:pPr>
      <w:r>
        <w:t xml:space="preserve">It improves </w:t>
      </w:r>
      <w:r>
        <w:rPr>
          <w:u w:val="single"/>
        </w:rPr>
        <w:t>innovation</w:t>
      </w:r>
      <w:r>
        <w:t>.</w:t>
      </w:r>
    </w:p>
    <w:p w14:paraId="40C33250" w14:textId="77777777" w:rsidR="00516959" w:rsidRPr="00D63F7F" w:rsidRDefault="00516959" w:rsidP="00516959">
      <w:r w:rsidRPr="004D5A95">
        <w:rPr>
          <w:b/>
          <w:bCs/>
          <w:sz w:val="26"/>
          <w:szCs w:val="26"/>
        </w:rPr>
        <w:t>Long 09</w:t>
      </w:r>
      <w:r>
        <w:t xml:space="preserve"> - </w:t>
      </w:r>
      <w:r w:rsidRPr="004D5A95">
        <w:t>serves on the committee of The Center for Cybersecurity at Columbia University's Data Science Institute and is a former faculty director of Columbia Law School's Program on Law and Technology</w:t>
      </w:r>
      <w:r>
        <w:t xml:space="preserve">, (Clarissa, “THE PTO AND THE MARKET FOR INFLUENCE IN PATENT LAW,” </w:t>
      </w:r>
      <w:r w:rsidRPr="004D5A95">
        <w:t>University of Pennsylvania Law Review 157(6):1965-1999</w:t>
      </w:r>
      <w:r>
        <w:t xml:space="preserve">, 6-1-9, </w:t>
      </w:r>
      <w:hyperlink r:id="rId345" w:history="1">
        <w:r w:rsidRPr="00DC67D3">
          <w:rPr>
            <w:rStyle w:val="Hyperlink"/>
          </w:rPr>
          <w:t>https://www.law.upenn.edu/live/files/81-long157upalrev19652009pdf</w:t>
        </w:r>
      </w:hyperlink>
      <w:r>
        <w:t>, Accessed 7-4-20, LASA-AH)</w:t>
      </w:r>
    </w:p>
    <w:p w14:paraId="1B6DEE79" w14:textId="77777777" w:rsidR="00516959" w:rsidRPr="00884A5F" w:rsidRDefault="00516959" w:rsidP="00516959">
      <w:pPr>
        <w:rPr>
          <w:u w:val="single"/>
        </w:rPr>
      </w:pPr>
      <w:r w:rsidRPr="00884A5F">
        <w:t xml:space="preserve">For its part, </w:t>
      </w:r>
      <w:r w:rsidRPr="00884A5F">
        <w:rPr>
          <w:u w:val="single"/>
        </w:rPr>
        <w:t>the PTO stands to benefit from continuing to seek control over more resources. A strategy of appealing to the inventive community for support does not require the PTO to share the resulting legal or financial gains with other institutions</w:t>
      </w:r>
      <w:r w:rsidRPr="00884A5F">
        <w:t xml:space="preserve">. The </w:t>
      </w:r>
      <w:r w:rsidRPr="00884A5F">
        <w:rPr>
          <w:u w:val="single"/>
        </w:rPr>
        <w:t>probability of free-riding by other institutions will be low, since the PTO’s gains</w:t>
      </w:r>
      <w:r w:rsidRPr="00884A5F">
        <w:t>— whether budgetary or legal—</w:t>
      </w:r>
      <w:r w:rsidRPr="00884A5F">
        <w:rPr>
          <w:rStyle w:val="Emphasis"/>
        </w:rPr>
        <w:t>are specific to the PTO</w:t>
      </w:r>
      <w:r w:rsidRPr="00884A5F">
        <w:t xml:space="preserve">. Nor does the PTO face the problem of geographical dispersion, which would raise the costs of coordination and organization.141 </w:t>
      </w:r>
      <w:r w:rsidRPr="00884A5F">
        <w:rPr>
          <w:u w:val="single"/>
        </w:rPr>
        <w:t>With Congress out of the picture, the PTO faces no oppositional institution in the area of patent prosecution other than the Federal Circuit.</w:t>
      </w:r>
      <w:r w:rsidRPr="00884A5F">
        <w:t xml:space="preserve"> A fairly robust (and completely intuitive) finding in the </w:t>
      </w:r>
      <w:r w:rsidRPr="00884A5F">
        <w:rPr>
          <w:u w:val="single"/>
        </w:rPr>
        <w:t>empirical literature is that interest groups fare better if they face no countervailing forces in the political arena.</w:t>
      </w:r>
      <w:r w:rsidRPr="00884A5F">
        <w:t xml:space="preserve">142 With these incentives, we can expect the </w:t>
      </w:r>
      <w:r w:rsidRPr="00884A5F">
        <w:rPr>
          <w:u w:val="single"/>
        </w:rPr>
        <w:t xml:space="preserve">PTO to continue to attempt to gain more influence and resources in the market for patent policy and to </w:t>
      </w:r>
      <w:r w:rsidRPr="00884A5F">
        <w:rPr>
          <w:rStyle w:val="Emphasis"/>
        </w:rPr>
        <w:t>appeal to the inventive community for support.</w:t>
      </w:r>
    </w:p>
    <w:p w14:paraId="63624F67" w14:textId="77777777" w:rsidR="00516959" w:rsidRDefault="00516959" w:rsidP="00516959">
      <w:pPr>
        <w:pStyle w:val="Heading3"/>
      </w:pPr>
      <w:r>
        <w:t>2NC – IL – Pharma – AT: Court Review Solves</w:t>
      </w:r>
    </w:p>
    <w:p w14:paraId="4D8D0C24" w14:textId="77777777" w:rsidR="00516959" w:rsidRPr="00417BAB" w:rsidRDefault="00516959" w:rsidP="00516959"/>
    <w:p w14:paraId="3717A63B" w14:textId="77777777" w:rsidR="00516959" w:rsidRPr="00417BAB" w:rsidRDefault="00516959" w:rsidP="00516959">
      <w:pPr>
        <w:pStyle w:val="Heading4"/>
      </w:pPr>
      <w:r>
        <w:t xml:space="preserve">Court review is </w:t>
      </w:r>
      <w:r>
        <w:rPr>
          <w:u w:val="single"/>
        </w:rPr>
        <w:t>net-worse</w:t>
      </w:r>
      <w:r>
        <w:t>.</w:t>
      </w:r>
    </w:p>
    <w:p w14:paraId="21510784" w14:textId="77777777" w:rsidR="00516959" w:rsidRPr="00351CA5" w:rsidRDefault="00516959" w:rsidP="00516959">
      <w:r w:rsidRPr="00351CA5">
        <w:rPr>
          <w:b/>
          <w:bCs/>
          <w:sz w:val="26"/>
          <w:szCs w:val="26"/>
        </w:rPr>
        <w:t>Michel and Battalgia 20</w:t>
      </w:r>
      <w:r>
        <w:t xml:space="preserve"> – Chief Judge Michel </w:t>
      </w:r>
      <w:r w:rsidRPr="003C2F11">
        <w:t>appointed to the United States Court of Appeals for the Federal Circuit in March of 1988 by President Ronald Reagan</w:t>
      </w:r>
      <w:r>
        <w:t xml:space="preserve">, </w:t>
      </w:r>
      <w:r w:rsidRPr="00351CA5">
        <w:t>an accomplished first-chair trial lawyer, appellate lawyer, and former US Justice Department lawyer who has successfully tried to verdict a broad array of civil and criminal cases</w:t>
      </w:r>
      <w:r>
        <w:t>, (Paul and John, “</w:t>
      </w:r>
      <w:r w:rsidRPr="00351CA5">
        <w:t>Pandemics and the Need for U.S. Patent Laws That ‘Promote … Progress’ and Invention: The Federal Circuit, En Banc, Can Fix This</w:t>
      </w:r>
      <w:r>
        <w:t xml:space="preserve">,” </w:t>
      </w:r>
      <w:r>
        <w:rPr>
          <w:i/>
          <w:iCs/>
        </w:rPr>
        <w:t>IP Watchdog</w:t>
      </w:r>
      <w:r>
        <w:t xml:space="preserve">, 4-12-20, </w:t>
      </w:r>
      <w:hyperlink r:id="rId346" w:history="1">
        <w:r w:rsidRPr="00DC67D3">
          <w:rPr>
            <w:rStyle w:val="Hyperlink"/>
          </w:rPr>
          <w:t>https://www.ipwatchdog.com/2020/04/12/pandemics-need-us-patent-laws-promote-progress-invention-federal-circuit-en-banc-can-fix/id=120575/</w:t>
        </w:r>
      </w:hyperlink>
      <w:r>
        <w:t>, Accessed 7-4-20, LASA-AH)</w:t>
      </w:r>
    </w:p>
    <w:p w14:paraId="3C9A23E0" w14:textId="77777777" w:rsidR="00516959" w:rsidRPr="003C2F11" w:rsidRDefault="00516959" w:rsidP="00516959">
      <w:pPr>
        <w:rPr>
          <w:b/>
          <w:iCs/>
          <w:u w:val="single"/>
        </w:rPr>
      </w:pPr>
      <w:r w:rsidRPr="003C2F11">
        <w:rPr>
          <w:u w:val="single"/>
        </w:rPr>
        <w:t xml:space="preserve">The COVID-19 crisis has once more highlighted the need for </w:t>
      </w:r>
      <w:r w:rsidRPr="003C2F11">
        <w:rPr>
          <w:rStyle w:val="Emphasis"/>
        </w:rPr>
        <w:t>incentivizing investment and innovation</w:t>
      </w:r>
      <w:r>
        <w:t xml:space="preserve">—and thus, </w:t>
      </w:r>
      <w:r w:rsidRPr="003C2F11">
        <w:rPr>
          <w:u w:val="single"/>
        </w:rPr>
        <w:t>for patent laws that duly “promote” and protect such “progress,” precisely as our Founders envisioned</w:t>
      </w:r>
      <w:r>
        <w:t xml:space="preserve">. See U.S. Const., Art. I., § 8, cl. 8. Indeed, those </w:t>
      </w:r>
      <w:r w:rsidRPr="003C2F11">
        <w:rPr>
          <w:u w:val="single"/>
        </w:rPr>
        <w:t>patent-based incentives over the years have helped produce life-saving medicines, tests, treatments, and cures; once-unimaginable computer technology, robotics, and nanotechnology</w:t>
      </w:r>
      <w:r>
        <w:t xml:space="preserve">; LASIK eye-surgery and cochlear implants; personal satellite-based navigation systems; handheld devices seemingly straight out of Star Trek; 3-D printer technology; and much, much more. Nevertheless, </w:t>
      </w:r>
      <w:r w:rsidRPr="003C2F11">
        <w:rPr>
          <w:u w:val="single"/>
        </w:rPr>
        <w:t xml:space="preserve">a series of judicial rulings over the past 15 years have </w:t>
      </w:r>
      <w:r w:rsidRPr="003C2F11">
        <w:rPr>
          <w:rStyle w:val="Emphasis"/>
        </w:rPr>
        <w:t>steadily eroded U.S. patent protections</w:t>
      </w:r>
      <w:r w:rsidRPr="003C2F11">
        <w:rPr>
          <w:u w:val="single"/>
        </w:rPr>
        <w:t>.</w:t>
      </w:r>
      <w:r>
        <w:t xml:space="preserve"> Consequently, </w:t>
      </w:r>
      <w:r w:rsidRPr="003C2F11">
        <w:rPr>
          <w:u w:val="single"/>
        </w:rPr>
        <w:t>once-innovative companies</w:t>
      </w:r>
      <w:r>
        <w:t xml:space="preserve">, including major innovative pharmaceutical companies, </w:t>
      </w:r>
      <w:r w:rsidRPr="003C2F11">
        <w:rPr>
          <w:u w:val="single"/>
        </w:rPr>
        <w:t>have divested in R&amp;D, and investors more generally have diverted funding to non-inventive areas (</w:t>
      </w:r>
      <w:r>
        <w:t xml:space="preserve">like entertainment) </w:t>
      </w:r>
      <w:r w:rsidRPr="003C2F11">
        <w:rPr>
          <w:u w:val="single"/>
        </w:rPr>
        <w:t>or to countries</w:t>
      </w:r>
      <w:r>
        <w:t xml:space="preserve"> (like China</w:t>
      </w:r>
      <w:r w:rsidRPr="003C2F11">
        <w:rPr>
          <w:u w:val="single"/>
        </w:rPr>
        <w:t xml:space="preserve">) whose patent laws offer protections more favorable than U.S. law. </w:t>
      </w:r>
      <w:r w:rsidRPr="003C2F11">
        <w:rPr>
          <w:rStyle w:val="Emphasis"/>
        </w:rPr>
        <w:t>American innovation has fallen accordingly.</w:t>
      </w:r>
    </w:p>
    <w:p w14:paraId="005F28D0" w14:textId="77777777" w:rsidR="00516959" w:rsidRDefault="00516959" w:rsidP="00516959">
      <w:r w:rsidRPr="003C2F11">
        <w:t>The Federal Circuit</w:t>
      </w:r>
      <w:r>
        <w:t xml:space="preserve">, specially created to serve as the patent law’s good steward, </w:t>
      </w:r>
      <w:r w:rsidRPr="003C2F11">
        <w:t>will have sound opportunities to fix this</w:t>
      </w:r>
      <w:r>
        <w:t xml:space="preserve">. And to fix it in a way that properly honors and serves the patent laws and Congress’s clear purpose. Otherwise, over the last few weeks alone, </w:t>
      </w:r>
      <w:r w:rsidRPr="003C2F11">
        <w:rPr>
          <w:u w:val="single"/>
        </w:rPr>
        <w:t>media accounts have repeatedly reported on the innovative shortcomings evident in the COVID-19 response.</w:t>
      </w:r>
      <w:r>
        <w:t xml:space="preserve"> These included, for example, a </w:t>
      </w:r>
      <w:r w:rsidRPr="003C2F11">
        <w:rPr>
          <w:u w:val="single"/>
        </w:rPr>
        <w:t xml:space="preserve">cited need for </w:t>
      </w:r>
      <w:r w:rsidRPr="003C2F11">
        <w:rPr>
          <w:rStyle w:val="Emphasis"/>
        </w:rPr>
        <w:t>better diagnostic tests</w:t>
      </w:r>
      <w:r w:rsidRPr="003C2F11">
        <w:rPr>
          <w:u w:val="single"/>
        </w:rPr>
        <w:t>. Just last summer, however, the Federal Circuit undercut incentives to invent in this field when it once again declined en-banc review of a ruling that U.S. patent protections do not extend to medical-diagnostic test kits and method</w:t>
      </w:r>
      <w:r>
        <w:t xml:space="preserve">s. See Athena Diagnostics, Inc. v. Mayo Collaborative Servs, LLC, 927 F.3d 1333 (Fed. Cir. 2019). </w:t>
      </w:r>
      <w:r w:rsidRPr="003C2F11">
        <w:rPr>
          <w:u w:val="single"/>
        </w:rPr>
        <w:t>The Supreme Court recently declined review of this patent-eligibility issue as well, notwithstanding that the full Federal Circuit in Athena had issued eight separate opinions—each of which requested Court interventio</w:t>
      </w:r>
      <w:r>
        <w:t>n. Id. Yet, in denying certiorari, the Court all but announced it was turning the patent-law reins back over to the Federal Circuit.</w:t>
      </w:r>
    </w:p>
    <w:p w14:paraId="5DAD5E45" w14:textId="77777777" w:rsidR="00516959" w:rsidRDefault="00516959" w:rsidP="00516959">
      <w:r>
        <w:t xml:space="preserve">Will the court take them? In addressing that question, we first review the </w:t>
      </w:r>
      <w:r w:rsidRPr="003C2F11">
        <w:rPr>
          <w:u w:val="single"/>
        </w:rPr>
        <w:t xml:space="preserve">COVID-19 crisis amid the U.S. patent law’s current jurisprudence and its negative effects on R&amp;D investment and innovation. </w:t>
      </w:r>
      <w:r>
        <w:t xml:space="preserve">In so doing, we show how </w:t>
      </w:r>
      <w:r w:rsidRPr="003C2F11">
        <w:rPr>
          <w:u w:val="single"/>
        </w:rPr>
        <w:t>Congress</w:t>
      </w:r>
      <w:r>
        <w:t xml:space="preserve">, </w:t>
      </w:r>
      <w:r w:rsidRPr="003C2F11">
        <w:rPr>
          <w:u w:val="single"/>
        </w:rPr>
        <w:t>to the contrary, designed the Patent Act to promote such investment and innovation, including with respect to its provisions on eligibility and invalidity, see, e.g., 35 U.S.C. §§ 101 &amp; 103.</w:t>
      </w:r>
      <w:r>
        <w:t xml:space="preserve"> Indeed, Congress later created the Federal Circuit for essentially this same reason, consistent with the Framers’ purpose of authorizing patent laws that “liberally encourage[]” innovation. Thereafter, however, we address </w:t>
      </w:r>
      <w:r w:rsidRPr="003C2F11">
        <w:rPr>
          <w:u w:val="single"/>
        </w:rPr>
        <w:t xml:space="preserve">the Federal Circuit’s recent decisions that have further </w:t>
      </w:r>
      <w:r w:rsidRPr="003C2F11">
        <w:rPr>
          <w:rStyle w:val="Emphasis"/>
        </w:rPr>
        <w:t>weakened U.S. patent rights</w:t>
      </w:r>
      <w:r>
        <w:t>—including decisions on the “presumption-of-nexus” in obviousness cases and on indefiniteness. Last, we address the en-banc petition pending before the Federal Circuit in AAM, Inc. v. Neapco Holdings, expressing hope that the court will grant this petition and use it to properly clarify the court’s Section 101 case law. Perhaps now more than ever, the laws addressed to investment and innovation—and to the economic and technological strength they promote—must be properly interpreted.</w:t>
      </w:r>
    </w:p>
    <w:p w14:paraId="5F066B70" w14:textId="77777777" w:rsidR="00516959" w:rsidRPr="002D7D78" w:rsidRDefault="00516959" w:rsidP="00516959"/>
    <w:p w14:paraId="14547EE8" w14:textId="77777777" w:rsidR="00516959" w:rsidRPr="00417BAB" w:rsidRDefault="00516959" w:rsidP="00516959">
      <w:pPr>
        <w:pStyle w:val="Heading4"/>
      </w:pPr>
      <w:r>
        <w:t xml:space="preserve">The circuits are </w:t>
      </w:r>
      <w:r>
        <w:rPr>
          <w:u w:val="single"/>
        </w:rPr>
        <w:t>chaos</w:t>
      </w:r>
      <w:r>
        <w:t>.</w:t>
      </w:r>
    </w:p>
    <w:p w14:paraId="08954E3F" w14:textId="77777777" w:rsidR="00516959" w:rsidRPr="002F7188" w:rsidRDefault="00516959" w:rsidP="00516959">
      <w:r w:rsidRPr="002F7188">
        <w:rPr>
          <w:b/>
          <w:bCs/>
          <w:sz w:val="26"/>
          <w:szCs w:val="26"/>
        </w:rPr>
        <w:t>Quinn 19</w:t>
      </w:r>
      <w:r>
        <w:t xml:space="preserve"> - </w:t>
      </w:r>
      <w:r w:rsidRPr="002F7188">
        <w:t>a Patent Attorney and Editor and President &amp; CEO of</w:t>
      </w:r>
      <w:r>
        <w:t xml:space="preserve"> </w:t>
      </w:r>
      <w:r w:rsidRPr="002F7188">
        <w:t>IPWatchdog, Inc.</w:t>
      </w:r>
      <w:r>
        <w:t>, (Gene, “</w:t>
      </w:r>
      <w:r w:rsidRPr="002F7188">
        <w:t>It May Be Time to Abolish the Federal Circuit</w:t>
      </w:r>
      <w:r>
        <w:t xml:space="preserve">,” </w:t>
      </w:r>
      <w:r>
        <w:rPr>
          <w:i/>
          <w:iCs/>
        </w:rPr>
        <w:t>IP Watchdog</w:t>
      </w:r>
      <w:r>
        <w:t xml:space="preserve">, 7-9-19, </w:t>
      </w:r>
      <w:hyperlink r:id="rId347" w:history="1">
        <w:r w:rsidRPr="00DC67D3">
          <w:rPr>
            <w:rStyle w:val="Hyperlink"/>
          </w:rPr>
          <w:t>https://www.ipwatchdog.com/2019/07/09/may-time-abolish-federal-circuit/id=111122/</w:t>
        </w:r>
      </w:hyperlink>
      <w:r>
        <w:t>, Accessed 7-4-20, LASA-AH)</w:t>
      </w:r>
    </w:p>
    <w:p w14:paraId="62E770B2" w14:textId="77777777" w:rsidR="00516959" w:rsidRPr="00351CA5" w:rsidRDefault="00516959" w:rsidP="00516959">
      <w:pPr>
        <w:rPr>
          <w:u w:val="single"/>
        </w:rPr>
      </w:pPr>
      <w:r>
        <w:t xml:space="preserve">The entire reason that we have the Federal Circuit is because the regional circuits brought chaos to patent law. Well, </w:t>
      </w:r>
      <w:r w:rsidRPr="00351CA5">
        <w:rPr>
          <w:u w:val="single"/>
        </w:rPr>
        <w:t xml:space="preserve">the Federal Circuit is doing a wonderful job of bringing all the same </w:t>
      </w:r>
      <w:r w:rsidRPr="00351CA5">
        <w:rPr>
          <w:rStyle w:val="Emphasis"/>
        </w:rPr>
        <w:t>chaos</w:t>
      </w:r>
      <w:r w:rsidRPr="00351CA5">
        <w:rPr>
          <w:u w:val="single"/>
        </w:rPr>
        <w:t xml:space="preserve">, </w:t>
      </w:r>
      <w:r w:rsidRPr="00351CA5">
        <w:rPr>
          <w:rStyle w:val="Emphasis"/>
        </w:rPr>
        <w:t>uncertainty and unpredictability</w:t>
      </w:r>
      <w:r w:rsidRPr="00351CA5">
        <w:rPr>
          <w:u w:val="single"/>
        </w:rPr>
        <w:t xml:space="preserve"> to patent law that existed prior to its creation some 37 years ago.</w:t>
      </w:r>
    </w:p>
    <w:p w14:paraId="63DB4423" w14:textId="77777777" w:rsidR="00516959" w:rsidRDefault="00516959" w:rsidP="00516959">
      <w:r>
        <w:t>Those old enough to remember, or who have studied the history, know that prior to the creation of the Federal Circuit there were some regional circuits that never saw valid patents—ever. And Congress knew that the United States needed to have at least some patents valid in order to have a functioning patent system worth using. This led to a concerted effort during the Carter Administration that spilled over into the Reagan Administration to create a forum for patent disputes that wouldn’t be afraid to find worthwhile innovations that were described properly in well drafted patents to be adjudicated as valid.</w:t>
      </w:r>
    </w:p>
    <w:p w14:paraId="6DD1ECFF" w14:textId="77777777" w:rsidR="00516959" w:rsidRDefault="00516959" w:rsidP="00516959">
      <w:r>
        <w:t>With the help of the newly created Federal Circuit in 1982, the patent system was going to drive the engine of innovation that would bring the U.S. economy back. And it did.</w:t>
      </w:r>
    </w:p>
    <w:p w14:paraId="297DDD43" w14:textId="77777777" w:rsidR="00516959" w:rsidRPr="00351CA5" w:rsidRDefault="00516959" w:rsidP="00516959">
      <w:pPr>
        <w:rPr>
          <w:u w:val="single"/>
        </w:rPr>
      </w:pPr>
      <w:r w:rsidRPr="00351CA5">
        <w:rPr>
          <w:u w:val="single"/>
        </w:rPr>
        <w:t>The whole purpose</w:t>
      </w:r>
      <w:r>
        <w:t xml:space="preserve">, the raison d’etre, </w:t>
      </w:r>
      <w:r w:rsidRPr="00351CA5">
        <w:rPr>
          <w:u w:val="single"/>
        </w:rPr>
        <w:t>for</w:t>
      </w:r>
      <w:r>
        <w:t xml:space="preserve"> have </w:t>
      </w:r>
      <w:r w:rsidRPr="00351CA5">
        <w:rPr>
          <w:u w:val="single"/>
        </w:rPr>
        <w:t>a Federal Circuit was to remove the uncertainty created by the regional circuits and replace it with predictable, certain and stable patent laws</w:t>
      </w:r>
      <w:r>
        <w:t xml:space="preserve">. In the words of Howard Markey, the first Chief Judge of the Federal Circuit, the express intent of Congress for the Federal Circuit was to “contribute to increased uniformity and reliability.” Today, and for some time now, we have two problems. </w:t>
      </w:r>
      <w:r w:rsidRPr="00351CA5">
        <w:rPr>
          <w:u w:val="single"/>
        </w:rPr>
        <w:t>First, because of a hopelessly fractured Federal Circuit, U.S. patent laws suffer from all the same uncertainty that plagued the system prior to the creation of the Federal Circuit.</w:t>
      </w:r>
    </w:p>
    <w:p w14:paraId="5C9E1919" w14:textId="77777777" w:rsidR="00516959" w:rsidRDefault="00516959" w:rsidP="00516959">
      <w:r w:rsidRPr="00351CA5">
        <w:rPr>
          <w:u w:val="single"/>
        </w:rPr>
        <w:t>Second</w:t>
      </w:r>
      <w:r>
        <w:t xml:space="preserve">, and quite ironically, </w:t>
      </w:r>
      <w:r w:rsidRPr="00351CA5">
        <w:rPr>
          <w:u w:val="single"/>
        </w:rPr>
        <w:t>because of a profound and irreconcilable ideological split between Federal Circuit judges, U.S. patent laws also suffer from all the same problems of predictability that plagued the system prior to the creation of the Federal Circuit</w:t>
      </w:r>
      <w:r>
        <w:t xml:space="preserve">. Just like patent owners would know they stood no chance in certain regional circuits pre-1982, </w:t>
      </w:r>
      <w:r w:rsidRPr="00351CA5">
        <w:rPr>
          <w:u w:val="single"/>
        </w:rPr>
        <w:t>once your panel is announced the morning of oral argument patent owners and challengers instantly know whether they have a fair chanc</w:t>
      </w:r>
      <w:r>
        <w:t>e, or whether they are merely going to go through the motions arguing in front of a panel of judges that are ideologically and philosophically never going to agree.</w:t>
      </w:r>
    </w:p>
    <w:p w14:paraId="3835B20B" w14:textId="77777777" w:rsidR="00516959" w:rsidRPr="00A41F85" w:rsidRDefault="00516959" w:rsidP="00516959">
      <w:pPr>
        <w:pStyle w:val="Heading4"/>
      </w:pPr>
      <w:r>
        <w:rPr>
          <w:u w:val="single"/>
        </w:rPr>
        <w:t>Superior</w:t>
      </w:r>
      <w:r>
        <w:t xml:space="preserve"> to the courts.</w:t>
      </w:r>
    </w:p>
    <w:p w14:paraId="7EFC214A" w14:textId="77777777" w:rsidR="00516959" w:rsidRPr="00610CAC" w:rsidRDefault="00516959" w:rsidP="00516959">
      <w:r w:rsidRPr="003302D6">
        <w:rPr>
          <w:b/>
          <w:bCs/>
          <w:sz w:val="26"/>
          <w:szCs w:val="26"/>
        </w:rPr>
        <w:t>Holman 11</w:t>
      </w:r>
      <w:r>
        <w:t xml:space="preserve"> - </w:t>
      </w:r>
      <w:r w:rsidRPr="003302D6">
        <w:t>University of Missouri - Kansas City School of Law</w:t>
      </w:r>
      <w:r>
        <w:t>, (Christopher M., “</w:t>
      </w:r>
      <w:r w:rsidRPr="003302D6">
        <w:t>Unpredictability in patent law and its effect on pharmaceutical innovation</w:t>
      </w:r>
      <w:r>
        <w:t xml:space="preserve">,” </w:t>
      </w:r>
      <w:r w:rsidRPr="003302D6">
        <w:t>Missouri Law Review(Vol. 76, Issue 3)</w:t>
      </w:r>
      <w:r>
        <w:t xml:space="preserve">, Summer 2011, </w:t>
      </w:r>
      <w:hyperlink r:id="rId348" w:history="1">
        <w:r w:rsidRPr="00DC67D3">
          <w:rPr>
            <w:rStyle w:val="Hyperlink"/>
          </w:rPr>
          <w:t>https://www.researchgate.net/publication/265179404_Unpredictability_in_Patent_Law_and_Its_Effect_on_Pharmaceutical_Innovation</w:t>
        </w:r>
      </w:hyperlink>
      <w:r>
        <w:t>, Accessed 7-4-20, LASA-AH)</w:t>
      </w:r>
    </w:p>
    <w:p w14:paraId="29961729" w14:textId="77777777" w:rsidR="00516959" w:rsidRPr="00884A5F" w:rsidRDefault="00516959" w:rsidP="00516959">
      <w:pPr>
        <w:rPr>
          <w:u w:val="single"/>
        </w:rPr>
      </w:pPr>
      <w:r w:rsidRPr="00884A5F">
        <w:t xml:space="preserve">The </w:t>
      </w:r>
      <w:r w:rsidRPr="00884A5F">
        <w:rPr>
          <w:u w:val="single"/>
        </w:rPr>
        <w:t>PTO could also play a role in promoting faster resolution of ambiguities in the patent laws and in amending the law in a prospective manner that respects the expectation interests of patent applicants and owners</w:t>
      </w:r>
      <w:r w:rsidRPr="00884A5F">
        <w:t xml:space="preserve">. Like Congress, </w:t>
      </w:r>
      <w:r w:rsidRPr="00884A5F">
        <w:rPr>
          <w:u w:val="single"/>
        </w:rPr>
        <w:t xml:space="preserve">the PTO is in </w:t>
      </w:r>
      <w:r w:rsidRPr="00884A5F">
        <w:rPr>
          <w:rStyle w:val="Emphasis"/>
        </w:rPr>
        <w:t>a better position than the courts</w:t>
      </w:r>
      <w:r w:rsidRPr="00884A5F">
        <w:rPr>
          <w:u w:val="single"/>
        </w:rPr>
        <w:t xml:space="preserve"> to solicit and balance the concerns of all stakeholders</w:t>
      </w:r>
      <w:r w:rsidRPr="00884A5F">
        <w:t xml:space="preserve">, through practices such as notice and comment rulemaking. </w:t>
      </w:r>
      <w:r w:rsidRPr="00884A5F">
        <w:rPr>
          <w:u w:val="single"/>
        </w:rPr>
        <w:t>It also has the ability to bring test cases to the courts, facilitating expedited resolution of ambiguities in the law</w:t>
      </w:r>
      <w:r w:rsidRPr="00884A5F">
        <w:t xml:space="preserve">. Importantly, </w:t>
      </w:r>
      <w:r w:rsidRPr="00884A5F">
        <w:rPr>
          <w:u w:val="single"/>
        </w:rPr>
        <w:t>the PTO generally institutes changes in a prospective manner, avoiding</w:t>
      </w:r>
      <w:r w:rsidRPr="00884A5F">
        <w:t xml:space="preserve"> the </w:t>
      </w:r>
      <w:r w:rsidRPr="00884A5F">
        <w:rPr>
          <w:u w:val="single"/>
        </w:rPr>
        <w:t>problems associated with the retroactive application of new law.</w:t>
      </w:r>
    </w:p>
    <w:p w14:paraId="7E033C5C" w14:textId="77777777" w:rsidR="00516959" w:rsidRPr="00884A5F" w:rsidRDefault="00516959" w:rsidP="00516959">
      <w:pPr>
        <w:rPr>
          <w:u w:val="single"/>
        </w:rPr>
      </w:pPr>
      <w:r w:rsidRPr="00884A5F">
        <w:t xml:space="preserve">Take, for example, </w:t>
      </w:r>
      <w:r w:rsidRPr="00884A5F">
        <w:rPr>
          <w:u w:val="single"/>
        </w:rPr>
        <w:t>Diamond v. Chakrabarty</w:t>
      </w:r>
      <w:r w:rsidRPr="00884A5F">
        <w:t xml:space="preserve"> (303) The </w:t>
      </w:r>
      <w:r w:rsidRPr="00884A5F">
        <w:rPr>
          <w:u w:val="single"/>
        </w:rPr>
        <w:t>emergence of biotechnology in the 1970s brought to light a clear and important ambiguity in the law:</w:t>
      </w:r>
      <w:r w:rsidRPr="00884A5F">
        <w:t xml:space="preserve"> to what extent are the products of biotechnology, particularly genetically modified living organisms, eligible for patent protection? The PTO could have simply assumed that genetically modified living organisms are patent eligible and begun issuing patents, analogous to the manner in which it handled the patenting of genetic sequences. (304) Instead, the </w:t>
      </w:r>
      <w:r w:rsidRPr="00884A5F">
        <w:rPr>
          <w:u w:val="single"/>
        </w:rPr>
        <w:t>PTO decided to err on the side of patent ineligibility and to reject claims to living organisms, thus setting up the important test case of Diamond v. Chakrabarty</w:t>
      </w:r>
      <w:r w:rsidRPr="00884A5F">
        <w:t xml:space="preserve">. By cleanly setting the issue before the courts, </w:t>
      </w:r>
      <w:r w:rsidRPr="00884A5F">
        <w:rPr>
          <w:u w:val="single"/>
        </w:rPr>
        <w:t xml:space="preserve">the PTO </w:t>
      </w:r>
      <w:r w:rsidRPr="00884A5F">
        <w:rPr>
          <w:rStyle w:val="Emphasis"/>
        </w:rPr>
        <w:t>provided clarity</w:t>
      </w:r>
      <w:r w:rsidRPr="00884A5F">
        <w:rPr>
          <w:u w:val="single"/>
        </w:rPr>
        <w:t xml:space="preserve"> on this important issue, </w:t>
      </w:r>
      <w:r w:rsidRPr="00884A5F">
        <w:t xml:space="preserve">to which many people have attributed the investment in biotechnology that occurred after Chakrabarty. (305) </w:t>
      </w:r>
      <w:r w:rsidRPr="00884A5F">
        <w:rPr>
          <w:u w:val="single"/>
        </w:rPr>
        <w:t>The PTO took a similar tack with respect to software patents, initially rejecting them until the Supreme Court stepped in and provided some clarity with respect to the patentability of software in Benson, Flook, and Diehr. (306)</w:t>
      </w:r>
    </w:p>
    <w:p w14:paraId="5D2F85AA" w14:textId="77777777" w:rsidR="00516959" w:rsidRPr="00884A5F" w:rsidRDefault="00516959" w:rsidP="00516959">
      <w:r w:rsidRPr="00884A5F">
        <w:t>In the 1980s and early 1990s, the PTO saw an influx of patent applications claiming newly cloned and sequenced cDNA molecules. (307) These discoveries were often based on prior art knowledge of a protein of interest, knowledge used to isolate and characterize the cDNA encoding the protein. (308) As the methodology became more routine, the question arose as to whether the resulting cDNA molecules were obvious and hence unpatentable. Once again, the PTO erred on the side of non-patentability and began rejecting such claims under 35 U.S.C. [section] 103, thereby prompting early judicial resolution of the issue. (309)</w:t>
      </w:r>
    </w:p>
    <w:p w14:paraId="0327A87F" w14:textId="77777777" w:rsidR="00516959" w:rsidRPr="00884A5F" w:rsidRDefault="00516959" w:rsidP="00516959">
      <w:r w:rsidRPr="00884A5F">
        <w:t>As a result, in In re Deuel the Federal Circuit established what was generally assumed to be a very low obviousness bar for DNA inventions. (310) The holding in Deuel was somewhat ambiguous, but by and large, patent practitioners and the PTO interpreted it as establishing that a cDNA molecule is not obvious unless the prior art discloses the DNA sequence or a substantially similar sequence. (311) Significantly, under the dominant interpretation of the case, prior art knowledge of a protein was deemed insufficient to render the corresponding cDNA obvious, no matter how well-established the methodology for using a protein to isolate the corresponding cDNA. (312) Of course, as noted above, the Federal Circuit recently in In re Kubin appears to have implicitly overruled this interpretation, essentially limiting that decision to its facts. Nonetheless, the example illustrates the potential for the PTO to promote early judicial review of important questions of patentability by implementing a policy of "when in doubt, reject."</w:t>
      </w:r>
    </w:p>
    <w:p w14:paraId="2377CC88" w14:textId="77777777" w:rsidR="00516959" w:rsidRPr="00884A5F" w:rsidRDefault="00516959" w:rsidP="00516959">
      <w:pPr>
        <w:rPr>
          <w:u w:val="single"/>
        </w:rPr>
      </w:pPr>
      <w:r w:rsidRPr="00884A5F">
        <w:t>Another example can be seen with respect to expressed sequence tag (EST) sequences</w:t>
      </w:r>
      <w:r w:rsidRPr="00884A5F">
        <w:rPr>
          <w:u w:val="single"/>
        </w:rPr>
        <w:t>. The PTO implemented utility guidelines and began rejecting claims to EST sequences for which the patent specification failed to identify any "specific, substantial, and credible" utility</w:t>
      </w:r>
      <w:r w:rsidRPr="00884A5F">
        <w:t xml:space="preserve">. (313) </w:t>
      </w:r>
      <w:r w:rsidRPr="00884A5F">
        <w:rPr>
          <w:u w:val="single"/>
        </w:rPr>
        <w:t xml:space="preserve">This policy </w:t>
      </w:r>
      <w:r w:rsidRPr="00884A5F">
        <w:rPr>
          <w:rStyle w:val="Emphasis"/>
        </w:rPr>
        <w:t>was challenged</w:t>
      </w:r>
      <w:r w:rsidRPr="00884A5F">
        <w:rPr>
          <w:u w:val="single"/>
        </w:rPr>
        <w:t xml:space="preserve"> in In re Fisher, a decision in which the Federal Circuit sided with the PTO and backed its interpretation of the utility requirement</w:t>
      </w:r>
      <w:r w:rsidRPr="00884A5F">
        <w:t xml:space="preserve">, as applied to this important category of putatively patentable subject matter. (314) Again, </w:t>
      </w:r>
      <w:r w:rsidRPr="00884A5F">
        <w:rPr>
          <w:u w:val="single"/>
        </w:rPr>
        <w:t>the PTO facilitated early resolution of this issue in the courts.</w:t>
      </w:r>
    </w:p>
    <w:p w14:paraId="45EE4052" w14:textId="77777777" w:rsidR="00516959" w:rsidRPr="00884A5F" w:rsidRDefault="00516959" w:rsidP="00516959">
      <w:pPr>
        <w:rPr>
          <w:rStyle w:val="Emphasis"/>
        </w:rPr>
      </w:pPr>
      <w:r w:rsidRPr="00884A5F">
        <w:t xml:space="preserve">The PTO also has some limited ability to affect change in the patent laws by issuing rules and guidelines, as stakeholders are allowed input through the mechanism of notice and comment. </w:t>
      </w:r>
      <w:r w:rsidRPr="00884A5F">
        <w:rPr>
          <w:u w:val="single"/>
        </w:rPr>
        <w:t xml:space="preserve">Importantly, the PTO can and does implement these changes prospectively, thereby </w:t>
      </w:r>
      <w:r w:rsidRPr="00884A5F">
        <w:rPr>
          <w:rStyle w:val="Emphasis"/>
        </w:rPr>
        <w:t xml:space="preserve">avoiding the unfairness </w:t>
      </w:r>
      <w:r w:rsidRPr="00884A5F">
        <w:rPr>
          <w:u w:val="single"/>
        </w:rPr>
        <w:t xml:space="preserve">of </w:t>
      </w:r>
      <w:r w:rsidRPr="00884A5F">
        <w:rPr>
          <w:rStyle w:val="Emphasis"/>
        </w:rPr>
        <w:t>retroactive application of the laws.</w:t>
      </w:r>
    </w:p>
    <w:p w14:paraId="60265C22" w14:textId="77777777" w:rsidR="00516959" w:rsidRPr="00884A5F" w:rsidRDefault="00516959" w:rsidP="00516959">
      <w:r w:rsidRPr="00884A5F">
        <w:t>For example</w:t>
      </w:r>
      <w:r w:rsidRPr="00884A5F">
        <w:rPr>
          <w:u w:val="single"/>
        </w:rPr>
        <w:t>, in 2009 the PTO attempted to address what it perceived to be an abuse of continuation practice by instituting its now infamous "continuation rules</w:t>
      </w:r>
      <w:r w:rsidRPr="00884A5F">
        <w:t xml:space="preserve">." (315) </w:t>
      </w:r>
      <w:r w:rsidRPr="00884A5F">
        <w:rPr>
          <w:u w:val="single"/>
        </w:rPr>
        <w:t>These rules were flawed</w:t>
      </w:r>
      <w:r w:rsidRPr="00884A5F">
        <w:t xml:space="preserve"> in many respects, </w:t>
      </w:r>
      <w:r w:rsidRPr="00884A5F">
        <w:rPr>
          <w:u w:val="single"/>
        </w:rPr>
        <w:t>and stakeholders wasted little time before challenging their legitimacy in district court. (</w:t>
      </w:r>
      <w:r w:rsidRPr="00884A5F">
        <w:t>316) The district court struck down the rules, holding that they were substantive and thus exceeded the scope of the PTO's rulemaking authority. (317) I</w:t>
      </w:r>
      <w:r w:rsidRPr="00884A5F">
        <w:rPr>
          <w:u w:val="single"/>
        </w:rPr>
        <w:t xml:space="preserve">n response to this negative ruling in the courts, as well as the strong backlash from the patent community, the PTO </w:t>
      </w:r>
      <w:r w:rsidRPr="00884A5F">
        <w:rPr>
          <w:rStyle w:val="Emphasis"/>
        </w:rPr>
        <w:t>rescinded the rules</w:t>
      </w:r>
      <w:r w:rsidRPr="00884A5F">
        <w:rPr>
          <w:u w:val="single"/>
        </w:rPr>
        <w:t>. (318)</w:t>
      </w:r>
    </w:p>
    <w:p w14:paraId="3AA97618" w14:textId="77777777" w:rsidR="00516959" w:rsidRPr="00884A5F" w:rsidRDefault="00516959" w:rsidP="00516959">
      <w:r w:rsidRPr="00884A5F">
        <w:t xml:space="preserve">Although the substance of the continuation rules was problematic, there is still something to commend the use of PTO rulemaking to accomplish changes in patent law. For example, </w:t>
      </w:r>
      <w:r w:rsidRPr="00884A5F">
        <w:rPr>
          <w:u w:val="single"/>
        </w:rPr>
        <w:t>at least the continuation rules took into account the problem of retroactivity, by specifying that some of the rule changes would not be made applicable to certain patent applications filed prior to enactment of the rules.</w:t>
      </w:r>
      <w:r w:rsidRPr="00884A5F">
        <w:t xml:space="preserve"> (319) When first proposed, the rules were open to public comment, which the PTO considered, at least facially. (320) </w:t>
      </w:r>
      <w:r w:rsidRPr="00884A5F">
        <w:rPr>
          <w:u w:val="single"/>
        </w:rPr>
        <w:t>Further more, the availability of judicial review allowed stakeholders the opportunity to compel the PTO to rescind the rules in a relatively expedited manner.</w:t>
      </w:r>
    </w:p>
    <w:p w14:paraId="12244639" w14:textId="77777777" w:rsidR="00516959" w:rsidRPr="00884A5F" w:rsidRDefault="00516959" w:rsidP="00516959">
      <w:r w:rsidRPr="00884A5F">
        <w:rPr>
          <w:u w:val="single"/>
        </w:rPr>
        <w:t>A major stumbling block to the PTO taking a more active role in the evolution of patent law is that the patent statute limits the PTO's rulemaking authority to matters of procedure.</w:t>
      </w:r>
      <w:r w:rsidRPr="00884A5F">
        <w:t xml:space="preserve"> (321) </w:t>
      </w:r>
      <w:r w:rsidRPr="00884A5F">
        <w:rPr>
          <w:u w:val="single"/>
        </w:rPr>
        <w:t xml:space="preserve">An earlier version of patent reform legislation would have provided the PTO with </w:t>
      </w:r>
      <w:r w:rsidRPr="00884A5F">
        <w:rPr>
          <w:rStyle w:val="Emphasis"/>
        </w:rPr>
        <w:t>substantive rulemaking authority</w:t>
      </w:r>
      <w:r w:rsidRPr="00884A5F">
        <w:t>. (322) After the continuation rules fiasco, many pointed to it as evidence that the PTO is not to be trusted with such authority, and the current patent reform legislation does not include any such provisions. (323)</w:t>
      </w:r>
    </w:p>
    <w:p w14:paraId="14A6A179" w14:textId="77777777" w:rsidR="00516959" w:rsidRPr="00884A5F" w:rsidRDefault="00516959" w:rsidP="00516959">
      <w:pPr>
        <w:rPr>
          <w:rStyle w:val="Emphasis"/>
        </w:rPr>
      </w:pPr>
      <w:r w:rsidRPr="00884A5F">
        <w:t xml:space="preserve">However, one must bear in mind that, in its continuation rules, </w:t>
      </w:r>
      <w:r w:rsidRPr="00884A5F">
        <w:rPr>
          <w:u w:val="single"/>
        </w:rPr>
        <w:t>the PTO appears to have been attempting to address the very real policy concerns associated with "late claiming,"</w:t>
      </w:r>
      <w:r w:rsidRPr="00884A5F">
        <w:t xml:space="preserve"> i.e., the practice of adding claims directed to previously unclaimed subject matter years after the effective filing date of a patent application. (324</w:t>
      </w:r>
      <w:r w:rsidRPr="00884A5F">
        <w:rPr>
          <w:u w:val="single"/>
        </w:rPr>
        <w:t>) Knowing that it lacked statutory authority to make substantive changes in the patent laws, I suspect that the PTO issued the continuation rules in an attempt to rein in "late claiming" under the guise of a procedural change to continuation practice</w:t>
      </w:r>
      <w:r w:rsidRPr="00884A5F">
        <w:t xml:space="preserve">. (325) The resulting rules were highly flawed, </w:t>
      </w:r>
      <w:r w:rsidRPr="00884A5F">
        <w:rPr>
          <w:u w:val="single"/>
        </w:rPr>
        <w:t xml:space="preserve">but perhaps if the PTO had the authority </w:t>
      </w:r>
      <w:r w:rsidRPr="00884A5F">
        <w:rPr>
          <w:rStyle w:val="Emphasis"/>
        </w:rPr>
        <w:t>to implement statutory change</w:t>
      </w:r>
      <w:r w:rsidRPr="00884A5F">
        <w:rPr>
          <w:u w:val="single"/>
        </w:rPr>
        <w:t xml:space="preserve">, it could have </w:t>
      </w:r>
      <w:r w:rsidRPr="00884A5F">
        <w:rPr>
          <w:rStyle w:val="Emphasis"/>
        </w:rPr>
        <w:t>addressed the matter head-on</w:t>
      </w:r>
      <w:r w:rsidRPr="00884A5F">
        <w:rPr>
          <w:u w:val="single"/>
        </w:rPr>
        <w:t xml:space="preserve">, and </w:t>
      </w:r>
      <w:r w:rsidRPr="00884A5F">
        <w:rPr>
          <w:rStyle w:val="Emphasis"/>
        </w:rPr>
        <w:t>more competently.</w:t>
      </w:r>
      <w:r w:rsidRPr="00884A5F">
        <w:t xml:space="preserve"> Furthermore, </w:t>
      </w:r>
      <w:r w:rsidRPr="00884A5F">
        <w:rPr>
          <w:u w:val="single"/>
        </w:rPr>
        <w:t xml:space="preserve">if Congress were to </w:t>
      </w:r>
      <w:r w:rsidRPr="00884A5F">
        <w:rPr>
          <w:rStyle w:val="Emphasis"/>
        </w:rPr>
        <w:t>give the PTO the statutory authority</w:t>
      </w:r>
      <w:r w:rsidRPr="00884A5F">
        <w:rPr>
          <w:u w:val="single"/>
        </w:rPr>
        <w:t xml:space="preserve"> for substantive </w:t>
      </w:r>
      <w:r w:rsidRPr="00884A5F">
        <w:rPr>
          <w:rStyle w:val="Emphasis"/>
        </w:rPr>
        <w:t>rulemaking</w:t>
      </w:r>
      <w:r w:rsidRPr="00884A5F">
        <w:rPr>
          <w:u w:val="single"/>
        </w:rPr>
        <w:t xml:space="preserve">, the PTO might very well </w:t>
      </w:r>
      <w:r w:rsidRPr="00884A5F">
        <w:rPr>
          <w:rStyle w:val="Emphasis"/>
        </w:rPr>
        <w:t>evolve the institutional competency</w:t>
      </w:r>
      <w:r w:rsidRPr="00884A5F">
        <w:rPr>
          <w:u w:val="single"/>
        </w:rPr>
        <w:t xml:space="preserve"> to </w:t>
      </w:r>
      <w:r w:rsidRPr="00884A5F">
        <w:rPr>
          <w:rStyle w:val="Emphasis"/>
        </w:rPr>
        <w:t>better tackle its important new role.</w:t>
      </w:r>
    </w:p>
    <w:p w14:paraId="578D4B3D" w14:textId="77777777" w:rsidR="00516959" w:rsidRPr="00A41F85" w:rsidRDefault="00516959" w:rsidP="00516959"/>
    <w:p w14:paraId="628C4A69" w14:textId="77777777" w:rsidR="00516959" w:rsidRDefault="00516959" w:rsidP="00516959">
      <w:pPr>
        <w:pStyle w:val="Heading4"/>
        <w:rPr>
          <w:u w:val="single"/>
        </w:rPr>
      </w:pPr>
      <w:r>
        <w:t>Disagreeable judges say “tough luck.”</w:t>
      </w:r>
    </w:p>
    <w:p w14:paraId="3B0F8386" w14:textId="77777777" w:rsidR="00516959" w:rsidRPr="002F7188" w:rsidRDefault="00516959" w:rsidP="00516959">
      <w:r w:rsidRPr="002F7188">
        <w:rPr>
          <w:b/>
          <w:bCs/>
          <w:sz w:val="26"/>
          <w:szCs w:val="26"/>
        </w:rPr>
        <w:t>Quinn 19</w:t>
      </w:r>
      <w:r>
        <w:t xml:space="preserve"> - </w:t>
      </w:r>
      <w:r w:rsidRPr="002F7188">
        <w:t>a Patent Attorney and Editor and President &amp; CEO of</w:t>
      </w:r>
      <w:r>
        <w:t xml:space="preserve"> </w:t>
      </w:r>
      <w:r w:rsidRPr="002F7188">
        <w:t>IPWatchdog, Inc.</w:t>
      </w:r>
      <w:r>
        <w:t>, (Gene, “</w:t>
      </w:r>
      <w:r w:rsidRPr="002F7188">
        <w:t>It May Be Time to Abolish the Federal Circuit</w:t>
      </w:r>
      <w:r>
        <w:t xml:space="preserve">,” </w:t>
      </w:r>
      <w:r>
        <w:rPr>
          <w:i/>
          <w:iCs/>
        </w:rPr>
        <w:t>IP Watchdog</w:t>
      </w:r>
      <w:r>
        <w:t xml:space="preserve">, 7-9-19, </w:t>
      </w:r>
      <w:hyperlink r:id="rId349" w:history="1">
        <w:r w:rsidRPr="00DC67D3">
          <w:rPr>
            <w:rStyle w:val="Hyperlink"/>
          </w:rPr>
          <w:t>https://www.ipwatchdog.com/2019/07/09/may-time-abolish-federal-circuit/id=111122/</w:t>
        </w:r>
      </w:hyperlink>
      <w:r>
        <w:t>, Accessed 7-4-20, LASA-AH)</w:t>
      </w:r>
    </w:p>
    <w:p w14:paraId="5D357C4D" w14:textId="77777777" w:rsidR="00516959" w:rsidRDefault="00516959" w:rsidP="00516959">
      <w:r>
        <w:t>Luck of the Draw</w:t>
      </w:r>
    </w:p>
    <w:p w14:paraId="67EE80E5" w14:textId="77777777" w:rsidR="00516959" w:rsidRDefault="00516959" w:rsidP="00516959">
      <w:r>
        <w:t xml:space="preserve">You know </w:t>
      </w:r>
      <w:r w:rsidRPr="00351CA5">
        <w:rPr>
          <w:u w:val="single"/>
        </w:rPr>
        <w:t>when you’re a patent owner and Judge Dyk and Judge Mayer are on the panel together that you should probably just throw in the towel and save the 30 minutes of billable time</w:t>
      </w:r>
      <w:r>
        <w:t xml:space="preserve">. And there are other combinations of judges on various issues that have become predictably ideological in their rulings. Of course, </w:t>
      </w:r>
      <w:r w:rsidRPr="00351CA5">
        <w:rPr>
          <w:u w:val="single"/>
        </w:rPr>
        <w:t>that predictability once you know the panel leads to tremendous uncertainty because if you draw the right panel of judges, you win</w:t>
      </w:r>
      <w:r>
        <w:t xml:space="preserve">. So, it is hard to feel for the case load the Federal Circuit has; </w:t>
      </w:r>
      <w:r w:rsidRPr="00351CA5">
        <w:rPr>
          <w:u w:val="single"/>
        </w:rPr>
        <w:t xml:space="preserve">they have created it for themselves by refusing time and time again to work together to bring certainty to patent laws. </w:t>
      </w:r>
      <w:r>
        <w:t>Panels do not follow precedent from other panels, and panels don’t even follow en banc decisions. Witness the mockery certain panels are making of secondary considerations despite an alleged binding en banc decision in Apple v. Samsung, 839 F.3d 1034 (2016) saying secondary considerations are often the single most important of the four-factor obviousness test.</w:t>
      </w:r>
    </w:p>
    <w:p w14:paraId="43D3B2C0" w14:textId="77777777" w:rsidR="00516959" w:rsidRDefault="00516959" w:rsidP="00516959">
      <w:r>
        <w:t xml:space="preserve">The state of patent law in America is this: </w:t>
      </w:r>
      <w:r w:rsidRPr="00351CA5">
        <w:rPr>
          <w:u w:val="single"/>
        </w:rPr>
        <w:t xml:space="preserve">You might as well appeal because if you get lucky and draw the right panel you will win. </w:t>
      </w:r>
      <w:r>
        <w:t xml:space="preserve">And like it or not, that is </w:t>
      </w:r>
      <w:r w:rsidRPr="00351CA5">
        <w:rPr>
          <w:u w:val="single"/>
        </w:rPr>
        <w:t>precisely what our patent justice system has become under the Federal Circuit. A crapshoot</w:t>
      </w:r>
      <w:r>
        <w:t>. And we all know it to be true.</w:t>
      </w:r>
    </w:p>
    <w:p w14:paraId="2B7D3642" w14:textId="77777777" w:rsidR="00516959" w:rsidRDefault="00516959" w:rsidP="00516959">
      <w:r w:rsidRPr="00351CA5">
        <w:rPr>
          <w:u w:val="single"/>
        </w:rPr>
        <w:t>The current state of utter disarray at the Federal Circuit, with panels doing whatever they want, judges not agreeing on anything, and ignoring en banc decisions as if they never happened isn’t what the Federal Circuit is meant to have become. The Federal Circuit is a disaster and the collective unwillingness of the judges to come together is making a mockery of an institution that is a critical piece in the U.S. innovation system</w:t>
      </w:r>
      <w:r>
        <w:t>. Indeed, the fact that the Federal Circuit is absent and unwilling to provide predictability and certainty, which literally was their only job, is why so many people are turning to Congress to solve the problems of the patent system.</w:t>
      </w:r>
    </w:p>
    <w:p w14:paraId="7D9758E4" w14:textId="77777777" w:rsidR="00516959" w:rsidRPr="002F7188" w:rsidRDefault="00516959" w:rsidP="00516959">
      <w:pPr>
        <w:rPr>
          <w:u w:val="single"/>
        </w:rPr>
      </w:pPr>
      <w:r>
        <w:t xml:space="preserve">The Federal Circuit is the entity within our system that the patent community has turned to for help since 1982, but they are not present currently. </w:t>
      </w:r>
      <w:r w:rsidRPr="00351CA5">
        <w:rPr>
          <w:u w:val="single"/>
        </w:rPr>
        <w:t xml:space="preserve">The Federal Circuit is </w:t>
      </w:r>
      <w:r w:rsidRPr="00351CA5">
        <w:rPr>
          <w:rStyle w:val="Emphasis"/>
        </w:rPr>
        <w:t>so afraid of being overturned</w:t>
      </w:r>
      <w:r w:rsidRPr="00351CA5">
        <w:rPr>
          <w:u w:val="single"/>
        </w:rPr>
        <w:t xml:space="preserve"> by the Supreme Court that they have lost their ability to distinguish even easily distinguishable cases</w:t>
      </w:r>
      <w:r>
        <w:t xml:space="preserve">. After all, Mayo dealt with an exceptionally poor claim where the Supreme Court took a shortcut using 101 instead of using 102 or 103. </w:t>
      </w:r>
      <w:r w:rsidRPr="00351CA5">
        <w:rPr>
          <w:u w:val="single"/>
        </w:rPr>
        <w:t>In Alice, they were told by the patentee’s attorney it was a trivial piece of software that could be coded over a weekend by a college student</w:t>
      </w:r>
      <w:r>
        <w:t>. These cases are easily distinguishable from any life sciences innovation of consequence or something like artificial intelligence or autonomous driving, for example. Yet</w:t>
      </w:r>
      <w:r w:rsidRPr="00351CA5">
        <w:rPr>
          <w:u w:val="single"/>
        </w:rPr>
        <w:t>, the Federal Circuit has expansively read these cases despite the explicit language of the Supreme Court telling them to narrowly read the cases lest all of patent law would be swallowed.</w:t>
      </w:r>
    </w:p>
    <w:p w14:paraId="323A17A4" w14:textId="77777777" w:rsidR="00516959" w:rsidRPr="002F7188" w:rsidRDefault="00516959" w:rsidP="00516959">
      <w:pPr>
        <w:pStyle w:val="Heading4"/>
      </w:pPr>
      <w:r>
        <w:t xml:space="preserve">The current state of the Federal Circuit is a </w:t>
      </w:r>
      <w:r>
        <w:rPr>
          <w:u w:val="single"/>
        </w:rPr>
        <w:t>disaster</w:t>
      </w:r>
      <w:r>
        <w:t xml:space="preserve"> and kills the </w:t>
      </w:r>
      <w:r>
        <w:rPr>
          <w:u w:val="single"/>
        </w:rPr>
        <w:t>vast majority</w:t>
      </w:r>
      <w:r>
        <w:t xml:space="preserve"> of patents</w:t>
      </w:r>
    </w:p>
    <w:p w14:paraId="79A9CF4F" w14:textId="77777777" w:rsidR="00516959" w:rsidRPr="002F7188" w:rsidRDefault="00516959" w:rsidP="00516959">
      <w:r w:rsidRPr="002F7188">
        <w:rPr>
          <w:b/>
          <w:bCs/>
          <w:sz w:val="26"/>
          <w:szCs w:val="26"/>
        </w:rPr>
        <w:t>Quinn 19</w:t>
      </w:r>
      <w:r>
        <w:t xml:space="preserve"> - </w:t>
      </w:r>
      <w:r w:rsidRPr="002F7188">
        <w:t>a Patent Attorney and Editor and President &amp; CEO of</w:t>
      </w:r>
      <w:r>
        <w:t xml:space="preserve"> </w:t>
      </w:r>
      <w:r w:rsidRPr="002F7188">
        <w:t>IPWatchdog, Inc.</w:t>
      </w:r>
      <w:r>
        <w:t>, (Gene, “</w:t>
      </w:r>
      <w:r w:rsidRPr="002F7188">
        <w:t>It May Be Time to Abolish the Federal Circuit</w:t>
      </w:r>
      <w:r>
        <w:t xml:space="preserve">,” </w:t>
      </w:r>
      <w:r>
        <w:rPr>
          <w:i/>
          <w:iCs/>
        </w:rPr>
        <w:t>IP Watchdog</w:t>
      </w:r>
      <w:r>
        <w:t xml:space="preserve">, 7-9-19, </w:t>
      </w:r>
      <w:hyperlink r:id="rId350" w:history="1">
        <w:r w:rsidRPr="00DC67D3">
          <w:rPr>
            <w:rStyle w:val="Hyperlink"/>
          </w:rPr>
          <w:t>https://www.ipwatchdog.com/2019/07/09/may-time-abolish-federal-circuit/id=111122/</w:t>
        </w:r>
      </w:hyperlink>
      <w:r>
        <w:t>, Accessed 7-4-20, LASA-AH)</w:t>
      </w:r>
    </w:p>
    <w:p w14:paraId="0282F6A6" w14:textId="77777777" w:rsidR="00516959" w:rsidRDefault="00516959" w:rsidP="00516959">
      <w:r>
        <w:t>A Handcuffed Court is a Useless Court</w:t>
      </w:r>
    </w:p>
    <w:p w14:paraId="753CF5F9" w14:textId="77777777" w:rsidR="00516959" w:rsidRDefault="00516959" w:rsidP="00516959">
      <w:r w:rsidRPr="002F7188">
        <w:rPr>
          <w:u w:val="single"/>
        </w:rPr>
        <w:t>The Federal Circuit has been absent.</w:t>
      </w:r>
      <w:r>
        <w:t xml:space="preserve"> </w:t>
      </w:r>
      <w:r w:rsidRPr="002F7188">
        <w:rPr>
          <w:u w:val="single"/>
        </w:rPr>
        <w:t xml:space="preserve">They have </w:t>
      </w:r>
      <w:r>
        <w:t xml:space="preserve">repeatedly </w:t>
      </w:r>
      <w:r w:rsidRPr="002F7188">
        <w:rPr>
          <w:u w:val="single"/>
        </w:rPr>
        <w:t>said they are</w:t>
      </w:r>
      <w:r>
        <w:t xml:space="preserve"> </w:t>
      </w:r>
      <w:r w:rsidRPr="002F7188">
        <w:rPr>
          <w:u w:val="single"/>
        </w:rPr>
        <w:t xml:space="preserve">handcuffed by Supreme Court decisions, which was </w:t>
      </w:r>
      <w:r w:rsidRPr="002F7188">
        <w:rPr>
          <w:rStyle w:val="Emphasis"/>
        </w:rPr>
        <w:t>simply not true</w:t>
      </w:r>
      <w:r w:rsidRPr="002F7188">
        <w:rPr>
          <w:u w:val="single"/>
        </w:rPr>
        <w:t xml:space="preserve">. </w:t>
      </w:r>
      <w:r>
        <w:t xml:space="preserve">They have, however, said it so many times that they have now effectively handcuffed themselves and the entire industry. So, that being the case, </w:t>
      </w:r>
      <w:r w:rsidRPr="002F7188">
        <w:rPr>
          <w:rStyle w:val="Emphasis"/>
        </w:rPr>
        <w:t>why do we need the Federal Circuit?</w:t>
      </w:r>
      <w:r>
        <w:t xml:space="preserve"> </w:t>
      </w:r>
      <w:r w:rsidRPr="002F7188">
        <w:rPr>
          <w:u w:val="single"/>
        </w:rPr>
        <w:t>If the Federal Circuit is going to expansively read Supreme Court precedent, ignore Supreme Court warnings not to swallow all of patent law whole, and kill 90% or more of the software patents they see</w:t>
      </w:r>
      <w:r>
        <w:t xml:space="preserve"> (i.e., when you consider the Rule 36 affirmances) </w:t>
      </w:r>
      <w:r w:rsidRPr="002F7188">
        <w:rPr>
          <w:u w:val="single"/>
        </w:rPr>
        <w:t>and virtually all of the medical diagnostics patents,</w:t>
      </w:r>
      <w:r>
        <w:t xml:space="preserve"> what role does the Federal Circuit really play?</w:t>
      </w:r>
    </w:p>
    <w:p w14:paraId="3EB55017" w14:textId="77777777" w:rsidR="00516959" w:rsidRDefault="00516959" w:rsidP="00516959">
      <w:r>
        <w:t xml:space="preserve">At a time when over </w:t>
      </w:r>
      <w:r w:rsidRPr="002F7188">
        <w:rPr>
          <w:u w:val="single"/>
        </w:rPr>
        <w:t xml:space="preserve">60% of all patented innovation in the U.S. is software related, </w:t>
      </w:r>
      <w:r>
        <w:t>we have all that same uncertainty and absolute predictability of patent hating from the regional circuits of yesteryear.</w:t>
      </w:r>
    </w:p>
    <w:p w14:paraId="4CCE4BDC" w14:textId="77777777" w:rsidR="00516959" w:rsidRPr="002F7188" w:rsidRDefault="00516959" w:rsidP="00516959">
      <w:pPr>
        <w:rPr>
          <w:u w:val="single"/>
        </w:rPr>
      </w:pPr>
      <w:r>
        <w:t xml:space="preserve">“To best serve its critical role in a free society, </w:t>
      </w:r>
      <w:r w:rsidRPr="002F7188">
        <w:rPr>
          <w:u w:val="single"/>
        </w:rPr>
        <w:t>the law must be understandable, uniform, reliable, and consistent with the intent of the people’s representatives who enacted it,”</w:t>
      </w:r>
      <w:r>
        <w:t xml:space="preserve"> wrote Chief Judge Markey as he reflected on the first ten years of the Federal Circuit. “To the maximum extent achievable by human beings</w:t>
      </w:r>
      <w:r w:rsidRPr="002F7188">
        <w:rPr>
          <w:u w:val="single"/>
        </w:rPr>
        <w:t>, it can fairly be said that the law entrusted to the Court of Appeals for the Federal Circuit fully meets those criteria.”</w:t>
      </w:r>
    </w:p>
    <w:p w14:paraId="21411808" w14:textId="77777777" w:rsidR="00516959" w:rsidRDefault="00516959" w:rsidP="00516959">
      <w:r>
        <w:t xml:space="preserve">Chief Judge Markey was correct. In the first decade, the Federal Circuit did faithfully administer and create an understandable, uniform, reliable and consistent set of patent laws as directed in the Congressional charter. </w:t>
      </w:r>
      <w:r w:rsidRPr="002F7188">
        <w:rPr>
          <w:u w:val="single"/>
        </w:rPr>
        <w:t>Over the last decade</w:t>
      </w:r>
      <w:r>
        <w:t>, however</w:t>
      </w:r>
      <w:r w:rsidRPr="002F7188">
        <w:rPr>
          <w:u w:val="single"/>
        </w:rPr>
        <w:t>, the Federal Circuit has failed miserably at delivering on Congressional intent to bring uniformity and reliability to the patent laws.</w:t>
      </w:r>
      <w:r>
        <w:t xml:space="preserve"> That is why Congress must step in and fix the myriad problems we once looked to the Federal Circuit to address.</w:t>
      </w:r>
    </w:p>
    <w:p w14:paraId="5943ADF7" w14:textId="77777777" w:rsidR="00516959" w:rsidRPr="00A41F85" w:rsidRDefault="00516959" w:rsidP="00516959">
      <w:pPr>
        <w:pStyle w:val="Heading4"/>
      </w:pPr>
      <w:r>
        <w:t xml:space="preserve">Circuits are </w:t>
      </w:r>
      <w:r>
        <w:rPr>
          <w:u w:val="single"/>
        </w:rPr>
        <w:t>too slow</w:t>
      </w:r>
      <w:r>
        <w:t xml:space="preserve"> and </w:t>
      </w:r>
      <w:r>
        <w:rPr>
          <w:u w:val="single"/>
        </w:rPr>
        <w:t>incompetent</w:t>
      </w:r>
      <w:r>
        <w:t>.</w:t>
      </w:r>
    </w:p>
    <w:p w14:paraId="1475CC60" w14:textId="77777777" w:rsidR="00516959" w:rsidRPr="00610CAC" w:rsidRDefault="00516959" w:rsidP="00516959">
      <w:r w:rsidRPr="003302D6">
        <w:rPr>
          <w:b/>
          <w:bCs/>
          <w:sz w:val="26"/>
          <w:szCs w:val="26"/>
        </w:rPr>
        <w:t>Holman 11</w:t>
      </w:r>
      <w:r>
        <w:t xml:space="preserve"> - </w:t>
      </w:r>
      <w:r w:rsidRPr="003302D6">
        <w:t>University of Missouri - Kansas City School of Law</w:t>
      </w:r>
      <w:r>
        <w:t>, (Christopher M., “</w:t>
      </w:r>
      <w:r w:rsidRPr="003302D6">
        <w:t>Unpredictability in patent law and its effect on pharmaceutical innovation</w:t>
      </w:r>
      <w:r>
        <w:t xml:space="preserve">,” </w:t>
      </w:r>
      <w:r w:rsidRPr="003302D6">
        <w:t>Missouri Law Review(Vol. 76, Issue 3)</w:t>
      </w:r>
      <w:r>
        <w:t xml:space="preserve">, Summer 2011, </w:t>
      </w:r>
      <w:hyperlink r:id="rId351" w:history="1">
        <w:r w:rsidRPr="00DC67D3">
          <w:rPr>
            <w:rStyle w:val="Hyperlink"/>
          </w:rPr>
          <w:t>https://www.researchgate.net/publication/265179404_Unpredictability_in_Patent_Law_and_Its_Effect_on_Pharmaceutical_Innovation</w:t>
        </w:r>
      </w:hyperlink>
      <w:r>
        <w:t>, Accessed 7-4-20, LASA-AH)</w:t>
      </w:r>
    </w:p>
    <w:p w14:paraId="062E4B15" w14:textId="77777777" w:rsidR="00516959" w:rsidRPr="00884A5F" w:rsidRDefault="00516959" w:rsidP="00516959">
      <w:r w:rsidRPr="00884A5F">
        <w:t xml:space="preserve">A certain degree of unpredictability in patent law is inevitable, and perhaps even desirable. (278) In any event, </w:t>
      </w:r>
      <w:r w:rsidRPr="00884A5F">
        <w:rPr>
          <w:u w:val="single"/>
        </w:rPr>
        <w:t>there is a necessary trade-off between predictability and fairness</w:t>
      </w:r>
      <w:r w:rsidRPr="00884A5F">
        <w:t>, and overly rigid rules can be unfair not only to inventors, as exemplified by the wooden application of a bright line rule in Sun Pharmaceutical, but also to potential infringers and the public at large. (279</w:t>
      </w:r>
      <w:r w:rsidRPr="00884A5F">
        <w:rPr>
          <w:u w:val="single"/>
        </w:rPr>
        <w:t>) It is difficult to anticipate ex ante all of the complex factual scenarios that can arise in the course of innovation and commercialization, and the Supreme Court and Congress have historically shown a marked preference for flexible standards</w:t>
      </w:r>
      <w:r w:rsidRPr="00884A5F">
        <w:t xml:space="preserve"> that allow the courts sufficient discretion to arrive at the "correct" outcome on a case-by-case basis, at the expense of more bright line rules that favor predictability. In the majority of cases, it seems to me that the courts make appropriate use of this discretion.</w:t>
      </w:r>
    </w:p>
    <w:p w14:paraId="39030DB1" w14:textId="77777777" w:rsidR="00516959" w:rsidRPr="00884A5F" w:rsidRDefault="00516959" w:rsidP="00516959">
      <w:r w:rsidRPr="00884A5F">
        <w:rPr>
          <w:u w:val="single"/>
        </w:rPr>
        <w:t>Much more problematic is the unpredictability that arises out of the two other sources discussed above: delayed resolution of important and definable ambiguities in the law and retroactive applications of new interpretations of the law</w:t>
      </w:r>
      <w:r w:rsidRPr="00884A5F">
        <w:t xml:space="preserve">. This unpredictability, in contrast with the unpredictability inherent in the use of flexible standards, does not have any compensating positive attributes. </w:t>
      </w:r>
      <w:r w:rsidRPr="00884A5F">
        <w:rPr>
          <w:u w:val="single"/>
        </w:rPr>
        <w:t>In a better patent system, important questions of patent law, such as whether or not section 102(g) prior art can be used to render an invention obvious under section 103, if the best mode must be updated in a continuing application</w:t>
      </w:r>
      <w:r w:rsidRPr="00884A5F">
        <w:t>, whether isolated biomolecules are patent eligible, or the quantum of data necessary to establish patentable utility for chemical compound, would all be answered sooner rather than later. And when patent law evolves, or new doctrines are developed, in many cases it would be better to only apply the change prospectively, in a manner that permits change but at the same time protects the investment backed expectations of patent owners.</w:t>
      </w:r>
    </w:p>
    <w:p w14:paraId="45310775" w14:textId="77777777" w:rsidR="00516959" w:rsidRPr="00805A42" w:rsidRDefault="00516959" w:rsidP="00516959">
      <w:r w:rsidRPr="00884A5F">
        <w:rPr>
          <w:u w:val="single"/>
        </w:rPr>
        <w:t xml:space="preserve">Much of the problematic uncertainty in patent law stems from the fact that the courts, </w:t>
      </w:r>
      <w:r w:rsidRPr="00884A5F">
        <w:rPr>
          <w:rStyle w:val="Emphasis"/>
        </w:rPr>
        <w:t>primarily the Federal Circuit,</w:t>
      </w:r>
      <w:r w:rsidRPr="00884A5F">
        <w:rPr>
          <w:u w:val="single"/>
        </w:rPr>
        <w:t xml:space="preserve"> have taken on the leading role in creating U.S. patent law</w:t>
      </w:r>
      <w:r w:rsidRPr="00884A5F">
        <w:t xml:space="preserve">. (280) While </w:t>
      </w:r>
      <w:r w:rsidRPr="00884A5F">
        <w:rPr>
          <w:u w:val="single"/>
        </w:rPr>
        <w:t xml:space="preserve">the courts are </w:t>
      </w:r>
      <w:r w:rsidRPr="00884A5F">
        <w:t xml:space="preserve">well-suited to creating standards and applying them fairly on a case-by-case basis in a manner that furthers public policy, they are </w:t>
      </w:r>
      <w:r w:rsidRPr="00884A5F">
        <w:rPr>
          <w:u w:val="single"/>
        </w:rPr>
        <w:t xml:space="preserve">often ill-equipped to resolve important questions in </w:t>
      </w:r>
      <w:r w:rsidRPr="00884A5F">
        <w:rPr>
          <w:rStyle w:val="Emphasis"/>
        </w:rPr>
        <w:t>a timely manner</w:t>
      </w:r>
      <w:r w:rsidRPr="00884A5F">
        <w:t>, and by their nature changes in the law that originate in the courts are applied retroactively to patents prosecuted and issued prior to the change in law. (281) After all, courts can only address legal questions that are presented to them and are generally not permitted to issue advisory opinions.</w:t>
      </w:r>
    </w:p>
    <w:p w14:paraId="04F7EA46" w14:textId="77777777" w:rsidR="00516959" w:rsidRDefault="00516959" w:rsidP="00516959">
      <w:pPr>
        <w:pStyle w:val="Heading3"/>
      </w:pPr>
      <w:r>
        <w:t>2NC – IL – Court Clog</w:t>
      </w:r>
    </w:p>
    <w:p w14:paraId="35E33FF2" w14:textId="77777777" w:rsidR="00516959" w:rsidRDefault="00516959" w:rsidP="00516959">
      <w:pPr>
        <w:pStyle w:val="Heading4"/>
      </w:pPr>
      <w:r>
        <w:t xml:space="preserve">Removing Chevron deference </w:t>
      </w:r>
      <w:r>
        <w:rPr>
          <w:u w:val="single"/>
        </w:rPr>
        <w:t>increases</w:t>
      </w:r>
      <w:r>
        <w:t xml:space="preserve"> the number of cases in judicial circuits.</w:t>
      </w:r>
    </w:p>
    <w:p w14:paraId="6A18E973" w14:textId="77777777" w:rsidR="00516959" w:rsidRPr="00DC1DC6" w:rsidRDefault="00516959" w:rsidP="00516959">
      <w:r w:rsidRPr="00DC1DC6">
        <w:rPr>
          <w:b/>
          <w:bCs/>
          <w:sz w:val="26"/>
          <w:szCs w:val="26"/>
        </w:rPr>
        <w:t>Raso 17</w:t>
      </w:r>
      <w:r>
        <w:t xml:space="preserve"> - </w:t>
      </w:r>
      <w:r w:rsidRPr="00DC1DC6">
        <w:t>an attorney at the Securities and Exchange Commissio</w:t>
      </w:r>
      <w:r>
        <w:t>n, (Connor, “</w:t>
      </w:r>
      <w:r w:rsidRPr="00DC1DC6">
        <w:t>Congress may tell courts to ignore regulatory agencies’ reasoning, but will it matter?</w:t>
      </w:r>
      <w:r>
        <w:t xml:space="preserve">,” </w:t>
      </w:r>
      <w:r>
        <w:rPr>
          <w:i/>
          <w:iCs/>
        </w:rPr>
        <w:t>Brookings</w:t>
      </w:r>
      <w:r>
        <w:t xml:space="preserve">, 1-27-17, </w:t>
      </w:r>
      <w:hyperlink r:id="rId352" w:history="1">
        <w:r w:rsidRPr="00F9106D">
          <w:rPr>
            <w:rStyle w:val="Hyperlink"/>
          </w:rPr>
          <w:t>https://www.brookings.edu/research/congress-may-tell-courts-to-ignore-regulatory-agencies-reasoning-but-will-it-matter/</w:t>
        </w:r>
      </w:hyperlink>
      <w:r>
        <w:t>, Accessed 6-24-20, LASA-AH)</w:t>
      </w:r>
    </w:p>
    <w:p w14:paraId="58C0C601" w14:textId="77777777" w:rsidR="00516959" w:rsidRPr="00DC1DC6" w:rsidRDefault="00516959" w:rsidP="00516959">
      <w:pPr>
        <w:rPr>
          <w:u w:val="single"/>
        </w:rPr>
      </w:pPr>
      <w:r>
        <w:t xml:space="preserve">All of this suggests that SOPRA may not have a substantial impact on how courts review agency interpretations of statutes. But this is not inevitable. While much of the research on Chevron focuses on the Supreme </w:t>
      </w:r>
      <w:r w:rsidRPr="00012A58">
        <w:rPr>
          <w:u w:val="single"/>
        </w:rPr>
        <w:t>Court, recent research analyzing over 1500 circuit court decisions from 2003 to 2013 suggests that Chevron may have a greater impact on whether at least some lower federal appeals courts defer to agencies</w:t>
      </w:r>
      <w:r>
        <w:t xml:space="preserve">.[2] If that is the case, </w:t>
      </w:r>
      <w:r w:rsidRPr="00012A58">
        <w:rPr>
          <w:u w:val="single"/>
        </w:rPr>
        <w:t xml:space="preserve">then SOPRA could potentially </w:t>
      </w:r>
      <w:r w:rsidRPr="00012A58">
        <w:rPr>
          <w:rStyle w:val="Emphasis"/>
        </w:rPr>
        <w:t>reduce agency deference</w:t>
      </w:r>
      <w:r w:rsidRPr="00012A58">
        <w:rPr>
          <w:u w:val="single"/>
        </w:rPr>
        <w:t xml:space="preserve"> in some of the appeals courts</w:t>
      </w:r>
      <w:r>
        <w:t>, whose decisions are rarely reviewed by the Supreme Court</w:t>
      </w:r>
      <w:r w:rsidRPr="00DC1DC6">
        <w:rPr>
          <w:u w:val="single"/>
        </w:rPr>
        <w:t xml:space="preserve">. This </w:t>
      </w:r>
      <w:r w:rsidRPr="0059670C">
        <w:t>may</w:t>
      </w:r>
      <w:r w:rsidRPr="00DC1DC6">
        <w:rPr>
          <w:u w:val="single"/>
        </w:rPr>
        <w:t xml:space="preserve"> incentivize plaintiffs to engage in forum shopping by bringing cases in judicial circuits that are inclined to rule against agencies </w:t>
      </w:r>
      <w:r w:rsidRPr="0059670C">
        <w:t xml:space="preserve">more often </w:t>
      </w:r>
      <w:r w:rsidRPr="00DC1DC6">
        <w:rPr>
          <w:u w:val="single"/>
        </w:rPr>
        <w:t>such as the Fifth Circuit, which has blocked a number of recent Obama administration actions.</w:t>
      </w:r>
    </w:p>
    <w:p w14:paraId="7678FD69" w14:textId="77777777" w:rsidR="00516959" w:rsidRDefault="00516959" w:rsidP="00516959">
      <w:r w:rsidRPr="00012A58">
        <w:rPr>
          <w:u w:val="single"/>
        </w:rPr>
        <w:t xml:space="preserve">Reduced judicial deference to agencies could </w:t>
      </w:r>
      <w:r w:rsidRPr="00012A58">
        <w:rPr>
          <w:rStyle w:val="Emphasis"/>
        </w:rPr>
        <w:t>alter how agencies make policy</w:t>
      </w:r>
      <w:r>
        <w:t>. Faced with less deference and a greater prospect of being overturned in court</w:t>
      </w:r>
      <w:r w:rsidRPr="00DC1DC6">
        <w:rPr>
          <w:u w:val="single"/>
        </w:rPr>
        <w:t xml:space="preserve">, agencies </w:t>
      </w:r>
      <w:r w:rsidRPr="00DC1DC6">
        <w:t>might</w:t>
      </w:r>
      <w:r w:rsidRPr="00DC1DC6">
        <w:rPr>
          <w:u w:val="single"/>
        </w:rPr>
        <w:t xml:space="preserve"> invest fewer resources into interpreting statutes </w:t>
      </w:r>
      <w:r w:rsidRPr="00DC1DC6">
        <w:t>through resource-intensive rulemakings,</w:t>
      </w:r>
      <w:r w:rsidRPr="00DC1DC6">
        <w:rPr>
          <w:u w:val="single"/>
        </w:rPr>
        <w:t xml:space="preserve"> instead shifting toward making policy case-by-case through a process known as “adjudication,” which is faster and cheaper than rulemaking</w:t>
      </w:r>
      <w:r>
        <w:t>. Similarly, agencies may also rely more heavily on informal interpretations of law such as guidance documents and speeches</w:t>
      </w:r>
      <w:r w:rsidRPr="00DC1DC6">
        <w:rPr>
          <w:u w:val="single"/>
        </w:rPr>
        <w:t xml:space="preserve">. Reducing the amount of rulemaking could make regulatory requirements more </w:t>
      </w:r>
      <w:r w:rsidRPr="00DC1DC6">
        <w:rPr>
          <w:rStyle w:val="Emphasis"/>
        </w:rPr>
        <w:t>opaque to the public,</w:t>
      </w:r>
      <w:r>
        <w:t xml:space="preserve"> which would be forced to read more arcane agency decisions and guidance manuals instead of relying on codified rules. Because rules are time-consuming and difficult to change relative to these other forms of regulatory policymaking, reducing rulemaking may also make policy more susceptible to rapid shifts in response to election results.</w:t>
      </w:r>
    </w:p>
    <w:p w14:paraId="1A9E9850" w14:textId="77777777" w:rsidR="00516959" w:rsidRDefault="00516959" w:rsidP="00516959">
      <w:pPr>
        <w:pStyle w:val="Heading3"/>
      </w:pPr>
      <w:r>
        <w:t>2NC – IL – EPA</w:t>
      </w:r>
    </w:p>
    <w:p w14:paraId="5145EF95" w14:textId="77777777" w:rsidR="00516959" w:rsidRPr="00B92D8F" w:rsidRDefault="00516959" w:rsidP="00516959">
      <w:pPr>
        <w:pStyle w:val="Heading4"/>
      </w:pPr>
      <w:r>
        <w:t xml:space="preserve">Chevron deference is </w:t>
      </w:r>
      <w:r>
        <w:rPr>
          <w:u w:val="single"/>
        </w:rPr>
        <w:t>vital</w:t>
      </w:r>
      <w:r>
        <w:t xml:space="preserve"> to a strong EPA</w:t>
      </w:r>
    </w:p>
    <w:p w14:paraId="0304FBA7" w14:textId="77777777" w:rsidR="00516959" w:rsidRPr="00B92D8F" w:rsidRDefault="00516959" w:rsidP="00516959">
      <w:r w:rsidRPr="00B92D8F">
        <w:rPr>
          <w:b/>
          <w:bCs/>
          <w:sz w:val="26"/>
          <w:szCs w:val="26"/>
        </w:rPr>
        <w:t>Levy 18</w:t>
      </w:r>
      <w:r>
        <w:t xml:space="preserve"> - </w:t>
      </w:r>
      <w:r w:rsidRPr="00B92D8F">
        <w:t>a reporter at Mother Jones</w:t>
      </w:r>
      <w:r>
        <w:t>, (Perma, “</w:t>
      </w:r>
      <w:r w:rsidRPr="00B92D8F">
        <w:t>How Brett Kavanaugh Could Cripple the Next Democratic President</w:t>
      </w:r>
      <w:r>
        <w:t xml:space="preserve">,” </w:t>
      </w:r>
      <w:r>
        <w:rPr>
          <w:i/>
          <w:iCs/>
        </w:rPr>
        <w:t>Mother Jones</w:t>
      </w:r>
      <w:r>
        <w:t xml:space="preserve">, 6-24-18, </w:t>
      </w:r>
      <w:hyperlink r:id="rId353" w:history="1">
        <w:r w:rsidRPr="00C4407D">
          <w:rPr>
            <w:rStyle w:val="Hyperlink"/>
          </w:rPr>
          <w:t>https://www.motherjones.com/politics/2018/07/brett-kavanaugh-supreme-court-chevron-deference/</w:t>
        </w:r>
      </w:hyperlink>
      <w:r>
        <w:t>, Accessed 6-20-20, LASA-AH)</w:t>
      </w:r>
    </w:p>
    <w:p w14:paraId="7136E4F2" w14:textId="77777777" w:rsidR="00516959" w:rsidRPr="00B92D8F" w:rsidRDefault="00516959" w:rsidP="00516959">
      <w:pPr>
        <w:rPr>
          <w:u w:val="single"/>
        </w:rPr>
      </w:pPr>
      <w:r w:rsidRPr="00B92D8F">
        <w:rPr>
          <w:u w:val="single"/>
        </w:rPr>
        <w:t xml:space="preserve">Without Chevron deference, </w:t>
      </w:r>
      <w:r w:rsidRPr="009727FB">
        <w:rPr>
          <w:rStyle w:val="Emphasis"/>
        </w:rPr>
        <w:t>agencies could end up lacking the tools</w:t>
      </w:r>
      <w:r w:rsidRPr="00B92D8F">
        <w:rPr>
          <w:u w:val="single"/>
        </w:rPr>
        <w:t xml:space="preserve"> to deal with modern problems.</w:t>
      </w:r>
    </w:p>
    <w:p w14:paraId="61FA095B" w14:textId="77777777" w:rsidR="00516959" w:rsidRDefault="00516959" w:rsidP="00516959">
      <w:r w:rsidRPr="00B92D8F">
        <w:rPr>
          <w:u w:val="single"/>
        </w:rPr>
        <w:t>The impact would be magnified by the fact that Congress</w:t>
      </w:r>
      <w:r w:rsidRPr="009727FB">
        <w:t>, famous in recent years for failing to legislate</w:t>
      </w:r>
      <w:r w:rsidRPr="00B92D8F">
        <w:rPr>
          <w:u w:val="single"/>
        </w:rPr>
        <w:t xml:space="preserve">, has </w:t>
      </w:r>
      <w:r w:rsidRPr="009727FB">
        <w:t>largely</w:t>
      </w:r>
      <w:r w:rsidRPr="00B92D8F">
        <w:rPr>
          <w:u w:val="single"/>
        </w:rPr>
        <w:t xml:space="preserve"> gotten out of the business of clarifying and amending statutes.</w:t>
      </w:r>
      <w:r>
        <w:t xml:space="preserve"> The result is that </w:t>
      </w:r>
      <w:r w:rsidRPr="00B92D8F">
        <w:rPr>
          <w:u w:val="single"/>
        </w:rPr>
        <w:t xml:space="preserve">agencies are tasked with enforcing laws that are increasingly outdated and therefore </w:t>
      </w:r>
      <w:r w:rsidRPr="009727FB">
        <w:rPr>
          <w:rStyle w:val="Emphasis"/>
        </w:rPr>
        <w:t>increasingly ambiguous about how to deal</w:t>
      </w:r>
      <w:r w:rsidRPr="00B92D8F">
        <w:rPr>
          <w:u w:val="single"/>
        </w:rPr>
        <w:t xml:space="preserve"> with newly arising issues</w:t>
      </w:r>
      <w:r>
        <w:t>. Without Chevron deference, agencies could end up lacking the tools to deal with modern problems.</w:t>
      </w:r>
    </w:p>
    <w:p w14:paraId="5045D920" w14:textId="77777777" w:rsidR="00516959" w:rsidRDefault="00516959" w:rsidP="00516959">
      <w:r>
        <w:t xml:space="preserve">Trump and Senate Republicans are currently reshaping </w:t>
      </w:r>
      <w:r w:rsidRPr="00B92D8F">
        <w:rPr>
          <w:u w:val="single"/>
        </w:rPr>
        <w:t>not just the Supreme Court, but also the lower courts</w:t>
      </w:r>
      <w:r>
        <w:t xml:space="preserve">, by confirming conservative judges at record speed—and like Kavanaugh, these judges tend to be decidedly pro-business and skeptical of agency power and regulation. “It’s fair to be concerned, and particularly given that the nature of the judiciary is likely to be conservative, that </w:t>
      </w:r>
      <w:r w:rsidRPr="00B92D8F">
        <w:rPr>
          <w:u w:val="single"/>
        </w:rPr>
        <w:t xml:space="preserve">the shift toward the judiciary is </w:t>
      </w:r>
      <w:r w:rsidRPr="009727FB">
        <w:rPr>
          <w:rStyle w:val="Emphasis"/>
        </w:rPr>
        <w:t>going to be problematic</w:t>
      </w:r>
      <w:r w:rsidRPr="00B92D8F">
        <w:rPr>
          <w:u w:val="single"/>
        </w:rPr>
        <w:t xml:space="preserve"> for a future Democratic administration,</w:t>
      </w:r>
      <w:r>
        <w:t>” says Stiglitz.</w:t>
      </w:r>
    </w:p>
    <w:p w14:paraId="22A77E23" w14:textId="77777777" w:rsidR="00516959" w:rsidRDefault="00516959" w:rsidP="00516959">
      <w:r>
        <w:t xml:space="preserve">Historically, both liberals and conservatives have taken turns denouncing Chevron. When it was decided during the Reagan administration, liberals lambasted the ruling, and conservative scholars praised it. “We hated Chevron,” recalls Michael Herz, an expert on administrative law at Yeshiva University’s Cardozo School of Law, who worked at the Environmental Defense Fund in the years after Chevron came down.* At the time, </w:t>
      </w:r>
      <w:r w:rsidRPr="00B92D8F">
        <w:rPr>
          <w:u w:val="single"/>
        </w:rPr>
        <w:t xml:space="preserve">the result of Chevron was that the EPA, under Presidents Reagan and George Bush, </w:t>
      </w:r>
      <w:r w:rsidRPr="009727FB">
        <w:rPr>
          <w:rStyle w:val="Emphasis"/>
        </w:rPr>
        <w:t>watered down environmental regulation</w:t>
      </w:r>
      <w:r w:rsidRPr="00B92D8F">
        <w:rPr>
          <w:u w:val="single"/>
        </w:rPr>
        <w:t>.</w:t>
      </w:r>
      <w:r>
        <w:t xml:space="preserve"> “There were a lot of issues that we thought we had won before Congress, and now the agency was under-reading the statute, and the courts were letting them get away [with] it,” he recalls. “</w:t>
      </w:r>
      <w:r w:rsidRPr="00B92D8F">
        <w:rPr>
          <w:u w:val="single"/>
        </w:rPr>
        <w:t xml:space="preserve">It was clear to us that Chevron was bad for the good guys </w:t>
      </w:r>
      <w:r w:rsidRPr="009727FB">
        <w:rPr>
          <w:rStyle w:val="Emphasis"/>
        </w:rPr>
        <w:t>and bad for the environment,</w:t>
      </w:r>
      <w:r w:rsidRPr="00B92D8F">
        <w:rPr>
          <w:u w:val="single"/>
        </w:rPr>
        <w:t xml:space="preserve"> because it was—in that setting.”</w:t>
      </w:r>
    </w:p>
    <w:p w14:paraId="0E9ED292" w14:textId="77777777" w:rsidR="00516959" w:rsidRDefault="00516959" w:rsidP="00516959">
      <w:pPr>
        <w:rPr>
          <w:u w:val="single"/>
        </w:rPr>
      </w:pPr>
      <w:r>
        <w:t xml:space="preserve">By the time the Obama administration came to office, the shoe was squarely on the other foot. </w:t>
      </w:r>
      <w:r w:rsidRPr="00B92D8F">
        <w:rPr>
          <w:u w:val="single"/>
        </w:rPr>
        <w:t xml:space="preserve">The Natural Resources Defense Council and other environmental groups, as well as Obama’s EPA, </w:t>
      </w:r>
      <w:r w:rsidRPr="009727FB">
        <w:rPr>
          <w:rStyle w:val="Emphasis"/>
        </w:rPr>
        <w:t>relied on Chevron deference to push aggressive interpretations</w:t>
      </w:r>
      <w:r w:rsidRPr="00B92D8F">
        <w:rPr>
          <w:b/>
          <w:bCs/>
          <w:u w:val="single"/>
        </w:rPr>
        <w:t xml:space="preserve"> </w:t>
      </w:r>
      <w:r w:rsidRPr="00B92D8F">
        <w:rPr>
          <w:u w:val="single"/>
        </w:rPr>
        <w:t>of the Clean Air Act in order to address climate change.</w:t>
      </w:r>
    </w:p>
    <w:p w14:paraId="7E00D3F2" w14:textId="77777777" w:rsidR="00516959" w:rsidRPr="0095149D" w:rsidRDefault="00516959" w:rsidP="00516959">
      <w:pPr>
        <w:pStyle w:val="Heading4"/>
        <w:tabs>
          <w:tab w:val="left" w:pos="13666"/>
        </w:tabs>
        <w:rPr>
          <w:b w:val="0"/>
          <w:bCs/>
        </w:rPr>
      </w:pPr>
      <w:r>
        <w:t xml:space="preserve">Don’t forget about </w:t>
      </w:r>
      <w:r>
        <w:rPr>
          <w:u w:val="single"/>
        </w:rPr>
        <w:t>future presidents</w:t>
      </w:r>
      <w:r>
        <w:t>.</w:t>
      </w:r>
    </w:p>
    <w:p w14:paraId="00CFF1DD" w14:textId="77777777" w:rsidR="00516959" w:rsidRPr="002C3AA5" w:rsidRDefault="00516959" w:rsidP="00516959">
      <w:pPr>
        <w:rPr>
          <w:rStyle w:val="Style13ptBold"/>
        </w:rPr>
      </w:pPr>
      <w:r>
        <w:rPr>
          <w:rStyle w:val="Style13ptBold"/>
        </w:rPr>
        <w:t xml:space="preserve">Light 17 — </w:t>
      </w:r>
      <w:r w:rsidRPr="002C3AA5">
        <w:t>John Light is a reporter and digital producer for the Bill Moyers team. His work has appeared at The Atlantic, Grist, Mother Jones, Salon, Slate, Vox and Al Jazeera, and has been broadcast on Public Radio International. He's a graduate of Columbia Graduate School of Journalism.</w:t>
      </w:r>
      <w:r>
        <w:t xml:space="preserve"> (“The GOP Plan to prevent a Repeat of Obama’s Climate Action” Common Dreams, Feburary 8, 2017. https://www.commondreams.org/views/2017/02/08/gop-plan-prevent-repeat-obamas-climate-action)//JLPark</w:t>
      </w:r>
    </w:p>
    <w:p w14:paraId="447E6402" w14:textId="77777777" w:rsidR="00516959" w:rsidRPr="00FC1151" w:rsidRDefault="00516959" w:rsidP="00516959">
      <w:pPr>
        <w:rPr>
          <w:rStyle w:val="StyleUnderline"/>
        </w:rPr>
      </w:pPr>
      <w:r w:rsidRPr="00FC1151">
        <w:rPr>
          <w:rStyle w:val="StyleUnderline"/>
        </w:rPr>
        <w:t>At issue is Chevron</w:t>
      </w:r>
      <w:r w:rsidRPr="00FC1151">
        <w:rPr>
          <w:sz w:val="14"/>
        </w:rPr>
        <w:t xml:space="preserve"> deference, also called the Chevron doctrine. Stemming from a 1984 Supreme Court case, Chevron deference is the concept that if Congress makes a vague law, a regulatory agency can fill in the blanks — within reason. A lot of </w:t>
      </w:r>
      <w:r w:rsidRPr="00FC1151">
        <w:rPr>
          <w:rStyle w:val="StyleUnderline"/>
        </w:rPr>
        <w:t>the EPA’s work during</w:t>
      </w:r>
      <w:r w:rsidRPr="00FC1151">
        <w:rPr>
          <w:sz w:val="14"/>
        </w:rPr>
        <w:t xml:space="preserve"> the </w:t>
      </w:r>
      <w:r w:rsidRPr="00FC1151">
        <w:rPr>
          <w:rStyle w:val="StyleUnderline"/>
        </w:rPr>
        <w:t>Obama</w:t>
      </w:r>
      <w:r w:rsidRPr="00FC1151">
        <w:rPr>
          <w:sz w:val="14"/>
        </w:rPr>
        <w:t xml:space="preserve"> era </w:t>
      </w:r>
      <w:r w:rsidRPr="00FC1151">
        <w:rPr>
          <w:rStyle w:val="StyleUnderline"/>
        </w:rPr>
        <w:t>involved filling in blanks in the Clean Air Act, which gives the agency the authority to regulate pollutants but doesn’t always indicate which pollutants can be regulated or how that regulation should work. The legislation to repeal Chevron grows out of Republican ire</w:t>
      </w:r>
      <w:r w:rsidRPr="00FC1151">
        <w:rPr>
          <w:sz w:val="14"/>
        </w:rPr>
        <w:t xml:space="preserve"> with those Obama regulations, </w:t>
      </w:r>
      <w:r w:rsidRPr="00FC1151">
        <w:rPr>
          <w:rStyle w:val="StyleUnderline"/>
        </w:rPr>
        <w:t>which were aimed at addressing climate change.</w:t>
      </w:r>
    </w:p>
    <w:p w14:paraId="3FCF6776" w14:textId="77777777" w:rsidR="00516959" w:rsidRPr="00FC378D" w:rsidRDefault="00516959" w:rsidP="00516959">
      <w:pPr>
        <w:rPr>
          <w:sz w:val="14"/>
        </w:rPr>
      </w:pPr>
      <w:r w:rsidRPr="00FC378D">
        <w:rPr>
          <w:sz w:val="14"/>
        </w:rPr>
        <w:t xml:space="preserve">Judge </w:t>
      </w:r>
      <w:r w:rsidRPr="00FC1151">
        <w:rPr>
          <w:rStyle w:val="StyleUnderline"/>
        </w:rPr>
        <w:t>Gorsuch</w:t>
      </w:r>
      <w:r w:rsidRPr="00FC378D">
        <w:rPr>
          <w:sz w:val="14"/>
        </w:rPr>
        <w:t xml:space="preserve"> has </w:t>
      </w:r>
      <w:r w:rsidRPr="00FC1151">
        <w:rPr>
          <w:rStyle w:val="StyleUnderline"/>
        </w:rPr>
        <w:t>said</w:t>
      </w:r>
      <w:r w:rsidRPr="00FC378D">
        <w:rPr>
          <w:sz w:val="14"/>
        </w:rPr>
        <w:t xml:space="preserve"> he feels </w:t>
      </w:r>
      <w:r w:rsidRPr="00FC1151">
        <w:rPr>
          <w:rStyle w:val="StyleUnderline"/>
        </w:rPr>
        <w:t>Chevron gives agencies too much wiggle room</w:t>
      </w:r>
      <w:r w:rsidRPr="00FC378D">
        <w:rPr>
          <w:sz w:val="14"/>
        </w:rPr>
        <w:t xml:space="preserve">, </w:t>
      </w:r>
      <w:r w:rsidRPr="00FC1151">
        <w:rPr>
          <w:rStyle w:val="StyleUnderline"/>
        </w:rPr>
        <w:t>and Republicans</w:t>
      </w:r>
      <w:r w:rsidRPr="00FC378D">
        <w:rPr>
          <w:sz w:val="14"/>
        </w:rPr>
        <w:t xml:space="preserve"> in Congress </w:t>
      </w:r>
      <w:r w:rsidRPr="00FC1151">
        <w:rPr>
          <w:rStyle w:val="StyleUnderline"/>
        </w:rPr>
        <w:t xml:space="preserve">want to entirely get rid of </w:t>
      </w:r>
      <w:r w:rsidRPr="00FC378D">
        <w:rPr>
          <w:sz w:val="14"/>
        </w:rPr>
        <w:t>the</w:t>
      </w:r>
      <w:r w:rsidRPr="00FC1151">
        <w:rPr>
          <w:rStyle w:val="StyleUnderline"/>
        </w:rPr>
        <w:t xml:space="preserve"> Chevron</w:t>
      </w:r>
      <w:r w:rsidRPr="00FC378D">
        <w:rPr>
          <w:sz w:val="14"/>
        </w:rPr>
        <w:t xml:space="preserve"> doctrine, the legal precedent that allows that wiggle room. The push is part of a larger package of laws that passed the House earlier this month called the Regulatory Accountability Act of 2017. The bill will now have to pass the Senate before heading to President Trump’s desk.</w:t>
      </w:r>
    </w:p>
    <w:p w14:paraId="12C0EACB" w14:textId="77777777" w:rsidR="00516959" w:rsidRPr="00FC378D" w:rsidRDefault="00516959" w:rsidP="00516959">
      <w:pPr>
        <w:rPr>
          <w:sz w:val="14"/>
        </w:rPr>
      </w:pPr>
      <w:r w:rsidRPr="00FC378D">
        <w:rPr>
          <w:sz w:val="14"/>
        </w:rPr>
        <w:t xml:space="preserve">“It would be a pretty radical change in administrative law,” says Sean Donahue, an attorney who represents the Environmental Defense Fund and has successfully argued on behalf of environmental advocates before the Supreme Court. “It’s obvious that it’s not sort of a housekeeping, neutral, wonkish improvement. </w:t>
      </w:r>
      <w:r w:rsidRPr="00FC378D">
        <w:rPr>
          <w:rStyle w:val="StyleUnderline"/>
        </w:rPr>
        <w:t>It’s an ideological attack on regulation and on the use of government to try to control the side effects of business activity.</w:t>
      </w:r>
      <w:r w:rsidRPr="00FC378D">
        <w:rPr>
          <w:sz w:val="14"/>
        </w:rPr>
        <w:t>”</w:t>
      </w:r>
    </w:p>
    <w:p w14:paraId="0DFC27D2" w14:textId="77777777" w:rsidR="00516959" w:rsidRPr="00FC378D" w:rsidRDefault="00516959" w:rsidP="00516959">
      <w:pPr>
        <w:rPr>
          <w:sz w:val="14"/>
          <w:szCs w:val="14"/>
        </w:rPr>
      </w:pPr>
      <w:r w:rsidRPr="00FC378D">
        <w:rPr>
          <w:sz w:val="14"/>
          <w:szCs w:val="14"/>
        </w:rPr>
        <w:t>If a judge such as Gorsuch were to undo Chevron, he “would preserve some concept of deference,” says Donahue. “They might call it something else, they might scale it back. But where the legislation goes, it’s so extreme it’s unworkable.”</w:t>
      </w:r>
    </w:p>
    <w:p w14:paraId="1D904E00" w14:textId="77777777" w:rsidR="00516959" w:rsidRPr="00FC378D" w:rsidRDefault="00516959" w:rsidP="00516959">
      <w:pPr>
        <w:rPr>
          <w:rStyle w:val="StyleUnderline"/>
        </w:rPr>
      </w:pPr>
      <w:r w:rsidRPr="00FC378D">
        <w:rPr>
          <w:rStyle w:val="StyleUnderline"/>
        </w:rPr>
        <w:t>Overturning Chevron would have implications across the government, including issues such as internet regulation and immigration</w:t>
      </w:r>
      <w:r w:rsidRPr="00FC378D">
        <w:rPr>
          <w:sz w:val="14"/>
        </w:rPr>
        <w:t xml:space="preserve">, as Timothy Lee explains for Vox. </w:t>
      </w:r>
      <w:r w:rsidRPr="00FC378D">
        <w:rPr>
          <w:rStyle w:val="StyleUnderline"/>
        </w:rPr>
        <w:t>But it’s the EPA’s efforts to regulate greenhouse gases where the effects would perhaps be most wide-reaching.</w:t>
      </w:r>
    </w:p>
    <w:p w14:paraId="440D1E02" w14:textId="77777777" w:rsidR="00516959" w:rsidRPr="00FC378D" w:rsidRDefault="00516959" w:rsidP="00516959">
      <w:pPr>
        <w:rPr>
          <w:sz w:val="14"/>
        </w:rPr>
      </w:pPr>
      <w:r w:rsidRPr="00FC378D">
        <w:rPr>
          <w:rStyle w:val="StyleUnderline"/>
        </w:rPr>
        <w:t>EPA’s authority to regulate climate change-causing pollutan</w:t>
      </w:r>
      <w:r w:rsidRPr="00FC378D">
        <w:rPr>
          <w:sz w:val="14"/>
        </w:rPr>
        <w:t xml:space="preserve">ts such as methane and carbon dioxide </w:t>
      </w:r>
      <w:r w:rsidRPr="00FC378D">
        <w:rPr>
          <w:rStyle w:val="StyleUnderline"/>
        </w:rPr>
        <w:t>under the Clean Air Act has been upheld</w:t>
      </w:r>
      <w:r w:rsidRPr="00FC378D">
        <w:rPr>
          <w:sz w:val="14"/>
        </w:rPr>
        <w:t xml:space="preserve"> by the Supreme Court, </w:t>
      </w:r>
      <w:r w:rsidRPr="00FC378D">
        <w:rPr>
          <w:rStyle w:val="StyleUnderline"/>
        </w:rPr>
        <w:t>but without</w:t>
      </w:r>
      <w:r w:rsidRPr="00FC378D">
        <w:rPr>
          <w:sz w:val="14"/>
        </w:rPr>
        <w:t xml:space="preserve"> the Chevron doctrine, </w:t>
      </w:r>
      <w:r w:rsidRPr="00FC378D">
        <w:rPr>
          <w:rStyle w:val="StyleUnderline"/>
        </w:rPr>
        <w:t>that could change. By offering a different interpretation of the Clean Air Act than the one the EPA has relied on, the judiciary could take away from the executive branch</w:t>
      </w:r>
      <w:r w:rsidRPr="00FC378D">
        <w:rPr>
          <w:sz w:val="14"/>
        </w:rPr>
        <w:t xml:space="preserve"> — which includes both the president and the EPA — </w:t>
      </w:r>
      <w:r w:rsidRPr="00FC378D">
        <w:rPr>
          <w:rStyle w:val="StyleUnderline"/>
        </w:rPr>
        <w:t>the power to address climate change. A future president would not be able to use the EPA to take emissions-reducing steps</w:t>
      </w:r>
      <w:r w:rsidRPr="00FC378D">
        <w:rPr>
          <w:sz w:val="14"/>
        </w:rPr>
        <w:t xml:space="preserve"> similar to those taken by President Obama, steps that Trump has now started to undo.</w:t>
      </w:r>
    </w:p>
    <w:p w14:paraId="4644FB8F" w14:textId="77777777" w:rsidR="00516959" w:rsidRPr="00FC378D" w:rsidRDefault="00516959" w:rsidP="00516959">
      <w:pPr>
        <w:rPr>
          <w:sz w:val="14"/>
        </w:rPr>
      </w:pPr>
      <w:r w:rsidRPr="00FC378D">
        <w:rPr>
          <w:sz w:val="14"/>
        </w:rPr>
        <w:t>"</w:t>
      </w:r>
      <w:r w:rsidRPr="00FC378D">
        <w:rPr>
          <w:rStyle w:val="StyleUnderline"/>
        </w:rPr>
        <w:t>It’s</w:t>
      </w:r>
      <w:r w:rsidRPr="00FC378D">
        <w:rPr>
          <w:sz w:val="14"/>
        </w:rPr>
        <w:t xml:space="preserve"> really </w:t>
      </w:r>
      <w:r w:rsidRPr="00FC378D">
        <w:rPr>
          <w:rStyle w:val="StyleUnderline"/>
        </w:rPr>
        <w:t>a transfer of power away from the experts to the judiciary</w:t>
      </w:r>
      <w:r w:rsidRPr="00FC378D">
        <w:rPr>
          <w:sz w:val="14"/>
        </w:rPr>
        <w:t>."</w:t>
      </w:r>
    </w:p>
    <w:p w14:paraId="5F7365B4" w14:textId="77777777" w:rsidR="00516959" w:rsidRPr="00FC378D" w:rsidRDefault="00516959" w:rsidP="00516959">
      <w:pPr>
        <w:rPr>
          <w:sz w:val="14"/>
          <w:szCs w:val="14"/>
        </w:rPr>
      </w:pPr>
      <w:r w:rsidRPr="00FC378D">
        <w:rPr>
          <w:sz w:val="14"/>
          <w:szCs w:val="14"/>
        </w:rPr>
        <w:t>— Ken Kimmell, president of the Union of Concerned Scientists</w:t>
      </w:r>
    </w:p>
    <w:p w14:paraId="6911928A" w14:textId="77777777" w:rsidR="00516959" w:rsidRPr="00FC378D" w:rsidRDefault="00516959" w:rsidP="00516959">
      <w:pPr>
        <w:rPr>
          <w:sz w:val="14"/>
        </w:rPr>
      </w:pPr>
      <w:r w:rsidRPr="00FC378D">
        <w:rPr>
          <w:rStyle w:val="StyleUnderline"/>
        </w:rPr>
        <w:t xml:space="preserve">A hypothetical future president who wanted to </w:t>
      </w:r>
      <w:r w:rsidRPr="00FC378D">
        <w:rPr>
          <w:sz w:val="14"/>
        </w:rPr>
        <w:t xml:space="preserve">take action to </w:t>
      </w:r>
      <w:r w:rsidRPr="00FC378D">
        <w:rPr>
          <w:rStyle w:val="StyleUnderline"/>
        </w:rPr>
        <w:t>cut greenhouse gas emissions would then be dependent on either Congress to pass legislation authorizing him</w:t>
      </w:r>
      <w:r w:rsidRPr="00FC378D">
        <w:rPr>
          <w:sz w:val="14"/>
        </w:rPr>
        <w:t xml:space="preserve"> to do so, or on the court to again reinterpret the Clean Air Act.</w:t>
      </w:r>
    </w:p>
    <w:p w14:paraId="622FA467" w14:textId="77777777" w:rsidR="00516959" w:rsidRPr="00FC378D" w:rsidRDefault="00516959" w:rsidP="00516959">
      <w:pPr>
        <w:rPr>
          <w:sz w:val="14"/>
        </w:rPr>
      </w:pPr>
      <w:r w:rsidRPr="00FC378D">
        <w:rPr>
          <w:sz w:val="14"/>
        </w:rPr>
        <w:t>“</w:t>
      </w:r>
      <w:r w:rsidRPr="00FC378D">
        <w:rPr>
          <w:rStyle w:val="StyleUnderline"/>
        </w:rPr>
        <w:t>Rather than having</w:t>
      </w:r>
      <w:r w:rsidRPr="00FC378D">
        <w:rPr>
          <w:sz w:val="14"/>
        </w:rPr>
        <w:t xml:space="preserve"> these </w:t>
      </w:r>
      <w:r w:rsidRPr="00FC378D">
        <w:rPr>
          <w:rStyle w:val="StyleUnderline"/>
        </w:rPr>
        <w:t>agencies</w:t>
      </w:r>
      <w:r w:rsidRPr="00FC378D">
        <w:rPr>
          <w:sz w:val="14"/>
        </w:rPr>
        <w:t xml:space="preserve">, and their </w:t>
      </w:r>
      <w:r w:rsidRPr="00FC378D">
        <w:rPr>
          <w:rStyle w:val="StyleUnderline"/>
        </w:rPr>
        <w:t>scientists and</w:t>
      </w:r>
      <w:r w:rsidRPr="00FC378D">
        <w:rPr>
          <w:sz w:val="14"/>
        </w:rPr>
        <w:t xml:space="preserve"> their </w:t>
      </w:r>
      <w:r w:rsidRPr="00FC378D">
        <w:rPr>
          <w:rStyle w:val="StyleUnderline"/>
        </w:rPr>
        <w:t>economists make</w:t>
      </w:r>
      <w:r w:rsidRPr="00FC378D">
        <w:rPr>
          <w:sz w:val="14"/>
        </w:rPr>
        <w:t xml:space="preserve"> these </w:t>
      </w:r>
      <w:r w:rsidRPr="00FC378D">
        <w:rPr>
          <w:rStyle w:val="StyleUnderline"/>
        </w:rPr>
        <w:t>decisions</w:t>
      </w:r>
      <w:r w:rsidRPr="00FC378D">
        <w:rPr>
          <w:sz w:val="14"/>
        </w:rPr>
        <w:t xml:space="preserve">, </w:t>
      </w:r>
      <w:r w:rsidRPr="00FC378D">
        <w:rPr>
          <w:rStyle w:val="StyleUnderline"/>
        </w:rPr>
        <w:t>you</w:t>
      </w:r>
      <w:r w:rsidRPr="00FC378D">
        <w:rPr>
          <w:sz w:val="14"/>
        </w:rPr>
        <w:t xml:space="preserve"> would basically </w:t>
      </w:r>
      <w:r w:rsidRPr="00FC378D">
        <w:rPr>
          <w:rStyle w:val="StyleUnderline"/>
        </w:rPr>
        <w:t>have judges make these decisions</w:t>
      </w:r>
      <w:r w:rsidRPr="00FC378D">
        <w:rPr>
          <w:sz w:val="14"/>
        </w:rPr>
        <w:t>,” says Ken Kimmell, president of the Union of Concerned Scientists and the former head of Massachusetts’ Department of Environmental Protection. “So it’s really a transfer of power away from the experts to the judiciary.”</w:t>
      </w:r>
    </w:p>
    <w:p w14:paraId="58C2EF50" w14:textId="77777777" w:rsidR="00516959" w:rsidRPr="00D36366" w:rsidRDefault="00516959" w:rsidP="00516959">
      <w:pPr>
        <w:rPr>
          <w:sz w:val="14"/>
          <w:szCs w:val="14"/>
        </w:rPr>
      </w:pPr>
      <w:r w:rsidRPr="00D36366">
        <w:rPr>
          <w:sz w:val="14"/>
          <w:szCs w:val="14"/>
        </w:rPr>
        <w:t>The Chevron doctrine was originally based on the idea that agencies and their staff have the expertise to interpret laws in a way that both Congress and the judiciary do not. In 1984, the Natural Resources Defense Council and Chevron brought a case before the Supreme Court — Chevron vs. Natural Resources Defense Council — asking the court to clarify what the EPA was allowed to do under the Clean Air Act. This suit gave birth to the concept of Chevron deference, outlined in an opinion written by Supreme Court Justice John Paul Stevens.</w:t>
      </w:r>
    </w:p>
    <w:p w14:paraId="4963BF7B" w14:textId="77777777" w:rsidR="00516959" w:rsidRPr="00D36366" w:rsidRDefault="00516959" w:rsidP="00516959">
      <w:pPr>
        <w:rPr>
          <w:sz w:val="14"/>
          <w:szCs w:val="14"/>
        </w:rPr>
      </w:pPr>
      <w:r w:rsidRPr="00D36366">
        <w:rPr>
          <w:sz w:val="14"/>
          <w:szCs w:val="14"/>
        </w:rPr>
        <w:t xml:space="preserve"> “First, always, is the question whether Congress has directly spoken to the precise question at issue. If the intent of Congress is clear, that is the end of the matter,” Stevens wrote. But if Congress’ laws are “silent or ambiguous with respect to the specific issue, the question for the court is whether the agency’s answer is based on a permissible construction of the statute.” In other words, if an agency — like the EPA — doesn’t fill in vagaries in a way that obviously goes against Congress’ intentions, the agency has some leeway in making rules and regulations.</w:t>
      </w:r>
    </w:p>
    <w:p w14:paraId="12B5AF59" w14:textId="77777777" w:rsidR="00516959" w:rsidRPr="00D36366" w:rsidRDefault="00516959" w:rsidP="00516959">
      <w:pPr>
        <w:rPr>
          <w:sz w:val="14"/>
          <w:szCs w:val="14"/>
        </w:rPr>
      </w:pPr>
      <w:r w:rsidRPr="00D36366">
        <w:rPr>
          <w:sz w:val="14"/>
          <w:szCs w:val="14"/>
        </w:rPr>
        <w:t>The opinion did not originally have a partisan bent. It was issued unanimously, and authored by a Republican-appointed justice. “It used to be that conservatives like Justice Scalia made that point: ‘Who are unelected judges to decide what an ambiguous statute means in the Clean Air Act?’” says Donahue. “Shouldn’t the EPA administrator, who is chosen by the president, who is ultimately responsible to the people and who has some expertise — shouldn’t that person get the first crack at interpreting?”</w:t>
      </w:r>
    </w:p>
    <w:p w14:paraId="5F149EC1" w14:textId="77777777" w:rsidR="00516959" w:rsidRPr="00D36366" w:rsidRDefault="00516959" w:rsidP="00516959">
      <w:pPr>
        <w:rPr>
          <w:sz w:val="14"/>
          <w:szCs w:val="14"/>
        </w:rPr>
      </w:pPr>
      <w:r w:rsidRPr="00D36366">
        <w:rPr>
          <w:sz w:val="14"/>
          <w:szCs w:val="14"/>
        </w:rPr>
        <w:t>Back in 1984, when Justice Stevens first spelled out the idea of Chevron deference, climate change was only beginning to appear on some policymakers’ radars. But the principle he outlined would prove crucial to the EPA’s efforts to combat climate change.</w:t>
      </w:r>
    </w:p>
    <w:p w14:paraId="351B3F82" w14:textId="77777777" w:rsidR="00516959" w:rsidRPr="00FC378D" w:rsidRDefault="00516959" w:rsidP="00516959">
      <w:pPr>
        <w:rPr>
          <w:rStyle w:val="StyleUnderline"/>
        </w:rPr>
      </w:pPr>
      <w:r w:rsidRPr="00FC378D">
        <w:rPr>
          <w:rStyle w:val="StyleUnderline"/>
        </w:rPr>
        <w:t>Congress has been reluctant to pass any legislation dealing with climate change</w:t>
      </w:r>
      <w:r w:rsidRPr="00FC378D">
        <w:rPr>
          <w:sz w:val="14"/>
        </w:rPr>
        <w:t xml:space="preserve">, even as the science has become increasingly clear and dire. The </w:t>
      </w:r>
      <w:r w:rsidRPr="00FC378D">
        <w:rPr>
          <w:rStyle w:val="StyleUnderline"/>
        </w:rPr>
        <w:t>Republican</w:t>
      </w:r>
      <w:r w:rsidRPr="00FC378D">
        <w:rPr>
          <w:sz w:val="14"/>
        </w:rPr>
        <w:t xml:space="preserve"> Party </w:t>
      </w:r>
      <w:r w:rsidRPr="00FC378D">
        <w:rPr>
          <w:rStyle w:val="StyleUnderline"/>
        </w:rPr>
        <w:t>and</w:t>
      </w:r>
      <w:r w:rsidRPr="00FC378D">
        <w:rPr>
          <w:sz w:val="14"/>
        </w:rPr>
        <w:t xml:space="preserve"> some </w:t>
      </w:r>
      <w:r w:rsidRPr="00FC378D">
        <w:rPr>
          <w:rStyle w:val="StyleUnderline"/>
        </w:rPr>
        <w:t>Democrats have maintained</w:t>
      </w:r>
      <w:r w:rsidRPr="00FC378D">
        <w:rPr>
          <w:sz w:val="14"/>
        </w:rPr>
        <w:t xml:space="preserve"> that </w:t>
      </w:r>
      <w:r w:rsidRPr="00FC378D">
        <w:rPr>
          <w:rStyle w:val="StyleUnderline"/>
        </w:rPr>
        <w:t>efforts to stave off climate catastrophe would inflict too much damage on the economy</w:t>
      </w:r>
      <w:r w:rsidRPr="00FC378D">
        <w:rPr>
          <w:sz w:val="14"/>
        </w:rPr>
        <w:t xml:space="preserve">, ignoring the future blows that climate change will deal to the economic system. </w:t>
      </w:r>
      <w:r w:rsidRPr="00FC378D">
        <w:rPr>
          <w:rStyle w:val="StyleUnderline"/>
        </w:rPr>
        <w:t>But because of Chevron</w:t>
      </w:r>
      <w:r w:rsidRPr="00FC378D">
        <w:rPr>
          <w:sz w:val="14"/>
        </w:rPr>
        <w:t xml:space="preserve"> deference, </w:t>
      </w:r>
      <w:r w:rsidRPr="00FC378D">
        <w:rPr>
          <w:rStyle w:val="StyleUnderline"/>
        </w:rPr>
        <w:t>the EPA has been able to move forward with some necessary regulation to address climate change, even without action from Congress.</w:t>
      </w:r>
    </w:p>
    <w:p w14:paraId="71603F8E" w14:textId="77777777" w:rsidR="00516959" w:rsidRPr="00FC378D" w:rsidRDefault="00516959" w:rsidP="00516959">
      <w:pPr>
        <w:rPr>
          <w:sz w:val="14"/>
        </w:rPr>
      </w:pPr>
      <w:r w:rsidRPr="00FC378D">
        <w:rPr>
          <w:sz w:val="14"/>
        </w:rPr>
        <w:t xml:space="preserve">After efforts to put a cap-and-trade program in place collapsed in Congress in 2010, President Obama instructed </w:t>
      </w:r>
      <w:r w:rsidRPr="00FC378D">
        <w:rPr>
          <w:rStyle w:val="StyleUnderline"/>
        </w:rPr>
        <w:t>the EPA</w:t>
      </w:r>
      <w:r w:rsidRPr="00FC378D">
        <w:rPr>
          <w:sz w:val="14"/>
        </w:rPr>
        <w:t xml:space="preserve"> to ramp up its efforts to regulate the pollutants that cause climate change. This </w:t>
      </w:r>
      <w:r w:rsidRPr="00FC378D">
        <w:rPr>
          <w:rStyle w:val="StyleUnderline"/>
        </w:rPr>
        <w:t>led to</w:t>
      </w:r>
      <w:r w:rsidRPr="00FC378D">
        <w:rPr>
          <w:sz w:val="14"/>
        </w:rPr>
        <w:t xml:space="preserve"> such efforts as the Clean Power Plan, which </w:t>
      </w:r>
      <w:r w:rsidRPr="00FC378D">
        <w:rPr>
          <w:rStyle w:val="StyleUnderline"/>
        </w:rPr>
        <w:t>reduced power plant emissions, and laws dealing with emissions from vehicles</w:t>
      </w:r>
      <w:r w:rsidRPr="00FC378D">
        <w:rPr>
          <w:sz w:val="14"/>
        </w:rPr>
        <w:t xml:space="preserve">. </w:t>
      </w:r>
      <w:r w:rsidRPr="00FC378D">
        <w:rPr>
          <w:rStyle w:val="StyleUnderline"/>
        </w:rPr>
        <w:t>Under the EPA’s interpretation</w:t>
      </w:r>
      <w:r w:rsidRPr="00FC378D">
        <w:rPr>
          <w:sz w:val="14"/>
        </w:rPr>
        <w:t xml:space="preserve"> of the Clean Air Act, this was all allowed.</w:t>
      </w:r>
    </w:p>
    <w:p w14:paraId="147328EB" w14:textId="77777777" w:rsidR="00516959" w:rsidRPr="00FC378D" w:rsidRDefault="00516959" w:rsidP="00516959">
      <w:pPr>
        <w:rPr>
          <w:rStyle w:val="StyleUnderline"/>
        </w:rPr>
      </w:pPr>
      <w:r w:rsidRPr="00FC378D">
        <w:rPr>
          <w:sz w:val="14"/>
        </w:rPr>
        <w:t xml:space="preserve">The world was paying attention. </w:t>
      </w:r>
      <w:r w:rsidRPr="00FC378D">
        <w:rPr>
          <w:rStyle w:val="StyleUnderline"/>
        </w:rPr>
        <w:t>Regulations</w:t>
      </w:r>
      <w:r w:rsidRPr="00FC378D">
        <w:rPr>
          <w:sz w:val="14"/>
        </w:rPr>
        <w:t xml:space="preserve"> such as the Clean Power Plan </w:t>
      </w:r>
      <w:r w:rsidRPr="00FC378D">
        <w:rPr>
          <w:rStyle w:val="StyleUnderline"/>
        </w:rPr>
        <w:t>enabled the US to credibly commit to cutting climate change-causing emissions by at least 26 percent</w:t>
      </w:r>
      <w:r w:rsidRPr="00FC378D">
        <w:rPr>
          <w:sz w:val="14"/>
        </w:rPr>
        <w:t xml:space="preserve"> from 2005 levels; </w:t>
      </w:r>
      <w:r w:rsidRPr="00FC378D">
        <w:rPr>
          <w:rStyle w:val="StyleUnderline"/>
        </w:rPr>
        <w:t>China</w:t>
      </w:r>
      <w:r w:rsidRPr="00FC378D">
        <w:rPr>
          <w:sz w:val="14"/>
        </w:rPr>
        <w:t xml:space="preserve"> also </w:t>
      </w:r>
      <w:r w:rsidRPr="00FC378D">
        <w:rPr>
          <w:rStyle w:val="StyleUnderline"/>
        </w:rPr>
        <w:t>promised to confront climate change</w:t>
      </w:r>
      <w:r w:rsidRPr="00FC378D">
        <w:rPr>
          <w:sz w:val="14"/>
        </w:rPr>
        <w:t xml:space="preserve"> by letting its emissions peak and then fall, </w:t>
      </w:r>
      <w:r w:rsidRPr="00FC378D">
        <w:rPr>
          <w:rStyle w:val="StyleUnderline"/>
        </w:rPr>
        <w:t>and</w:t>
      </w:r>
      <w:r w:rsidRPr="00FC378D">
        <w:rPr>
          <w:sz w:val="14"/>
        </w:rPr>
        <w:t xml:space="preserve"> these two commitments, by the world’s first and second largest polluters, </w:t>
      </w:r>
      <w:r w:rsidRPr="00FC378D">
        <w:rPr>
          <w:rStyle w:val="StyleUnderline"/>
        </w:rPr>
        <w:t>paved the way for the Paris Climate Agreement.</w:t>
      </w:r>
    </w:p>
    <w:p w14:paraId="20F57C71" w14:textId="77777777" w:rsidR="00516959" w:rsidRPr="00FC378D" w:rsidRDefault="00516959" w:rsidP="00516959">
      <w:pPr>
        <w:rPr>
          <w:sz w:val="14"/>
          <w:szCs w:val="14"/>
        </w:rPr>
      </w:pPr>
      <w:r w:rsidRPr="00FC378D">
        <w:rPr>
          <w:sz w:val="14"/>
          <w:szCs w:val="14"/>
        </w:rPr>
        <w:t>Republicans, however, wanted courts to stop deferring to this EPA interpretation of the Clean Air Act and to issue rulings that clamped down on the agency’s efforts to deal with climate change. This latest bill to get rid of Chevron deference is not the first to pass the House — it’s just the first to pass the House with the likely chance of also passing the Senate and being signed by the president.</w:t>
      </w:r>
    </w:p>
    <w:p w14:paraId="04B3AFF4" w14:textId="77777777" w:rsidR="00516959" w:rsidRPr="00FC378D" w:rsidRDefault="00516959" w:rsidP="00516959">
      <w:pPr>
        <w:rPr>
          <w:sz w:val="14"/>
          <w:szCs w:val="14"/>
        </w:rPr>
      </w:pPr>
      <w:r w:rsidRPr="00FC378D">
        <w:rPr>
          <w:sz w:val="14"/>
          <w:szCs w:val="14"/>
        </w:rPr>
        <w:t>Of course, a decision to get rid of Chevron deference won’t matter much in the next few years. The Trump administration has already begun to gut the EPA, ensuring the agency won’t be doing much as the White House and its allies in Congress try to reinvigorate the ailing coal industry and build a more fossil fuel-dependent nation.</w:t>
      </w:r>
    </w:p>
    <w:p w14:paraId="7C71E041" w14:textId="77777777" w:rsidR="00516959" w:rsidRPr="00FC378D" w:rsidRDefault="00516959" w:rsidP="00516959">
      <w:pPr>
        <w:rPr>
          <w:sz w:val="12"/>
        </w:rPr>
      </w:pPr>
      <w:r w:rsidRPr="00FC378D">
        <w:rPr>
          <w:sz w:val="12"/>
        </w:rPr>
        <w:t xml:space="preserve">But </w:t>
      </w:r>
      <w:r w:rsidRPr="00FC378D">
        <w:rPr>
          <w:rStyle w:val="StyleUnderline"/>
        </w:rPr>
        <w:t>Chevron</w:t>
      </w:r>
      <w:r w:rsidRPr="00FC378D">
        <w:rPr>
          <w:sz w:val="12"/>
        </w:rPr>
        <w:t xml:space="preserve"> deference </w:t>
      </w:r>
      <w:r w:rsidRPr="00FC378D">
        <w:rPr>
          <w:rStyle w:val="StyleUnderline"/>
        </w:rPr>
        <w:t>will be missed during a</w:t>
      </w:r>
      <w:r w:rsidRPr="00FC378D">
        <w:rPr>
          <w:sz w:val="12"/>
        </w:rPr>
        <w:t xml:space="preserve"> potential </w:t>
      </w:r>
      <w:r w:rsidRPr="00FC378D">
        <w:rPr>
          <w:rStyle w:val="StyleUnderline"/>
        </w:rPr>
        <w:t>future administration that values climate action</w:t>
      </w:r>
      <w:r w:rsidRPr="00FC378D">
        <w:rPr>
          <w:sz w:val="12"/>
        </w:rPr>
        <w:t xml:space="preserve"> again. Without it, </w:t>
      </w:r>
      <w:r w:rsidRPr="00FC378D">
        <w:rPr>
          <w:rStyle w:val="StyleUnderline"/>
        </w:rPr>
        <w:t>courts will be able to disagree with the EPA’s interpretation</w:t>
      </w:r>
      <w:r w:rsidRPr="00FC378D">
        <w:rPr>
          <w:sz w:val="12"/>
        </w:rPr>
        <w:t xml:space="preserve"> of the Clean Air Act, and stymie its ability to regulate. It’s not a guarantee that every court will disagree with the EPA’s interpretation, but some will, and it seems likely that a Supreme Court with a deciding vote cast by a Trump-appointed justice will, too.</w:t>
      </w:r>
    </w:p>
    <w:p w14:paraId="37B51BCB" w14:textId="77777777" w:rsidR="00516959" w:rsidRPr="00FC378D" w:rsidRDefault="00516959" w:rsidP="00516959">
      <w:pPr>
        <w:rPr>
          <w:sz w:val="14"/>
          <w:szCs w:val="14"/>
        </w:rPr>
      </w:pPr>
      <w:r w:rsidRPr="00FC378D">
        <w:rPr>
          <w:rStyle w:val="StyleUnderline"/>
        </w:rPr>
        <w:t>Progress on climate change would be even more halting and hung up in legal challenges than it already is</w:t>
      </w:r>
      <w:r w:rsidRPr="00FC378D">
        <w:rPr>
          <w:sz w:val="14"/>
        </w:rPr>
        <w:t xml:space="preserve"> until a time when Congress is ready to pass legislation clearly addressing climate change — an eventuality that at the moment, with desire for clim</w:t>
      </w:r>
      <w:r w:rsidRPr="00FC378D">
        <w:rPr>
          <w:sz w:val="14"/>
          <w:szCs w:val="14"/>
        </w:rPr>
        <w:t>ate action divided starkly along party lines, seems very difficult to imagine arriving during the limited window remaining to confront the threat.</w:t>
      </w:r>
    </w:p>
    <w:p w14:paraId="39F81017" w14:textId="77777777" w:rsidR="00516959" w:rsidRDefault="00516959" w:rsidP="00516959">
      <w:pPr>
        <w:rPr>
          <w:sz w:val="14"/>
          <w:szCs w:val="14"/>
        </w:rPr>
      </w:pPr>
      <w:r w:rsidRPr="00FC378D">
        <w:rPr>
          <w:sz w:val="14"/>
          <w:szCs w:val="14"/>
        </w:rPr>
        <w:t>However, Donahue says he is not despairing. The Regulatory Accountability Act of 2017, which contains the Chevron repeal, may not make it beyond the House, he theorizes. Democrats can filibuster it in the Senate, and Republicans may not put it up for a vote at all. “I think it is a little outburst around the Obama administration, especially its environmental laws, and now that Republicans are going to be interpreting the immigration laws and all these things in ways conservatives like, I bet you’ll see a kind of toning down in terms of the freakout about Chevron.”</w:t>
      </w:r>
    </w:p>
    <w:p w14:paraId="7C8E17EC" w14:textId="77777777" w:rsidR="00516959" w:rsidRPr="001A6E5B" w:rsidRDefault="00516959" w:rsidP="00516959">
      <w:pPr>
        <w:pStyle w:val="Heading4"/>
      </w:pPr>
      <w:r>
        <w:t xml:space="preserve">A </w:t>
      </w:r>
      <w:r>
        <w:rPr>
          <w:i/>
          <w:iCs w:val="0"/>
        </w:rPr>
        <w:t>Chevron</w:t>
      </w:r>
      <w:r>
        <w:t xml:space="preserve"> under attack is the </w:t>
      </w:r>
      <w:r>
        <w:rPr>
          <w:u w:val="single"/>
        </w:rPr>
        <w:t>environment</w:t>
      </w:r>
      <w:r>
        <w:t xml:space="preserve"> under attack.</w:t>
      </w:r>
    </w:p>
    <w:p w14:paraId="7238A334" w14:textId="77777777" w:rsidR="00516959" w:rsidRPr="006C3F34" w:rsidRDefault="00516959" w:rsidP="00516959">
      <w:r>
        <w:rPr>
          <w:rStyle w:val="Style13ptBold"/>
        </w:rPr>
        <w:t xml:space="preserve">Feldman 18 </w:t>
      </w:r>
      <w:r>
        <w:t>— Noah Feldman is a Felix Frankfurter Professor of Law at Harvard Law School, he is also a Senior Fellow of the Society of Fellows at Harvard. He’s served as a clerk for judges in the Supreme court and Court of Appeals. He received his JD from Yale Law. (“Tipping the Scales,” The New York Review, July 19, 2018, https://www.nybooks.com/articles/2018/07/19/supreme-court-tipping-scales/)//JLPark</w:t>
      </w:r>
    </w:p>
    <w:p w14:paraId="01DA0671" w14:textId="77777777" w:rsidR="00516959" w:rsidRPr="00D927CE" w:rsidRDefault="00516959" w:rsidP="00516959">
      <w:pPr>
        <w:rPr>
          <w:sz w:val="14"/>
        </w:rPr>
      </w:pPr>
      <w:r w:rsidRPr="00D927CE">
        <w:rPr>
          <w:sz w:val="14"/>
        </w:rPr>
        <w:t xml:space="preserve">Environmental regulation is the final area in which an activist conservative Court could have a substantial effect. The source of the Court’s power here lies in the relationship between environmental legislation and regulation. In general, </w:t>
      </w:r>
      <w:r w:rsidRPr="00D927CE">
        <w:rPr>
          <w:rStyle w:val="StyleUnderline"/>
        </w:rPr>
        <w:t>Congress has chosen</w:t>
      </w:r>
      <w:r w:rsidRPr="00D927CE">
        <w:rPr>
          <w:sz w:val="14"/>
        </w:rPr>
        <w:t xml:space="preserve"> to deal with </w:t>
      </w:r>
      <w:r w:rsidRPr="00D927CE">
        <w:rPr>
          <w:rStyle w:val="StyleUnderline"/>
        </w:rPr>
        <w:t>the environment by passing very general laws and delegating the authority to implement them to regulatory agencies like the E</w:t>
      </w:r>
      <w:r w:rsidRPr="00D927CE">
        <w:rPr>
          <w:sz w:val="14"/>
        </w:rPr>
        <w:t xml:space="preserve">nvironmental </w:t>
      </w:r>
      <w:r w:rsidRPr="00D927CE">
        <w:rPr>
          <w:rStyle w:val="StyleUnderline"/>
        </w:rPr>
        <w:t>P</w:t>
      </w:r>
      <w:r w:rsidRPr="00D927CE">
        <w:rPr>
          <w:sz w:val="14"/>
        </w:rPr>
        <w:t xml:space="preserve">rotection </w:t>
      </w:r>
      <w:r w:rsidRPr="00D927CE">
        <w:rPr>
          <w:rStyle w:val="StyleUnderline"/>
        </w:rPr>
        <w:t>A</w:t>
      </w:r>
      <w:r w:rsidRPr="00D927CE">
        <w:rPr>
          <w:sz w:val="14"/>
        </w:rPr>
        <w:t>gency.</w:t>
      </w:r>
    </w:p>
    <w:p w14:paraId="2435DCF7" w14:textId="77777777" w:rsidR="00516959" w:rsidRPr="00D927CE" w:rsidRDefault="00516959" w:rsidP="00516959">
      <w:pPr>
        <w:rPr>
          <w:sz w:val="14"/>
        </w:rPr>
      </w:pPr>
      <w:r w:rsidRPr="00D927CE">
        <w:rPr>
          <w:sz w:val="14"/>
        </w:rPr>
        <w:t xml:space="preserve">An activist conservative </w:t>
      </w:r>
      <w:r w:rsidRPr="00D927CE">
        <w:rPr>
          <w:rStyle w:val="StyleUnderline"/>
        </w:rPr>
        <w:t>Court could make life difficult for</w:t>
      </w:r>
      <w:r w:rsidRPr="00D927CE">
        <w:rPr>
          <w:sz w:val="14"/>
        </w:rPr>
        <w:t xml:space="preserve"> a Democratic </w:t>
      </w:r>
      <w:r w:rsidRPr="00D927CE">
        <w:rPr>
          <w:rStyle w:val="StyleUnderline"/>
        </w:rPr>
        <w:t>EPA by blocking regulation</w:t>
      </w:r>
      <w:r w:rsidRPr="00D927CE">
        <w:rPr>
          <w:sz w:val="14"/>
        </w:rPr>
        <w:t xml:space="preserve"> directly, </w:t>
      </w:r>
      <w:r w:rsidRPr="00D927CE">
        <w:rPr>
          <w:rStyle w:val="StyleUnderline"/>
        </w:rPr>
        <w:t>declaring it “arbitrary and capricious”</w:t>
      </w:r>
      <w:r w:rsidRPr="00D927CE">
        <w:rPr>
          <w:sz w:val="14"/>
        </w:rPr>
        <w:t xml:space="preserve"> under the Administrative Procedure Act. </w:t>
      </w:r>
      <w:r w:rsidRPr="00D927CE">
        <w:rPr>
          <w:rStyle w:val="StyleUnderline"/>
        </w:rPr>
        <w:t>The courts are only supposed to use this tool to block actions that are genuinely irrational or that exceed the agency’s legal authority</w:t>
      </w:r>
      <w:r w:rsidRPr="00D927CE">
        <w:rPr>
          <w:sz w:val="14"/>
        </w:rPr>
        <w:t>; but the Court could deploy it much more aggressively than has been done in the past.</w:t>
      </w:r>
    </w:p>
    <w:p w14:paraId="416AC740" w14:textId="77777777" w:rsidR="00516959" w:rsidRPr="00863544" w:rsidRDefault="00516959" w:rsidP="00516959">
      <w:pPr>
        <w:rPr>
          <w:sz w:val="14"/>
          <w:szCs w:val="14"/>
        </w:rPr>
      </w:pPr>
      <w:r w:rsidRPr="00863544">
        <w:rPr>
          <w:sz w:val="14"/>
          <w:szCs w:val="14"/>
        </w:rPr>
        <w:t>In practice, environmentalists could try to get around such a judicial barrier by lobbying Congress to pass laws directing that a specific regulation be adopted, rather than delegating so much authority to the EPA. If public opinion were strongly enough in favor of increased environmental protection, a Democratic Congress and president could probably get some regulation adopted despite judicial resistance.</w:t>
      </w:r>
    </w:p>
    <w:p w14:paraId="386AB2B9" w14:textId="77777777" w:rsidR="00516959" w:rsidRPr="00863544" w:rsidRDefault="00516959" w:rsidP="00516959">
      <w:pPr>
        <w:rPr>
          <w:rStyle w:val="StyleUnderline"/>
        </w:rPr>
      </w:pPr>
      <w:r w:rsidRPr="00863544">
        <w:rPr>
          <w:rStyle w:val="StyleUnderline"/>
        </w:rPr>
        <w:t xml:space="preserve">A </w:t>
      </w:r>
      <w:r w:rsidRPr="00863544">
        <w:rPr>
          <w:sz w:val="14"/>
        </w:rPr>
        <w:t xml:space="preserve">conservative </w:t>
      </w:r>
      <w:r w:rsidRPr="00863544">
        <w:rPr>
          <w:rStyle w:val="StyleUnderline"/>
        </w:rPr>
        <w:t>Court could also impede environmental reform by second-guessing agencies’ interpretations of federal law</w:t>
      </w:r>
      <w:r w:rsidRPr="00863544">
        <w:rPr>
          <w:sz w:val="14"/>
        </w:rPr>
        <w:t>. According to what is known as the “</w:t>
      </w:r>
      <w:r w:rsidRPr="00863544">
        <w:rPr>
          <w:rStyle w:val="StyleUnderline"/>
        </w:rPr>
        <w:t>Chevron</w:t>
      </w:r>
      <w:r w:rsidRPr="00863544">
        <w:rPr>
          <w:sz w:val="14"/>
        </w:rPr>
        <w:t xml:space="preserve"> doctrine,” when federal law is ambiguous, the Court will defer to an agency’s interpretation of the law provided it is reasonable. This doctrine is intended to </w:t>
      </w:r>
      <w:r w:rsidRPr="00863544">
        <w:rPr>
          <w:rStyle w:val="StyleUnderline"/>
        </w:rPr>
        <w:t>give substantial power to agencies, binding the hands of judges who might otherwise disagree with the agencies’ policies.</w:t>
      </w:r>
    </w:p>
    <w:p w14:paraId="70574031" w14:textId="77777777" w:rsidR="00516959" w:rsidRPr="00863544" w:rsidRDefault="00516959" w:rsidP="00516959">
      <w:pPr>
        <w:rPr>
          <w:rStyle w:val="StyleUnderline"/>
        </w:rPr>
      </w:pPr>
      <w:r w:rsidRPr="00863544">
        <w:rPr>
          <w:sz w:val="14"/>
        </w:rPr>
        <w:t>Today </w:t>
      </w:r>
      <w:r w:rsidRPr="00863544">
        <w:rPr>
          <w:rStyle w:val="StyleUnderline"/>
        </w:rPr>
        <w:t>Chevron </w:t>
      </w:r>
      <w:r w:rsidRPr="00863544">
        <w:rPr>
          <w:sz w:val="14"/>
        </w:rPr>
        <w:t>is</w:t>
      </w:r>
      <w:r w:rsidRPr="00863544">
        <w:rPr>
          <w:rStyle w:val="StyleUnderline"/>
        </w:rPr>
        <w:t xml:space="preserve"> under attack</w:t>
      </w:r>
      <w:r w:rsidRPr="00863544">
        <w:rPr>
          <w:sz w:val="14"/>
        </w:rPr>
        <w:t xml:space="preserve">, most prominently from Gorsuch, who has written disparagingly of the idea that courts would have anything less than full control over the meaning of federal statutes. This </w:t>
      </w:r>
      <w:r w:rsidRPr="00863544">
        <w:rPr>
          <w:rStyle w:val="StyleUnderline"/>
        </w:rPr>
        <w:t>is bad news for environmental regulation</w:t>
      </w:r>
      <w:r w:rsidRPr="00863544">
        <w:rPr>
          <w:sz w:val="14"/>
        </w:rPr>
        <w:t xml:space="preserve">—and that is almost certainly part of the point. </w:t>
      </w:r>
      <w:r w:rsidRPr="00863544">
        <w:rPr>
          <w:rStyle w:val="StyleUnderline"/>
        </w:rPr>
        <w:t>A Court that does not defer to an agency’s interpretation of federal law can substitute its own policy judgment for that of the agency</w:t>
      </w:r>
      <w:r w:rsidRPr="00863544">
        <w:rPr>
          <w:sz w:val="14"/>
        </w:rPr>
        <w:t xml:space="preserve">. </w:t>
      </w:r>
      <w:r w:rsidRPr="00863544">
        <w:rPr>
          <w:rStyle w:val="StyleUnderline"/>
        </w:rPr>
        <w:t>If that agency is the EPA, and its judgment is being used to expand environmental protection, then a</w:t>
      </w:r>
      <w:r w:rsidRPr="00863544">
        <w:rPr>
          <w:sz w:val="14"/>
        </w:rPr>
        <w:t xml:space="preserve"> conservative </w:t>
      </w:r>
      <w:r w:rsidRPr="00863544">
        <w:rPr>
          <w:rStyle w:val="StyleUnderline"/>
        </w:rPr>
        <w:t>Court that overturned Chevron or weakened its rule of deference would stand ready to reverse the agency’s course.</w:t>
      </w:r>
    </w:p>
    <w:p w14:paraId="5E468199" w14:textId="77777777" w:rsidR="00516959" w:rsidRPr="00F84DBF" w:rsidRDefault="00516959" w:rsidP="00516959">
      <w:pPr>
        <w:rPr>
          <w:sz w:val="12"/>
        </w:rPr>
      </w:pPr>
      <w:r w:rsidRPr="00F84DBF">
        <w:rPr>
          <w:rStyle w:val="StyleUnderline"/>
        </w:rPr>
        <w:t>The only solution</w:t>
      </w:r>
      <w:r w:rsidRPr="00F84DBF">
        <w:rPr>
          <w:sz w:val="12"/>
        </w:rPr>
        <w:t xml:space="preserve"> for environmentalists </w:t>
      </w:r>
      <w:r w:rsidRPr="00F84DBF">
        <w:rPr>
          <w:rStyle w:val="StyleUnderline"/>
        </w:rPr>
        <w:t>would be to pass new laws that would expressly enact regulation, rather than delegating regulatory authority to</w:t>
      </w:r>
      <w:r w:rsidRPr="00F84DBF">
        <w:rPr>
          <w:sz w:val="12"/>
        </w:rPr>
        <w:t xml:space="preserve"> the </w:t>
      </w:r>
      <w:r w:rsidRPr="00F84DBF">
        <w:rPr>
          <w:rStyle w:val="StyleUnderline"/>
        </w:rPr>
        <w:t>agencies</w:t>
      </w:r>
      <w:r w:rsidRPr="00F84DBF">
        <w:rPr>
          <w:sz w:val="12"/>
        </w:rPr>
        <w:t xml:space="preserve">. </w:t>
      </w:r>
      <w:r w:rsidRPr="00F84DBF">
        <w:rPr>
          <w:rStyle w:val="StyleUnderline"/>
        </w:rPr>
        <w:t>That would be hard</w:t>
      </w:r>
      <w:r w:rsidRPr="00F84DBF">
        <w:rPr>
          <w:sz w:val="12"/>
        </w:rPr>
        <w:t xml:space="preserve"> to do, especially </w:t>
      </w:r>
      <w:r w:rsidRPr="00F84DBF">
        <w:rPr>
          <w:rStyle w:val="StyleUnderline"/>
        </w:rPr>
        <w:t>given the established norm that agencies rather than Congress do most environmental regulating</w:t>
      </w:r>
      <w:r w:rsidRPr="00F84DBF">
        <w:rPr>
          <w:sz w:val="12"/>
        </w:rPr>
        <w:t>. But if a conservative Court systematically uses statutory interpretation to block environmental regulation, that division of labor may have to change. Instead of making arguments to the EPA or other agencies, environmentalists would have to direct their efforts more directly toward Congress itself.</w:t>
      </w:r>
    </w:p>
    <w:p w14:paraId="51E6B6B4" w14:textId="77777777" w:rsidR="00516959" w:rsidRPr="001A6E5B" w:rsidRDefault="00516959" w:rsidP="00516959">
      <w:pPr>
        <w:rPr>
          <w:sz w:val="14"/>
        </w:rPr>
      </w:pPr>
      <w:r w:rsidRPr="00F84DBF">
        <w:rPr>
          <w:rStyle w:val="StyleUnderline"/>
        </w:rPr>
        <w:t>A durable conservative</w:t>
      </w:r>
      <w:r w:rsidRPr="00F84DBF">
        <w:rPr>
          <w:sz w:val="14"/>
        </w:rPr>
        <w:t xml:space="preserve"> majority on the Supreme </w:t>
      </w:r>
      <w:r w:rsidRPr="00F84DBF">
        <w:rPr>
          <w:rStyle w:val="StyleUnderline"/>
        </w:rPr>
        <w:t>Court could</w:t>
      </w:r>
      <w:r w:rsidRPr="00F84DBF">
        <w:rPr>
          <w:sz w:val="14"/>
        </w:rPr>
        <w:t xml:space="preserve">, then, </w:t>
      </w:r>
      <w:r w:rsidRPr="00F84DBF">
        <w:rPr>
          <w:rStyle w:val="StyleUnderline"/>
        </w:rPr>
        <w:t>impose substantial changes in American rights and law</w:t>
      </w:r>
      <w:r w:rsidRPr="00F84DBF">
        <w:rPr>
          <w:sz w:val="14"/>
        </w:rPr>
        <w:t xml:space="preserve">, </w:t>
      </w:r>
      <w:r w:rsidRPr="00F84DBF">
        <w:rPr>
          <w:rStyle w:val="StyleUnderline"/>
        </w:rPr>
        <w:t>especially in areas where liberals have in recent decades relied on courts and administrative agencies rather than Congress or state legislatures to implement progressive policies</w:t>
      </w:r>
      <w:r w:rsidRPr="00F84DBF">
        <w:rPr>
          <w:sz w:val="14"/>
        </w:rPr>
        <w:t>. Those who oppose such changes should begin considering the appropriate political responses, such as choosing which issues should be targeted for grassroots organizing and lobbying state legislatures and Congress. Ultimately, Democrats cannot rely on judges for social progress. A functioning liberal democracy requires a liberal populace that is prepared to vote for the policies it wants.</w:t>
      </w:r>
    </w:p>
    <w:p w14:paraId="1AFBF55A" w14:textId="7E91F58A" w:rsidR="00516959" w:rsidRPr="00684BF3" w:rsidRDefault="00516959" w:rsidP="00516959">
      <w:pPr>
        <w:pStyle w:val="Heading3"/>
      </w:pPr>
      <w:r>
        <w:t>2NC – IL – Flexibility</w:t>
      </w:r>
    </w:p>
    <w:p w14:paraId="4F004EFE" w14:textId="77777777" w:rsidR="00516959" w:rsidRPr="00805A42" w:rsidRDefault="00516959" w:rsidP="00516959">
      <w:pPr>
        <w:pStyle w:val="Heading4"/>
      </w:pPr>
      <w:r w:rsidRPr="00805A42">
        <w:rPr>
          <w:i/>
          <w:iCs w:val="0"/>
        </w:rPr>
        <w:t xml:space="preserve">Chevron </w:t>
      </w:r>
      <w:r>
        <w:t>preserves flexibility.</w:t>
      </w:r>
    </w:p>
    <w:p w14:paraId="59E3432F" w14:textId="77777777" w:rsidR="00516959" w:rsidRPr="0069319E" w:rsidRDefault="00516959" w:rsidP="00516959">
      <w:r w:rsidRPr="00CD65EF">
        <w:rPr>
          <w:b/>
          <w:bCs/>
          <w:sz w:val="26"/>
          <w:szCs w:val="26"/>
        </w:rPr>
        <w:t>Roddel 17</w:t>
      </w:r>
      <w:r>
        <w:t xml:space="preserve"> - </w:t>
      </w:r>
      <w:r w:rsidRPr="00CD65EF">
        <w:t>Assistant Director of Media Relations at University of Notre Dame</w:t>
      </w:r>
      <w:r>
        <w:t>, (Shannon, “</w:t>
      </w:r>
      <w:r w:rsidRPr="00CD65EF">
        <w:t>Why the Chevron Deference matters in the Age of Trump</w:t>
      </w:r>
      <w:r>
        <w:t xml:space="preserve">,” </w:t>
      </w:r>
      <w:r>
        <w:rPr>
          <w:i/>
          <w:iCs/>
        </w:rPr>
        <w:t>University of Notre Dame</w:t>
      </w:r>
      <w:r>
        <w:t xml:space="preserve">, 2-6-17, </w:t>
      </w:r>
      <w:hyperlink r:id="rId354" w:history="1">
        <w:r w:rsidRPr="00C4407D">
          <w:rPr>
            <w:rStyle w:val="Hyperlink"/>
          </w:rPr>
          <w:t>https://news.nd.edu/news/why-the-chevron-deference-matters-in-the-age-of-trump/</w:t>
        </w:r>
      </w:hyperlink>
      <w:r>
        <w:t>, Accessed 6-20-20, LASA-AH)</w:t>
      </w:r>
    </w:p>
    <w:p w14:paraId="7E9544E7" w14:textId="77777777" w:rsidR="00516959" w:rsidRDefault="00516959" w:rsidP="00516959">
      <w:r>
        <w:t>So, why does Chevron matter?</w:t>
      </w:r>
    </w:p>
    <w:p w14:paraId="3F814229" w14:textId="77777777" w:rsidR="00516959" w:rsidRPr="00805A42" w:rsidRDefault="00516959" w:rsidP="00516959">
      <w:r>
        <w:t xml:space="preserve">“Not because of any one particular issue,” says Pojanowski. </w:t>
      </w:r>
      <w:r w:rsidRPr="00BB78BE">
        <w:rPr>
          <w:u w:val="single"/>
        </w:rPr>
        <w:t>“Chevron can help an agency and administration increase or decrease, say, environmental regulation, labor regulation, the strictness of anti-discrimination laws,</w:t>
      </w:r>
      <w:r>
        <w:t xml:space="preserve"> etc. What is most important </w:t>
      </w:r>
      <w:r w:rsidRPr="009727FB">
        <w:t>is its systematic effects</w:t>
      </w:r>
      <w:r w:rsidRPr="00BB78BE">
        <w:rPr>
          <w:u w:val="single"/>
        </w:rPr>
        <w:t xml:space="preserve">. By giving the agencies a heavy benefit of the doubt where the law is unclear, Chevron </w:t>
      </w:r>
      <w:r w:rsidRPr="009727FB">
        <w:rPr>
          <w:rStyle w:val="Emphasis"/>
        </w:rPr>
        <w:t>gives those agencies more flexibility</w:t>
      </w:r>
      <w:r w:rsidRPr="00BB78BE">
        <w:rPr>
          <w:u w:val="single"/>
        </w:rPr>
        <w:t xml:space="preserve"> to regulate according to their </w:t>
      </w:r>
      <w:r w:rsidRPr="009727FB">
        <w:t>policy</w:t>
      </w:r>
      <w:r w:rsidRPr="00BB78BE">
        <w:rPr>
          <w:u w:val="single"/>
        </w:rPr>
        <w:t xml:space="preserve"> preferences</w:t>
      </w:r>
      <w:r>
        <w:t xml:space="preserve">. </w:t>
      </w:r>
      <w:r w:rsidRPr="00BB78BE">
        <w:rPr>
          <w:u w:val="single"/>
        </w:rPr>
        <w:t xml:space="preserve">Without Chevron, their flexibility is </w:t>
      </w:r>
      <w:r w:rsidRPr="009727FB">
        <w:rPr>
          <w:rStyle w:val="Emphasis"/>
        </w:rPr>
        <w:t>limited</w:t>
      </w:r>
      <w:r w:rsidRPr="00BB78BE">
        <w:rPr>
          <w:u w:val="single"/>
        </w:rPr>
        <w:t xml:space="preserve"> by what the courts think </w:t>
      </w:r>
      <w:r w:rsidRPr="009727FB">
        <w:t>the best reading of the law is, and</w:t>
      </w:r>
      <w:r w:rsidRPr="00BB78BE">
        <w:rPr>
          <w:u w:val="single"/>
        </w:rPr>
        <w:t xml:space="preserve"> that could be pro- or anti-regulatory.</w:t>
      </w:r>
      <w:r>
        <w:t xml:space="preserve"> It just depends on the particular law and the particular court’s reading of it.”</w:t>
      </w:r>
    </w:p>
    <w:p w14:paraId="5CD3FCA1" w14:textId="77777777" w:rsidR="00516959" w:rsidRDefault="00516959" w:rsidP="00516959">
      <w:pPr>
        <w:pStyle w:val="Heading3"/>
      </w:pPr>
      <w:r>
        <w:t>2NC – IL – AT: Fails at Emerging Tech</w:t>
      </w:r>
    </w:p>
    <w:p w14:paraId="4B8F8F3E" w14:textId="77777777" w:rsidR="00516959" w:rsidRPr="00FE1EB2" w:rsidRDefault="00516959" w:rsidP="00516959">
      <w:pPr>
        <w:pStyle w:val="Heading4"/>
      </w:pPr>
      <w:r>
        <w:rPr>
          <w:i/>
          <w:iCs w:val="0"/>
        </w:rPr>
        <w:t>Chevron</w:t>
      </w:r>
      <w:r>
        <w:t xml:space="preserve"> ensures </w:t>
      </w:r>
      <w:r>
        <w:rPr>
          <w:u w:val="single"/>
        </w:rPr>
        <w:t>experts</w:t>
      </w:r>
      <w:r>
        <w:t xml:space="preserve"> guide emerging tech.</w:t>
      </w:r>
    </w:p>
    <w:p w14:paraId="5D7726CC" w14:textId="77777777" w:rsidR="00516959" w:rsidRDefault="00516959" w:rsidP="00516959">
      <w:r w:rsidRPr="00173CBF">
        <w:rPr>
          <w:rStyle w:val="Heading4Char"/>
        </w:rPr>
        <w:t>Huddleson 19</w:t>
      </w:r>
      <w:r>
        <w:t xml:space="preserve"> – (Edwin E. Huddleson, University of Chicago Law School (J.D.); Stanford University (B.S.); member of the American Law Institute and the California, District of Columbia, Maryland, and New York Bars; engaged in private practice in Washington, D.C. Originator of the Harold Leventhal series of lectures on administrative law; “CHEVRON UNDER SIEGE”; Hein Online; D.A. July 4</w:t>
      </w:r>
      <w:r w:rsidRPr="00173CBF">
        <w:rPr>
          <w:vertAlign w:val="superscript"/>
        </w:rPr>
        <w:t>th</w:t>
      </w:r>
      <w:r>
        <w:t xml:space="preserve"> 2020, [Published 2019]; University of Louisville Law Review, Vol. 58, Issue 17, pg. 74-75, Accessed via UMich libraries; </w:t>
      </w:r>
      <w:hyperlink r:id="rId355" w:history="1">
        <w:r>
          <w:rPr>
            <w:rStyle w:val="Hyperlink"/>
          </w:rPr>
          <w:t>https://heinonline.org/HOL/LandingPage?handle=hein.journals/branlaj58&amp;div=6&amp;id=&amp;page=</w:t>
        </w:r>
      </w:hyperlink>
      <w:r>
        <w:t>) //LFS—JCM</w:t>
      </w:r>
    </w:p>
    <w:p w14:paraId="3F1841D1" w14:textId="77777777" w:rsidR="00516959" w:rsidRPr="009E0B4F" w:rsidRDefault="00516959" w:rsidP="00516959">
      <w:pPr>
        <w:rPr>
          <w:rStyle w:val="StyleUnderline"/>
        </w:rPr>
      </w:pPr>
      <w:r w:rsidRPr="009E0B4F">
        <w:rPr>
          <w:sz w:val="16"/>
        </w:rPr>
        <w:t xml:space="preserve">V. </w:t>
      </w:r>
      <w:r w:rsidRPr="009E0B4F">
        <w:rPr>
          <w:rStyle w:val="StyleUnderline"/>
        </w:rPr>
        <w:t>CHEVRON'S FUTURE</w:t>
      </w:r>
    </w:p>
    <w:p w14:paraId="20A1C35F" w14:textId="77777777" w:rsidR="00516959" w:rsidRDefault="00516959" w:rsidP="00516959">
      <w:pPr>
        <w:rPr>
          <w:sz w:val="16"/>
        </w:rPr>
      </w:pPr>
      <w:r w:rsidRPr="006A6C9F">
        <w:rPr>
          <w:sz w:val="16"/>
        </w:rPr>
        <w:t xml:space="preserve">The outpouring of partisan attacks on Obama Executive Branch agency power, and </w:t>
      </w:r>
      <w:r w:rsidRPr="009E0B4F">
        <w:rPr>
          <w:rStyle w:val="Emphasis"/>
        </w:rPr>
        <w:t>criticisms of Chevron</w:t>
      </w:r>
      <w:r w:rsidRPr="009E0B4F">
        <w:rPr>
          <w:rStyle w:val="StyleUnderline"/>
        </w:rPr>
        <w:t xml:space="preserve"> from academics</w:t>
      </w:r>
      <w:r w:rsidRPr="006A6C9F">
        <w:rPr>
          <w:sz w:val="16"/>
        </w:rPr>
        <w:t xml:space="preserve">, Congress, and some judges, </w:t>
      </w:r>
      <w:r w:rsidRPr="009E0B4F">
        <w:rPr>
          <w:rStyle w:val="StyleUnderline"/>
        </w:rPr>
        <w:t xml:space="preserve">have </w:t>
      </w:r>
      <w:r w:rsidRPr="009E0B4F">
        <w:rPr>
          <w:rStyle w:val="Emphasis"/>
        </w:rPr>
        <w:t>not undermined</w:t>
      </w:r>
      <w:r w:rsidRPr="009E0B4F">
        <w:rPr>
          <w:rStyle w:val="StyleUnderline"/>
        </w:rPr>
        <w:t xml:space="preserve"> the </w:t>
      </w:r>
      <w:r w:rsidRPr="009E0B4F">
        <w:rPr>
          <w:rStyle w:val="Emphasis"/>
        </w:rPr>
        <w:t>practical</w:t>
      </w:r>
      <w:r w:rsidRPr="009E0B4F">
        <w:rPr>
          <w:rStyle w:val="StyleUnderline"/>
        </w:rPr>
        <w:t xml:space="preserve"> considerations that </w:t>
      </w:r>
      <w:r w:rsidRPr="009E0B4F">
        <w:rPr>
          <w:rStyle w:val="Emphasis"/>
        </w:rPr>
        <w:t>support Chevron's</w:t>
      </w:r>
      <w:r w:rsidRPr="009E0B4F">
        <w:rPr>
          <w:rStyle w:val="StyleUnderline"/>
        </w:rPr>
        <w:t xml:space="preserve"> retention</w:t>
      </w:r>
      <w:r w:rsidRPr="006A6C9F">
        <w:rPr>
          <w:sz w:val="16"/>
        </w:rPr>
        <w:t xml:space="preserve"> in the long term.263 </w:t>
      </w:r>
      <w:r w:rsidRPr="009E0B4F">
        <w:rPr>
          <w:rStyle w:val="Emphasis"/>
        </w:rPr>
        <w:t>Technical expertise</w:t>
      </w:r>
      <w:r w:rsidRPr="009E0B4F">
        <w:rPr>
          <w:rStyle w:val="StyleUnderline"/>
        </w:rPr>
        <w:t xml:space="preserve">, held by </w:t>
      </w:r>
      <w:r w:rsidRPr="006A6C9F">
        <w:rPr>
          <w:rStyle w:val="Emphasis"/>
        </w:rPr>
        <w:t>politically accountable agencies</w:t>
      </w:r>
      <w:r w:rsidRPr="006A6C9F">
        <w:rPr>
          <w:sz w:val="16"/>
        </w:rPr>
        <w:t xml:space="preserve"> more than generalist federal judges, </w:t>
      </w:r>
      <w:r w:rsidRPr="009E0B4F">
        <w:rPr>
          <w:rStyle w:val="StyleUnderline"/>
        </w:rPr>
        <w:t>is desirable in administering increasingly complex and scientifically dependent statutes</w:t>
      </w:r>
      <w:r w:rsidRPr="006A6C9F">
        <w:rPr>
          <w:sz w:val="16"/>
        </w:rPr>
        <w:t xml:space="preserve">.2 6 </w:t>
      </w:r>
      <w:r w:rsidRPr="006A6C9F">
        <w:rPr>
          <w:rStyle w:val="Emphasis"/>
        </w:rPr>
        <w:t>Under Chevron</w:t>
      </w:r>
      <w:r w:rsidRPr="006A6C9F">
        <w:rPr>
          <w:sz w:val="16"/>
        </w:rPr>
        <w:t xml:space="preserve"> and Fox TV Stations, </w:t>
      </w:r>
      <w:r w:rsidRPr="006A6C9F">
        <w:rPr>
          <w:rStyle w:val="Emphasis"/>
        </w:rPr>
        <w:t>agencies can change position</w:t>
      </w:r>
      <w:r w:rsidRPr="009E0B4F">
        <w:rPr>
          <w:rStyle w:val="StyleUnderline"/>
        </w:rPr>
        <w:t xml:space="preserve"> and implement new policies to </w:t>
      </w:r>
      <w:r w:rsidRPr="006A6C9F">
        <w:rPr>
          <w:rStyle w:val="Emphasis"/>
        </w:rPr>
        <w:t>come to grips with changes in science, technology, and</w:t>
      </w:r>
      <w:r w:rsidRPr="009E0B4F">
        <w:rPr>
          <w:rStyle w:val="StyleUnderline"/>
        </w:rPr>
        <w:t xml:space="preserve"> </w:t>
      </w:r>
      <w:r w:rsidRPr="006A6C9F">
        <w:rPr>
          <w:sz w:val="16"/>
        </w:rPr>
        <w:t xml:space="preserve">other </w:t>
      </w:r>
      <w:r w:rsidRPr="006A6C9F">
        <w:rPr>
          <w:rStyle w:val="Emphasis"/>
        </w:rPr>
        <w:t>new circumstances</w:t>
      </w:r>
      <w:r w:rsidRPr="006A6C9F">
        <w:rPr>
          <w:sz w:val="16"/>
        </w:rPr>
        <w:t xml:space="preserve">. </w:t>
      </w:r>
      <w:r w:rsidRPr="009E0B4F">
        <w:rPr>
          <w:rStyle w:val="StyleUnderline"/>
        </w:rPr>
        <w:t xml:space="preserve">By contrast, insisting that federal </w:t>
      </w:r>
      <w:r w:rsidRPr="006A6C9F">
        <w:rPr>
          <w:rStyle w:val="Emphasis"/>
        </w:rPr>
        <w:t>court</w:t>
      </w:r>
      <w:r w:rsidRPr="006A6C9F">
        <w:rPr>
          <w:sz w:val="16"/>
        </w:rPr>
        <w:t xml:space="preserve"> judge</w:t>
      </w:r>
      <w:r w:rsidRPr="006A6C9F">
        <w:rPr>
          <w:rStyle w:val="Emphasis"/>
        </w:rPr>
        <w:t>s</w:t>
      </w:r>
      <w:r w:rsidRPr="006A6C9F">
        <w:rPr>
          <w:sz w:val="16"/>
        </w:rPr>
        <w:t xml:space="preserve"> </w:t>
      </w:r>
      <w:r w:rsidRPr="009E0B4F">
        <w:rPr>
          <w:rStyle w:val="StyleUnderline"/>
        </w:rPr>
        <w:t>resolve all statutory ambiguities</w:t>
      </w:r>
      <w:r w:rsidRPr="006A6C9F">
        <w:rPr>
          <w:sz w:val="16"/>
        </w:rPr>
        <w:t xml:space="preserve"> by announcing the single "best" interpretation of a statute </w:t>
      </w:r>
      <w:r w:rsidRPr="006A6C9F">
        <w:rPr>
          <w:rStyle w:val="Emphasis"/>
        </w:rPr>
        <w:t>would produce</w:t>
      </w:r>
      <w:r w:rsidRPr="009E0B4F">
        <w:rPr>
          <w:rStyle w:val="StyleUnderline"/>
        </w:rPr>
        <w:t xml:space="preserve"> "</w:t>
      </w:r>
      <w:r w:rsidRPr="006A6C9F">
        <w:rPr>
          <w:rStyle w:val="Emphasis"/>
        </w:rPr>
        <w:t>ossification</w:t>
      </w:r>
      <w:r w:rsidRPr="009E0B4F">
        <w:rPr>
          <w:rStyle w:val="StyleUnderline"/>
        </w:rPr>
        <w:t xml:space="preserve"> of large portions of our statutory law."</w:t>
      </w:r>
      <w:r w:rsidRPr="006A6C9F">
        <w:rPr>
          <w:sz w:val="16"/>
        </w:rPr>
        <w:t xml:space="preserve">26 5 </w:t>
      </w:r>
      <w:r w:rsidRPr="009E0B4F">
        <w:rPr>
          <w:rStyle w:val="StyleUnderline"/>
        </w:rPr>
        <w:t>Under Chevron, the extent to which courts defer</w:t>
      </w:r>
      <w:r w:rsidRPr="006A6C9F">
        <w:rPr>
          <w:sz w:val="16"/>
        </w:rPr>
        <w:t xml:space="preserve"> to agency interpretations of law ultimately </w:t>
      </w:r>
      <w:r w:rsidRPr="009E0B4F">
        <w:rPr>
          <w:rStyle w:val="StyleUnderline"/>
        </w:rPr>
        <w:t>depends on "Congress'</w:t>
      </w:r>
      <w:r w:rsidRPr="006A6C9F">
        <w:rPr>
          <w:sz w:val="16"/>
        </w:rPr>
        <w:t xml:space="preserve"> intent on the subject as revealed in the particular statutory scheme at issue." 2 6 6 </w:t>
      </w:r>
      <w:r w:rsidRPr="009E0B4F">
        <w:rPr>
          <w:rStyle w:val="StyleUnderline"/>
        </w:rPr>
        <w:t xml:space="preserve">And </w:t>
      </w:r>
      <w:r w:rsidRPr="006A6C9F">
        <w:rPr>
          <w:rStyle w:val="Emphasis"/>
        </w:rPr>
        <w:t>Congress has repeatedly invested agencies with</w:t>
      </w:r>
      <w:r w:rsidRPr="009E0B4F">
        <w:rPr>
          <w:rStyle w:val="StyleUnderline"/>
        </w:rPr>
        <w:t xml:space="preserve"> discretionary </w:t>
      </w:r>
      <w:r w:rsidRPr="006A6C9F">
        <w:rPr>
          <w:rStyle w:val="Emphasis"/>
        </w:rPr>
        <w:t>power</w:t>
      </w:r>
      <w:r w:rsidRPr="009E0B4F">
        <w:rPr>
          <w:rStyle w:val="StyleUnderline"/>
        </w:rPr>
        <w:t xml:space="preserve"> to make policy and undertake. day-to-day administration of the regulatory programs</w:t>
      </w:r>
      <w:r w:rsidRPr="006A6C9F">
        <w:rPr>
          <w:sz w:val="16"/>
        </w:rPr>
        <w:t xml:space="preserve"> that </w:t>
      </w:r>
      <w:r w:rsidRPr="009E0B4F">
        <w:rPr>
          <w:rStyle w:val="StyleUnderline"/>
        </w:rPr>
        <w:t>Congress</w:t>
      </w:r>
      <w:r w:rsidRPr="006A6C9F">
        <w:rPr>
          <w:sz w:val="16"/>
        </w:rPr>
        <w:t xml:space="preserve"> itself </w:t>
      </w:r>
      <w:r w:rsidRPr="009E0B4F">
        <w:rPr>
          <w:rStyle w:val="StyleUnderline"/>
        </w:rPr>
        <w:t>has neither the time nor the expertise to administer</w:t>
      </w:r>
      <w:r w:rsidRPr="006A6C9F">
        <w:rPr>
          <w:sz w:val="16"/>
        </w:rPr>
        <w:t>.2 67</w:t>
      </w:r>
    </w:p>
    <w:p w14:paraId="78D0E22F" w14:textId="77777777" w:rsidR="00516959" w:rsidRPr="00C80CAB" w:rsidRDefault="00516959" w:rsidP="00516959">
      <w:pPr>
        <w:pStyle w:val="Heading4"/>
        <w:rPr>
          <w:szCs w:val="26"/>
        </w:rPr>
      </w:pPr>
      <w:r>
        <w:rPr>
          <w:szCs w:val="26"/>
        </w:rPr>
        <w:t>Regulation is key.</w:t>
      </w:r>
    </w:p>
    <w:p w14:paraId="00821AA4" w14:textId="77777777" w:rsidR="00516959" w:rsidRPr="00684BF3" w:rsidRDefault="00516959" w:rsidP="00516959">
      <w:r w:rsidRPr="00C80CAB">
        <w:rPr>
          <w:rStyle w:val="Heading4Char"/>
          <w:szCs w:val="26"/>
        </w:rPr>
        <w:t>Marr 20</w:t>
      </w:r>
      <w:r w:rsidRPr="00684BF3">
        <w:t xml:space="preserve"> – (Bernard Marr, published author, citing Bostrom; “Is Artificial Intelligence (AI) A Threat To Humans?”; Forbes; D.A. June 30</w:t>
      </w:r>
      <w:r w:rsidRPr="00684BF3">
        <w:rPr>
          <w:vertAlign w:val="superscript"/>
        </w:rPr>
        <w:t>th</w:t>
      </w:r>
      <w:r w:rsidRPr="00684BF3">
        <w:t xml:space="preserve"> 2020, [Published March 2</w:t>
      </w:r>
      <w:r w:rsidRPr="00684BF3">
        <w:rPr>
          <w:vertAlign w:val="superscript"/>
        </w:rPr>
        <w:t>nd</w:t>
      </w:r>
      <w:r w:rsidRPr="00684BF3">
        <w:t xml:space="preserve"> 2020]; </w:t>
      </w:r>
      <w:hyperlink r:id="rId356" w:anchor="4b6decb1205d" w:history="1">
        <w:r w:rsidRPr="00684BF3">
          <w:rPr>
            <w:rStyle w:val="Hyperlink"/>
          </w:rPr>
          <w:t>https://www.forbes.com/sites/bernardmarr/2020/03/02/is-artificial-intelligence-ai-a-threat-to-humans/#4b6decb1205d</w:t>
        </w:r>
      </w:hyperlink>
      <w:r w:rsidRPr="00684BF3">
        <w:t>) //LFS—JCM</w:t>
      </w:r>
    </w:p>
    <w:p w14:paraId="1A44B8E8" w14:textId="77777777" w:rsidR="00516959" w:rsidRPr="00684BF3" w:rsidRDefault="00516959" w:rsidP="00516959">
      <w:pPr>
        <w:rPr>
          <w:sz w:val="16"/>
        </w:rPr>
      </w:pPr>
      <w:r w:rsidRPr="00684BF3">
        <w:rPr>
          <w:rStyle w:val="StyleUnderline"/>
        </w:rPr>
        <w:t>Change the jobs humans do</w:t>
      </w:r>
      <w:r w:rsidRPr="00684BF3">
        <w:rPr>
          <w:sz w:val="16"/>
        </w:rPr>
        <w:t>/</w:t>
      </w:r>
      <w:hyperlink r:id="rId357" w:tgtFrame="_blank" w:tooltip="https://builtin.com/artificial-intelligence/risks-of-artificial-intelligence" w:history="1">
        <w:r w:rsidRPr="00684BF3">
          <w:rPr>
            <w:rStyle w:val="Hyperlink"/>
            <w:sz w:val="16"/>
          </w:rPr>
          <w:t>job automation</w:t>
        </w:r>
      </w:hyperlink>
      <w:r w:rsidRPr="00684BF3">
        <w:rPr>
          <w:sz w:val="16"/>
        </w:rPr>
        <w:t xml:space="preserve">: </w:t>
      </w:r>
      <w:r w:rsidRPr="00684BF3">
        <w:rPr>
          <w:rStyle w:val="StyleUnderline"/>
        </w:rPr>
        <w:t>AI will change the workplace</w:t>
      </w:r>
      <w:r w:rsidRPr="00684BF3">
        <w:rPr>
          <w:sz w:val="16"/>
        </w:rPr>
        <w:t xml:space="preserve"> and the jobs that humans do. Some </w:t>
      </w:r>
      <w:r w:rsidRPr="00684BF3">
        <w:rPr>
          <w:rStyle w:val="StyleUnderline"/>
        </w:rPr>
        <w:t>jobs will be lost</w:t>
      </w:r>
      <w:r w:rsidRPr="00684BF3">
        <w:rPr>
          <w:sz w:val="16"/>
        </w:rPr>
        <w:t xml:space="preserve"> to AI technology, so </w:t>
      </w:r>
      <w:r w:rsidRPr="00684BF3">
        <w:rPr>
          <w:rStyle w:val="StyleUnderline"/>
        </w:rPr>
        <w:t>humans will need to embrace the change</w:t>
      </w:r>
      <w:r w:rsidRPr="00684BF3">
        <w:rPr>
          <w:sz w:val="16"/>
        </w:rPr>
        <w:t xml:space="preserve"> and find new activities that will provide them the social and mental benefits their job provided.</w:t>
      </w:r>
    </w:p>
    <w:p w14:paraId="59766004" w14:textId="77777777" w:rsidR="00516959" w:rsidRPr="00684BF3" w:rsidRDefault="00516959" w:rsidP="00516959">
      <w:pPr>
        <w:rPr>
          <w:sz w:val="16"/>
        </w:rPr>
      </w:pPr>
      <w:r w:rsidRPr="00684BF3">
        <w:rPr>
          <w:rStyle w:val="StyleUnderline"/>
        </w:rPr>
        <w:t>Political</w:t>
      </w:r>
      <w:r w:rsidRPr="00684BF3">
        <w:rPr>
          <w:sz w:val="16"/>
        </w:rPr>
        <w:t xml:space="preserve">, legal, and social </w:t>
      </w:r>
      <w:r w:rsidRPr="00684BF3">
        <w:rPr>
          <w:rStyle w:val="StyleUnderline"/>
        </w:rPr>
        <w:t>ramifications</w:t>
      </w:r>
      <w:r w:rsidRPr="00684BF3">
        <w:rPr>
          <w:sz w:val="16"/>
        </w:rPr>
        <w:t xml:space="preserve">: </w:t>
      </w:r>
      <w:r w:rsidRPr="00684BF3">
        <w:rPr>
          <w:rStyle w:val="StyleUnderline"/>
        </w:rPr>
        <w:t>As Bostrom advises</w:t>
      </w:r>
      <w:r w:rsidRPr="00684BF3">
        <w:rPr>
          <w:sz w:val="16"/>
        </w:rPr>
        <w:t xml:space="preserve">, </w:t>
      </w:r>
      <w:r w:rsidRPr="00684BF3">
        <w:rPr>
          <w:rStyle w:val="StyleUnderline"/>
        </w:rPr>
        <w:t>rather than avoid pursuing AI</w:t>
      </w:r>
      <w:r w:rsidRPr="00684BF3">
        <w:rPr>
          <w:sz w:val="16"/>
        </w:rPr>
        <w:t xml:space="preserve"> innovation, "</w:t>
      </w:r>
      <w:r w:rsidRPr="00684BF3">
        <w:rPr>
          <w:rStyle w:val="Emphasis"/>
        </w:rPr>
        <w:t>Our focus should be on</w:t>
      </w:r>
      <w:r w:rsidRPr="00684BF3">
        <w:rPr>
          <w:rStyle w:val="StyleUnderline"/>
        </w:rPr>
        <w:t xml:space="preserve"> putting ourselves in the best possible position</w:t>
      </w:r>
      <w:r w:rsidRPr="00684BF3">
        <w:rPr>
          <w:sz w:val="16"/>
        </w:rPr>
        <w:t xml:space="preserve"> so that when all the pieces fall into place, we've done our homework. </w:t>
      </w:r>
      <w:r w:rsidRPr="00684BF3">
        <w:rPr>
          <w:rStyle w:val="StyleUnderline"/>
        </w:rPr>
        <w:t>We've developed</w:t>
      </w:r>
      <w:r w:rsidRPr="00684BF3">
        <w:rPr>
          <w:sz w:val="16"/>
        </w:rPr>
        <w:t xml:space="preserve"> scalable AI </w:t>
      </w:r>
      <w:r w:rsidRPr="00684BF3">
        <w:rPr>
          <w:rStyle w:val="Emphasis"/>
        </w:rPr>
        <w:t>control methods</w:t>
      </w:r>
      <w:r w:rsidRPr="00684BF3">
        <w:rPr>
          <w:rStyle w:val="StyleUnderline"/>
        </w:rPr>
        <w:t>,</w:t>
      </w:r>
      <w:r w:rsidRPr="00684BF3">
        <w:rPr>
          <w:sz w:val="16"/>
        </w:rPr>
        <w:t xml:space="preserve"> </w:t>
      </w:r>
      <w:r w:rsidRPr="00684BF3">
        <w:rPr>
          <w:rStyle w:val="StyleUnderline"/>
        </w:rPr>
        <w:t>we've thought hard about the</w:t>
      </w:r>
      <w:r w:rsidRPr="00684BF3">
        <w:rPr>
          <w:sz w:val="16"/>
        </w:rPr>
        <w:t xml:space="preserve"> ethics and the </w:t>
      </w:r>
      <w:r w:rsidRPr="00684BF3">
        <w:rPr>
          <w:rStyle w:val="StyleUnderline"/>
        </w:rPr>
        <w:t>governments, etc.</w:t>
      </w:r>
      <w:r w:rsidRPr="00684BF3">
        <w:rPr>
          <w:sz w:val="16"/>
        </w:rPr>
        <w:t xml:space="preserve"> And </w:t>
      </w:r>
      <w:r w:rsidRPr="00684BF3">
        <w:rPr>
          <w:rStyle w:val="StyleUnderline"/>
        </w:rPr>
        <w:t>then proceed further and</w:t>
      </w:r>
      <w:r w:rsidRPr="00684BF3">
        <w:rPr>
          <w:sz w:val="16"/>
        </w:rPr>
        <w:t xml:space="preserve"> then </w:t>
      </w:r>
      <w:r w:rsidRPr="00684BF3">
        <w:rPr>
          <w:rStyle w:val="StyleUnderline"/>
        </w:rPr>
        <w:t>hope</w:t>
      </w:r>
      <w:r w:rsidRPr="00684BF3">
        <w:rPr>
          <w:sz w:val="16"/>
        </w:rPr>
        <w:t xml:space="preserve">fully have </w:t>
      </w:r>
      <w:r w:rsidRPr="00684BF3">
        <w:rPr>
          <w:rStyle w:val="StyleUnderline"/>
        </w:rPr>
        <w:t>a</w:t>
      </w:r>
      <w:r w:rsidRPr="00684BF3">
        <w:rPr>
          <w:sz w:val="16"/>
        </w:rPr>
        <w:t xml:space="preserve">n extremely </w:t>
      </w:r>
      <w:r w:rsidRPr="00684BF3">
        <w:rPr>
          <w:rStyle w:val="StyleUnderline"/>
        </w:rPr>
        <w:t>good outcome</w:t>
      </w:r>
      <w:r w:rsidRPr="00684BF3">
        <w:rPr>
          <w:sz w:val="16"/>
        </w:rPr>
        <w:t xml:space="preserve"> from that." </w:t>
      </w:r>
      <w:r w:rsidRPr="00684BF3">
        <w:rPr>
          <w:rStyle w:val="StyleUnderline"/>
        </w:rPr>
        <w:t>If our governments</w:t>
      </w:r>
      <w:r w:rsidRPr="00684BF3">
        <w:rPr>
          <w:sz w:val="16"/>
        </w:rPr>
        <w:t xml:space="preserve"> and business institutions </w:t>
      </w:r>
      <w:r w:rsidRPr="00684BF3">
        <w:rPr>
          <w:rStyle w:val="StyleUnderline"/>
        </w:rPr>
        <w:t>don't spend time</w:t>
      </w:r>
      <w:r w:rsidRPr="00684BF3">
        <w:rPr>
          <w:sz w:val="16"/>
        </w:rPr>
        <w:t xml:space="preserve"> now </w:t>
      </w:r>
      <w:r w:rsidRPr="00684BF3">
        <w:rPr>
          <w:rStyle w:val="StyleUnderline"/>
        </w:rPr>
        <w:t xml:space="preserve">formulating </w:t>
      </w:r>
      <w:r w:rsidRPr="00684BF3">
        <w:rPr>
          <w:rStyle w:val="Emphasis"/>
        </w:rPr>
        <w:t>rules, regulations, and responsibilities</w:t>
      </w:r>
      <w:r w:rsidRPr="00684BF3">
        <w:rPr>
          <w:rStyle w:val="StyleUnderline"/>
        </w:rPr>
        <w:t xml:space="preserve">, there could be </w:t>
      </w:r>
      <w:r w:rsidRPr="00684BF3">
        <w:rPr>
          <w:rStyle w:val="Emphasis"/>
        </w:rPr>
        <w:t>significant</w:t>
      </w:r>
      <w:r w:rsidRPr="00684BF3">
        <w:rPr>
          <w:rStyle w:val="StyleUnderline"/>
        </w:rPr>
        <w:t xml:space="preserve"> negative </w:t>
      </w:r>
      <w:r w:rsidRPr="00684BF3">
        <w:rPr>
          <w:rStyle w:val="Emphasis"/>
        </w:rPr>
        <w:t>ramifications</w:t>
      </w:r>
      <w:r w:rsidRPr="00684BF3">
        <w:rPr>
          <w:rStyle w:val="StyleUnderline"/>
        </w:rPr>
        <w:t xml:space="preserve"> as AI continues to mature</w:t>
      </w:r>
      <w:r w:rsidRPr="00684BF3">
        <w:rPr>
          <w:sz w:val="16"/>
        </w:rPr>
        <w:t>.</w:t>
      </w:r>
    </w:p>
    <w:p w14:paraId="2D4E6696" w14:textId="77777777" w:rsidR="00516959" w:rsidRPr="00684BF3" w:rsidRDefault="00516959" w:rsidP="00516959">
      <w:pPr>
        <w:rPr>
          <w:sz w:val="16"/>
        </w:rPr>
      </w:pPr>
      <w:r w:rsidRPr="00684BF3">
        <w:rPr>
          <w:rStyle w:val="Emphasis"/>
        </w:rPr>
        <w:t>AI</w:t>
      </w:r>
      <w:r w:rsidRPr="00684BF3">
        <w:rPr>
          <w:rStyle w:val="StyleUnderline"/>
        </w:rPr>
        <w:t xml:space="preserve">-enabled </w:t>
      </w:r>
      <w:r w:rsidRPr="00684BF3">
        <w:rPr>
          <w:rStyle w:val="Emphasis"/>
        </w:rPr>
        <w:t>terrorism</w:t>
      </w:r>
      <w:r w:rsidRPr="00684BF3">
        <w:rPr>
          <w:sz w:val="16"/>
        </w:rPr>
        <w:t xml:space="preserve">: </w:t>
      </w:r>
      <w:r w:rsidRPr="00684BF3">
        <w:rPr>
          <w:rStyle w:val="StyleUnderline"/>
        </w:rPr>
        <w:t xml:space="preserve">Artificial intelligence will </w:t>
      </w:r>
      <w:r w:rsidRPr="00684BF3">
        <w:rPr>
          <w:rStyle w:val="Emphasis"/>
        </w:rPr>
        <w:t>change</w:t>
      </w:r>
      <w:r w:rsidRPr="00684BF3">
        <w:rPr>
          <w:rStyle w:val="StyleUnderline"/>
        </w:rPr>
        <w:t xml:space="preserve"> the way </w:t>
      </w:r>
      <w:r w:rsidRPr="00684BF3">
        <w:rPr>
          <w:rStyle w:val="Emphasis"/>
        </w:rPr>
        <w:t>conflicts</w:t>
      </w:r>
      <w:r w:rsidRPr="00684BF3">
        <w:rPr>
          <w:rStyle w:val="StyleUnderline"/>
        </w:rPr>
        <w:t xml:space="preserve"> are fought</w:t>
      </w:r>
      <w:r w:rsidRPr="00684BF3">
        <w:rPr>
          <w:sz w:val="16"/>
        </w:rPr>
        <w:t xml:space="preserve"> from </w:t>
      </w:r>
      <w:r w:rsidRPr="00684BF3">
        <w:rPr>
          <w:rStyle w:val="Emphasis"/>
        </w:rPr>
        <w:t>autonomous drones, robotic swarms</w:t>
      </w:r>
      <w:r w:rsidRPr="00684BF3">
        <w:rPr>
          <w:rStyle w:val="StyleUnderline"/>
        </w:rPr>
        <w:t xml:space="preserve">, and </w:t>
      </w:r>
      <w:r w:rsidRPr="00684BF3">
        <w:rPr>
          <w:rStyle w:val="Emphasis"/>
        </w:rPr>
        <w:t>remote</w:t>
      </w:r>
      <w:r w:rsidRPr="00684BF3">
        <w:rPr>
          <w:rStyle w:val="StyleUnderline"/>
        </w:rPr>
        <w:t xml:space="preserve"> </w:t>
      </w:r>
      <w:r w:rsidRPr="00684BF3">
        <w:rPr>
          <w:sz w:val="16"/>
        </w:rPr>
        <w:t xml:space="preserve">and </w:t>
      </w:r>
      <w:r w:rsidRPr="00684BF3">
        <w:rPr>
          <w:rStyle w:val="Emphasis"/>
        </w:rPr>
        <w:t>nanorobot attacks</w:t>
      </w:r>
      <w:r w:rsidRPr="00684BF3">
        <w:rPr>
          <w:sz w:val="16"/>
        </w:rPr>
        <w:t xml:space="preserve">. In addition to being concerned with a </w:t>
      </w:r>
      <w:r w:rsidRPr="00684BF3">
        <w:rPr>
          <w:rStyle w:val="Emphasis"/>
        </w:rPr>
        <w:t>nuclear arms race</w:t>
      </w:r>
      <w:r w:rsidRPr="00684BF3">
        <w:rPr>
          <w:sz w:val="16"/>
        </w:rPr>
        <w:t xml:space="preserve">, we'll </w:t>
      </w:r>
      <w:r w:rsidRPr="00684BF3">
        <w:rPr>
          <w:rStyle w:val="StyleUnderline"/>
        </w:rPr>
        <w:t>need to monitor</w:t>
      </w:r>
      <w:r w:rsidRPr="00684BF3">
        <w:rPr>
          <w:sz w:val="16"/>
        </w:rPr>
        <w:t xml:space="preserve"> the global </w:t>
      </w:r>
      <w:r w:rsidRPr="00684BF3">
        <w:rPr>
          <w:rStyle w:val="StyleUnderline"/>
        </w:rPr>
        <w:t>autonomous weapons race</w:t>
      </w:r>
      <w:r w:rsidRPr="00684BF3">
        <w:rPr>
          <w:sz w:val="16"/>
        </w:rPr>
        <w:t>.</w:t>
      </w:r>
    </w:p>
    <w:p w14:paraId="33C264A8" w14:textId="77777777" w:rsidR="00516959" w:rsidRPr="00684BF3" w:rsidRDefault="00516959" w:rsidP="00516959">
      <w:pPr>
        <w:rPr>
          <w:sz w:val="16"/>
        </w:rPr>
      </w:pPr>
      <w:r w:rsidRPr="00684BF3">
        <w:rPr>
          <w:rStyle w:val="StyleUnderline"/>
        </w:rPr>
        <w:t>Social manipulation</w:t>
      </w:r>
      <w:r w:rsidRPr="00684BF3">
        <w:rPr>
          <w:sz w:val="16"/>
        </w:rPr>
        <w:t xml:space="preserve"> and AI bias: So far, AI is still at risk for being biased by the humans that build it. </w:t>
      </w:r>
      <w:r w:rsidRPr="00684BF3">
        <w:rPr>
          <w:rStyle w:val="StyleUnderline"/>
        </w:rPr>
        <w:t>If there is bias in the data sets the AI is trained from, that bias will affect AI action</w:t>
      </w:r>
      <w:r w:rsidRPr="00684BF3">
        <w:rPr>
          <w:sz w:val="16"/>
        </w:rPr>
        <w:t xml:space="preserve">. </w:t>
      </w:r>
      <w:r w:rsidRPr="00684BF3">
        <w:rPr>
          <w:rStyle w:val="StyleUnderline"/>
        </w:rPr>
        <w:t>In the wrong hands, AI can be used</w:t>
      </w:r>
      <w:r w:rsidRPr="00684BF3">
        <w:rPr>
          <w:sz w:val="16"/>
        </w:rPr>
        <w:t xml:space="preserve">, as it was in the 2016 U.S. presidential election, </w:t>
      </w:r>
      <w:r w:rsidRPr="00684BF3">
        <w:rPr>
          <w:rStyle w:val="StyleUnderline"/>
        </w:rPr>
        <w:t>for social manipulation</w:t>
      </w:r>
      <w:r w:rsidRPr="00684BF3">
        <w:rPr>
          <w:sz w:val="16"/>
        </w:rPr>
        <w:t xml:space="preserve"> and to amplify misinformation.</w:t>
      </w:r>
    </w:p>
    <w:p w14:paraId="439C448B" w14:textId="77777777" w:rsidR="00516959" w:rsidRPr="00684BF3" w:rsidRDefault="00516959" w:rsidP="00516959">
      <w:pPr>
        <w:rPr>
          <w:sz w:val="16"/>
        </w:rPr>
      </w:pPr>
      <w:r w:rsidRPr="00684BF3">
        <w:rPr>
          <w:rStyle w:val="StyleUnderline"/>
        </w:rPr>
        <w:t>AI surveillance</w:t>
      </w:r>
      <w:r w:rsidRPr="00684BF3">
        <w:rPr>
          <w:sz w:val="16"/>
        </w:rPr>
        <w:t xml:space="preserve">: AI’s </w:t>
      </w:r>
      <w:r w:rsidRPr="00684BF3">
        <w:rPr>
          <w:rStyle w:val="StyleUnderline"/>
        </w:rPr>
        <w:t>face recognition capabilities</w:t>
      </w:r>
      <w:r w:rsidRPr="00684BF3">
        <w:rPr>
          <w:sz w:val="16"/>
        </w:rPr>
        <w:t xml:space="preserve"> give us conveniences such as being able to unlock phones and gain access to a building without keys, but it also launched what many civil liberties groups believe is </w:t>
      </w:r>
      <w:r w:rsidRPr="00684BF3">
        <w:rPr>
          <w:rStyle w:val="StyleUnderline"/>
        </w:rPr>
        <w:t>alarming</w:t>
      </w:r>
      <w:hyperlink r:id="rId358" w:tgtFrame="_blank" w:tooltip="https://www.technologyreview.com/s/612689/never-mind-killer-robotshere-are-six-real-ai-dangers-to-watch-out-for-in-2019/" w:history="1">
        <w:r w:rsidRPr="00684BF3">
          <w:rPr>
            <w:rStyle w:val="StyleUnderline"/>
          </w:rPr>
          <w:t> surveillance of the public</w:t>
        </w:r>
      </w:hyperlink>
      <w:r w:rsidRPr="00684BF3">
        <w:rPr>
          <w:sz w:val="16"/>
        </w:rPr>
        <w:t xml:space="preserve">. In China and other countries, </w:t>
      </w:r>
      <w:r w:rsidRPr="00684BF3">
        <w:rPr>
          <w:rStyle w:val="StyleUnderline"/>
        </w:rPr>
        <w:t>the police and government are invading public privacy</w:t>
      </w:r>
      <w:r w:rsidRPr="00684BF3">
        <w:rPr>
          <w:sz w:val="16"/>
        </w:rPr>
        <w:t xml:space="preserve"> by using face recognition technology. Bostrom explains that </w:t>
      </w:r>
      <w:r w:rsidRPr="00684BF3">
        <w:rPr>
          <w:rStyle w:val="StyleUnderline"/>
        </w:rPr>
        <w:t>AI's ability to monitor the global information systems from surveillance data</w:t>
      </w:r>
      <w:r w:rsidRPr="00684BF3">
        <w:rPr>
          <w:sz w:val="16"/>
        </w:rPr>
        <w:t xml:space="preserve">, cameras, and mining social network communication </w:t>
      </w:r>
      <w:r w:rsidRPr="00684BF3">
        <w:rPr>
          <w:rStyle w:val="StyleUnderline"/>
        </w:rPr>
        <w:t>has great potential for</w:t>
      </w:r>
      <w:r w:rsidRPr="00684BF3">
        <w:rPr>
          <w:sz w:val="16"/>
        </w:rPr>
        <w:t xml:space="preserve"> good and for </w:t>
      </w:r>
      <w:r w:rsidRPr="00684BF3">
        <w:rPr>
          <w:rStyle w:val="StyleUnderline"/>
        </w:rPr>
        <w:t>bad</w:t>
      </w:r>
      <w:r w:rsidRPr="00684BF3">
        <w:rPr>
          <w:sz w:val="16"/>
        </w:rPr>
        <w:t>.</w:t>
      </w:r>
    </w:p>
    <w:p w14:paraId="5CFE5539" w14:textId="77777777" w:rsidR="00516959" w:rsidRPr="00684BF3" w:rsidRDefault="00516959" w:rsidP="00516959">
      <w:pPr>
        <w:rPr>
          <w:rStyle w:val="StyleUnderline"/>
        </w:rPr>
      </w:pPr>
      <w:r w:rsidRPr="00684BF3">
        <w:rPr>
          <w:rStyle w:val="StyleUnderline"/>
        </w:rPr>
        <w:t>Deepfakes</w:t>
      </w:r>
      <w:r w:rsidRPr="00684BF3">
        <w:rPr>
          <w:sz w:val="16"/>
        </w:rPr>
        <w:t xml:space="preserve">: </w:t>
      </w:r>
      <w:r w:rsidRPr="00684BF3">
        <w:rPr>
          <w:rStyle w:val="StyleUnderline"/>
        </w:rPr>
        <w:t>AI</w:t>
      </w:r>
      <w:r w:rsidRPr="00684BF3">
        <w:rPr>
          <w:sz w:val="16"/>
        </w:rPr>
        <w:t xml:space="preserve"> technology </w:t>
      </w:r>
      <w:r w:rsidRPr="00684BF3">
        <w:rPr>
          <w:rStyle w:val="StyleUnderline"/>
        </w:rPr>
        <w:t>makes it</w:t>
      </w:r>
      <w:r w:rsidRPr="00684BF3">
        <w:rPr>
          <w:sz w:val="16"/>
        </w:rPr>
        <w:t xml:space="preserve"> very </w:t>
      </w:r>
      <w:r w:rsidRPr="00684BF3">
        <w:rPr>
          <w:rStyle w:val="StyleUnderline"/>
        </w:rPr>
        <w:t>easy to create "fake" videos</w:t>
      </w:r>
      <w:r w:rsidRPr="00684BF3">
        <w:rPr>
          <w:sz w:val="16"/>
        </w:rPr>
        <w:t xml:space="preserve"> of real people. These can be used without an individual's permission to spread fake news, create porn in a person's likeness who actually isn't acting in it, and more to not only damage an individual's reputation but livelihood</w:t>
      </w:r>
      <w:r w:rsidRPr="00684BF3">
        <w:rPr>
          <w:rStyle w:val="StyleUnderline"/>
        </w:rPr>
        <w:t>. The technology is getting so good the possibility for people to be duped by it is high.</w:t>
      </w:r>
    </w:p>
    <w:p w14:paraId="2418458C" w14:textId="77777777" w:rsidR="00516959" w:rsidRPr="00684BF3" w:rsidRDefault="00516959" w:rsidP="00516959">
      <w:pPr>
        <w:rPr>
          <w:sz w:val="16"/>
        </w:rPr>
      </w:pPr>
      <w:r w:rsidRPr="00684BF3">
        <w:rPr>
          <w:sz w:val="16"/>
        </w:rPr>
        <w:t>As Nick Bostrom explained, “</w:t>
      </w:r>
      <w:r w:rsidRPr="00684BF3">
        <w:rPr>
          <w:rStyle w:val="StyleUnderline"/>
        </w:rPr>
        <w:t>The biggest threat is the longer-term problem introducing something radical that’s super intelligent</w:t>
      </w:r>
      <w:r w:rsidRPr="00684BF3">
        <w:rPr>
          <w:sz w:val="16"/>
        </w:rPr>
        <w:t xml:space="preserve"> and failing to align it with human values and intentions. This is a big technical problem. We’d succeed at solving the capability problem before we succeed at solving the safety and alignment problem.”</w:t>
      </w:r>
    </w:p>
    <w:p w14:paraId="5230DD88" w14:textId="77777777" w:rsidR="00516959" w:rsidRDefault="00516959" w:rsidP="00516959">
      <w:pPr>
        <w:rPr>
          <w:sz w:val="16"/>
        </w:rPr>
      </w:pPr>
      <w:r w:rsidRPr="00684BF3">
        <w:rPr>
          <w:sz w:val="16"/>
        </w:rPr>
        <w:t xml:space="preserve">Today, Nick describes himself as a “frightful optimist” that is very excited about what AI can do if we get it right. He said, “The near-term effects are just overwhelmingly positive. The longer-term effect is more of an open question and is very hard to predict. </w:t>
      </w:r>
      <w:r w:rsidRPr="00684BF3">
        <w:rPr>
          <w:rStyle w:val="Emphasis"/>
        </w:rPr>
        <w:t>If we do our homework</w:t>
      </w:r>
      <w:r w:rsidRPr="00684BF3">
        <w:rPr>
          <w:rStyle w:val="StyleUnderline"/>
        </w:rPr>
        <w:t xml:space="preserve"> and the more we get our act together as a world and a species in whatever time we have available, </w:t>
      </w:r>
      <w:r w:rsidRPr="00684BF3">
        <w:rPr>
          <w:rStyle w:val="Emphasis"/>
        </w:rPr>
        <w:t>the better we are prepared</w:t>
      </w:r>
      <w:r w:rsidRPr="00684BF3">
        <w:rPr>
          <w:rStyle w:val="StyleUnderline"/>
        </w:rPr>
        <w:t xml:space="preserve"> for this, the better the odds for a favorable outcome</w:t>
      </w:r>
      <w:r w:rsidRPr="00684BF3">
        <w:rPr>
          <w:sz w:val="16"/>
        </w:rPr>
        <w:t>. In that case, it could be extremely favorable.” </w:t>
      </w:r>
    </w:p>
    <w:p w14:paraId="37AF83CC" w14:textId="77777777" w:rsidR="00516959" w:rsidRDefault="00516959" w:rsidP="00516959">
      <w:pPr>
        <w:pStyle w:val="Heading3"/>
      </w:pPr>
      <w:r>
        <w:t xml:space="preserve">AT: </w:t>
      </w:r>
      <w:r>
        <w:rPr>
          <w:i/>
          <w:iCs/>
        </w:rPr>
        <w:t>Chevron</w:t>
      </w:r>
      <w:r>
        <w:t xml:space="preserve"> Doesn’t Matter</w:t>
      </w:r>
    </w:p>
    <w:p w14:paraId="635FF755" w14:textId="77777777" w:rsidR="00516959" w:rsidRPr="005304A7" w:rsidRDefault="00516959" w:rsidP="00516959">
      <w:pPr>
        <w:pStyle w:val="Heading4"/>
        <w:rPr>
          <w:szCs w:val="26"/>
        </w:rPr>
      </w:pPr>
      <w:r>
        <w:rPr>
          <w:i/>
          <w:iCs w:val="0"/>
          <w:szCs w:val="26"/>
        </w:rPr>
        <w:t>Chevron</w:t>
      </w:r>
      <w:r>
        <w:rPr>
          <w:szCs w:val="26"/>
        </w:rPr>
        <w:t xml:space="preserve"> </w:t>
      </w:r>
      <w:r>
        <w:rPr>
          <w:szCs w:val="26"/>
          <w:u w:val="single"/>
        </w:rPr>
        <w:t>empirically</w:t>
      </w:r>
      <w:r>
        <w:rPr>
          <w:szCs w:val="26"/>
        </w:rPr>
        <w:t xml:space="preserve"> does matter.</w:t>
      </w:r>
    </w:p>
    <w:p w14:paraId="73A069FE" w14:textId="77777777" w:rsidR="00516959" w:rsidRPr="00684BF3" w:rsidRDefault="00516959" w:rsidP="00516959">
      <w:r w:rsidRPr="00C80CAB">
        <w:rPr>
          <w:rStyle w:val="Heading4Char"/>
          <w:szCs w:val="26"/>
        </w:rPr>
        <w:t>Beermann 14</w:t>
      </w:r>
      <w:r w:rsidRPr="00684BF3">
        <w:t xml:space="preserve"> – (Jack M. Beermann, Professor of Law and Harry Elwood Warren Scholar, Boston University School of Law; “CHEVRON AT THE ROBERTS COURT: STILL FAILING AFTER ALL THESE YEARS”; Fordham Law Review; D.A. June 28</w:t>
      </w:r>
      <w:r w:rsidRPr="00684BF3">
        <w:rPr>
          <w:vertAlign w:val="superscript"/>
        </w:rPr>
        <w:t>th</w:t>
      </w:r>
      <w:r w:rsidRPr="00684BF3">
        <w:t xml:space="preserve"> 2020, [Published 2014]; pg. 733-738; </w:t>
      </w:r>
      <w:hyperlink r:id="rId359" w:history="1">
        <w:r w:rsidRPr="00684BF3">
          <w:rPr>
            <w:rStyle w:val="Hyperlink"/>
          </w:rPr>
          <w:t>http://fordhamlawreview.org/wp-content/uploads/assets/pdfs/Vol_83/Beermann_November.pdf</w:t>
        </w:r>
      </w:hyperlink>
      <w:r w:rsidRPr="00684BF3">
        <w:t>) //LFS—JCM</w:t>
      </w:r>
    </w:p>
    <w:p w14:paraId="6C0F279D" w14:textId="77777777" w:rsidR="00516959" w:rsidRPr="00684BF3" w:rsidRDefault="00516959" w:rsidP="00516959">
      <w:pPr>
        <w:rPr>
          <w:sz w:val="16"/>
        </w:rPr>
      </w:pPr>
      <w:r w:rsidRPr="00684BF3">
        <w:rPr>
          <w:sz w:val="16"/>
        </w:rPr>
        <w:t xml:space="preserve">As noted in the introduction, </w:t>
      </w:r>
      <w:r w:rsidRPr="00456038">
        <w:rPr>
          <w:rStyle w:val="StyleUnderline"/>
          <w:highlight w:val="cyan"/>
        </w:rPr>
        <w:t xml:space="preserve">the </w:t>
      </w:r>
      <w:r w:rsidRPr="00456038">
        <w:rPr>
          <w:rStyle w:val="Emphasis"/>
          <w:highlight w:val="cyan"/>
        </w:rPr>
        <w:t>voting records</w:t>
      </w:r>
      <w:r w:rsidRPr="00456038">
        <w:rPr>
          <w:rStyle w:val="StyleUnderline"/>
          <w:highlight w:val="cyan"/>
        </w:rPr>
        <w:t xml:space="preserve"> of the Justices in </w:t>
      </w:r>
      <w:r w:rsidRPr="00456038">
        <w:rPr>
          <w:rStyle w:val="Emphasis"/>
          <w:highlight w:val="cyan"/>
        </w:rPr>
        <w:t>Chevron</w:t>
      </w:r>
      <w:r w:rsidRPr="00684BF3">
        <w:rPr>
          <w:sz w:val="16"/>
        </w:rPr>
        <w:t xml:space="preserve"> </w:t>
      </w:r>
      <w:r w:rsidRPr="00456038">
        <w:rPr>
          <w:rStyle w:val="StyleUnderline"/>
          <w:highlight w:val="cyan"/>
        </w:rPr>
        <w:t>cases</w:t>
      </w:r>
      <w:r w:rsidRPr="00684BF3">
        <w:rPr>
          <w:sz w:val="16"/>
        </w:rPr>
        <w:t xml:space="preserve"> </w:t>
      </w:r>
      <w:r w:rsidRPr="00684BF3">
        <w:rPr>
          <w:rStyle w:val="StyleUnderline"/>
        </w:rPr>
        <w:t xml:space="preserve">during the first four Terms of the Roberts Court </w:t>
      </w:r>
      <w:r w:rsidRPr="00456038">
        <w:rPr>
          <w:rStyle w:val="StyleUnderline"/>
          <w:highlight w:val="cyan"/>
        </w:rPr>
        <w:t>revealed a</w:t>
      </w:r>
      <w:r w:rsidRPr="00684BF3">
        <w:rPr>
          <w:rStyle w:val="StyleUnderline"/>
        </w:rPr>
        <w:t xml:space="preserve">n interesting </w:t>
      </w:r>
      <w:r w:rsidRPr="00456038">
        <w:rPr>
          <w:rStyle w:val="StyleUnderline"/>
          <w:highlight w:val="cyan"/>
        </w:rPr>
        <w:t>pattern</w:t>
      </w:r>
      <w:r w:rsidRPr="00684BF3">
        <w:rPr>
          <w:sz w:val="16"/>
        </w:rPr>
        <w:t xml:space="preserve">. </w:t>
      </w:r>
      <w:r w:rsidRPr="00684BF3">
        <w:rPr>
          <w:rStyle w:val="StyleUnderline"/>
        </w:rPr>
        <w:t>In general</w:t>
      </w:r>
      <w:r w:rsidRPr="00684BF3">
        <w:rPr>
          <w:sz w:val="16"/>
        </w:rPr>
        <w:t xml:space="preserve">, when there was disagreement among the Justices, </w:t>
      </w:r>
      <w:r w:rsidRPr="00684BF3">
        <w:rPr>
          <w:rStyle w:val="StyleUnderline"/>
        </w:rPr>
        <w:t>the voting fell along familiar liberal/conservative patterns</w:t>
      </w:r>
      <w:r w:rsidRPr="00684BF3">
        <w:rPr>
          <w:sz w:val="16"/>
        </w:rPr>
        <w:t xml:space="preserve">, </w:t>
      </w:r>
      <w:r w:rsidRPr="00684BF3">
        <w:rPr>
          <w:rStyle w:val="StyleUnderline"/>
        </w:rPr>
        <w:t>and did not seem to turn on a diversity of views concerning Chevron</w:t>
      </w:r>
      <w:r w:rsidRPr="00684BF3">
        <w:rPr>
          <w:sz w:val="16"/>
        </w:rPr>
        <w:t xml:space="preserve"> deference and related doctrines.20 The updated </w:t>
      </w:r>
      <w:r w:rsidRPr="00456038">
        <w:rPr>
          <w:rStyle w:val="Emphasis"/>
          <w:highlight w:val="cyan"/>
        </w:rPr>
        <w:t>data</w:t>
      </w:r>
      <w:r w:rsidRPr="00684BF3">
        <w:rPr>
          <w:rStyle w:val="Emphasis"/>
        </w:rPr>
        <w:t xml:space="preserve"> </w:t>
      </w:r>
      <w:r w:rsidRPr="00456038">
        <w:rPr>
          <w:rStyle w:val="Emphasis"/>
          <w:highlight w:val="cyan"/>
        </w:rPr>
        <w:t>indicate</w:t>
      </w:r>
      <w:r w:rsidRPr="00684BF3">
        <w:rPr>
          <w:rStyle w:val="StyleUnderline"/>
        </w:rPr>
        <w:t xml:space="preserve"> that this</w:t>
      </w:r>
      <w:r w:rsidRPr="00684BF3">
        <w:rPr>
          <w:sz w:val="16"/>
        </w:rPr>
        <w:t xml:space="preserve"> general </w:t>
      </w:r>
      <w:r w:rsidRPr="00684BF3">
        <w:rPr>
          <w:rStyle w:val="StyleUnderline"/>
        </w:rPr>
        <w:t>pattern continues</w:t>
      </w:r>
      <w:r w:rsidRPr="00684BF3">
        <w:rPr>
          <w:sz w:val="16"/>
        </w:rPr>
        <w:t xml:space="preserve"> with a couple of important reservations. </w:t>
      </w:r>
      <w:r w:rsidRPr="00684BF3">
        <w:rPr>
          <w:rStyle w:val="StyleUnderline"/>
        </w:rPr>
        <w:t xml:space="preserve">First, </w:t>
      </w:r>
      <w:r w:rsidRPr="00456038">
        <w:rPr>
          <w:rStyle w:val="Emphasis"/>
          <w:highlight w:val="cyan"/>
        </w:rPr>
        <w:t>agencies seem to be winning at the</w:t>
      </w:r>
      <w:r w:rsidRPr="00684BF3">
        <w:rPr>
          <w:rStyle w:val="Emphasis"/>
        </w:rPr>
        <w:t xml:space="preserve"> Supreme </w:t>
      </w:r>
      <w:r w:rsidRPr="00456038">
        <w:rPr>
          <w:rStyle w:val="Emphasis"/>
          <w:highlight w:val="cyan"/>
        </w:rPr>
        <w:t>Court more often</w:t>
      </w:r>
      <w:r w:rsidRPr="00684BF3">
        <w:rPr>
          <w:sz w:val="16"/>
        </w:rPr>
        <w:t xml:space="preserve"> during the last few years (agencies have </w:t>
      </w:r>
      <w:r w:rsidRPr="00456038">
        <w:rPr>
          <w:rStyle w:val="Emphasis"/>
          <w:highlight w:val="cyan"/>
        </w:rPr>
        <w:t>prevailed in 9</w:t>
      </w:r>
      <w:r w:rsidRPr="00684BF3">
        <w:rPr>
          <w:rStyle w:val="Emphasis"/>
        </w:rPr>
        <w:t xml:space="preserve">.521 </w:t>
      </w:r>
      <w:r w:rsidRPr="00456038">
        <w:rPr>
          <w:rStyle w:val="Emphasis"/>
          <w:highlight w:val="cyan"/>
        </w:rPr>
        <w:t>of the thirteen</w:t>
      </w:r>
      <w:r w:rsidRPr="00456038">
        <w:rPr>
          <w:rStyle w:val="StyleUnderline"/>
          <w:highlight w:val="cyan"/>
        </w:rPr>
        <w:t xml:space="preserve"> cases</w:t>
      </w:r>
      <w:r w:rsidRPr="00684BF3">
        <w:rPr>
          <w:sz w:val="16"/>
        </w:rPr>
        <w:t xml:space="preserve"> decided since the earlier article was published) </w:t>
      </w:r>
      <w:r w:rsidRPr="00684BF3">
        <w:rPr>
          <w:rStyle w:val="StyleUnderline"/>
        </w:rPr>
        <w:t xml:space="preserve">and </w:t>
      </w:r>
      <w:r w:rsidRPr="00456038">
        <w:rPr>
          <w:rStyle w:val="StyleUnderline"/>
          <w:highlight w:val="cyan"/>
        </w:rPr>
        <w:t>slightly</w:t>
      </w:r>
      <w:r w:rsidRPr="00684BF3">
        <w:rPr>
          <w:rStyle w:val="StyleUnderline"/>
        </w:rPr>
        <w:t xml:space="preserve"> </w:t>
      </w:r>
      <w:r w:rsidRPr="00456038">
        <w:rPr>
          <w:rStyle w:val="StyleUnderline"/>
          <w:highlight w:val="cyan"/>
        </w:rPr>
        <w:t>fewer than half</w:t>
      </w:r>
      <w:r w:rsidRPr="00684BF3">
        <w:rPr>
          <w:rStyle w:val="StyleUnderline"/>
        </w:rPr>
        <w:t xml:space="preserve"> of the decisions </w:t>
      </w:r>
      <w:r w:rsidRPr="00456038">
        <w:rPr>
          <w:rStyle w:val="StyleUnderline"/>
          <w:highlight w:val="cyan"/>
        </w:rPr>
        <w:t>are unanimous</w:t>
      </w:r>
      <w:r w:rsidRPr="00684BF3">
        <w:rPr>
          <w:sz w:val="16"/>
        </w:rPr>
        <w:t xml:space="preserve"> (six of thirteen), leaving a very small sample of nonunanimous decisions to analyze.22</w:t>
      </w:r>
    </w:p>
    <w:p w14:paraId="1C6F9312" w14:textId="77777777" w:rsidR="00516959" w:rsidRPr="005304A7" w:rsidRDefault="00516959" w:rsidP="00516959">
      <w:pPr>
        <w:rPr>
          <w:sz w:val="16"/>
        </w:rPr>
      </w:pPr>
      <w:r w:rsidRPr="00456038">
        <w:rPr>
          <w:rStyle w:val="Emphasis"/>
          <w:highlight w:val="cyan"/>
        </w:rPr>
        <w:t>In</w:t>
      </w:r>
      <w:r w:rsidRPr="00684BF3">
        <w:rPr>
          <w:rStyle w:val="StyleUnderline"/>
        </w:rPr>
        <w:t xml:space="preserve"> the </w:t>
      </w:r>
      <w:r w:rsidRPr="00456038">
        <w:rPr>
          <w:rStyle w:val="Emphasis"/>
          <w:highlight w:val="cyan"/>
        </w:rPr>
        <w:t>nonunanimous decisions citing Chevron</w:t>
      </w:r>
      <w:r w:rsidRPr="00684BF3">
        <w:rPr>
          <w:sz w:val="16"/>
        </w:rPr>
        <w:t xml:space="preserve"> since the publication of my prior article, </w:t>
      </w:r>
      <w:r w:rsidRPr="00456038">
        <w:rPr>
          <w:rStyle w:val="StyleUnderline"/>
          <w:highlight w:val="cyan"/>
        </w:rPr>
        <w:t xml:space="preserve">the </w:t>
      </w:r>
      <w:r w:rsidRPr="00456038">
        <w:rPr>
          <w:rStyle w:val="Emphasis"/>
          <w:highlight w:val="cyan"/>
        </w:rPr>
        <w:t>agency prevailed in 5</w:t>
      </w:r>
      <w:r w:rsidRPr="00684BF3">
        <w:rPr>
          <w:rStyle w:val="Emphasis"/>
        </w:rPr>
        <w:t xml:space="preserve">.523 </w:t>
      </w:r>
      <w:r w:rsidRPr="00456038">
        <w:rPr>
          <w:rStyle w:val="Emphasis"/>
          <w:highlight w:val="cyan"/>
        </w:rPr>
        <w:t>of the seven</w:t>
      </w:r>
      <w:r w:rsidRPr="00684BF3">
        <w:rPr>
          <w:rStyle w:val="Emphasis"/>
        </w:rPr>
        <w:t xml:space="preserve"> decisions</w:t>
      </w:r>
      <w:r w:rsidRPr="00684BF3">
        <w:rPr>
          <w:sz w:val="16"/>
        </w:rPr>
        <w:t xml:space="preserve">.24 The small sample is made even smaller by the fact that one of the decisions was by an eight-to-one vote,25 making it impossible to characterize the decision along the liberal/conservative divide. In the six remaining cases, one has a mixed majority and </w:t>
      </w:r>
      <w:r w:rsidRPr="00684BF3">
        <w:rPr>
          <w:rStyle w:val="StyleUnderline"/>
        </w:rPr>
        <w:t>a dissent composed of three members who often vote as part of the conservative bloc</w:t>
      </w:r>
      <w:r w:rsidRPr="00684BF3">
        <w:rPr>
          <w:sz w:val="16"/>
        </w:rPr>
        <w:t xml:space="preserve">—Chief Justice </w:t>
      </w:r>
      <w:r w:rsidRPr="00684BF3">
        <w:rPr>
          <w:rStyle w:val="StyleUnderline"/>
        </w:rPr>
        <w:t>Roberts</w:t>
      </w:r>
      <w:r w:rsidRPr="00684BF3">
        <w:rPr>
          <w:sz w:val="16"/>
        </w:rPr>
        <w:t xml:space="preserve"> and Justices Anthony </w:t>
      </w:r>
      <w:r w:rsidRPr="00684BF3">
        <w:rPr>
          <w:rStyle w:val="StyleUnderline"/>
        </w:rPr>
        <w:t>Kennedy</w:t>
      </w:r>
      <w:r w:rsidRPr="00684BF3">
        <w:rPr>
          <w:sz w:val="16"/>
        </w:rPr>
        <w:t xml:space="preserve"> </w:t>
      </w:r>
      <w:r w:rsidRPr="00684BF3">
        <w:rPr>
          <w:rStyle w:val="StyleUnderline"/>
        </w:rPr>
        <w:t>and</w:t>
      </w:r>
      <w:r w:rsidRPr="00684BF3">
        <w:rPr>
          <w:sz w:val="16"/>
        </w:rPr>
        <w:t xml:space="preserve"> Samuel </w:t>
      </w:r>
      <w:r w:rsidRPr="00684BF3">
        <w:rPr>
          <w:rStyle w:val="StyleUnderline"/>
        </w:rPr>
        <w:t>Alito</w:t>
      </w:r>
      <w:r w:rsidRPr="00684BF3">
        <w:rPr>
          <w:sz w:val="16"/>
        </w:rPr>
        <w:t xml:space="preserve">.26 Another has a very mixed-up lineup, with the Chief Justice and Justices Scalia, Kennedy, Ginsburg, and Kagan voting with the agency and Justices Thomas, Breyer, Alito, and Sotomayor voting against the agency.27 The other three fell along more familiar liberal/conservative patterns with slight variations. </w:t>
      </w:r>
      <w:r w:rsidRPr="00456038">
        <w:rPr>
          <w:rStyle w:val="StyleUnderline"/>
          <w:highlight w:val="cyan"/>
        </w:rPr>
        <w:t>For example</w:t>
      </w:r>
      <w:r w:rsidRPr="00684BF3">
        <w:rPr>
          <w:rStyle w:val="StyleUnderline"/>
        </w:rPr>
        <w:t xml:space="preserve">, </w:t>
      </w:r>
      <w:r w:rsidRPr="00456038">
        <w:rPr>
          <w:rStyle w:val="StyleUnderline"/>
          <w:highlight w:val="cyan"/>
        </w:rPr>
        <w:t>in a</w:t>
      </w:r>
      <w:r w:rsidRPr="00684BF3">
        <w:rPr>
          <w:rStyle w:val="StyleUnderline"/>
        </w:rPr>
        <w:t xml:space="preserve"> </w:t>
      </w:r>
      <w:r w:rsidRPr="00456038">
        <w:rPr>
          <w:rStyle w:val="StyleUnderline"/>
          <w:highlight w:val="cyan"/>
        </w:rPr>
        <w:t>2014</w:t>
      </w:r>
      <w:r w:rsidRPr="00684BF3">
        <w:rPr>
          <w:rStyle w:val="StyleUnderline"/>
        </w:rPr>
        <w:t xml:space="preserve"> </w:t>
      </w:r>
      <w:r w:rsidRPr="00456038">
        <w:rPr>
          <w:rStyle w:val="StyleUnderline"/>
          <w:highlight w:val="cyan"/>
        </w:rPr>
        <w:t xml:space="preserve">case </w:t>
      </w:r>
      <w:r w:rsidRPr="00684BF3">
        <w:rPr>
          <w:rStyle w:val="StyleUnderline"/>
        </w:rPr>
        <w:t xml:space="preserve">involving environmental protection, </w:t>
      </w:r>
      <w:r w:rsidRPr="00456038">
        <w:rPr>
          <w:rStyle w:val="StyleUnderline"/>
          <w:highlight w:val="cyan"/>
        </w:rPr>
        <w:t xml:space="preserve">the </w:t>
      </w:r>
      <w:r w:rsidRPr="00456038">
        <w:rPr>
          <w:rStyle w:val="Emphasis"/>
          <w:highlight w:val="cyan"/>
        </w:rPr>
        <w:t>Court approved</w:t>
      </w:r>
      <w:r w:rsidRPr="00456038">
        <w:rPr>
          <w:rStyle w:val="StyleUnderline"/>
          <w:highlight w:val="cyan"/>
        </w:rPr>
        <w:t xml:space="preserve"> a </w:t>
      </w:r>
      <w:r w:rsidRPr="00456038">
        <w:rPr>
          <w:rStyle w:val="Emphasis"/>
          <w:highlight w:val="cyan"/>
        </w:rPr>
        <w:t>protective interpretation</w:t>
      </w:r>
      <w:r w:rsidRPr="00684BF3">
        <w:rPr>
          <w:rStyle w:val="StyleUnderline"/>
        </w:rPr>
        <w:t xml:space="preserve"> that had been rejected by the D.C. Circuit</w:t>
      </w:r>
      <w:r w:rsidRPr="00684BF3">
        <w:rPr>
          <w:sz w:val="16"/>
        </w:rPr>
        <w:t xml:space="preserve">, </w:t>
      </w:r>
      <w:r w:rsidRPr="00684BF3">
        <w:rPr>
          <w:rStyle w:val="StyleUnderline"/>
        </w:rPr>
        <w:t>with</w:t>
      </w:r>
      <w:r w:rsidRPr="00684BF3">
        <w:rPr>
          <w:sz w:val="16"/>
        </w:rPr>
        <w:t xml:space="preserve"> Chief Justice </w:t>
      </w:r>
      <w:r w:rsidRPr="00456038">
        <w:rPr>
          <w:rStyle w:val="Emphasis"/>
          <w:highlight w:val="cyan"/>
        </w:rPr>
        <w:t>Roberts joining</w:t>
      </w:r>
      <w:r w:rsidRPr="00684BF3">
        <w:rPr>
          <w:rStyle w:val="Emphasis"/>
        </w:rPr>
        <w:t xml:space="preserve"> swing</w:t>
      </w:r>
      <w:r w:rsidRPr="00684BF3">
        <w:rPr>
          <w:sz w:val="16"/>
        </w:rPr>
        <w:t xml:space="preserve"> Justice </w:t>
      </w:r>
      <w:r w:rsidRPr="00456038">
        <w:rPr>
          <w:rStyle w:val="Emphasis"/>
          <w:highlight w:val="cyan"/>
        </w:rPr>
        <w:t>Kennedy</w:t>
      </w:r>
      <w:r w:rsidRPr="00684BF3">
        <w:rPr>
          <w:rStyle w:val="StyleUnderline"/>
        </w:rPr>
        <w:t xml:space="preserve"> and</w:t>
      </w:r>
      <w:r w:rsidRPr="00684BF3">
        <w:rPr>
          <w:sz w:val="16"/>
        </w:rPr>
        <w:t xml:space="preserve"> generally liberal Justices </w:t>
      </w:r>
      <w:r w:rsidRPr="00456038">
        <w:rPr>
          <w:rStyle w:val="StyleUnderline"/>
          <w:highlight w:val="cyan"/>
        </w:rPr>
        <w:t>Ginsburg</w:t>
      </w:r>
      <w:r w:rsidRPr="00684BF3">
        <w:rPr>
          <w:rStyle w:val="StyleUnderline"/>
        </w:rPr>
        <w:t xml:space="preserve">, </w:t>
      </w:r>
      <w:r w:rsidRPr="00456038">
        <w:rPr>
          <w:rStyle w:val="StyleUnderline"/>
          <w:highlight w:val="cyan"/>
        </w:rPr>
        <w:t>Breyer</w:t>
      </w:r>
      <w:r w:rsidRPr="00684BF3">
        <w:rPr>
          <w:rStyle w:val="StyleUnderline"/>
        </w:rPr>
        <w:t xml:space="preserve">, </w:t>
      </w:r>
      <w:r w:rsidRPr="00456038">
        <w:rPr>
          <w:rStyle w:val="StyleUnderline"/>
          <w:highlight w:val="cyan"/>
        </w:rPr>
        <w:t>Sotomayor</w:t>
      </w:r>
      <w:r w:rsidRPr="00684BF3">
        <w:rPr>
          <w:rStyle w:val="StyleUnderline"/>
        </w:rPr>
        <w:t xml:space="preserve">, </w:t>
      </w:r>
      <w:r w:rsidRPr="00456038">
        <w:rPr>
          <w:rStyle w:val="StyleUnderline"/>
          <w:highlight w:val="cyan"/>
        </w:rPr>
        <w:t>and Kagan</w:t>
      </w:r>
      <w:r w:rsidRPr="00684BF3">
        <w:rPr>
          <w:rStyle w:val="StyleUnderline"/>
        </w:rPr>
        <w:t>.</w:t>
      </w:r>
      <w:r w:rsidRPr="00684BF3">
        <w:rPr>
          <w:sz w:val="16"/>
        </w:rPr>
        <w:t xml:space="preserve">28 Justices </w:t>
      </w:r>
      <w:r w:rsidRPr="00456038">
        <w:rPr>
          <w:rStyle w:val="Emphasis"/>
          <w:highlight w:val="cyan"/>
        </w:rPr>
        <w:t>Scalia and Thomas voted against</w:t>
      </w:r>
      <w:r w:rsidRPr="00456038">
        <w:rPr>
          <w:rStyle w:val="StyleUnderline"/>
          <w:highlight w:val="cyan"/>
        </w:rPr>
        <w:t xml:space="preserve"> the agency</w:t>
      </w:r>
      <w:r w:rsidRPr="00684BF3">
        <w:rPr>
          <w:sz w:val="16"/>
        </w:rPr>
        <w:t xml:space="preserve">, and Justice Alito did not participate.29 In the other environmental law case that resulted in a victory for the Environmental Protection Agency (EPA) on one issue and a defeat on the other, liberal Justices Ginsburg, Breyer, Sotomayor, and Kagan would have affirmed the agency on both issues and conservative Justices Thomas and Alito would have rejected the agency‘s decision on both issues.30 Chief Justice Roberts and Justices Scalia and Kennedy voted for the agency on one issue and against the agency on another.31 (On both issues, the EPA advanced a more environmentally protective position than the other side.) In a case involving the calculation of good-time credits by the Federal Bureau of Prisons within the Department of Justice, the three dissenters were swing Justice Kennedy and liberal Justices Stevens (in his last Term on the Court) and Ginsburg,32 and in a case involving tax liability, the fiveto-four decision fell along similar lines, with swing Justice Kennedy in dissent along with liberal Justices Ginsburg, Kagan, and Sotomayor.33 In a number of these cases, </w:t>
      </w:r>
      <w:r w:rsidRPr="00684BF3">
        <w:rPr>
          <w:rStyle w:val="StyleUnderline"/>
        </w:rPr>
        <w:t>generally liberal Justice Breyer voted along with the Court‘s conservative bloc</w:t>
      </w:r>
      <w:r w:rsidRPr="00684BF3">
        <w:rPr>
          <w:sz w:val="16"/>
        </w:rPr>
        <w:t xml:space="preserve">,34 perhaps signaling that </w:t>
      </w:r>
      <w:r w:rsidRPr="00684BF3">
        <w:rPr>
          <w:rStyle w:val="StyleUnderline"/>
        </w:rPr>
        <w:t>he is not as reliably liberal on administrative law matters as in some other areas of law</w:t>
      </w:r>
      <w:r w:rsidRPr="00684BF3">
        <w:rPr>
          <w:sz w:val="16"/>
        </w:rPr>
        <w:t xml:space="preserve">. That </w:t>
      </w:r>
      <w:r w:rsidRPr="00684BF3">
        <w:rPr>
          <w:rStyle w:val="StyleUnderline"/>
        </w:rPr>
        <w:t xml:space="preserve">the </w:t>
      </w:r>
      <w:r w:rsidRPr="00456038">
        <w:rPr>
          <w:rStyle w:val="StyleUnderline"/>
          <w:highlight w:val="cyan"/>
        </w:rPr>
        <w:t>disagreements among</w:t>
      </w:r>
      <w:r w:rsidRPr="00684BF3">
        <w:rPr>
          <w:rStyle w:val="StyleUnderline"/>
        </w:rPr>
        <w:t xml:space="preserve"> the </w:t>
      </w:r>
      <w:r w:rsidRPr="00456038">
        <w:rPr>
          <w:rStyle w:val="StyleUnderline"/>
          <w:highlight w:val="cyan"/>
        </w:rPr>
        <w:t>Justices</w:t>
      </w:r>
      <w:r w:rsidRPr="00684BF3">
        <w:rPr>
          <w:rStyle w:val="StyleUnderline"/>
        </w:rPr>
        <w:t xml:space="preserve"> in these cases </w:t>
      </w:r>
      <w:r w:rsidRPr="00456038">
        <w:rPr>
          <w:rStyle w:val="StyleUnderline"/>
          <w:highlight w:val="cyan"/>
        </w:rPr>
        <w:t xml:space="preserve">appear to be more about the </w:t>
      </w:r>
      <w:r w:rsidRPr="00456038">
        <w:rPr>
          <w:rStyle w:val="Emphasis"/>
          <w:highlight w:val="cyan"/>
        </w:rPr>
        <w:t>underlying merits</w:t>
      </w:r>
      <w:r w:rsidRPr="00684BF3">
        <w:rPr>
          <w:rStyle w:val="Emphasis"/>
        </w:rPr>
        <w:t xml:space="preserve"> </w:t>
      </w:r>
      <w:r w:rsidRPr="00456038">
        <w:rPr>
          <w:rStyle w:val="Emphasis"/>
          <w:highlight w:val="cyan"/>
        </w:rPr>
        <w:t>than</w:t>
      </w:r>
      <w:r w:rsidRPr="00456038">
        <w:rPr>
          <w:rStyle w:val="StyleUnderline"/>
          <w:highlight w:val="cyan"/>
        </w:rPr>
        <w:t xml:space="preserve"> about</w:t>
      </w:r>
      <w:r w:rsidRPr="00684BF3">
        <w:rPr>
          <w:sz w:val="16"/>
        </w:rPr>
        <w:t xml:space="preserve"> the proper application of </w:t>
      </w:r>
      <w:r w:rsidRPr="00456038">
        <w:rPr>
          <w:rStyle w:val="Emphasis"/>
          <w:highlight w:val="cyan"/>
        </w:rPr>
        <w:t>Chevron</w:t>
      </w:r>
      <w:r w:rsidRPr="00684BF3">
        <w:rPr>
          <w:rStyle w:val="StyleUnderline"/>
        </w:rPr>
        <w:t xml:space="preserve"> and related doctrines</w:t>
      </w:r>
      <w:r w:rsidRPr="00684BF3">
        <w:rPr>
          <w:sz w:val="16"/>
        </w:rPr>
        <w:t xml:space="preserve"> confirms my general sense that the time and effort that litigants, and the Justices, spend analyzing whether and how Chevron applies is wasted.</w:t>
      </w:r>
    </w:p>
    <w:p w14:paraId="7F69D5B4" w14:textId="77777777" w:rsidR="00516959" w:rsidRDefault="00516959" w:rsidP="00516959">
      <w:pPr>
        <w:pStyle w:val="Heading3"/>
      </w:pPr>
      <w:r>
        <w:t xml:space="preserve">AT: </w:t>
      </w:r>
      <w:r>
        <w:rPr>
          <w:i/>
          <w:iCs/>
        </w:rPr>
        <w:t>Skidmore</w:t>
      </w:r>
      <w:r>
        <w:t xml:space="preserve"> Solves</w:t>
      </w:r>
    </w:p>
    <w:p w14:paraId="1A385520" w14:textId="77777777" w:rsidR="00516959" w:rsidRPr="00574227" w:rsidRDefault="00516959" w:rsidP="00516959">
      <w:pPr>
        <w:pStyle w:val="Heading4"/>
      </w:pPr>
      <w:r>
        <w:rPr>
          <w:i/>
          <w:iCs w:val="0"/>
        </w:rPr>
        <w:t>Skidmore</w:t>
      </w:r>
      <w:r>
        <w:t xml:space="preserve"> is insufficient.</w:t>
      </w:r>
    </w:p>
    <w:p w14:paraId="7E26747A" w14:textId="77777777" w:rsidR="00516959" w:rsidRDefault="00516959" w:rsidP="00516959">
      <w:r w:rsidRPr="00173CBF">
        <w:rPr>
          <w:rStyle w:val="Heading4Char"/>
        </w:rPr>
        <w:t>Huddleson 19</w:t>
      </w:r>
      <w:r>
        <w:t xml:space="preserve"> – (Edwin E. Huddleson, University of Chicago Law School (J.D.); Stanford University (B.S.); member of the American Law Institute and the California, District of Columbia, Maryland, and New York Bars; engaged in private practice in Washington, D.C. Originator of the Harold Leventhal series of lectures on administrative law; “CHEVRON UNDER SIEGE”; Hein Online; D.A. July 4</w:t>
      </w:r>
      <w:r w:rsidRPr="00173CBF">
        <w:rPr>
          <w:vertAlign w:val="superscript"/>
        </w:rPr>
        <w:t>th</w:t>
      </w:r>
      <w:r>
        <w:t xml:space="preserve"> 2020, [Published 2019]; University of Louisville Law Review, Vol. 58, Issue 17, pg. 75-76, Accessed via UMich libraries; </w:t>
      </w:r>
      <w:hyperlink r:id="rId360" w:history="1">
        <w:r>
          <w:rPr>
            <w:rStyle w:val="Hyperlink"/>
          </w:rPr>
          <w:t>https://heinonline.org/HOL/LandingPage?handle=hein.journals/branlaj58&amp;div=6&amp;id=&amp;page=</w:t>
        </w:r>
      </w:hyperlink>
      <w:r>
        <w:t>) //LFS—JCM</w:t>
      </w:r>
    </w:p>
    <w:p w14:paraId="244F73F1" w14:textId="77777777" w:rsidR="00516959" w:rsidRPr="000B0B79" w:rsidRDefault="00516959" w:rsidP="00516959">
      <w:pPr>
        <w:rPr>
          <w:sz w:val="16"/>
        </w:rPr>
      </w:pPr>
      <w:r w:rsidRPr="00456038">
        <w:rPr>
          <w:rStyle w:val="Emphasis"/>
          <w:highlight w:val="cyan"/>
        </w:rPr>
        <w:t>Were Chevron</w:t>
      </w:r>
      <w:r w:rsidRPr="000B0B79">
        <w:rPr>
          <w:sz w:val="16"/>
        </w:rPr>
        <w:t xml:space="preserve"> simply </w:t>
      </w:r>
      <w:r w:rsidRPr="00456038">
        <w:rPr>
          <w:rStyle w:val="Emphasis"/>
          <w:highlight w:val="cyan"/>
        </w:rPr>
        <w:t>overruled</w:t>
      </w:r>
      <w:r w:rsidRPr="000B0B79">
        <w:rPr>
          <w:sz w:val="16"/>
        </w:rPr>
        <w:t xml:space="preserve">, without more, </w:t>
      </w:r>
      <w:r w:rsidRPr="00456038">
        <w:rPr>
          <w:rStyle w:val="StyleUnderline"/>
          <w:highlight w:val="cyan"/>
        </w:rPr>
        <w:t>court</w:t>
      </w:r>
      <w:r w:rsidRPr="009C69DC">
        <w:rPr>
          <w:rStyle w:val="StyleUnderline"/>
        </w:rPr>
        <w:t xml:space="preserve"> review</w:t>
      </w:r>
      <w:r w:rsidRPr="000B0B79">
        <w:rPr>
          <w:sz w:val="16"/>
        </w:rPr>
        <w:t xml:space="preserve"> of agency action </w:t>
      </w:r>
      <w:r w:rsidRPr="00456038">
        <w:rPr>
          <w:rStyle w:val="StyleUnderline"/>
          <w:highlight w:val="cyan"/>
        </w:rPr>
        <w:t>might lapse back to</w:t>
      </w:r>
      <w:r w:rsidRPr="000B0B79">
        <w:rPr>
          <w:sz w:val="16"/>
        </w:rPr>
        <w:t xml:space="preserve"> the older, weaker standard in </w:t>
      </w:r>
      <w:r w:rsidRPr="00456038">
        <w:rPr>
          <w:rStyle w:val="Emphasis"/>
          <w:highlight w:val="cyan"/>
        </w:rPr>
        <w:t>Skidmore</w:t>
      </w:r>
      <w:r w:rsidRPr="000B0B79">
        <w:rPr>
          <w:sz w:val="16"/>
        </w:rPr>
        <w:t xml:space="preserve"> v. Swift &amp; Co., 323 U.S. 134 (1944), </w:t>
      </w:r>
      <w:r w:rsidRPr="009C69DC">
        <w:rPr>
          <w:rStyle w:val="StyleUnderline"/>
        </w:rPr>
        <w:t>under which courts accord</w:t>
      </w:r>
      <w:r w:rsidRPr="000B0B79">
        <w:rPr>
          <w:sz w:val="16"/>
        </w:rPr>
        <w:t xml:space="preserve"> measured respect </w:t>
      </w:r>
      <w:r w:rsidRPr="009C69DC">
        <w:rPr>
          <w:rStyle w:val="StyleUnderline"/>
        </w:rPr>
        <w:t>to agency views, short of mandatory deference</w:t>
      </w:r>
      <w:r w:rsidRPr="000B0B79">
        <w:rPr>
          <w:sz w:val="16"/>
        </w:rPr>
        <w:t xml:space="preserve">, after considering a variety of factors.28 2 Yet </w:t>
      </w:r>
      <w:r w:rsidRPr="00456038">
        <w:rPr>
          <w:rStyle w:val="StyleUnderline"/>
          <w:highlight w:val="cyan"/>
        </w:rPr>
        <w:t xml:space="preserve">this might </w:t>
      </w:r>
      <w:r w:rsidRPr="00456038">
        <w:rPr>
          <w:rStyle w:val="Emphasis"/>
          <w:highlight w:val="cyan"/>
        </w:rPr>
        <w:t>shortchange</w:t>
      </w:r>
      <w:r w:rsidRPr="00456038">
        <w:rPr>
          <w:rStyle w:val="StyleUnderline"/>
          <w:highlight w:val="cyan"/>
        </w:rPr>
        <w:t xml:space="preserve"> the </w:t>
      </w:r>
      <w:r w:rsidRPr="00456038">
        <w:rPr>
          <w:rStyle w:val="Emphasis"/>
          <w:highlight w:val="cyan"/>
        </w:rPr>
        <w:t>importance</w:t>
      </w:r>
      <w:r w:rsidRPr="000B0B79">
        <w:rPr>
          <w:sz w:val="16"/>
        </w:rPr>
        <w:t xml:space="preserve"> (recognized in administrative law developments since 1944) </w:t>
      </w:r>
      <w:r w:rsidRPr="00456038">
        <w:rPr>
          <w:rStyle w:val="StyleUnderline"/>
          <w:highlight w:val="cyan"/>
        </w:rPr>
        <w:t xml:space="preserve">of </w:t>
      </w:r>
      <w:r w:rsidRPr="00456038">
        <w:rPr>
          <w:rStyle w:val="Emphasis"/>
          <w:highlight w:val="cyan"/>
        </w:rPr>
        <w:t>permitting</w:t>
      </w:r>
      <w:r w:rsidRPr="000B0B79">
        <w:rPr>
          <w:rStyle w:val="Emphasis"/>
        </w:rPr>
        <w:t xml:space="preserve"> Congress to allow</w:t>
      </w:r>
      <w:r w:rsidRPr="000B0B79">
        <w:rPr>
          <w:rStyle w:val="StyleUnderline"/>
        </w:rPr>
        <w:t xml:space="preserve"> </w:t>
      </w:r>
      <w:r w:rsidRPr="00456038">
        <w:rPr>
          <w:rStyle w:val="Emphasis"/>
          <w:highlight w:val="cyan"/>
        </w:rPr>
        <w:t>agencies to change position</w:t>
      </w:r>
      <w:r w:rsidRPr="00456038">
        <w:rPr>
          <w:rStyle w:val="StyleUnderline"/>
          <w:highlight w:val="cyan"/>
        </w:rPr>
        <w:t xml:space="preserve"> about</w:t>
      </w:r>
      <w:r w:rsidRPr="000B0B79">
        <w:rPr>
          <w:rStyle w:val="StyleUnderline"/>
        </w:rPr>
        <w:t xml:space="preserve"> the </w:t>
      </w:r>
      <w:r w:rsidRPr="00456038">
        <w:rPr>
          <w:rStyle w:val="StyleUnderline"/>
          <w:highlight w:val="cyan"/>
        </w:rPr>
        <w:t>proper interpretation</w:t>
      </w:r>
      <w:r w:rsidRPr="000B0B79">
        <w:rPr>
          <w:sz w:val="16"/>
        </w:rPr>
        <w:t xml:space="preserve"> of a statute, to allow agencies to come to grips with new developments and new changed circumstances. Alternatively, the standard of court review post Chevron might be the "arbitrary and capricious" standard of State Farm.283 But that is so similar (if not identical) to the standards of Chevron step two, that one would expect very little (if any) difference in litigation outcomes.2 84 That outcome seems unlikely, because the Justices criticizing Chevron generally want to cut back the weight accorded to agency views. </w:t>
      </w:r>
      <w:r w:rsidRPr="00456038">
        <w:rPr>
          <w:rStyle w:val="Emphasis"/>
          <w:highlight w:val="cyan"/>
        </w:rPr>
        <w:t>The option recommended</w:t>
      </w:r>
      <w:r w:rsidRPr="000B0B79">
        <w:rPr>
          <w:sz w:val="16"/>
        </w:rPr>
        <w:t xml:space="preserve"> by this article </w:t>
      </w:r>
      <w:r w:rsidRPr="00456038">
        <w:rPr>
          <w:rStyle w:val="Emphasis"/>
          <w:highlight w:val="cyan"/>
        </w:rPr>
        <w:t>is retaining Chevron</w:t>
      </w:r>
      <w:r w:rsidRPr="000B0B79">
        <w:rPr>
          <w:sz w:val="16"/>
        </w:rPr>
        <w:t xml:space="preserve">, with modest refinements, injecting flexibility and more emphasis on the court's own interpretation of the statute. </w:t>
      </w:r>
      <w:r w:rsidRPr="000B0B79">
        <w:rPr>
          <w:rStyle w:val="StyleUnderline"/>
        </w:rPr>
        <w:t xml:space="preserve">The </w:t>
      </w:r>
      <w:r w:rsidRPr="00456038">
        <w:rPr>
          <w:rStyle w:val="StyleUnderline"/>
          <w:highlight w:val="cyan"/>
        </w:rPr>
        <w:t>most dramatic weakening of agency</w:t>
      </w:r>
      <w:r w:rsidRPr="000B0B79">
        <w:rPr>
          <w:rStyle w:val="StyleUnderline"/>
        </w:rPr>
        <w:t xml:space="preserve"> power </w:t>
      </w:r>
      <w:r w:rsidRPr="00456038">
        <w:rPr>
          <w:rStyle w:val="StyleUnderline"/>
          <w:highlight w:val="cyan"/>
        </w:rPr>
        <w:t>would occur-invalidating</w:t>
      </w:r>
      <w:r w:rsidRPr="000B0B79">
        <w:rPr>
          <w:rStyle w:val="StyleUnderline"/>
        </w:rPr>
        <w:t xml:space="preserve"> many </w:t>
      </w:r>
      <w:r w:rsidRPr="00456038">
        <w:rPr>
          <w:rStyle w:val="StyleUnderline"/>
          <w:highlight w:val="cyan"/>
        </w:rPr>
        <w:t>more agency rules</w:t>
      </w:r>
      <w:r w:rsidRPr="000B0B79">
        <w:rPr>
          <w:sz w:val="16"/>
        </w:rPr>
        <w:t xml:space="preserve"> as beyond the agency's statutory authority-if the High Court were to adopt the major question doctrine, or textualists' narrow reading of agency statutory power, and </w:t>
      </w:r>
      <w:r w:rsidRPr="000B0B79">
        <w:rPr>
          <w:rStyle w:val="StyleUnderline"/>
        </w:rPr>
        <w:t xml:space="preserve">simultaneously </w:t>
      </w:r>
      <w:r w:rsidRPr="00456038">
        <w:rPr>
          <w:rStyle w:val="StyleUnderline"/>
          <w:highlight w:val="cyan"/>
        </w:rPr>
        <w:t>downgrade</w:t>
      </w:r>
      <w:r w:rsidRPr="000B0B79">
        <w:rPr>
          <w:rStyle w:val="StyleUnderline"/>
        </w:rPr>
        <w:t xml:space="preserve"> the </w:t>
      </w:r>
      <w:r w:rsidRPr="00456038">
        <w:rPr>
          <w:rStyle w:val="StyleUnderline"/>
          <w:highlight w:val="cyan"/>
        </w:rPr>
        <w:t>significance of agency views about</w:t>
      </w:r>
      <w:r w:rsidRPr="000B0B79">
        <w:rPr>
          <w:rStyle w:val="StyleUnderline"/>
        </w:rPr>
        <w:t xml:space="preserve"> statutory </w:t>
      </w:r>
      <w:r w:rsidRPr="00456038">
        <w:rPr>
          <w:rStyle w:val="StyleUnderline"/>
          <w:highlight w:val="cyan"/>
        </w:rPr>
        <w:t>interpretation</w:t>
      </w:r>
      <w:r w:rsidRPr="000B0B79">
        <w:rPr>
          <w:rStyle w:val="StyleUnderline"/>
        </w:rPr>
        <w:t xml:space="preserve">. </w:t>
      </w:r>
      <w:r w:rsidRPr="000B0B79">
        <w:rPr>
          <w:sz w:val="16"/>
        </w:rPr>
        <w:t>Those are critical issues for the future of executive branch agency authority.</w:t>
      </w:r>
    </w:p>
    <w:p w14:paraId="3D2C54B3" w14:textId="3EC06CEC" w:rsidR="00931C9A" w:rsidRDefault="00931C9A" w:rsidP="00C1250B">
      <w:pPr>
        <w:pStyle w:val="Heading2"/>
      </w:pPr>
      <w:r>
        <w:t>Congress CP</w:t>
      </w:r>
    </w:p>
    <w:p w14:paraId="6C12F812" w14:textId="3053AE6D" w:rsidR="00931C9A" w:rsidRDefault="00931C9A" w:rsidP="00931C9A">
      <w:pPr>
        <w:pStyle w:val="Heading3"/>
      </w:pPr>
      <w:r>
        <w:t>1NC – Congress CP</w:t>
      </w:r>
    </w:p>
    <w:p w14:paraId="1557496B" w14:textId="39A81E8C" w:rsidR="00931C9A" w:rsidRDefault="00931C9A" w:rsidP="00931C9A">
      <w:pPr>
        <w:pStyle w:val="Heading4"/>
      </w:pPr>
      <w:r>
        <w:t>The United States Congress should codify lenity as a canon that starts with the beginning of statutory interpretation.</w:t>
      </w:r>
    </w:p>
    <w:p w14:paraId="61082EB4" w14:textId="77777777" w:rsidR="00931C9A" w:rsidRPr="00931C9A" w:rsidRDefault="00931C9A" w:rsidP="00931C9A"/>
    <w:p w14:paraId="09B2F429" w14:textId="77777777" w:rsidR="00931C9A" w:rsidRPr="00AA253A" w:rsidRDefault="00931C9A" w:rsidP="00931C9A">
      <w:pPr>
        <w:pStyle w:val="Heading4"/>
      </w:pPr>
      <w:r>
        <w:t xml:space="preserve">Congressional codification of </w:t>
      </w:r>
      <w:r w:rsidRPr="00524CC9">
        <w:t>lenity first</w:t>
      </w:r>
      <w:r>
        <w:t xml:space="preserve"> solves better than Courts.</w:t>
      </w:r>
    </w:p>
    <w:p w14:paraId="314D6FC9" w14:textId="77777777" w:rsidR="00931C9A" w:rsidRDefault="00931C9A" w:rsidP="00931C9A">
      <w:r w:rsidRPr="00D2331F">
        <w:rPr>
          <w:rStyle w:val="Style13ptBold"/>
        </w:rPr>
        <w:t xml:space="preserve">Larkin </w:t>
      </w:r>
      <w:r w:rsidRPr="000E113D">
        <w:rPr>
          <w:rStyle w:val="Style13ptBold"/>
          <w:sz w:val="24"/>
          <w:szCs w:val="20"/>
        </w:rPr>
        <w:t>15.</w:t>
      </w:r>
      <w:r>
        <w:t xml:space="preserve"> </w:t>
      </w:r>
      <w:r w:rsidRPr="00791E15">
        <w:rPr>
          <w:sz w:val="20"/>
          <w:szCs w:val="20"/>
        </w:rPr>
        <w:t>Paul J. Larkin, Senior Legal Research Fellow. John-Michael Seibler, Visiting Legal Fellow in the Edwin Meese III Center for Legal and Judicial Studies at The Heritage Foundation. (11-17-2015, "Turning the Rule of Lenity into a Rule of Lenity," Heritage Foundation, https://www.heritage.org/crime-and-justice/report/turning-the-rule-lenity-rule-lenity)//pacc</w:t>
      </w:r>
    </w:p>
    <w:p w14:paraId="02C62FEA" w14:textId="77777777" w:rsidR="00931C9A" w:rsidRPr="000E3F18" w:rsidRDefault="00931C9A" w:rsidP="00931C9A">
      <w:pPr>
        <w:rPr>
          <w:sz w:val="14"/>
          <w:szCs w:val="14"/>
        </w:rPr>
      </w:pPr>
      <w:r w:rsidRPr="000E3F18">
        <w:rPr>
          <w:sz w:val="14"/>
          <w:szCs w:val="14"/>
        </w:rPr>
        <w:t>The Contemporary Role for the Rule of Lenity</w:t>
      </w:r>
    </w:p>
    <w:p w14:paraId="0828D8D6" w14:textId="77777777" w:rsidR="00931C9A" w:rsidRPr="000E3F18" w:rsidRDefault="00931C9A" w:rsidP="00931C9A">
      <w:pPr>
        <w:rPr>
          <w:sz w:val="14"/>
        </w:rPr>
      </w:pPr>
      <w:r w:rsidRPr="000E3F18">
        <w:rPr>
          <w:sz w:val="14"/>
        </w:rPr>
        <w:t>Over the past decade</w:t>
      </w:r>
      <w:r w:rsidRPr="000E3F18">
        <w:rPr>
          <w:sz w:val="14"/>
          <w:szCs w:val="14"/>
        </w:rPr>
        <w:t>, the Supreme Court has</w:t>
      </w:r>
      <w:r w:rsidRPr="000E3F18">
        <w:rPr>
          <w:sz w:val="6"/>
          <w:szCs w:val="14"/>
        </w:rPr>
        <w:t xml:space="preserve"> </w:t>
      </w:r>
      <w:r w:rsidRPr="000E3F18">
        <w:rPr>
          <w:sz w:val="14"/>
        </w:rPr>
        <w:t xml:space="preserve">occasionally resuscitated the Rule of Lenity.[27] Justice Ruth Bader Ginsburg most recently applied that canon </w:t>
      </w:r>
      <w:r w:rsidRPr="00456038">
        <w:rPr>
          <w:rStyle w:val="Emphasis"/>
          <w:highlight w:val="cyan"/>
        </w:rPr>
        <w:t>in Yates</w:t>
      </w:r>
      <w:r w:rsidRPr="000E3F18">
        <w:rPr>
          <w:rStyle w:val="Emphasis"/>
        </w:rPr>
        <w:t xml:space="preserve"> v. U</w:t>
      </w:r>
      <w:r w:rsidRPr="000E3F18">
        <w:rPr>
          <w:sz w:val="14"/>
        </w:rPr>
        <w:t xml:space="preserve">nited </w:t>
      </w:r>
      <w:r w:rsidRPr="000E3F18">
        <w:rPr>
          <w:rStyle w:val="Emphasis"/>
        </w:rPr>
        <w:t>S</w:t>
      </w:r>
      <w:r w:rsidRPr="000E3F18">
        <w:rPr>
          <w:sz w:val="14"/>
        </w:rPr>
        <w:t>tates.[28] In Yates, the government argued that a fisherman who threw overboard three undersized fish violated the Sarbanes–Oxley Act of 2002,[29] a massive overhaul of the federal laws requiring corporations to report accurately on their financial health. Among other things, the act prohibits a corporation or accounting firm from destroying a “tangible object” for purposes of preventing the discovery of a crime.</w:t>
      </w:r>
    </w:p>
    <w:p w14:paraId="22133F65" w14:textId="77777777" w:rsidR="00931C9A" w:rsidRPr="000E3F18" w:rsidRDefault="00931C9A" w:rsidP="00931C9A">
      <w:pPr>
        <w:rPr>
          <w:sz w:val="14"/>
        </w:rPr>
      </w:pPr>
      <w:r w:rsidRPr="000E3F18">
        <w:rPr>
          <w:sz w:val="14"/>
        </w:rPr>
        <w:t xml:space="preserve">The Supreme Court rejected that remarkable interpretation of the Sarbanes–Oxley Act.[30] As </w:t>
      </w:r>
      <w:r w:rsidRPr="00456038">
        <w:rPr>
          <w:highlight w:val="cyan"/>
          <w:u w:val="single"/>
        </w:rPr>
        <w:t>the Court</w:t>
      </w:r>
      <w:r w:rsidRPr="000E3F18">
        <w:rPr>
          <w:u w:val="single"/>
        </w:rPr>
        <w:t xml:space="preserve"> explained, “if our recourse to traditional tools of statutory construction leaves any doubt about the meaning of [a phrase], we would </w:t>
      </w:r>
      <w:r w:rsidRPr="00456038">
        <w:rPr>
          <w:highlight w:val="cyan"/>
          <w:u w:val="single"/>
        </w:rPr>
        <w:t>invoke</w:t>
      </w:r>
      <w:r w:rsidRPr="000E3F18">
        <w:rPr>
          <w:u w:val="single"/>
        </w:rPr>
        <w:t xml:space="preserve"> the rule that ambiguity concerning the ambit of criminal statutes should be resolved in favor of </w:t>
      </w:r>
      <w:r w:rsidRPr="00456038">
        <w:rPr>
          <w:highlight w:val="cyan"/>
          <w:u w:val="single"/>
        </w:rPr>
        <w:t>lenity</w:t>
      </w:r>
      <w:r w:rsidRPr="000E3F18">
        <w:rPr>
          <w:u w:val="single"/>
        </w:rPr>
        <w:t>.”</w:t>
      </w:r>
      <w:r w:rsidRPr="000E3F18">
        <w:rPr>
          <w:sz w:val="14"/>
        </w:rPr>
        <w:t xml:space="preserve">[31] This </w:t>
      </w:r>
      <w:r w:rsidRPr="000E3F18">
        <w:rPr>
          <w:u w:val="single"/>
        </w:rPr>
        <w:t xml:space="preserve">shielded citizens from the government’s reading of a statute “that exposes individuals to </w:t>
      </w:r>
      <w:r w:rsidRPr="000E3F18">
        <w:rPr>
          <w:rStyle w:val="Emphasis"/>
        </w:rPr>
        <w:t>20-year prison sentences</w:t>
      </w:r>
      <w:r w:rsidRPr="000E3F18">
        <w:rPr>
          <w:sz w:val="14"/>
        </w:rPr>
        <w:t xml:space="preserve"> for tampering with any physical object that might have evidentiary value in any federal investigation into any offense, no matter whether the investigation is pending or merely contemplated, or whether the offense subject to investigation is criminal or civil.”[32]</w:t>
      </w:r>
    </w:p>
    <w:p w14:paraId="5773D242" w14:textId="77777777" w:rsidR="00931C9A" w:rsidRPr="0035505E" w:rsidRDefault="00931C9A" w:rsidP="00931C9A">
      <w:pPr>
        <w:rPr>
          <w:sz w:val="14"/>
        </w:rPr>
      </w:pPr>
      <w:r w:rsidRPr="0035505E">
        <w:rPr>
          <w:sz w:val="14"/>
        </w:rPr>
        <w:t xml:space="preserve">Nonetheless, </w:t>
      </w:r>
      <w:r w:rsidRPr="00456038">
        <w:rPr>
          <w:highlight w:val="cyan"/>
          <w:u w:val="single"/>
        </w:rPr>
        <w:t>the Court has frequently declined to invoke</w:t>
      </w:r>
      <w:r w:rsidRPr="000E3F18">
        <w:rPr>
          <w:u w:val="single"/>
        </w:rPr>
        <w:t xml:space="preserve"> the Rule of </w:t>
      </w:r>
      <w:r w:rsidRPr="00456038">
        <w:rPr>
          <w:highlight w:val="cyan"/>
          <w:u w:val="single"/>
        </w:rPr>
        <w:t>Lenity</w:t>
      </w:r>
      <w:r w:rsidRPr="000E3F18">
        <w:rPr>
          <w:u w:val="single"/>
        </w:rPr>
        <w:t xml:space="preserve"> even when the text of a statute is ambiguous</w:t>
      </w:r>
      <w:r w:rsidRPr="0035505E">
        <w:rPr>
          <w:sz w:val="14"/>
        </w:rPr>
        <w:t xml:space="preserve">. </w:t>
      </w:r>
      <w:r w:rsidRPr="00456038">
        <w:rPr>
          <w:rStyle w:val="Emphasis"/>
          <w:highlight w:val="cyan"/>
        </w:rPr>
        <w:t>In Barber</w:t>
      </w:r>
      <w:r w:rsidRPr="000E3F18">
        <w:rPr>
          <w:rStyle w:val="Emphasis"/>
        </w:rPr>
        <w:t xml:space="preserve"> v. Thomas</w:t>
      </w:r>
      <w:r w:rsidRPr="0035505E">
        <w:rPr>
          <w:sz w:val="14"/>
        </w:rPr>
        <w:t xml:space="preserve">, two federal prisoners challenged the Federal Bureau of Prisons’ method for calculating good-time-credit earned over a “term of imprisonment”—the allegedly ambiguous term—under 18 U.S.C. § 3624(b).[33] Using “a simplified example” of the bureau’s method,[34] </w:t>
      </w:r>
      <w:r w:rsidRPr="000E3F18">
        <w:rPr>
          <w:u w:val="single"/>
        </w:rPr>
        <w:t>the Court decided that “‘term of imprisonment’ must mean ‘time actually served’</w:t>
      </w:r>
      <w:r w:rsidRPr="0035505E">
        <w:rPr>
          <w:sz w:val="14"/>
        </w:rPr>
        <w:t xml:space="preserve"> the third time that it appears” in § 3624(b) while meaning something different “the first two times it is used in the very same sentence. This in itself indicates that something is quite wrong here.”[35] More, the petitioners argued that the “term of imprisonment” meant “the sentence imposed,” and dissenting Justices Anthony Kennedy, John Paul Stevens, and Ruth Bader Ginsburg argued a third interpretation: “the span of time that a prisoner must account for in order to obtain release.”[36]</w:t>
      </w:r>
    </w:p>
    <w:p w14:paraId="115610FF" w14:textId="77777777" w:rsidR="00931C9A" w:rsidRPr="0035505E" w:rsidRDefault="00931C9A" w:rsidP="00931C9A">
      <w:pPr>
        <w:rPr>
          <w:sz w:val="14"/>
        </w:rPr>
      </w:pPr>
      <w:r w:rsidRPr="0035505E">
        <w:rPr>
          <w:sz w:val="14"/>
        </w:rPr>
        <w:t xml:space="preserve">By sidestepping these interpretations that would have “maximize[d] the amount of available good time credit,”[37] the majority actively shirked the Rule of Lenity.[38] </w:t>
      </w:r>
      <w:r w:rsidRPr="00456038">
        <w:rPr>
          <w:highlight w:val="cyan"/>
          <w:u w:val="single"/>
        </w:rPr>
        <w:t>The Court</w:t>
      </w:r>
      <w:r w:rsidRPr="000E3F18">
        <w:rPr>
          <w:u w:val="single"/>
        </w:rPr>
        <w:t xml:space="preserve"> instead filled in any “grievous ambiguity or uncertainty” by </w:t>
      </w:r>
      <w:r w:rsidRPr="00456038">
        <w:rPr>
          <w:rStyle w:val="Emphasis"/>
          <w:highlight w:val="cyan"/>
        </w:rPr>
        <w:t xml:space="preserve">resort to </w:t>
      </w:r>
      <w:r w:rsidRPr="00456038">
        <w:rPr>
          <w:rStyle w:val="Emphasis"/>
          <w:i/>
          <w:iCs w:val="0"/>
          <w:highlight w:val="cyan"/>
        </w:rPr>
        <w:t>other canons</w:t>
      </w:r>
      <w:r w:rsidRPr="000E3F18">
        <w:rPr>
          <w:u w:val="single"/>
        </w:rPr>
        <w:t xml:space="preserve"> of statutory construction</w:t>
      </w:r>
      <w:r w:rsidRPr="0035505E">
        <w:rPr>
          <w:sz w:val="14"/>
        </w:rPr>
        <w:t xml:space="preserve">.[39] </w:t>
      </w:r>
      <w:r w:rsidRPr="00456038">
        <w:rPr>
          <w:highlight w:val="cyan"/>
          <w:u w:val="single"/>
        </w:rPr>
        <w:t>The result</w:t>
      </w:r>
      <w:r w:rsidRPr="0035505E">
        <w:rPr>
          <w:u w:val="single"/>
        </w:rPr>
        <w:t xml:space="preserve"> of this type of analysis </w:t>
      </w:r>
      <w:r w:rsidRPr="00456038">
        <w:rPr>
          <w:highlight w:val="cyan"/>
          <w:u w:val="single"/>
        </w:rPr>
        <w:t>is</w:t>
      </w:r>
      <w:r w:rsidRPr="0035505E">
        <w:rPr>
          <w:u w:val="single"/>
        </w:rPr>
        <w:t xml:space="preserve"> that </w:t>
      </w:r>
      <w:r w:rsidRPr="00DC3003">
        <w:rPr>
          <w:u w:val="single"/>
        </w:rPr>
        <w:t>the Court</w:t>
      </w:r>
      <w:r w:rsidRPr="0035505E">
        <w:rPr>
          <w:u w:val="single"/>
        </w:rPr>
        <w:t xml:space="preserve"> has avoided giving </w:t>
      </w:r>
      <w:r w:rsidRPr="00DC3003">
        <w:rPr>
          <w:u w:val="single"/>
        </w:rPr>
        <w:t>the rule</w:t>
      </w:r>
      <w:r w:rsidRPr="0035505E">
        <w:rPr>
          <w:u w:val="single"/>
        </w:rPr>
        <w:t xml:space="preserve"> its intended effect by </w:t>
      </w:r>
      <w:r w:rsidRPr="00456038">
        <w:rPr>
          <w:highlight w:val="cyan"/>
          <w:u w:val="single"/>
        </w:rPr>
        <w:t xml:space="preserve">applying it only in a </w:t>
      </w:r>
      <w:r w:rsidRPr="00456038">
        <w:rPr>
          <w:rStyle w:val="Emphasis"/>
          <w:i/>
          <w:iCs w:val="0"/>
          <w:highlight w:val="cyan"/>
        </w:rPr>
        <w:t>halfhearted</w:t>
      </w:r>
      <w:r w:rsidRPr="00456038">
        <w:rPr>
          <w:rStyle w:val="Emphasis"/>
          <w:highlight w:val="cyan"/>
        </w:rPr>
        <w:t xml:space="preserve"> manner</w:t>
      </w:r>
      <w:r w:rsidRPr="0035505E">
        <w:rPr>
          <w:sz w:val="14"/>
        </w:rPr>
        <w:t>.[40 ]</w:t>
      </w:r>
    </w:p>
    <w:p w14:paraId="2DD6CEB8" w14:textId="77777777" w:rsidR="00931C9A" w:rsidRPr="00DC3003" w:rsidRDefault="00931C9A" w:rsidP="00931C9A">
      <w:pPr>
        <w:rPr>
          <w:sz w:val="14"/>
        </w:rPr>
      </w:pPr>
      <w:r w:rsidRPr="000E3F18">
        <w:rPr>
          <w:u w:val="single"/>
        </w:rPr>
        <w:t xml:space="preserve">Part of </w:t>
      </w:r>
      <w:r w:rsidRPr="00456038">
        <w:rPr>
          <w:highlight w:val="cyan"/>
          <w:u w:val="single"/>
        </w:rPr>
        <w:t>the problem is</w:t>
      </w:r>
      <w:r w:rsidRPr="000E3F18">
        <w:rPr>
          <w:u w:val="single"/>
        </w:rPr>
        <w:t xml:space="preserve"> that </w:t>
      </w:r>
      <w:r w:rsidRPr="00456038">
        <w:rPr>
          <w:highlight w:val="cyan"/>
          <w:u w:val="single"/>
        </w:rPr>
        <w:t xml:space="preserve">the rule becomes relevant only at the </w:t>
      </w:r>
      <w:r w:rsidRPr="00456038">
        <w:rPr>
          <w:rStyle w:val="Emphasis"/>
          <w:i/>
          <w:iCs w:val="0"/>
          <w:highlight w:val="cyan"/>
        </w:rPr>
        <w:t>end</w:t>
      </w:r>
      <w:r w:rsidRPr="00456038">
        <w:rPr>
          <w:highlight w:val="cyan"/>
          <w:u w:val="single"/>
        </w:rPr>
        <w:t xml:space="preserve"> of </w:t>
      </w:r>
      <w:r w:rsidRPr="00DC3003">
        <w:rPr>
          <w:u w:val="single"/>
        </w:rPr>
        <w:t>the</w:t>
      </w:r>
      <w:r w:rsidRPr="000E3F18">
        <w:rPr>
          <w:u w:val="single"/>
        </w:rPr>
        <w:t xml:space="preserve"> statutory </w:t>
      </w:r>
      <w:r w:rsidRPr="00456038">
        <w:rPr>
          <w:highlight w:val="cyan"/>
          <w:u w:val="single"/>
        </w:rPr>
        <w:t>interpretation</w:t>
      </w:r>
      <w:r w:rsidRPr="000E3F18">
        <w:rPr>
          <w:u w:val="single"/>
        </w:rPr>
        <w:t xml:space="preserve"> process</w:t>
      </w:r>
      <w:r w:rsidRPr="00DC3003">
        <w:rPr>
          <w:sz w:val="14"/>
        </w:rPr>
        <w:t xml:space="preserve">.[41] The Supreme Court has established the following sequence for courts’ use when interpreting a statute. Step 1: Start with the text and read it in a straightforward manner. Undefined terms should be given their dictionary meaning.[42] If the text alone does not resolve the dispute, then comes Step 2: Examine the context of the relevant provision, its role in the statute, perhaps the common law history of the problem and the policies that the law seeks to address. For some Justices, such as Antonin Scalia, that is where the analysis ends. For others, there is a Step 3: Consider the legislative background to the adoption of the statute.[43] </w:t>
      </w:r>
      <w:r w:rsidRPr="0035505E">
        <w:rPr>
          <w:u w:val="single"/>
        </w:rPr>
        <w:t>The Rule of Lenity is locked away until Step 4, which arises only when “‘a reasonable doubt persists about a statute’s intended scope even after resort to the language and structure, legislative history, and motivating policies’ of the statute.”</w:t>
      </w:r>
      <w:r w:rsidRPr="00DC3003">
        <w:rPr>
          <w:sz w:val="14"/>
        </w:rPr>
        <w:t xml:space="preserve">[44] Even then, the Court has said that a statute is not “‘unclear unless we think there are decent arguments for each of the two competing interpretations of it.’”[45] </w:t>
      </w:r>
      <w:r w:rsidRPr="0035505E">
        <w:rPr>
          <w:u w:val="single"/>
        </w:rPr>
        <w:t xml:space="preserve">Accordingly, the Rule of Lenity serves only as a </w:t>
      </w:r>
      <w:r w:rsidRPr="0035505E">
        <w:rPr>
          <w:rStyle w:val="Emphasis"/>
        </w:rPr>
        <w:t>tiebreaker</w:t>
      </w:r>
      <w:r w:rsidRPr="00DC3003">
        <w:rPr>
          <w:sz w:val="14"/>
        </w:rPr>
        <w:t>.[46]</w:t>
      </w:r>
    </w:p>
    <w:p w14:paraId="24C538A5" w14:textId="77777777" w:rsidR="00931C9A" w:rsidRPr="0035505E" w:rsidRDefault="00931C9A" w:rsidP="00931C9A">
      <w:pPr>
        <w:rPr>
          <w:sz w:val="14"/>
        </w:rPr>
      </w:pPr>
      <w:r w:rsidRPr="0035505E">
        <w:rPr>
          <w:sz w:val="14"/>
        </w:rPr>
        <w:t xml:space="preserve">There are certain recurring problems in determining when a statute is ambiguous. These problems include open-endedness,[47] use of lists,[48] manipulation of modifiers,[49] possible multiple punishment problems,[50] the possibility that a court could stretch the text of a statute to ensure that it covers a particular heinous crime or offender,[51] and novel applications of statutes.[52] At least one subset of statutes—antitrust, securities, and federal fraud—has been thought to contain ambiguity because Congress “intentionally delegated to federal courts the power to devise and revise rules of conduct in common law fashion.”[53] </w:t>
      </w:r>
      <w:r w:rsidRPr="0035505E">
        <w:rPr>
          <w:u w:val="single"/>
        </w:rPr>
        <w:t xml:space="preserve">Surveying such rocky terrain, both </w:t>
      </w:r>
      <w:r w:rsidRPr="00456038">
        <w:rPr>
          <w:rStyle w:val="Emphasis"/>
          <w:highlight w:val="cyan"/>
        </w:rPr>
        <w:t>critics and advocates</w:t>
      </w:r>
      <w:r w:rsidRPr="00456038">
        <w:rPr>
          <w:highlight w:val="cyan"/>
          <w:u w:val="single"/>
        </w:rPr>
        <w:t xml:space="preserve"> of lenity suggest</w:t>
      </w:r>
      <w:r w:rsidRPr="0035505E">
        <w:rPr>
          <w:u w:val="single"/>
        </w:rPr>
        <w:t xml:space="preserve"> that </w:t>
      </w:r>
      <w:r w:rsidRPr="00456038">
        <w:rPr>
          <w:rStyle w:val="Emphasis"/>
          <w:highlight w:val="cyan"/>
        </w:rPr>
        <w:t>new legislation</w:t>
      </w:r>
      <w:r w:rsidRPr="00456038">
        <w:rPr>
          <w:highlight w:val="cyan"/>
          <w:u w:val="single"/>
        </w:rPr>
        <w:t xml:space="preserve"> is “the </w:t>
      </w:r>
      <w:r w:rsidRPr="00456038">
        <w:rPr>
          <w:rStyle w:val="Emphasis"/>
          <w:highlight w:val="cyan"/>
        </w:rPr>
        <w:t>most effective</w:t>
      </w:r>
      <w:r w:rsidRPr="0035505E">
        <w:rPr>
          <w:u w:val="single"/>
        </w:rPr>
        <w:t xml:space="preserve"> way to secure </w:t>
      </w:r>
      <w:r w:rsidRPr="00456038">
        <w:rPr>
          <w:rStyle w:val="Emphasis"/>
          <w:highlight w:val="cyan"/>
        </w:rPr>
        <w:t>reform</w:t>
      </w:r>
      <w:r w:rsidRPr="0035505E">
        <w:rPr>
          <w:u w:val="single"/>
        </w:rPr>
        <w:t xml:space="preserve">” in statutory construction toward </w:t>
      </w:r>
      <w:r w:rsidRPr="0035505E">
        <w:rPr>
          <w:rStyle w:val="Emphasis"/>
        </w:rPr>
        <w:t>more predictable</w:t>
      </w:r>
      <w:r w:rsidRPr="0035505E">
        <w:rPr>
          <w:u w:val="single"/>
        </w:rPr>
        <w:t xml:space="preserve">, </w:t>
      </w:r>
      <w:r w:rsidRPr="0035505E">
        <w:rPr>
          <w:rStyle w:val="Emphasis"/>
        </w:rPr>
        <w:t>uniform</w:t>
      </w:r>
      <w:r w:rsidRPr="0035505E">
        <w:rPr>
          <w:u w:val="single"/>
        </w:rPr>
        <w:t xml:space="preserve"> use of the rule</w:t>
      </w:r>
      <w:r w:rsidRPr="0035505E">
        <w:rPr>
          <w:sz w:val="14"/>
        </w:rPr>
        <w:t>.[54]</w:t>
      </w:r>
    </w:p>
    <w:p w14:paraId="3D1AD694" w14:textId="77777777" w:rsidR="00931C9A" w:rsidRPr="0035505E" w:rsidRDefault="00931C9A" w:rsidP="00931C9A">
      <w:pPr>
        <w:rPr>
          <w:sz w:val="14"/>
          <w:szCs w:val="14"/>
        </w:rPr>
      </w:pPr>
      <w:r w:rsidRPr="0035505E">
        <w:rPr>
          <w:sz w:val="14"/>
          <w:szCs w:val="14"/>
        </w:rPr>
        <w:t>New Texas Rule-of-Lenity Statute</w:t>
      </w:r>
    </w:p>
    <w:p w14:paraId="49A6ADED" w14:textId="77777777" w:rsidR="00931C9A" w:rsidRPr="0035505E" w:rsidRDefault="00931C9A" w:rsidP="00931C9A">
      <w:pPr>
        <w:rPr>
          <w:sz w:val="14"/>
          <w:szCs w:val="14"/>
        </w:rPr>
      </w:pPr>
      <w:r w:rsidRPr="0035505E">
        <w:rPr>
          <w:sz w:val="14"/>
          <w:szCs w:val="14"/>
        </w:rPr>
        <w:t>Until recently, Texas law rejected the Rule of Lenity. Section 1.05(a) of the Texas Penal Code is explicit on that point, providing that “the rule that a penal statute is to be strictly construed does not apply to this code.”[55] Nonetheless, the Texas courts had applied the rule to offenses defined in the Texas Penal Code as a matter of practice.[56]</w:t>
      </w:r>
    </w:p>
    <w:p w14:paraId="1A6B45DA" w14:textId="77777777" w:rsidR="00931C9A" w:rsidRPr="0035505E" w:rsidRDefault="00931C9A" w:rsidP="00931C9A">
      <w:pPr>
        <w:rPr>
          <w:sz w:val="14"/>
          <w:szCs w:val="14"/>
        </w:rPr>
      </w:pPr>
      <w:r w:rsidRPr="0035505E">
        <w:rPr>
          <w:sz w:val="14"/>
          <w:szCs w:val="14"/>
        </w:rPr>
        <w:t>In June 2015, Texas decided to codify that practice. The legislature enacted a new law, H.B. 1396, which amends the Government Code as follows:</w:t>
      </w:r>
    </w:p>
    <w:p w14:paraId="20636D20" w14:textId="77777777" w:rsidR="00931C9A" w:rsidRPr="0035505E" w:rsidRDefault="00931C9A" w:rsidP="00931C9A">
      <w:pPr>
        <w:rPr>
          <w:sz w:val="14"/>
          <w:szCs w:val="14"/>
        </w:rPr>
      </w:pPr>
      <w:r w:rsidRPr="0035505E">
        <w:rPr>
          <w:sz w:val="14"/>
          <w:szCs w:val="14"/>
        </w:rPr>
        <w:t>A statute or rule that creates or defines a criminal offense or penalty shall be construed against the government and construed in favor of the actor if any part of the statute or rule is susceptible to more than one objectively reasonable interpretation, including: (1) an element of offense; or (2) the penalty to be imposed.[57]</w:t>
      </w:r>
    </w:p>
    <w:p w14:paraId="215E2F8E" w14:textId="77777777" w:rsidR="00931C9A" w:rsidRPr="0035505E" w:rsidRDefault="00931C9A" w:rsidP="00931C9A">
      <w:pPr>
        <w:rPr>
          <w:sz w:val="14"/>
          <w:szCs w:val="14"/>
        </w:rPr>
      </w:pPr>
      <w:r w:rsidRPr="0035505E">
        <w:rPr>
          <w:sz w:val="14"/>
          <w:szCs w:val="14"/>
        </w:rPr>
        <w:t>H.B. 1396 was adopted to reverse “the erosion of the rule of lenity,” to ensure that “Texas courts continue to follow it when considering criminal offenses,” and to provide for “uniform, consistent application throughout the state.”[58] The lenity statute further acts “as a reminder to courts and prosecutors working outside of the Penal Code that the rule should be applied”[59] and is designed to ensure notice to the legislature to make clear any ambiguous statutes.[60] Accordingly, the new law compels use of lenity in the case of statutory ambiguity when a criminal proceeding arises outside the penal code.</w:t>
      </w:r>
    </w:p>
    <w:p w14:paraId="355326A4" w14:textId="77777777" w:rsidR="00931C9A" w:rsidRPr="0035505E" w:rsidRDefault="00931C9A" w:rsidP="00931C9A">
      <w:pPr>
        <w:rPr>
          <w:sz w:val="14"/>
          <w:szCs w:val="14"/>
        </w:rPr>
      </w:pPr>
      <w:r w:rsidRPr="0035505E">
        <w:rPr>
          <w:sz w:val="14"/>
          <w:szCs w:val="14"/>
        </w:rPr>
        <w:t>Opponents of the new law criticized it on three grounds. They argued that a statute mandating the Rule of Lenity was unnecessary because the Texas courts already apply the rule.[61] They also claimed that “[p]lacing the rule in [a] statute could make it appear to be a directive to the judiciary considering cases outside the Penal Code, instead of having its place as one of the other principles commonly used by the courts.”[62] Opponents’ last argument was that the statute was potentially confusing, particularly in the case of white-collar crimes, because they may be defined by Texas law outside the Penal Code.[63]</w:t>
      </w:r>
    </w:p>
    <w:p w14:paraId="51FE2311" w14:textId="77777777" w:rsidR="00931C9A" w:rsidRPr="0035505E" w:rsidRDefault="00931C9A" w:rsidP="00931C9A">
      <w:pPr>
        <w:rPr>
          <w:sz w:val="14"/>
          <w:szCs w:val="14"/>
        </w:rPr>
      </w:pPr>
      <w:r w:rsidRPr="0035505E">
        <w:rPr>
          <w:sz w:val="14"/>
          <w:szCs w:val="14"/>
        </w:rPr>
        <w:t>Because it enacted the new law, the Texas legislature must have found those arguments unconvincing. Unfortunately, the terse committee reports provide little insight into legislative intent beyond what the text of the statute itself offers. Even those reports, however, state the conviction that lenity “should be codified, especially as it relates to criminal laws outside of the Penal Code.”[64]</w:t>
      </w:r>
    </w:p>
    <w:p w14:paraId="1D941394" w14:textId="77777777" w:rsidR="00931C9A" w:rsidRPr="0035505E" w:rsidRDefault="00931C9A" w:rsidP="00931C9A">
      <w:pPr>
        <w:rPr>
          <w:sz w:val="14"/>
          <w:szCs w:val="14"/>
        </w:rPr>
      </w:pPr>
      <w:r w:rsidRPr="0035505E">
        <w:rPr>
          <w:sz w:val="14"/>
          <w:szCs w:val="14"/>
        </w:rPr>
        <w:t>Potential Effectiveness of the New Texas Statute</w:t>
      </w:r>
    </w:p>
    <w:p w14:paraId="54BFC46B" w14:textId="77777777" w:rsidR="00931C9A" w:rsidRPr="0035505E" w:rsidRDefault="00931C9A" w:rsidP="00931C9A">
      <w:pPr>
        <w:rPr>
          <w:sz w:val="14"/>
          <w:szCs w:val="14"/>
        </w:rPr>
      </w:pPr>
      <w:r w:rsidRPr="0035505E">
        <w:rPr>
          <w:sz w:val="14"/>
          <w:szCs w:val="14"/>
        </w:rPr>
        <w:t>What effect will the new Texas law have on the state courts’ interpretation of Texas criminal law? The answer hinges on the degree of respect that the Texas courts afford to its terms. The statute is far more explicit and demanding than its counterparts in Florida and Ohio,[65] where the courts have applied their lenity statutes unenthusiastically, if at all.[66] Further, both the Florida and Ohio statutes are written into those states’ criminal codes and do not necessarily apply in criminal proceedings based on some criminal provision(s) tucked away in an otherwise civil statute. Because it gives the courts less opportunity to evade its demands through creative interpretation, the Texas statute could wind up having its intended effect.[67]</w:t>
      </w:r>
    </w:p>
    <w:p w14:paraId="5BDF2ACA" w14:textId="77777777" w:rsidR="00931C9A" w:rsidRPr="0035505E" w:rsidRDefault="00931C9A" w:rsidP="00931C9A">
      <w:pPr>
        <w:rPr>
          <w:sz w:val="14"/>
          <w:szCs w:val="14"/>
        </w:rPr>
      </w:pPr>
      <w:r w:rsidRPr="0035505E">
        <w:rPr>
          <w:sz w:val="14"/>
          <w:szCs w:val="14"/>
        </w:rPr>
        <w:t>While a few scholars believe that enacting a lenity statute might actually deter courts from liberally applying the Rule of Lenity,[68] it is unclear what, if any, empirical evidence supports that claim.[69] It is true, though, that past lenity statutes have not been applied by courts with sufficient regularity or uniformity to frame a reliable forecast for how Texas courts are likely to interpret and apply the new statute. Justice Felix Frankfurter foretold some degree of inevitability here:</w:t>
      </w:r>
    </w:p>
    <w:p w14:paraId="1B797322" w14:textId="77777777" w:rsidR="00931C9A" w:rsidRPr="0035505E" w:rsidRDefault="00931C9A" w:rsidP="00931C9A">
      <w:pPr>
        <w:rPr>
          <w:sz w:val="14"/>
          <w:szCs w:val="14"/>
        </w:rPr>
      </w:pPr>
      <w:r w:rsidRPr="0035505E">
        <w:rPr>
          <w:sz w:val="14"/>
          <w:szCs w:val="14"/>
        </w:rPr>
        <w:t>Perfection of draftsmanship is as unattainable as demonstrable correctness of judicial reading of legislation. Fair legislation and fair adjudication are attainable. The ultimate reliance of society for the proper fulfillment of both these august functions is to entrust them only to those who are equal to their demands.[70]</w:t>
      </w:r>
    </w:p>
    <w:p w14:paraId="1D429A79" w14:textId="77777777" w:rsidR="00931C9A" w:rsidRPr="003B2809" w:rsidRDefault="00931C9A" w:rsidP="00931C9A">
      <w:pPr>
        <w:rPr>
          <w:sz w:val="14"/>
        </w:rPr>
      </w:pPr>
      <w:r w:rsidRPr="00456038">
        <w:rPr>
          <w:highlight w:val="cyan"/>
          <w:u w:val="single"/>
        </w:rPr>
        <w:t xml:space="preserve">A </w:t>
      </w:r>
      <w:r w:rsidRPr="00456038">
        <w:rPr>
          <w:rStyle w:val="Emphasis"/>
          <w:highlight w:val="cyan"/>
        </w:rPr>
        <w:t>statute</w:t>
      </w:r>
      <w:r w:rsidRPr="00456038">
        <w:rPr>
          <w:highlight w:val="cyan"/>
          <w:u w:val="single"/>
        </w:rPr>
        <w:t xml:space="preserve"> </w:t>
      </w:r>
      <w:r w:rsidRPr="00456038">
        <w:rPr>
          <w:rStyle w:val="Emphasis"/>
          <w:highlight w:val="cyan"/>
        </w:rPr>
        <w:t>incorporating</w:t>
      </w:r>
      <w:r w:rsidRPr="00456038">
        <w:rPr>
          <w:highlight w:val="cyan"/>
          <w:u w:val="single"/>
        </w:rPr>
        <w:t xml:space="preserve"> the Rule of </w:t>
      </w:r>
      <w:r w:rsidRPr="00456038">
        <w:rPr>
          <w:rStyle w:val="Emphasis"/>
          <w:highlight w:val="cyan"/>
        </w:rPr>
        <w:t>Lenity</w:t>
      </w:r>
      <w:r w:rsidRPr="003A314B">
        <w:rPr>
          <w:u w:val="single"/>
        </w:rPr>
        <w:t xml:space="preserve"> may </w:t>
      </w:r>
      <w:r w:rsidRPr="00456038">
        <w:rPr>
          <w:highlight w:val="cyan"/>
          <w:u w:val="single"/>
        </w:rPr>
        <w:t>offer</w:t>
      </w:r>
      <w:r w:rsidRPr="003A314B">
        <w:rPr>
          <w:u w:val="single"/>
        </w:rPr>
        <w:t xml:space="preserve"> a </w:t>
      </w:r>
      <w:r w:rsidRPr="00456038">
        <w:rPr>
          <w:highlight w:val="cyan"/>
          <w:u w:val="single"/>
        </w:rPr>
        <w:t>benefit that</w:t>
      </w:r>
      <w:r w:rsidRPr="003A314B">
        <w:rPr>
          <w:u w:val="single"/>
        </w:rPr>
        <w:t xml:space="preserve"> the </w:t>
      </w:r>
      <w:r w:rsidRPr="00456038">
        <w:rPr>
          <w:rStyle w:val="Emphasis"/>
          <w:highlight w:val="cyan"/>
        </w:rPr>
        <w:t>common law</w:t>
      </w:r>
      <w:r w:rsidRPr="003A314B">
        <w:rPr>
          <w:rStyle w:val="Emphasis"/>
        </w:rPr>
        <w:t xml:space="preserve"> </w:t>
      </w:r>
      <w:r w:rsidRPr="003A314B">
        <w:rPr>
          <w:u w:val="single"/>
        </w:rPr>
        <w:t xml:space="preserve">doctrine </w:t>
      </w:r>
      <w:r w:rsidRPr="00456038">
        <w:rPr>
          <w:rStyle w:val="Emphasis"/>
          <w:highlight w:val="cyan"/>
        </w:rPr>
        <w:t>lacks</w:t>
      </w:r>
      <w:r w:rsidRPr="003B2809">
        <w:rPr>
          <w:sz w:val="14"/>
        </w:rPr>
        <w:t xml:space="preserve">. </w:t>
      </w:r>
      <w:r w:rsidRPr="00456038">
        <w:rPr>
          <w:highlight w:val="cyan"/>
          <w:u w:val="single"/>
        </w:rPr>
        <w:t>By</w:t>
      </w:r>
      <w:r w:rsidRPr="003A314B">
        <w:rPr>
          <w:u w:val="single"/>
        </w:rPr>
        <w:t xml:space="preserve"> virtue of </w:t>
      </w:r>
      <w:r w:rsidRPr="00456038">
        <w:rPr>
          <w:rStyle w:val="Emphasis"/>
          <w:highlight w:val="cyan"/>
        </w:rPr>
        <w:t>its status as a statute</w:t>
      </w:r>
      <w:r w:rsidRPr="003A314B">
        <w:rPr>
          <w:u w:val="single"/>
        </w:rPr>
        <w:t xml:space="preserve">, a lenity rule can skip ahead to </w:t>
      </w:r>
      <w:r w:rsidRPr="003B2809">
        <w:rPr>
          <w:rStyle w:val="Emphasis"/>
        </w:rPr>
        <w:t>second place</w:t>
      </w:r>
      <w:r w:rsidRPr="003A314B">
        <w:rPr>
          <w:u w:val="single"/>
        </w:rPr>
        <w:t xml:space="preserve"> on the list of items that a court must consider when interpreting a law</w:t>
      </w:r>
      <w:r w:rsidRPr="003B2809">
        <w:rPr>
          <w:sz w:val="14"/>
        </w:rPr>
        <w:t xml:space="preserve">.[71] </w:t>
      </w:r>
      <w:r w:rsidRPr="00456038">
        <w:rPr>
          <w:highlight w:val="cyan"/>
          <w:u w:val="single"/>
        </w:rPr>
        <w:t>The text</w:t>
      </w:r>
      <w:r w:rsidRPr="003A314B">
        <w:rPr>
          <w:u w:val="single"/>
        </w:rPr>
        <w:t xml:space="preserve"> of the law </w:t>
      </w:r>
      <w:r w:rsidRPr="00456038">
        <w:rPr>
          <w:highlight w:val="cyan"/>
          <w:u w:val="single"/>
        </w:rPr>
        <w:t xml:space="preserve">will </w:t>
      </w:r>
      <w:r w:rsidRPr="00456038">
        <w:rPr>
          <w:rStyle w:val="Emphasis"/>
          <w:highlight w:val="cyan"/>
        </w:rPr>
        <w:t>always</w:t>
      </w:r>
      <w:r w:rsidRPr="00456038">
        <w:rPr>
          <w:highlight w:val="cyan"/>
          <w:u w:val="single"/>
        </w:rPr>
        <w:t xml:space="preserve"> be the </w:t>
      </w:r>
      <w:r w:rsidRPr="00456038">
        <w:rPr>
          <w:rStyle w:val="Emphasis"/>
          <w:i/>
          <w:iCs w:val="0"/>
          <w:highlight w:val="cyan"/>
        </w:rPr>
        <w:t>starting point</w:t>
      </w:r>
      <w:r w:rsidRPr="00456038">
        <w:rPr>
          <w:highlight w:val="cyan"/>
          <w:u w:val="single"/>
        </w:rPr>
        <w:t xml:space="preserve"> for statutory analysis because it</w:t>
      </w:r>
      <w:r w:rsidRPr="003A314B">
        <w:rPr>
          <w:u w:val="single"/>
        </w:rPr>
        <w:t xml:space="preserve"> is the text that </w:t>
      </w:r>
      <w:r w:rsidRPr="00456038">
        <w:rPr>
          <w:highlight w:val="cyan"/>
          <w:u w:val="single"/>
        </w:rPr>
        <w:t xml:space="preserve">was </w:t>
      </w:r>
      <w:r w:rsidRPr="00456038">
        <w:rPr>
          <w:rStyle w:val="Emphasis"/>
          <w:highlight w:val="cyan"/>
        </w:rPr>
        <w:t>passed by Congress</w:t>
      </w:r>
      <w:r w:rsidRPr="00456038">
        <w:rPr>
          <w:highlight w:val="cyan"/>
          <w:u w:val="single"/>
        </w:rPr>
        <w:t xml:space="preserve"> and </w:t>
      </w:r>
      <w:r w:rsidRPr="00456038">
        <w:rPr>
          <w:rStyle w:val="Emphasis"/>
          <w:highlight w:val="cyan"/>
        </w:rPr>
        <w:t>signed by the President</w:t>
      </w:r>
      <w:r w:rsidRPr="003A314B">
        <w:rPr>
          <w:u w:val="single"/>
        </w:rPr>
        <w:t xml:space="preserve"> and because it is the </w:t>
      </w:r>
      <w:r w:rsidRPr="003B2809">
        <w:rPr>
          <w:sz w:val="14"/>
        </w:rPr>
        <w:t xml:space="preserve">text—and </w:t>
      </w:r>
      <w:r w:rsidRPr="003A314B">
        <w:rPr>
          <w:rStyle w:val="Emphasis"/>
        </w:rPr>
        <w:t>only</w:t>
      </w:r>
      <w:r w:rsidRPr="003B2809">
        <w:rPr>
          <w:sz w:val="14"/>
        </w:rPr>
        <w:t xml:space="preserve"> the </w:t>
      </w:r>
      <w:r w:rsidRPr="003A314B">
        <w:rPr>
          <w:rStyle w:val="Emphasis"/>
        </w:rPr>
        <w:t>text</w:t>
      </w:r>
      <w:r w:rsidRPr="003B2809">
        <w:rPr>
          <w:sz w:val="14"/>
        </w:rPr>
        <w:t>—</w:t>
      </w:r>
      <w:r w:rsidRPr="003A314B">
        <w:rPr>
          <w:u w:val="single"/>
        </w:rPr>
        <w:t xml:space="preserve">to which a person </w:t>
      </w:r>
      <w:r w:rsidRPr="003A314B">
        <w:rPr>
          <w:rStyle w:val="Emphasis"/>
        </w:rPr>
        <w:t>must refer</w:t>
      </w:r>
      <w:r w:rsidRPr="003A314B">
        <w:rPr>
          <w:u w:val="single"/>
        </w:rPr>
        <w:t xml:space="preserve"> to know what the law means</w:t>
      </w:r>
      <w:r w:rsidRPr="003B2809">
        <w:rPr>
          <w:sz w:val="14"/>
        </w:rPr>
        <w:t xml:space="preserve">.[72] </w:t>
      </w:r>
      <w:r w:rsidRPr="003B2809">
        <w:rPr>
          <w:u w:val="single"/>
        </w:rPr>
        <w:t xml:space="preserve">A statute directing a court to apply the Rule of Lenity </w:t>
      </w:r>
      <w:r w:rsidRPr="00456038">
        <w:rPr>
          <w:rStyle w:val="Emphasis"/>
          <w:highlight w:val="cyan"/>
        </w:rPr>
        <w:t xml:space="preserve">could </w:t>
      </w:r>
      <w:r w:rsidRPr="00456038">
        <w:rPr>
          <w:rStyle w:val="Emphasis"/>
          <w:i/>
          <w:iCs w:val="0"/>
          <w:highlight w:val="cyan"/>
        </w:rPr>
        <w:t>force</w:t>
      </w:r>
      <w:r w:rsidRPr="00456038">
        <w:rPr>
          <w:rStyle w:val="Emphasis"/>
          <w:highlight w:val="cyan"/>
        </w:rPr>
        <w:t xml:space="preserve"> the courts to invoke that canon</w:t>
      </w:r>
      <w:r w:rsidRPr="003B2809">
        <w:rPr>
          <w:u w:val="single"/>
        </w:rPr>
        <w:t xml:space="preserve"> if a simple reading of the text alone does not readily make clear what is and is not a crime</w:t>
      </w:r>
      <w:r w:rsidRPr="003B2809">
        <w:rPr>
          <w:sz w:val="14"/>
        </w:rPr>
        <w:t>.[73] The structure of that statute, its purposes or goals, the problem that the statute sought to fix, the view of the legislators who sponsored the statute or who debated its meaning—those and other features of a law are the types of considerations to which lawyers turn when trying to learn exactly what a statute means and how it should be applied to a specific case. But the criminal law does not require that a statute be readily intelligible to a lawyer. The Void-for-Vagueness Doctrine asks whether a statute is readily understandable by the average person, not the average attorney.[74]</w:t>
      </w:r>
    </w:p>
    <w:p w14:paraId="13359572" w14:textId="67C38549" w:rsidR="00931C9A" w:rsidRDefault="00931C9A" w:rsidP="00931C9A">
      <w:pPr>
        <w:rPr>
          <w:sz w:val="14"/>
        </w:rPr>
      </w:pPr>
      <w:r w:rsidRPr="00456038">
        <w:rPr>
          <w:highlight w:val="cyan"/>
          <w:u w:val="single"/>
        </w:rPr>
        <w:t xml:space="preserve">A </w:t>
      </w:r>
      <w:r w:rsidRPr="00456038">
        <w:rPr>
          <w:rStyle w:val="Emphasis"/>
          <w:highlight w:val="cyan"/>
        </w:rPr>
        <w:t>statute</w:t>
      </w:r>
      <w:r w:rsidRPr="003B2809">
        <w:rPr>
          <w:rStyle w:val="Emphasis"/>
        </w:rPr>
        <w:t xml:space="preserve"> directing the courts to apply</w:t>
      </w:r>
      <w:r w:rsidRPr="003B2809">
        <w:rPr>
          <w:u w:val="single"/>
        </w:rPr>
        <w:t xml:space="preserve"> the </w:t>
      </w:r>
      <w:r w:rsidRPr="003B2809">
        <w:rPr>
          <w:rStyle w:val="Emphasis"/>
        </w:rPr>
        <w:t>lenity</w:t>
      </w:r>
      <w:r w:rsidRPr="003B2809">
        <w:rPr>
          <w:u w:val="single"/>
        </w:rPr>
        <w:t xml:space="preserve"> canon should </w:t>
      </w:r>
      <w:r w:rsidRPr="00456038">
        <w:rPr>
          <w:rStyle w:val="Emphasis"/>
          <w:i/>
          <w:iCs w:val="0"/>
          <w:highlight w:val="cyan"/>
        </w:rPr>
        <w:t>leapfrog</w:t>
      </w:r>
      <w:r w:rsidRPr="00456038">
        <w:rPr>
          <w:highlight w:val="cyan"/>
          <w:u w:val="single"/>
        </w:rPr>
        <w:t xml:space="preserve"> over </w:t>
      </w:r>
      <w:r w:rsidRPr="00456038">
        <w:rPr>
          <w:rStyle w:val="Emphasis"/>
          <w:highlight w:val="cyan"/>
        </w:rPr>
        <w:t>all</w:t>
      </w:r>
      <w:r w:rsidRPr="003B2809">
        <w:rPr>
          <w:u w:val="single"/>
        </w:rPr>
        <w:t xml:space="preserve"> of those </w:t>
      </w:r>
      <w:r w:rsidRPr="00456038">
        <w:rPr>
          <w:rStyle w:val="Emphasis"/>
          <w:highlight w:val="cyan"/>
        </w:rPr>
        <w:t>other factors</w:t>
      </w:r>
      <w:r w:rsidRPr="00456038">
        <w:rPr>
          <w:highlight w:val="cyan"/>
          <w:u w:val="single"/>
        </w:rPr>
        <w:t xml:space="preserve"> and </w:t>
      </w:r>
      <w:r w:rsidRPr="00456038">
        <w:rPr>
          <w:rStyle w:val="Emphasis"/>
          <w:highlight w:val="cyan"/>
        </w:rPr>
        <w:t>canons</w:t>
      </w:r>
      <w:r w:rsidRPr="003B2809">
        <w:rPr>
          <w:u w:val="single"/>
        </w:rPr>
        <w:t xml:space="preserve"> when a criminal law is involved</w:t>
      </w:r>
      <w:r w:rsidRPr="003B2809">
        <w:rPr>
          <w:sz w:val="14"/>
        </w:rPr>
        <w:t xml:space="preserve">. A statute with that effect </w:t>
      </w:r>
      <w:r w:rsidRPr="003B2809">
        <w:rPr>
          <w:u w:val="single"/>
        </w:rPr>
        <w:t xml:space="preserve">would change for the </w:t>
      </w:r>
      <w:r w:rsidRPr="003B2809">
        <w:rPr>
          <w:rStyle w:val="Emphasis"/>
        </w:rPr>
        <w:t>better</w:t>
      </w:r>
      <w:r w:rsidRPr="003B2809">
        <w:rPr>
          <w:u w:val="single"/>
        </w:rPr>
        <w:t xml:space="preserve"> </w:t>
      </w:r>
      <w:r w:rsidRPr="00456038">
        <w:rPr>
          <w:highlight w:val="cyan"/>
          <w:u w:val="single"/>
        </w:rPr>
        <w:t>current</w:t>
      </w:r>
      <w:r w:rsidRPr="003B2809">
        <w:rPr>
          <w:u w:val="single"/>
        </w:rPr>
        <w:t xml:space="preserve"> federal </w:t>
      </w:r>
      <w:r w:rsidRPr="00456038">
        <w:rPr>
          <w:highlight w:val="cyan"/>
          <w:u w:val="single"/>
        </w:rPr>
        <w:t>law</w:t>
      </w:r>
      <w:r w:rsidRPr="003B2809">
        <w:rPr>
          <w:u w:val="single"/>
        </w:rPr>
        <w:t xml:space="preserve">, which </w:t>
      </w:r>
      <w:r w:rsidRPr="00456038">
        <w:rPr>
          <w:highlight w:val="cyan"/>
          <w:u w:val="single"/>
        </w:rPr>
        <w:t>relegates</w:t>
      </w:r>
      <w:r w:rsidRPr="003B2809">
        <w:rPr>
          <w:u w:val="single"/>
        </w:rPr>
        <w:t xml:space="preserve"> the </w:t>
      </w:r>
      <w:r w:rsidRPr="00456038">
        <w:rPr>
          <w:highlight w:val="cyan"/>
          <w:u w:val="single"/>
        </w:rPr>
        <w:t>lenity</w:t>
      </w:r>
      <w:r w:rsidRPr="003B2809">
        <w:rPr>
          <w:u w:val="single"/>
        </w:rPr>
        <w:t xml:space="preserve"> canon </w:t>
      </w:r>
      <w:r w:rsidRPr="00456038">
        <w:rPr>
          <w:highlight w:val="cyan"/>
          <w:u w:val="single"/>
        </w:rPr>
        <w:t xml:space="preserve">to </w:t>
      </w:r>
      <w:r w:rsidRPr="00456038">
        <w:rPr>
          <w:rStyle w:val="Emphasis"/>
          <w:highlight w:val="cyan"/>
        </w:rPr>
        <w:t>last place</w:t>
      </w:r>
      <w:r w:rsidRPr="00456038">
        <w:rPr>
          <w:highlight w:val="cyan"/>
          <w:u w:val="single"/>
        </w:rPr>
        <w:t>, which</w:t>
      </w:r>
      <w:r w:rsidRPr="003B2809">
        <w:rPr>
          <w:u w:val="single"/>
        </w:rPr>
        <w:t xml:space="preserve"> in turn often </w:t>
      </w:r>
      <w:r w:rsidRPr="00456038">
        <w:rPr>
          <w:rStyle w:val="Emphasis"/>
          <w:highlight w:val="cyan"/>
        </w:rPr>
        <w:t>results in</w:t>
      </w:r>
      <w:r w:rsidRPr="003B2809">
        <w:rPr>
          <w:u w:val="single"/>
        </w:rPr>
        <w:t xml:space="preserve"> the canon’s being given </w:t>
      </w:r>
      <w:r w:rsidRPr="00456038">
        <w:rPr>
          <w:highlight w:val="cyan"/>
          <w:u w:val="single"/>
        </w:rPr>
        <w:t>nothing more than “</w:t>
      </w:r>
      <w:r w:rsidRPr="00456038">
        <w:rPr>
          <w:rStyle w:val="Emphasis"/>
          <w:i/>
          <w:iCs w:val="0"/>
          <w:highlight w:val="cyan"/>
        </w:rPr>
        <w:t>lip service</w:t>
      </w:r>
      <w:r w:rsidRPr="00456038">
        <w:rPr>
          <w:highlight w:val="cyan"/>
          <w:u w:val="single"/>
        </w:rPr>
        <w:t>.”</w:t>
      </w:r>
      <w:r w:rsidRPr="003B2809">
        <w:rPr>
          <w:sz w:val="14"/>
        </w:rPr>
        <w:t>[75]</w:t>
      </w:r>
    </w:p>
    <w:p w14:paraId="52DD215A" w14:textId="2DA3F69F" w:rsidR="00931C9A" w:rsidRDefault="00931C9A" w:rsidP="00931C9A">
      <w:pPr>
        <w:pStyle w:val="Heading3"/>
      </w:pPr>
      <w:r>
        <w:t>2NC – Congress CP</w:t>
      </w:r>
    </w:p>
    <w:p w14:paraId="522EEAC4" w14:textId="77777777" w:rsidR="00931C9A" w:rsidRDefault="00931C9A" w:rsidP="00931C9A">
      <w:pPr>
        <w:pStyle w:val="Heading4"/>
      </w:pPr>
      <w:r>
        <w:t xml:space="preserve">Congressional codification establishes </w:t>
      </w:r>
      <w:r w:rsidRPr="000E113D">
        <w:rPr>
          <w:u w:val="single"/>
        </w:rPr>
        <w:t>constitutionally mandated</w:t>
      </w:r>
      <w:r>
        <w:t xml:space="preserve"> </w:t>
      </w:r>
      <w:r w:rsidRPr="000E113D">
        <w:rPr>
          <w:i/>
          <w:iCs w:val="0"/>
        </w:rPr>
        <w:t>stare decisis</w:t>
      </w:r>
      <w:r>
        <w:t xml:space="preserve">. AND Congress </w:t>
      </w:r>
      <w:r w:rsidRPr="000E113D">
        <w:rPr>
          <w:u w:val="single"/>
        </w:rPr>
        <w:t>rolls back</w:t>
      </w:r>
      <w:r>
        <w:t xml:space="preserve"> the plan. </w:t>
      </w:r>
    </w:p>
    <w:p w14:paraId="6CF1550A" w14:textId="77777777" w:rsidR="00931C9A" w:rsidRDefault="00931C9A" w:rsidP="00931C9A">
      <w:r w:rsidRPr="006F79F4">
        <w:rPr>
          <w:rStyle w:val="Style13ptBold"/>
        </w:rPr>
        <w:t xml:space="preserve">Rosenkranz </w:t>
      </w:r>
      <w:r w:rsidRPr="000E113D">
        <w:rPr>
          <w:rStyle w:val="Style13ptBold"/>
          <w:sz w:val="24"/>
          <w:szCs w:val="20"/>
        </w:rPr>
        <w:t>2.</w:t>
      </w:r>
      <w:r w:rsidRPr="000E113D">
        <w:rPr>
          <w:sz w:val="20"/>
          <w:szCs w:val="20"/>
        </w:rPr>
        <w:t xml:space="preserve"> </w:t>
      </w:r>
      <w:r w:rsidRPr="00791E15">
        <w:rPr>
          <w:sz w:val="20"/>
          <w:szCs w:val="20"/>
        </w:rPr>
        <w:t xml:space="preserve">Nicholas Quinn Rosenkranz, Law Clerk to Justice Anthony M. Kennedy, U.S. Supreme Court; former law clerk to Judge Frank H. Easterbrook, U.S. Court of Appeals for the Seventh Circuit; former Attorney-Advisor at the Office of Legal Counsel in the U.S. Department of Justice; B.A. &amp; J.D., Yale Law School; and frequently testifies before Congress as a constitutional expert. (June 2002, “Federal Rules of Statutory Interpretation.” Harvard Law Review, vol. 115, no. 8, pp. 2085-2157, </w:t>
      </w:r>
      <w:hyperlink r:id="rId361" w:history="1">
        <w:r w:rsidRPr="00791E15">
          <w:rPr>
            <w:rStyle w:val="Hyperlink"/>
            <w:sz w:val="20"/>
            <w:szCs w:val="20"/>
          </w:rPr>
          <w:t>www.jstor.org/stable/1342529</w:t>
        </w:r>
      </w:hyperlink>
      <w:r w:rsidRPr="00791E15">
        <w:rPr>
          <w:sz w:val="20"/>
          <w:szCs w:val="20"/>
        </w:rPr>
        <w:t>, JSTOR)//pacc</w:t>
      </w:r>
    </w:p>
    <w:p w14:paraId="015859CC" w14:textId="77777777" w:rsidR="00931C9A" w:rsidRPr="000841F5" w:rsidRDefault="00931C9A" w:rsidP="00931C9A">
      <w:pPr>
        <w:rPr>
          <w:sz w:val="14"/>
        </w:rPr>
      </w:pPr>
      <w:r w:rsidRPr="000841F5">
        <w:rPr>
          <w:sz w:val="14"/>
        </w:rPr>
        <w:t xml:space="preserve">But </w:t>
      </w:r>
      <w:r w:rsidRPr="00F67D89">
        <w:rPr>
          <w:u w:val="single"/>
        </w:rPr>
        <w:t>perhaps</w:t>
      </w:r>
      <w:r w:rsidRPr="000841F5">
        <w:rPr>
          <w:sz w:val="14"/>
        </w:rPr>
        <w:t xml:space="preserve">, instead, </w:t>
      </w:r>
      <w:r w:rsidRPr="00456038">
        <w:rPr>
          <w:highlight w:val="cyan"/>
          <w:u w:val="single"/>
        </w:rPr>
        <w:t xml:space="preserve">the </w:t>
      </w:r>
      <w:r w:rsidRPr="00456038">
        <w:rPr>
          <w:rStyle w:val="Emphasis"/>
          <w:highlight w:val="cyan"/>
        </w:rPr>
        <w:t>Constitution</w:t>
      </w:r>
      <w:r w:rsidRPr="00456038">
        <w:rPr>
          <w:highlight w:val="cyan"/>
          <w:u w:val="single"/>
        </w:rPr>
        <w:t xml:space="preserve"> establishes </w:t>
      </w:r>
      <w:r w:rsidRPr="00456038">
        <w:rPr>
          <w:rStyle w:val="Emphasis"/>
          <w:highlight w:val="cyan"/>
        </w:rPr>
        <w:t>the rule of lenity</w:t>
      </w:r>
      <w:r w:rsidRPr="000841F5">
        <w:rPr>
          <w:sz w:val="14"/>
        </w:rPr>
        <w:t xml:space="preserve">, not as an immutable requirement, but rather </w:t>
      </w:r>
      <w:r w:rsidRPr="00456038">
        <w:rPr>
          <w:highlight w:val="cyan"/>
          <w:u w:val="single"/>
        </w:rPr>
        <w:t xml:space="preserve">as a </w:t>
      </w:r>
      <w:r w:rsidRPr="00456038">
        <w:rPr>
          <w:rStyle w:val="Emphasis"/>
          <w:highlight w:val="cyan"/>
        </w:rPr>
        <w:t>constitutional starting-point</w:t>
      </w:r>
      <w:r w:rsidRPr="00F67D89">
        <w:rPr>
          <w:u w:val="single"/>
        </w:rPr>
        <w:t xml:space="preserve"> rule</w:t>
      </w:r>
      <w:r w:rsidRPr="000841F5">
        <w:rPr>
          <w:sz w:val="14"/>
        </w:rPr>
        <w:t xml:space="preserve">. In other words, </w:t>
      </w:r>
      <w:r w:rsidRPr="00F67D89">
        <w:rPr>
          <w:u w:val="single"/>
        </w:rPr>
        <w:t xml:space="preserve">perhaps </w:t>
      </w:r>
      <w:r w:rsidRPr="00456038">
        <w:rPr>
          <w:highlight w:val="cyan"/>
          <w:u w:val="single"/>
        </w:rPr>
        <w:t xml:space="preserve">the </w:t>
      </w:r>
      <w:r w:rsidRPr="00456038">
        <w:rPr>
          <w:rStyle w:val="Emphasis"/>
          <w:highlight w:val="cyan"/>
        </w:rPr>
        <w:t>Due Process Clause</w:t>
      </w:r>
      <w:r w:rsidRPr="00456038">
        <w:rPr>
          <w:highlight w:val="cyan"/>
          <w:u w:val="single"/>
        </w:rPr>
        <w:t xml:space="preserve"> of the </w:t>
      </w:r>
      <w:r w:rsidRPr="00456038">
        <w:rPr>
          <w:rStyle w:val="Emphasis"/>
          <w:highlight w:val="cyan"/>
        </w:rPr>
        <w:t>Fifth Amendment</w:t>
      </w:r>
      <w:r w:rsidRPr="00456038">
        <w:rPr>
          <w:highlight w:val="cyan"/>
          <w:u w:val="single"/>
        </w:rPr>
        <w:t xml:space="preserve"> </w:t>
      </w:r>
      <w:r w:rsidRPr="00456038">
        <w:rPr>
          <w:rStyle w:val="Emphasis"/>
          <w:highlight w:val="cyan"/>
        </w:rPr>
        <w:t>requires</w:t>
      </w:r>
      <w:r w:rsidRPr="00456038">
        <w:rPr>
          <w:highlight w:val="cyan"/>
          <w:u w:val="single"/>
        </w:rPr>
        <w:t xml:space="preserve"> courts to apply </w:t>
      </w:r>
      <w:r w:rsidRPr="00456038">
        <w:rPr>
          <w:rStyle w:val="Emphasis"/>
          <w:highlight w:val="cyan"/>
        </w:rPr>
        <w:t>the rule of lenity</w:t>
      </w:r>
      <w:r w:rsidRPr="00F67D89">
        <w:rPr>
          <w:u w:val="single"/>
        </w:rPr>
        <w:t xml:space="preserve"> to federal </w:t>
      </w:r>
      <w:r w:rsidRPr="005E09FA">
        <w:rPr>
          <w:rStyle w:val="Emphasis"/>
        </w:rPr>
        <w:t>criminal statutes</w:t>
      </w:r>
      <w:r w:rsidRPr="00F67D89">
        <w:rPr>
          <w:u w:val="single"/>
        </w:rPr>
        <w:t xml:space="preserve"> </w:t>
      </w:r>
      <w:r w:rsidRPr="00456038">
        <w:rPr>
          <w:highlight w:val="cyan"/>
          <w:u w:val="single"/>
        </w:rPr>
        <w:t>unless</w:t>
      </w:r>
      <w:r w:rsidRPr="000841F5">
        <w:rPr>
          <w:sz w:val="14"/>
        </w:rPr>
        <w:t xml:space="preserve"> and until </w:t>
      </w:r>
      <w:r w:rsidRPr="00456038">
        <w:rPr>
          <w:highlight w:val="cyan"/>
          <w:u w:val="single"/>
        </w:rPr>
        <w:t xml:space="preserve">Congress </w:t>
      </w:r>
      <w:r w:rsidRPr="00456038">
        <w:rPr>
          <w:rStyle w:val="Emphasis"/>
          <w:highlight w:val="cyan"/>
        </w:rPr>
        <w:t>abrogates</w:t>
      </w:r>
      <w:r w:rsidRPr="00456038">
        <w:rPr>
          <w:highlight w:val="cyan"/>
          <w:u w:val="single"/>
        </w:rPr>
        <w:t xml:space="preserve"> it</w:t>
      </w:r>
      <w:r w:rsidRPr="00F67D89">
        <w:rPr>
          <w:u w:val="single"/>
        </w:rPr>
        <w:t xml:space="preserve"> by statute</w:t>
      </w:r>
      <w:r w:rsidRPr="000841F5">
        <w:rPr>
          <w:sz w:val="14"/>
        </w:rPr>
        <w:t xml:space="preserve">. Why might this be so? </w:t>
      </w:r>
      <w:r w:rsidRPr="005E09FA">
        <w:rPr>
          <w:u w:val="single"/>
        </w:rPr>
        <w:t xml:space="preserve">The rule of lenity ensures that criminal statutes are </w:t>
      </w:r>
      <w:r w:rsidRPr="005E09FA">
        <w:rPr>
          <w:rStyle w:val="Emphasis"/>
        </w:rPr>
        <w:t>sufficiently clear</w:t>
      </w:r>
      <w:r w:rsidRPr="005E09FA">
        <w:rPr>
          <w:u w:val="single"/>
        </w:rPr>
        <w:t xml:space="preserve"> to satisfy due-process notice</w:t>
      </w:r>
      <w:r w:rsidRPr="000841F5">
        <w:rPr>
          <w:sz w:val="14"/>
        </w:rPr>
        <w:t xml:space="preserve">. But perhaps an explicit congressional statement that criminal statutes will be construed like any others, with no thumb on the scale for defendants, would itself satisfy due-process notice. That is, perhaps the citizenry could rightly and constitutionally be charged with knowledge of both the criminal statute and the interpretive rule.25 If this were the constitutional status of the rule of lenity, </w:t>
      </w:r>
      <w:r w:rsidRPr="006F79F4">
        <w:rPr>
          <w:u w:val="single"/>
        </w:rPr>
        <w:t xml:space="preserve">then even though </w:t>
      </w:r>
      <w:r w:rsidRPr="00456038">
        <w:rPr>
          <w:rStyle w:val="Emphasis"/>
          <w:highlight w:val="cyan"/>
        </w:rPr>
        <w:t>courts</w:t>
      </w:r>
      <w:r w:rsidRPr="006F79F4">
        <w:rPr>
          <w:rStyle w:val="Emphasis"/>
        </w:rPr>
        <w:t xml:space="preserve"> would </w:t>
      </w:r>
      <w:r w:rsidRPr="00456038">
        <w:rPr>
          <w:rStyle w:val="Emphasis"/>
          <w:highlight w:val="cyan"/>
        </w:rPr>
        <w:t>lack</w:t>
      </w:r>
      <w:r w:rsidRPr="006F79F4">
        <w:rPr>
          <w:rStyle w:val="Emphasis"/>
        </w:rPr>
        <w:t xml:space="preserve"> constitutional </w:t>
      </w:r>
      <w:r w:rsidRPr="00456038">
        <w:rPr>
          <w:rStyle w:val="Emphasis"/>
          <w:highlight w:val="cyan"/>
        </w:rPr>
        <w:t>power to abrogate the rule</w:t>
      </w:r>
      <w:r w:rsidRPr="006F79F4">
        <w:rPr>
          <w:u w:val="single"/>
        </w:rPr>
        <w:t>,</w:t>
      </w:r>
      <w:r w:rsidRPr="000841F5">
        <w:rPr>
          <w:sz w:val="14"/>
        </w:rPr>
        <w:t xml:space="preserve">26 </w:t>
      </w:r>
      <w:r w:rsidRPr="006F79F4">
        <w:rPr>
          <w:rStyle w:val="Emphasis"/>
        </w:rPr>
        <w:t>Congress would have that power</w:t>
      </w:r>
      <w:r w:rsidRPr="000841F5">
        <w:rPr>
          <w:sz w:val="14"/>
        </w:rPr>
        <w:t>.</w:t>
      </w:r>
    </w:p>
    <w:p w14:paraId="35798FA6" w14:textId="77777777" w:rsidR="00931C9A" w:rsidRPr="000841F5" w:rsidRDefault="00931C9A" w:rsidP="00931C9A">
      <w:pPr>
        <w:rPr>
          <w:sz w:val="14"/>
        </w:rPr>
      </w:pPr>
      <w:r w:rsidRPr="000841F5">
        <w:rPr>
          <w:sz w:val="14"/>
        </w:rPr>
        <w:t xml:space="preserve">This notion of constitutional starting-point rules may appear similar to Henry Monaghan's account of "a substructure of substantive, procedural, and remedial rules drawing their inspiration and authority from, but not required by, various constitutional provisions; in short, a constitutional common law subject to amendment, modification, or even reversal by Congress."27 Monaghan's lead examples of "congressionally reversible constitutional law"28 are Miranda warnings29 and dormant commerce clause doctrine,30 and Monaghan might agree that </w:t>
      </w:r>
      <w:r w:rsidRPr="000841F5">
        <w:rPr>
          <w:u w:val="single"/>
        </w:rPr>
        <w:t xml:space="preserve">certain rules of statutory interpretation, like the rule of lenity, are </w:t>
      </w:r>
      <w:r w:rsidRPr="000841F5">
        <w:rPr>
          <w:sz w:val="14"/>
        </w:rPr>
        <w:t xml:space="preserve">likewise </w:t>
      </w:r>
      <w:r w:rsidRPr="000841F5">
        <w:rPr>
          <w:rStyle w:val="Emphasis"/>
        </w:rPr>
        <w:t>congressionally reversible</w:t>
      </w:r>
      <w:r w:rsidRPr="000841F5">
        <w:rPr>
          <w:sz w:val="14"/>
        </w:rPr>
        <w:t>.</w:t>
      </w:r>
    </w:p>
    <w:p w14:paraId="1388910D" w14:textId="77777777" w:rsidR="00931C9A" w:rsidRPr="000841F5" w:rsidRDefault="00931C9A" w:rsidP="00931C9A">
      <w:pPr>
        <w:rPr>
          <w:sz w:val="14"/>
        </w:rPr>
      </w:pPr>
      <w:r w:rsidRPr="000841F5">
        <w:rPr>
          <w:sz w:val="14"/>
        </w:rPr>
        <w:t xml:space="preserve">But there is also an important conceptual difference between Monaghan's "constitutional common law" and the account of constitutional starting-point rules sketched here. </w:t>
      </w:r>
      <w:r w:rsidRPr="005E09FA">
        <w:rPr>
          <w:u w:val="single"/>
        </w:rPr>
        <w:t xml:space="preserve">These rules </w:t>
      </w:r>
      <w:r w:rsidRPr="000841F5">
        <w:rPr>
          <w:sz w:val="14"/>
        </w:rPr>
        <w:t xml:space="preserve">are not, as Monaghan would have it, "inspir[ed] .. . but not required" by the Constitution. Rather, they </w:t>
      </w:r>
      <w:r w:rsidRPr="005E09FA">
        <w:rPr>
          <w:u w:val="single"/>
        </w:rPr>
        <w:t xml:space="preserve">are </w:t>
      </w:r>
      <w:r w:rsidRPr="005E09FA">
        <w:rPr>
          <w:rStyle w:val="Emphasis"/>
        </w:rPr>
        <w:t>required by the Constitution</w:t>
      </w:r>
      <w:r w:rsidRPr="000841F5">
        <w:rPr>
          <w:sz w:val="14"/>
        </w:rPr>
        <w:t xml:space="preserve">, but the Constitution requires them only </w:t>
      </w:r>
      <w:r w:rsidRPr="005E09FA">
        <w:rPr>
          <w:u w:val="single"/>
        </w:rPr>
        <w:t>until Congress provides otherwise</w:t>
      </w:r>
      <w:r w:rsidRPr="000841F5">
        <w:rPr>
          <w:sz w:val="14"/>
        </w:rPr>
        <w:t xml:space="preserve">. Monaghan's phrase implies that judges invent these rules3' and may change them at will on prudential grounds in common law fashion. But these rules are not merely "a species of federal common law."32 </w:t>
      </w:r>
      <w:r w:rsidRPr="000841F5">
        <w:rPr>
          <w:u w:val="single"/>
        </w:rPr>
        <w:t>When the Court overrules a common law precedent, there is no necessary implication that the first decision was "wrong"; rather</w:t>
      </w:r>
      <w:r w:rsidRPr="000841F5">
        <w:rPr>
          <w:sz w:val="14"/>
        </w:rPr>
        <w:t xml:space="preserve">, in the modern view, </w:t>
      </w:r>
      <w:r w:rsidRPr="000841F5">
        <w:rPr>
          <w:u w:val="single"/>
        </w:rPr>
        <w:t>the common law has simply "evolved"</w:t>
      </w:r>
      <w:r w:rsidRPr="000841F5">
        <w:rPr>
          <w:sz w:val="14"/>
        </w:rPr>
        <w:t xml:space="preserve"> – perhaps in light of changed circumstances or experience with the previous rule.33 But if the Court were to overrule Miranda v. Arizona34 or a dormant commerce clause case, it would implicitly hold that the earlier case had misread the Constitution.35</w:t>
      </w:r>
    </w:p>
    <w:p w14:paraId="79315212" w14:textId="77777777" w:rsidR="00931C9A" w:rsidRPr="000841F5" w:rsidRDefault="00931C9A" w:rsidP="00931C9A">
      <w:pPr>
        <w:rPr>
          <w:sz w:val="14"/>
        </w:rPr>
      </w:pPr>
      <w:r w:rsidRPr="000841F5">
        <w:rPr>
          <w:u w:val="single"/>
        </w:rPr>
        <w:t>For this reason,</w:t>
      </w:r>
      <w:r w:rsidRPr="000841F5">
        <w:rPr>
          <w:sz w:val="14"/>
        </w:rPr>
        <w:t xml:space="preserve"> what Monaghan calls </w:t>
      </w:r>
      <w:r w:rsidRPr="000841F5">
        <w:rPr>
          <w:u w:val="single"/>
        </w:rPr>
        <w:t xml:space="preserve">"constitutional common law" is better described as </w:t>
      </w:r>
      <w:r w:rsidRPr="000841F5">
        <w:rPr>
          <w:rStyle w:val="Emphasis"/>
        </w:rPr>
        <w:t>constitutional starting-point</w:t>
      </w:r>
      <w:r w:rsidRPr="000841F5">
        <w:rPr>
          <w:u w:val="single"/>
        </w:rPr>
        <w:t xml:space="preserve"> rules – </w:t>
      </w:r>
      <w:r w:rsidRPr="000841F5">
        <w:rPr>
          <w:rStyle w:val="Emphasis"/>
        </w:rPr>
        <w:t>constitutional commands</w:t>
      </w:r>
      <w:r w:rsidRPr="000841F5">
        <w:rPr>
          <w:u w:val="single"/>
        </w:rPr>
        <w:t xml:space="preserve"> that the </w:t>
      </w:r>
      <w:r w:rsidRPr="000841F5">
        <w:rPr>
          <w:rStyle w:val="Emphasis"/>
        </w:rPr>
        <w:t>Court has no constitutional common lawmaking power to alter</w:t>
      </w:r>
      <w:r w:rsidRPr="000841F5">
        <w:rPr>
          <w:u w:val="single"/>
        </w:rPr>
        <w:t xml:space="preserve">, but that </w:t>
      </w:r>
      <w:r w:rsidRPr="000841F5">
        <w:rPr>
          <w:rStyle w:val="Emphasis"/>
        </w:rPr>
        <w:t>may be altered by</w:t>
      </w:r>
      <w:r w:rsidRPr="000841F5">
        <w:rPr>
          <w:u w:val="single"/>
        </w:rPr>
        <w:t xml:space="preserve"> act of </w:t>
      </w:r>
      <w:r w:rsidRPr="000841F5">
        <w:rPr>
          <w:rStyle w:val="Emphasis"/>
        </w:rPr>
        <w:t>Congress</w:t>
      </w:r>
      <w:r w:rsidRPr="000841F5">
        <w:rPr>
          <w:sz w:val="14"/>
        </w:rPr>
        <w:t>. This account should be more palatable to those who adamantly deny that the Court may "create" constitutional common law:36 the Constitution requires rule X; the Court has no power to change rule X;37 but because X is a starting-point rule rather than an immutable rule, Congress may abrogate it by statute.</w:t>
      </w:r>
    </w:p>
    <w:p w14:paraId="74267F23" w14:textId="77777777" w:rsidR="00931C9A" w:rsidRPr="000841F5" w:rsidRDefault="00931C9A" w:rsidP="00931C9A">
      <w:pPr>
        <w:rPr>
          <w:sz w:val="14"/>
        </w:rPr>
      </w:pPr>
      <w:r w:rsidRPr="000841F5">
        <w:rPr>
          <w:sz w:val="14"/>
        </w:rPr>
        <w:t xml:space="preserve">The distinction is not purely semantic. It is true, of course, that in one sense constitutional rules are as "made up" as common law. And it is true, too, that when a court contemplates overruling a decision – whether constitutional or common law – its stare decisis calculus is a sort of second-order policy judgment about the settled expectations created by the existing rule.38 But the common law calculus also involves an explicit first-order comparison of the competing rules on their policy merits. By contrast, </w:t>
      </w:r>
      <w:r w:rsidRPr="000841F5">
        <w:rPr>
          <w:u w:val="single"/>
        </w:rPr>
        <w:t>constitutional decisions</w:t>
      </w:r>
      <w:r w:rsidRPr="000841F5">
        <w:rPr>
          <w:sz w:val="14"/>
        </w:rPr>
        <w:t>, at least in theory, re</w:t>
      </w:r>
      <w:r w:rsidRPr="000841F5">
        <w:rPr>
          <w:u w:val="single"/>
        </w:rPr>
        <w:t>ly primarily on the text, history, and structure of the Constitution, not on the evolving policy merits of the competing rules</w:t>
      </w:r>
      <w:r w:rsidRPr="000841F5">
        <w:rPr>
          <w:sz w:val="14"/>
        </w:rPr>
        <w:t xml:space="preserve">. For this reason, </w:t>
      </w:r>
      <w:r w:rsidRPr="000841F5">
        <w:rPr>
          <w:u w:val="single"/>
        </w:rPr>
        <w:t>courts are generally quicker to overrule common law decisions than constitutional ones</w:t>
      </w:r>
      <w:r w:rsidRPr="000841F5">
        <w:rPr>
          <w:sz w:val="14"/>
        </w:rPr>
        <w:t xml:space="preserve">. </w:t>
      </w:r>
      <w:r w:rsidRPr="00456038">
        <w:rPr>
          <w:highlight w:val="cyan"/>
          <w:u w:val="single"/>
        </w:rPr>
        <w:t xml:space="preserve">Since </w:t>
      </w:r>
      <w:r w:rsidRPr="00456038">
        <w:rPr>
          <w:rStyle w:val="Emphasis"/>
          <w:highlight w:val="cyan"/>
        </w:rPr>
        <w:t>constitutional starting-point</w:t>
      </w:r>
      <w:r w:rsidRPr="00456038">
        <w:rPr>
          <w:highlight w:val="cyan"/>
          <w:u w:val="single"/>
        </w:rPr>
        <w:t xml:space="preserve"> rules are </w:t>
      </w:r>
      <w:r w:rsidRPr="00456038">
        <w:rPr>
          <w:rStyle w:val="Emphasis"/>
          <w:highlight w:val="cyan"/>
        </w:rPr>
        <w:t>constitutional law</w:t>
      </w:r>
      <w:r w:rsidRPr="005E09FA">
        <w:rPr>
          <w:rStyle w:val="Emphasis"/>
        </w:rPr>
        <w:t xml:space="preserve"> </w:t>
      </w:r>
      <w:r w:rsidRPr="005E09FA">
        <w:rPr>
          <w:u w:val="single"/>
        </w:rPr>
        <w:t>rather than "a species of federal common law,"</w:t>
      </w:r>
      <w:r w:rsidRPr="000841F5">
        <w:rPr>
          <w:sz w:val="14"/>
        </w:rPr>
        <w:t xml:space="preserve">39 </w:t>
      </w:r>
      <w:r w:rsidRPr="00456038">
        <w:rPr>
          <w:highlight w:val="cyan"/>
          <w:u w:val="single"/>
        </w:rPr>
        <w:t>they should receive</w:t>
      </w:r>
      <w:r w:rsidRPr="005E09FA">
        <w:rPr>
          <w:u w:val="single"/>
        </w:rPr>
        <w:t xml:space="preserve"> the </w:t>
      </w:r>
      <w:r w:rsidRPr="00456038">
        <w:rPr>
          <w:rStyle w:val="Emphasis"/>
          <w:highlight w:val="cyan"/>
        </w:rPr>
        <w:t>full stare decisis</w:t>
      </w:r>
      <w:r w:rsidRPr="005E09FA">
        <w:rPr>
          <w:u w:val="single"/>
        </w:rPr>
        <w:t xml:space="preserve"> respect of </w:t>
      </w:r>
      <w:r w:rsidRPr="000841F5">
        <w:rPr>
          <w:rStyle w:val="Emphasis"/>
        </w:rPr>
        <w:t>constitutional decisions</w:t>
      </w:r>
      <w:r w:rsidRPr="000841F5">
        <w:rPr>
          <w:sz w:val="14"/>
        </w:rPr>
        <w:t>.</w:t>
      </w:r>
    </w:p>
    <w:p w14:paraId="03E852A3" w14:textId="77777777" w:rsidR="00931C9A" w:rsidRPr="000841F5" w:rsidRDefault="00931C9A" w:rsidP="00931C9A">
      <w:pPr>
        <w:rPr>
          <w:sz w:val="14"/>
          <w:szCs w:val="14"/>
        </w:rPr>
      </w:pPr>
      <w:r w:rsidRPr="000841F5">
        <w:rPr>
          <w:sz w:val="14"/>
          <w:szCs w:val="14"/>
        </w:rPr>
        <w:t>Within the broad realm of the constitutionally permissible, there are other possible nuances as well. The Constitution might, on some questions, permit a range of solutions, and yet mandate immutable parameters within which the solution must fall. In substantive Fifth Amendment law, Miranda might be such a case. Though the Court held that Congress and the states could replace Miranda warnings, a constitutional parameter requires that the replacement be "fully as effective."40 When Congress's attempted replacement overstepped the parameter, the Court struck it down, while explicitly declining to "hold that the Miranda warnings are required by the Constitution, in the sense that nothing else will suffice to satisfy constitutional requirements."41 Thus, the Constitution establishes a starting point (Miranda warnings) that legislatures can change, as well as an immutable parameter (the requirement that any legislative solution must be "fully as effective").</w:t>
      </w:r>
    </w:p>
    <w:p w14:paraId="0638F580" w14:textId="46C4E551" w:rsidR="00931C9A" w:rsidRDefault="00931C9A" w:rsidP="00931C9A">
      <w:pPr>
        <w:rPr>
          <w:sz w:val="14"/>
        </w:rPr>
      </w:pPr>
      <w:r w:rsidRPr="006F79F4">
        <w:rPr>
          <w:u w:val="single"/>
        </w:rPr>
        <w:t>In statutory interpretation,</w:t>
      </w:r>
      <w:r w:rsidRPr="000841F5">
        <w:rPr>
          <w:sz w:val="14"/>
        </w:rPr>
        <w:t xml:space="preserve"> perhaps </w:t>
      </w:r>
      <w:r w:rsidRPr="006F79F4">
        <w:rPr>
          <w:u w:val="single"/>
        </w:rPr>
        <w:t>the Constitution takes the same approach to lenity</w:t>
      </w:r>
      <w:r w:rsidRPr="000841F5">
        <w:rPr>
          <w:sz w:val="14"/>
        </w:rPr>
        <w:t xml:space="preserve">. As suggested above, </w:t>
      </w:r>
      <w:r w:rsidRPr="006F79F4">
        <w:rPr>
          <w:u w:val="single"/>
        </w:rPr>
        <w:t>the rule of lenity may be</w:t>
      </w:r>
      <w:r w:rsidRPr="000841F5">
        <w:rPr>
          <w:sz w:val="14"/>
        </w:rPr>
        <w:t xml:space="preserve"> not an immutable constitutional rule, but rather may be </w:t>
      </w:r>
      <w:r w:rsidRPr="006F79F4">
        <w:rPr>
          <w:u w:val="single"/>
        </w:rPr>
        <w:t xml:space="preserve">a </w:t>
      </w:r>
      <w:r w:rsidRPr="000841F5">
        <w:rPr>
          <w:rStyle w:val="Emphasis"/>
        </w:rPr>
        <w:t>constitutional starting-point</w:t>
      </w:r>
      <w:r w:rsidRPr="006F79F4">
        <w:rPr>
          <w:u w:val="single"/>
        </w:rPr>
        <w:t xml:space="preserve"> rule, which Congress may abrogate</w:t>
      </w:r>
      <w:r w:rsidRPr="000841F5">
        <w:rPr>
          <w:sz w:val="14"/>
        </w:rPr>
        <w:t xml:space="preserve">. But perhaps, too, the Fifth Amendment42 establishes immutable parameters regarding lenity in statutory interpretation. </w:t>
      </w:r>
      <w:r w:rsidRPr="00456038">
        <w:rPr>
          <w:rStyle w:val="Emphasis"/>
          <w:highlight w:val="cyan"/>
        </w:rPr>
        <w:t>Congress can</w:t>
      </w:r>
      <w:r w:rsidRPr="000841F5">
        <w:rPr>
          <w:sz w:val="14"/>
        </w:rPr>
        <w:t xml:space="preserve">, of course, </w:t>
      </w:r>
      <w:r w:rsidRPr="00456038">
        <w:rPr>
          <w:rStyle w:val="Emphasis"/>
          <w:highlight w:val="cyan"/>
        </w:rPr>
        <w:t>ratchet lenity up</w:t>
      </w:r>
      <w:r w:rsidRPr="00456038">
        <w:rPr>
          <w:highlight w:val="cyan"/>
          <w:u w:val="single"/>
        </w:rPr>
        <w:t xml:space="preserve">, </w:t>
      </w:r>
      <w:r w:rsidRPr="00456038">
        <w:rPr>
          <w:rStyle w:val="Emphasis"/>
          <w:highlight w:val="cyan"/>
        </w:rPr>
        <w:t>freeing defendants</w:t>
      </w:r>
      <w:r w:rsidRPr="00456038">
        <w:rPr>
          <w:highlight w:val="cyan"/>
          <w:u w:val="single"/>
        </w:rPr>
        <w:t xml:space="preserve"> on anything but </w:t>
      </w:r>
      <w:r w:rsidRPr="00456038">
        <w:rPr>
          <w:rStyle w:val="Emphasis"/>
          <w:highlight w:val="cyan"/>
        </w:rPr>
        <w:t>crystal</w:t>
      </w:r>
      <w:r w:rsidRPr="00F67D89">
        <w:rPr>
          <w:u w:val="single"/>
        </w:rPr>
        <w:t xml:space="preserve">line statutory </w:t>
      </w:r>
      <w:r w:rsidRPr="00456038">
        <w:rPr>
          <w:rStyle w:val="Emphasis"/>
          <w:highlight w:val="cyan"/>
        </w:rPr>
        <w:t>clarity</w:t>
      </w:r>
      <w:r w:rsidRPr="000841F5">
        <w:rPr>
          <w:sz w:val="14"/>
        </w:rPr>
        <w:t>; and perhaps Congress could ratchet lenity down somewhat, with a provision requiring that courts construe federal criminal statutes evenhandedly. But perhaps it could not require that criminal statutes always be construed against the defendant. Though the Due Process Clause might allow a range of options regarding lenity, it might not permit this last.</w:t>
      </w:r>
    </w:p>
    <w:p w14:paraId="71C0941B" w14:textId="77777777" w:rsidR="00B75E88" w:rsidRDefault="00B75E88" w:rsidP="00B75E88">
      <w:pPr>
        <w:pStyle w:val="Heading4"/>
      </w:pPr>
      <w:r>
        <w:t xml:space="preserve">Courts can’t shield </w:t>
      </w:r>
      <w:r w:rsidRPr="004A2D33">
        <w:rPr>
          <w:u w:val="single"/>
        </w:rPr>
        <w:t>Congressional clarification</w:t>
      </w:r>
      <w:r>
        <w:t xml:space="preserve">. </w:t>
      </w:r>
    </w:p>
    <w:p w14:paraId="03FEBAA9" w14:textId="77777777" w:rsidR="00B75E88" w:rsidRPr="001D06E0" w:rsidRDefault="00B75E88" w:rsidP="00B75E88">
      <w:pPr>
        <w:rPr>
          <w:sz w:val="16"/>
          <w:szCs w:val="16"/>
        </w:rPr>
      </w:pPr>
      <w:r w:rsidRPr="00E03032">
        <w:rPr>
          <w:rStyle w:val="Style13ptBold"/>
        </w:rPr>
        <w:t xml:space="preserve">Dailey </w:t>
      </w:r>
      <w:r w:rsidRPr="004A2D33">
        <w:rPr>
          <w:rStyle w:val="Style13ptBold"/>
          <w:sz w:val="24"/>
          <w:szCs w:val="20"/>
        </w:rPr>
        <w:t>14.</w:t>
      </w:r>
      <w:r>
        <w:t xml:space="preserve"> </w:t>
      </w:r>
      <w:r w:rsidRPr="00791E15">
        <w:rPr>
          <w:sz w:val="20"/>
          <w:szCs w:val="20"/>
        </w:rPr>
        <w:t>David Dailey, J.D., May 2015, The Catholic University of America, Columbus School of Law; B.A., 2007, goes on to become a representative in the House. (10-17-2014, “Searching for Culpability, Punishing the Guilty, and Protecting the Innocent: Should Congress Look to the Model Penal Code to Stem the Tide of Federal Overcriminalization?” Catholic University Law Review, vol. 63, Issue 4, pp. 997-1020, https://scholarship.law.edu/cgi/viewcontent.cgi?referer=https://scholar.google.com/&amp;httpsredir=1&amp;article=3289&amp;context=lawreview)//pacc</w:t>
      </w:r>
    </w:p>
    <w:p w14:paraId="5E4B99C5" w14:textId="77777777" w:rsidR="00B75E88" w:rsidRPr="0032257B" w:rsidRDefault="00B75E88" w:rsidP="00B75E88">
      <w:pPr>
        <w:rPr>
          <w:sz w:val="14"/>
        </w:rPr>
      </w:pPr>
      <w:r w:rsidRPr="0032257B">
        <w:rPr>
          <w:sz w:val="14"/>
        </w:rPr>
        <w:t xml:space="preserve">Further, </w:t>
      </w:r>
      <w:r w:rsidRPr="009310AB">
        <w:rPr>
          <w:u w:val="single"/>
        </w:rPr>
        <w:t xml:space="preserve">the </w:t>
      </w:r>
      <w:r w:rsidRPr="00456038">
        <w:rPr>
          <w:rStyle w:val="Emphasis"/>
          <w:highlight w:val="cyan"/>
        </w:rPr>
        <w:t>Court’s</w:t>
      </w:r>
      <w:r w:rsidRPr="00456038">
        <w:rPr>
          <w:highlight w:val="cyan"/>
          <w:u w:val="single"/>
        </w:rPr>
        <w:t xml:space="preserve"> use of</w:t>
      </w:r>
      <w:r w:rsidRPr="009310AB">
        <w:rPr>
          <w:u w:val="single"/>
        </w:rPr>
        <w:t xml:space="preserve"> the rule of </w:t>
      </w:r>
      <w:r w:rsidRPr="00456038">
        <w:rPr>
          <w:rStyle w:val="Emphasis"/>
          <w:highlight w:val="cyan"/>
        </w:rPr>
        <w:t>lenity</w:t>
      </w:r>
      <w:r w:rsidRPr="009310AB">
        <w:rPr>
          <w:u w:val="single"/>
        </w:rPr>
        <w:t xml:space="preserve"> in favor of the criminally accused </w:t>
      </w:r>
      <w:r w:rsidRPr="00456038">
        <w:rPr>
          <w:rStyle w:val="Emphasis"/>
          <w:highlight w:val="cyan"/>
        </w:rPr>
        <w:t>will force</w:t>
      </w:r>
      <w:r w:rsidRPr="00456038">
        <w:rPr>
          <w:highlight w:val="cyan"/>
          <w:u w:val="single"/>
        </w:rPr>
        <w:t xml:space="preserve"> Congress to review</w:t>
      </w:r>
      <w:r w:rsidRPr="009310AB">
        <w:rPr>
          <w:u w:val="single"/>
        </w:rPr>
        <w:t xml:space="preserve"> </w:t>
      </w:r>
      <w:r w:rsidRPr="0032257B">
        <w:rPr>
          <w:rStyle w:val="Emphasis"/>
        </w:rPr>
        <w:t>already enacted</w:t>
      </w:r>
      <w:r w:rsidRPr="009310AB">
        <w:rPr>
          <w:u w:val="single"/>
        </w:rPr>
        <w:t xml:space="preserve"> criminal </w:t>
      </w:r>
      <w:r w:rsidRPr="00456038">
        <w:rPr>
          <w:highlight w:val="cyan"/>
          <w:u w:val="single"/>
        </w:rPr>
        <w:t>offenses</w:t>
      </w:r>
      <w:r w:rsidRPr="009310AB">
        <w:rPr>
          <w:u w:val="single"/>
        </w:rPr>
        <w:t xml:space="preserve"> in light of the Court’s interpretation, </w:t>
      </w:r>
      <w:r w:rsidRPr="00456038">
        <w:rPr>
          <w:highlight w:val="cyan"/>
          <w:u w:val="single"/>
        </w:rPr>
        <w:t xml:space="preserve">which will </w:t>
      </w:r>
      <w:r w:rsidRPr="00456038">
        <w:rPr>
          <w:rStyle w:val="Emphasis"/>
          <w:highlight w:val="cyan"/>
        </w:rPr>
        <w:t>compel debates and votes</w:t>
      </w:r>
      <w:r w:rsidRPr="00456038">
        <w:rPr>
          <w:highlight w:val="cyan"/>
          <w:u w:val="single"/>
        </w:rPr>
        <w:t xml:space="preserve"> on</w:t>
      </w:r>
      <w:r w:rsidRPr="009310AB">
        <w:rPr>
          <w:u w:val="single"/>
        </w:rPr>
        <w:t xml:space="preserve"> either a fix or a </w:t>
      </w:r>
      <w:r w:rsidRPr="00456038">
        <w:rPr>
          <w:rStyle w:val="Emphasis"/>
          <w:highlight w:val="cyan"/>
        </w:rPr>
        <w:t>clarification of Congress’ original intent</w:t>
      </w:r>
      <w:r w:rsidRPr="0032257B">
        <w:rPr>
          <w:sz w:val="14"/>
        </w:rPr>
        <w:t xml:space="preserve">. 128 The ultimate goal of many advocates is for </w:t>
      </w:r>
      <w:r w:rsidRPr="0032257B">
        <w:rPr>
          <w:u w:val="single"/>
        </w:rPr>
        <w:t>Congress</w:t>
      </w:r>
      <w:r w:rsidRPr="0032257B">
        <w:rPr>
          <w:sz w:val="14"/>
        </w:rPr>
        <w:t xml:space="preserve">, and legislatures generally, to </w:t>
      </w:r>
      <w:r w:rsidRPr="0032257B">
        <w:rPr>
          <w:u w:val="single"/>
        </w:rPr>
        <w:t>review the criminal offenses codified and to clarify their intent</w:t>
      </w:r>
      <w:r w:rsidRPr="0032257B">
        <w:rPr>
          <w:sz w:val="14"/>
        </w:rPr>
        <w:t xml:space="preserve"> when the average citizen, and her lawyer, are left dumbfounded that she has been charged with a crime that she had no idea she committed.129</w:t>
      </w:r>
    </w:p>
    <w:p w14:paraId="0A9E30BE" w14:textId="43BA2DA7" w:rsidR="00B75E88" w:rsidRPr="00931C9A" w:rsidRDefault="00B75E88" w:rsidP="00931C9A">
      <w:pPr>
        <w:rPr>
          <w:sz w:val="14"/>
        </w:rPr>
      </w:pPr>
      <w:r w:rsidRPr="0032257B">
        <w:rPr>
          <w:u w:val="single"/>
        </w:rPr>
        <w:t xml:space="preserve">As seen </w:t>
      </w:r>
      <w:r w:rsidRPr="00456038">
        <w:rPr>
          <w:rStyle w:val="Emphasis"/>
          <w:highlight w:val="cyan"/>
        </w:rPr>
        <w:t>in Ratzlaf</w:t>
      </w:r>
      <w:r w:rsidRPr="00456038">
        <w:rPr>
          <w:highlight w:val="cyan"/>
          <w:u w:val="single"/>
        </w:rPr>
        <w:t xml:space="preserve">, the </w:t>
      </w:r>
      <w:r w:rsidRPr="00456038">
        <w:rPr>
          <w:rStyle w:val="Emphasis"/>
          <w:highlight w:val="cyan"/>
        </w:rPr>
        <w:t>S</w:t>
      </w:r>
      <w:r w:rsidRPr="0032257B">
        <w:rPr>
          <w:sz w:val="14"/>
        </w:rPr>
        <w:t xml:space="preserve">upreme </w:t>
      </w:r>
      <w:r w:rsidRPr="00456038">
        <w:rPr>
          <w:rStyle w:val="Emphasis"/>
          <w:highlight w:val="cyan"/>
        </w:rPr>
        <w:t>C</w:t>
      </w:r>
      <w:r w:rsidRPr="0032257B">
        <w:rPr>
          <w:sz w:val="14"/>
        </w:rPr>
        <w:t xml:space="preserve">ourt </w:t>
      </w:r>
      <w:r w:rsidRPr="00456038">
        <w:rPr>
          <w:highlight w:val="cyan"/>
          <w:u w:val="single"/>
        </w:rPr>
        <w:t>used</w:t>
      </w:r>
      <w:r w:rsidRPr="0032257B">
        <w:rPr>
          <w:u w:val="single"/>
        </w:rPr>
        <w:t xml:space="preserve"> the rule of </w:t>
      </w:r>
      <w:r w:rsidRPr="00456038">
        <w:rPr>
          <w:highlight w:val="cyan"/>
          <w:u w:val="single"/>
        </w:rPr>
        <w:t>lenity</w:t>
      </w:r>
      <w:r w:rsidRPr="0032257B">
        <w:rPr>
          <w:u w:val="single"/>
        </w:rPr>
        <w:t xml:space="preserve"> to read a</w:t>
      </w:r>
      <w:r w:rsidRPr="0032257B">
        <w:rPr>
          <w:sz w:val="14"/>
        </w:rPr>
        <w:t xml:space="preserve"> mens rea requirement into a monetary reporting and anti-structuring of </w:t>
      </w:r>
      <w:r w:rsidRPr="0032257B">
        <w:rPr>
          <w:u w:val="single"/>
        </w:rPr>
        <w:t>transactions statute with criminal penalties in favor of the defendant</w:t>
      </w:r>
      <w:r w:rsidRPr="0032257B">
        <w:rPr>
          <w:sz w:val="14"/>
        </w:rPr>
        <w:t xml:space="preserve">.130 The defendant was aware of the reporting requirements for large transactions, but unaware that structuring payments to avoid the reporting threshold was in contravention of the law.131 </w:t>
      </w:r>
      <w:r w:rsidRPr="00456038">
        <w:rPr>
          <w:highlight w:val="cyan"/>
          <w:u w:val="single"/>
        </w:rPr>
        <w:t>Congress</w:t>
      </w:r>
      <w:r w:rsidRPr="0032257B">
        <w:rPr>
          <w:u w:val="single"/>
        </w:rPr>
        <w:t xml:space="preserve">, </w:t>
      </w:r>
      <w:r w:rsidRPr="00456038">
        <w:rPr>
          <w:rStyle w:val="Emphasis"/>
          <w:highlight w:val="cyan"/>
        </w:rPr>
        <w:t>disagreeing</w:t>
      </w:r>
      <w:r w:rsidRPr="0032257B">
        <w:rPr>
          <w:u w:val="single"/>
        </w:rPr>
        <w:t xml:space="preserve"> with the </w:t>
      </w:r>
      <w:r w:rsidRPr="0032257B">
        <w:rPr>
          <w:rStyle w:val="Emphasis"/>
        </w:rPr>
        <w:t>S</w:t>
      </w:r>
      <w:r w:rsidRPr="0032257B">
        <w:rPr>
          <w:sz w:val="14"/>
        </w:rPr>
        <w:t xml:space="preserve">upreme </w:t>
      </w:r>
      <w:r w:rsidRPr="0032257B">
        <w:rPr>
          <w:rStyle w:val="Emphasis"/>
        </w:rPr>
        <w:t>C</w:t>
      </w:r>
      <w:r w:rsidRPr="0032257B">
        <w:rPr>
          <w:sz w:val="14"/>
        </w:rPr>
        <w:t>ourt</w:t>
      </w:r>
      <w:r w:rsidRPr="0032257B">
        <w:rPr>
          <w:rStyle w:val="Emphasis"/>
        </w:rPr>
        <w:t>’s</w:t>
      </w:r>
      <w:r w:rsidRPr="0032257B">
        <w:rPr>
          <w:sz w:val="14"/>
        </w:rPr>
        <w:t xml:space="preserve"> </w:t>
      </w:r>
      <w:r w:rsidRPr="0032257B">
        <w:rPr>
          <w:rStyle w:val="Emphasis"/>
        </w:rPr>
        <w:t>interp</w:t>
      </w:r>
      <w:r w:rsidRPr="0032257B">
        <w:rPr>
          <w:sz w:val="14"/>
        </w:rPr>
        <w:t xml:space="preserve">retation </w:t>
      </w:r>
      <w:r w:rsidRPr="0032257B">
        <w:rPr>
          <w:rStyle w:val="StyleUnderline"/>
        </w:rPr>
        <w:t>of the statute</w:t>
      </w:r>
      <w:r w:rsidRPr="0032257B">
        <w:rPr>
          <w:u w:val="single"/>
        </w:rPr>
        <w:t xml:space="preserve">, acted </w:t>
      </w:r>
      <w:r w:rsidRPr="00456038">
        <w:rPr>
          <w:rStyle w:val="Emphasis"/>
          <w:highlight w:val="cyan"/>
        </w:rPr>
        <w:t>swiftly</w:t>
      </w:r>
      <w:r w:rsidRPr="0032257B">
        <w:rPr>
          <w:u w:val="single"/>
        </w:rPr>
        <w:t xml:space="preserve"> to </w:t>
      </w:r>
      <w:r w:rsidRPr="00456038">
        <w:rPr>
          <w:rStyle w:val="Emphasis"/>
          <w:highlight w:val="cyan"/>
        </w:rPr>
        <w:t>amend</w:t>
      </w:r>
      <w:r w:rsidRPr="00456038">
        <w:rPr>
          <w:highlight w:val="cyan"/>
          <w:u w:val="single"/>
        </w:rPr>
        <w:t xml:space="preserve"> the law </w:t>
      </w:r>
      <w:r w:rsidRPr="00456038">
        <w:rPr>
          <w:rStyle w:val="Emphasis"/>
          <w:highlight w:val="cyan"/>
        </w:rPr>
        <w:t>clarifying</w:t>
      </w:r>
      <w:r w:rsidRPr="0032257B">
        <w:rPr>
          <w:u w:val="single"/>
        </w:rPr>
        <w:t xml:space="preserve"> that </w:t>
      </w:r>
      <w:r w:rsidRPr="00456038">
        <w:rPr>
          <w:highlight w:val="cyan"/>
          <w:u w:val="single"/>
        </w:rPr>
        <w:t>no mens rea was required</w:t>
      </w:r>
      <w:r w:rsidRPr="0032257B">
        <w:rPr>
          <w:u w:val="single"/>
        </w:rPr>
        <w:t xml:space="preserve"> to prove a violation of structuring payments to avoid the reporting threshold</w:t>
      </w:r>
      <w:r w:rsidRPr="0032257B">
        <w:rPr>
          <w:sz w:val="14"/>
        </w:rPr>
        <w:t>.132 Although Congress’ amendment to the law was contrary to the view that mens rea should generally be required when criminal sanctions are applied, Ratzlaf at least made Congress aware that it was not being clear enough when it drafted the statute.133</w:t>
      </w:r>
    </w:p>
    <w:p w14:paraId="610292E0" w14:textId="2B537E98" w:rsidR="00AB6353" w:rsidRDefault="00AB6353" w:rsidP="00C1250B">
      <w:pPr>
        <w:pStyle w:val="Heading2"/>
      </w:pPr>
      <w:r>
        <w:t>Advantage CP</w:t>
      </w:r>
    </w:p>
    <w:p w14:paraId="21196C6E" w14:textId="19B9B812" w:rsidR="00AB6353" w:rsidRDefault="00AB6353" w:rsidP="00AB6353">
      <w:pPr>
        <w:pStyle w:val="Heading3"/>
      </w:pPr>
      <w:r>
        <w:t>1NC – Deportations CP</w:t>
      </w:r>
    </w:p>
    <w:p w14:paraId="15C79ECF" w14:textId="5400A5FE" w:rsidR="00AB6353" w:rsidRDefault="00AB6353" w:rsidP="00AB6353">
      <w:pPr>
        <w:pStyle w:val="Heading4"/>
      </w:pPr>
      <w:r>
        <w:t>The United States federal government should adopt a moratorium on deportations.</w:t>
      </w:r>
    </w:p>
    <w:p w14:paraId="37ECF111" w14:textId="77777777" w:rsidR="00AB6353" w:rsidRPr="00AB6353" w:rsidRDefault="00AB6353" w:rsidP="00AB6353"/>
    <w:p w14:paraId="417D40F0" w14:textId="77777777" w:rsidR="001A158A" w:rsidRPr="009D0935" w:rsidRDefault="001A158A" w:rsidP="001A158A">
      <w:pPr>
        <w:pStyle w:val="Heading4"/>
      </w:pPr>
      <w:r>
        <w:t>That solves.</w:t>
      </w:r>
    </w:p>
    <w:p w14:paraId="7D3119DD" w14:textId="77777777" w:rsidR="001A158A" w:rsidRPr="00FC6C1E" w:rsidRDefault="001A158A" w:rsidP="001A158A">
      <w:r>
        <w:rPr>
          <w:rStyle w:val="Style13ptBold"/>
        </w:rPr>
        <w:t>KBI 20</w:t>
      </w:r>
      <w:r>
        <w:t xml:space="preserve"> – Kino Border Initiative, binational nonprofit organization that works in the area of migration, June 16</w:t>
      </w:r>
      <w:r w:rsidRPr="00150633">
        <w:rPr>
          <w:vertAlign w:val="superscript"/>
        </w:rPr>
        <w:t>th</w:t>
      </w:r>
      <w:r>
        <w:t xml:space="preserve"> ("Deportations in the Time of Covid," Kino Border Initiative, available online at https://www.kinoborderinitiative.org/deportations-in-the-time-of-covid/, accessed 7-5-2020) LR</w:t>
      </w:r>
    </w:p>
    <w:p w14:paraId="5FBA3BF4" w14:textId="77777777" w:rsidR="001A158A" w:rsidRPr="00722B47" w:rsidRDefault="001A158A" w:rsidP="001A158A">
      <w:pPr>
        <w:rPr>
          <w:sz w:val="16"/>
          <w:szCs w:val="16"/>
        </w:rPr>
      </w:pPr>
      <w:r w:rsidRPr="00722B47">
        <w:rPr>
          <w:sz w:val="16"/>
          <w:szCs w:val="16"/>
        </w:rPr>
        <w:t>Conclusion</w:t>
      </w:r>
    </w:p>
    <w:p w14:paraId="069AE579" w14:textId="77777777" w:rsidR="001A158A" w:rsidRPr="00722B47" w:rsidRDefault="001A158A" w:rsidP="001A158A">
      <w:pPr>
        <w:rPr>
          <w:sz w:val="16"/>
        </w:rPr>
      </w:pPr>
      <w:r w:rsidRPr="00722B47">
        <w:rPr>
          <w:rStyle w:val="StyleUnderline"/>
        </w:rPr>
        <w:t>Deportations during a pandemic are dangerous</w:t>
      </w:r>
      <w:r w:rsidRPr="00722B47">
        <w:rPr>
          <w:sz w:val="16"/>
        </w:rPr>
        <w:t xml:space="preserve">, misguided, and in stark opposition to international guidelines that protect the well-being of migrants and communities. The </w:t>
      </w:r>
      <w:r w:rsidRPr="00722B47">
        <w:rPr>
          <w:rStyle w:val="StyleUnderline"/>
        </w:rPr>
        <w:t>Trump</w:t>
      </w:r>
      <w:r w:rsidRPr="00722B47">
        <w:rPr>
          <w:sz w:val="16"/>
        </w:rPr>
        <w:t xml:space="preserve"> administration </w:t>
      </w:r>
      <w:r w:rsidRPr="00722B47">
        <w:rPr>
          <w:rStyle w:val="StyleUnderline"/>
        </w:rPr>
        <w:t>has used the pandemic to further</w:t>
      </w:r>
      <w:r w:rsidRPr="00722B47">
        <w:rPr>
          <w:sz w:val="16"/>
        </w:rPr>
        <w:t xml:space="preserve"> its </w:t>
      </w:r>
      <w:r w:rsidRPr="00722B47">
        <w:rPr>
          <w:rStyle w:val="StyleUnderline"/>
        </w:rPr>
        <w:t>extreme</w:t>
      </w:r>
      <w:r w:rsidRPr="00722B47">
        <w:rPr>
          <w:sz w:val="16"/>
        </w:rPr>
        <w:t xml:space="preserve"> immigration </w:t>
      </w:r>
      <w:r w:rsidRPr="00722B47">
        <w:rPr>
          <w:rStyle w:val="StyleUnderline"/>
        </w:rPr>
        <w:t>agenda</w:t>
      </w:r>
      <w:r w:rsidRPr="00722B47">
        <w:rPr>
          <w:sz w:val="16"/>
        </w:rPr>
        <w:t>, leading to suffering, illness, and death that could have been prevented.</w:t>
      </w:r>
    </w:p>
    <w:p w14:paraId="7F6200A9" w14:textId="77777777" w:rsidR="001A158A" w:rsidRDefault="001A158A" w:rsidP="001A158A">
      <w:pPr>
        <w:rPr>
          <w:sz w:val="16"/>
        </w:rPr>
      </w:pPr>
      <w:r w:rsidRPr="00722B47">
        <w:rPr>
          <w:sz w:val="16"/>
        </w:rPr>
        <w:t xml:space="preserve">Alongside partner organizations such as the Latin American Working Group, we </w:t>
      </w:r>
      <w:r w:rsidRPr="00722B47">
        <w:rPr>
          <w:rStyle w:val="StyleUnderline"/>
        </w:rPr>
        <w:t>urge</w:t>
      </w:r>
      <w:r w:rsidRPr="00722B47">
        <w:rPr>
          <w:sz w:val="16"/>
        </w:rPr>
        <w:t xml:space="preserve"> that </w:t>
      </w:r>
      <w:r w:rsidRPr="00722B47">
        <w:rPr>
          <w:rStyle w:val="StyleUnderline"/>
        </w:rPr>
        <w:t>the following</w:t>
      </w:r>
      <w:r w:rsidRPr="00722B47">
        <w:rPr>
          <w:sz w:val="16"/>
        </w:rPr>
        <w:t xml:space="preserve"> measures </w:t>
      </w:r>
      <w:r w:rsidRPr="00722B47">
        <w:rPr>
          <w:rStyle w:val="StyleUnderline"/>
        </w:rPr>
        <w:t>are instead adopted</w:t>
      </w:r>
      <w:r w:rsidRPr="00722B47">
        <w:rPr>
          <w:sz w:val="16"/>
        </w:rPr>
        <w:t xml:space="preserve"> to uphold public health and human rights: a) </w:t>
      </w:r>
      <w:r w:rsidRPr="00722B47">
        <w:rPr>
          <w:rStyle w:val="StyleUnderline"/>
        </w:rPr>
        <w:t xml:space="preserve">adopt a </w:t>
      </w:r>
      <w:r w:rsidRPr="00722B47">
        <w:rPr>
          <w:rStyle w:val="Emphasis"/>
        </w:rPr>
        <w:t>moratorium on deportations</w:t>
      </w:r>
      <w:r w:rsidRPr="00722B47">
        <w:rPr>
          <w:rStyle w:val="StyleUnderline"/>
        </w:rPr>
        <w:t xml:space="preserve"> from the U.S. to any country during the pandemic</w:t>
      </w:r>
      <w:r w:rsidRPr="00722B47">
        <w:rPr>
          <w:sz w:val="16"/>
        </w:rPr>
        <w:t xml:space="preserve">; b) </w:t>
      </w:r>
      <w:r w:rsidRPr="00722B47">
        <w:rPr>
          <w:rStyle w:val="StyleUnderline"/>
        </w:rPr>
        <w:t>provide</w:t>
      </w:r>
      <w:r w:rsidRPr="00722B47">
        <w:rPr>
          <w:sz w:val="16"/>
        </w:rPr>
        <w:t xml:space="preserve"> the </w:t>
      </w:r>
      <w:r w:rsidRPr="00722B47">
        <w:rPr>
          <w:rStyle w:val="Emphasis"/>
        </w:rPr>
        <w:t>safe release</w:t>
      </w:r>
      <w:r w:rsidRPr="00722B47">
        <w:rPr>
          <w:rStyle w:val="StyleUnderline"/>
        </w:rPr>
        <w:t xml:space="preserve"> of people currently in immigration detention under orders of supervision and after</w:t>
      </w:r>
      <w:r w:rsidRPr="00722B47">
        <w:rPr>
          <w:sz w:val="16"/>
        </w:rPr>
        <w:t xml:space="preserve"> a period of </w:t>
      </w:r>
      <w:r w:rsidRPr="00722B47">
        <w:rPr>
          <w:rStyle w:val="StyleUnderline"/>
        </w:rPr>
        <w:t>quarantine</w:t>
      </w:r>
      <w:r w:rsidRPr="00722B47">
        <w:rPr>
          <w:sz w:val="16"/>
        </w:rPr>
        <w:t xml:space="preserve">; c) </w:t>
      </w:r>
      <w:r w:rsidRPr="00722B47">
        <w:rPr>
          <w:rStyle w:val="Emphasis"/>
        </w:rPr>
        <w:t>rescind the asylum ban</w:t>
      </w:r>
      <w:r w:rsidRPr="00722B47">
        <w:rPr>
          <w:rStyle w:val="StyleUnderline"/>
        </w:rPr>
        <w:t xml:space="preserve"> at the southern border</w:t>
      </w:r>
      <w:r w:rsidRPr="00722B47">
        <w:rPr>
          <w:sz w:val="16"/>
        </w:rPr>
        <w:t xml:space="preserve">; </w:t>
      </w:r>
      <w:r w:rsidRPr="00722B47">
        <w:rPr>
          <w:rStyle w:val="StyleUnderline"/>
        </w:rPr>
        <w:t>and</w:t>
      </w:r>
      <w:r w:rsidRPr="00722B47">
        <w:rPr>
          <w:sz w:val="16"/>
        </w:rPr>
        <w:t xml:space="preserve"> d) </w:t>
      </w:r>
      <w:r w:rsidRPr="00722B47">
        <w:rPr>
          <w:rStyle w:val="Emphasis"/>
        </w:rPr>
        <w:t>provide necessary humanitarian aid</w:t>
      </w:r>
      <w:r w:rsidRPr="00722B47">
        <w:rPr>
          <w:rStyle w:val="StyleUnderline"/>
        </w:rPr>
        <w:t xml:space="preserve"> to other countries without weaponizing it</w:t>
      </w:r>
      <w:r w:rsidRPr="00722B47">
        <w:rPr>
          <w:sz w:val="16"/>
        </w:rPr>
        <w:t xml:space="preserve"> as a political tool. </w:t>
      </w:r>
      <w:r w:rsidRPr="00722B47">
        <w:rPr>
          <w:rStyle w:val="StyleUnderline"/>
        </w:rPr>
        <w:t xml:space="preserve">These are </w:t>
      </w:r>
      <w:r w:rsidRPr="00722B47">
        <w:rPr>
          <w:rStyle w:val="Emphasis"/>
        </w:rPr>
        <w:t>necessary actions</w:t>
      </w:r>
      <w:r w:rsidRPr="00722B47">
        <w:rPr>
          <w:sz w:val="16"/>
        </w:rPr>
        <w:t xml:space="preserve"> to uplift health, dignity, life, and well-being. We invite you to join us in contacting your friends, local media, and elected representatives to advocate for these measures.</w:t>
      </w:r>
    </w:p>
    <w:p w14:paraId="10A8656B" w14:textId="04D75998" w:rsidR="00D70D21" w:rsidRDefault="00D70D21" w:rsidP="00D70D21">
      <w:pPr>
        <w:pStyle w:val="Heading3"/>
      </w:pPr>
      <w:r>
        <w:t>2NC – Deportations CP</w:t>
      </w:r>
    </w:p>
    <w:p w14:paraId="69D169C7" w14:textId="77777777" w:rsidR="00D70D21" w:rsidRPr="007C6F40" w:rsidRDefault="00D70D21" w:rsidP="00D70D21">
      <w:pPr>
        <w:pStyle w:val="Heading4"/>
      </w:pPr>
      <w:r w:rsidRPr="007C6F40">
        <w:t xml:space="preserve">Repealing criminal laws like the plan </w:t>
      </w:r>
      <w:r w:rsidRPr="007C6F40">
        <w:rPr>
          <w:u w:val="single"/>
        </w:rPr>
        <w:t>may</w:t>
      </w:r>
      <w:r w:rsidRPr="007C6F40">
        <w:t xml:space="preserve"> lead to a reduction in deportations in the </w:t>
      </w:r>
      <w:r w:rsidRPr="007C6F40">
        <w:rPr>
          <w:u w:val="single"/>
        </w:rPr>
        <w:t>short term</w:t>
      </w:r>
      <w:r w:rsidRPr="007C6F40">
        <w:t xml:space="preserve"> BUT in reality</w:t>
      </w:r>
      <w:r w:rsidRPr="007C6F40">
        <w:rPr>
          <w:u w:val="single"/>
        </w:rPr>
        <w:t>,</w:t>
      </w:r>
      <w:r w:rsidRPr="007C6F40">
        <w:t xml:space="preserve"> end up </w:t>
      </w:r>
      <w:r w:rsidRPr="007C6F40">
        <w:rPr>
          <w:u w:val="single"/>
        </w:rPr>
        <w:t>legitimizing immigrant targeting</w:t>
      </w:r>
      <w:r w:rsidRPr="007C6F40">
        <w:t xml:space="preserve"> and forces prosecution in an </w:t>
      </w:r>
      <w:r w:rsidRPr="007C6F40">
        <w:rPr>
          <w:u w:val="single"/>
        </w:rPr>
        <w:t>unjust system</w:t>
      </w:r>
      <w:r w:rsidRPr="007C6F40">
        <w:t xml:space="preserve">. </w:t>
      </w:r>
    </w:p>
    <w:p w14:paraId="21D3DC4C" w14:textId="77777777" w:rsidR="00D70D21" w:rsidRPr="007C6F40" w:rsidRDefault="00D70D21" w:rsidP="00D70D21">
      <w:r w:rsidRPr="007C6F40">
        <w:t xml:space="preserve">Jesse </w:t>
      </w:r>
      <w:r w:rsidRPr="007C6F40">
        <w:rPr>
          <w:rStyle w:val="Style13ptBold"/>
        </w:rPr>
        <w:t>Franzblau 19</w:t>
      </w:r>
      <w:r w:rsidRPr="007C6F40">
        <w:t xml:space="preserve"> (Jesse Franzblau is a senior policy analyst at NIJC, 7-30-2019, "Decriminalizing Migration: Ending Prosecutions for Border Crossing Violations", National Immigrant Justice Center, https://immigrantjustice.org/staff/blog/decriminalizing-migration-ending-prosecutions-border-crossing-violations, accessed: 6-30-2020)//yeed</w:t>
      </w:r>
    </w:p>
    <w:p w14:paraId="57B723C1" w14:textId="77777777" w:rsidR="00D70D21" w:rsidRPr="007C6F40" w:rsidRDefault="00D70D21" w:rsidP="00D70D21">
      <w:r w:rsidRPr="007C6F40">
        <w:t xml:space="preserve">The </w:t>
      </w:r>
      <w:r w:rsidRPr="007C6F40">
        <w:rPr>
          <w:rStyle w:val="StyleUnderline"/>
        </w:rPr>
        <w:t>use of criminal laws to regulate migration is abusive</w:t>
      </w:r>
      <w:r w:rsidRPr="007C6F40">
        <w:t xml:space="preserve"> and wasteful</w:t>
      </w:r>
    </w:p>
    <w:p w14:paraId="27E37C48" w14:textId="77777777" w:rsidR="00D70D21" w:rsidRPr="007C6F40" w:rsidRDefault="00D70D21" w:rsidP="00D70D21">
      <w:r w:rsidRPr="007C6F40">
        <w:rPr>
          <w:rStyle w:val="Emphasis"/>
        </w:rPr>
        <w:t>Repealing laws that criminalize border crossing would leave the civil enforcement system intact</w:t>
      </w:r>
      <w:r w:rsidRPr="007C6F40">
        <w:t xml:space="preserve">. Undocumented </w:t>
      </w:r>
      <w:r w:rsidRPr="007C6F40">
        <w:rPr>
          <w:rStyle w:val="StyleUnderline"/>
        </w:rPr>
        <w:t>immigrants prosecuted under 1325 and 1326 also face the same immigration enforcement measures as those the government chooses not to prosecute, including detention and deportation.</w:t>
      </w:r>
      <w:r w:rsidRPr="007C6F40">
        <w:t xml:space="preserve"> Nonetheless, </w:t>
      </w:r>
      <w:r w:rsidRPr="007C6F40">
        <w:rPr>
          <w:rStyle w:val="StyleUnderline"/>
        </w:rPr>
        <w:t>pundits are stoking fears by claiming that stopping illegal entry prosecutions is akin to open borders.</w:t>
      </w:r>
      <w:r w:rsidRPr="007C6F40">
        <w:t xml:space="preserve"> Former Obama officials have gone so far as to say that decriminalization would attract hundreds of thousands of new migrants to the southern border, falsely asserting that the laws are “central” to immigration enforcement.</w:t>
      </w:r>
    </w:p>
    <w:p w14:paraId="5D238F7A" w14:textId="77777777" w:rsidR="00D70D21" w:rsidRPr="007C6F40" w:rsidRDefault="00D70D21" w:rsidP="00D70D21">
      <w:r w:rsidRPr="007C6F40">
        <w:rPr>
          <w:rStyle w:val="StyleUnderline"/>
        </w:rPr>
        <w:t xml:space="preserve">No evidence exists to support the premise that border crossing prosecutions have had any effect on immigrants’ decisions to come to the U.S. </w:t>
      </w:r>
      <w:r w:rsidRPr="007C6F40">
        <w:t xml:space="preserve">Similarly, the high level of criminal prosecutions and incarceration of immigrants has been going on for decades, and </w:t>
      </w:r>
      <w:r w:rsidRPr="007C6F40">
        <w:rPr>
          <w:rStyle w:val="StyleUnderline"/>
        </w:rPr>
        <w:t>there is no evidence that it is deterring repeated reentry, let alone other crimes</w:t>
      </w:r>
      <w:r w:rsidRPr="007C6F40">
        <w:t xml:space="preserve">. Rather, border crossing prosecutions serve as a form of double punishment, applied in a discriminatory way that targets people of color. Such </w:t>
      </w:r>
      <w:r w:rsidRPr="007C6F40">
        <w:rPr>
          <w:rStyle w:val="StyleUnderline"/>
        </w:rPr>
        <w:t xml:space="preserve">prosecutions function as </w:t>
      </w:r>
      <w:r w:rsidRPr="007C6F40">
        <w:t>are</w:t>
      </w:r>
      <w:r w:rsidRPr="007C6F40">
        <w:rPr>
          <w:rStyle w:val="StyleUnderline"/>
        </w:rPr>
        <w:t xml:space="preserve"> part of a separate and unequal system that does not provide the same due process measures afforded to U.S. citizens</w:t>
      </w:r>
      <w:r w:rsidRPr="007C6F40">
        <w:t>. For this reason, immigrant rights and criminal justice groups have been calling for an end to federal prosecutions of border crossing violations for years.</w:t>
      </w:r>
    </w:p>
    <w:p w14:paraId="38441370" w14:textId="77777777" w:rsidR="00D70D21" w:rsidRPr="007C6F40" w:rsidRDefault="00D70D21" w:rsidP="00D70D21">
      <w:r w:rsidRPr="007C6F40">
        <w:rPr>
          <w:rStyle w:val="StyleUnderline"/>
        </w:rPr>
        <w:t>Vast government resources are wasted on federal criminal prosecution and incarceration of immigrants</w:t>
      </w:r>
      <w:r w:rsidRPr="007C6F40">
        <w:t>. Illegal entry and re-entry are the most prosecuted federal crimes in the United States. The explosion in the prosecution of immigration-related charges has led to ballooning costs for taxpayers, associated not just with the price tag of mass incarcerations but of appointed public defenders, judicial resources and administrative court costs estimated at millions of dollars per month. Private companies are profiting, as new jails open to hold immigrant prosecuted for border crossings.</w:t>
      </w:r>
    </w:p>
    <w:p w14:paraId="26AA7A8B" w14:textId="5FCFC9B1" w:rsidR="00D70D21" w:rsidRDefault="00D70D21" w:rsidP="00D70D21">
      <w:r w:rsidRPr="007C6F40">
        <w:rPr>
          <w:rStyle w:val="Emphasis"/>
        </w:rPr>
        <w:t>Prosecuting entry re-entry as a federal crime legitimates the targeting of immigrants</w:t>
      </w:r>
      <w:r w:rsidRPr="007C6F40">
        <w:rPr>
          <w:rStyle w:val="StyleUnderline"/>
        </w:rPr>
        <w:t>. Section 1325 and 1326 drain federal resources, separate families, and disrupt communities.</w:t>
      </w:r>
      <w:r w:rsidRPr="007C6F40">
        <w:t xml:space="preserve"> </w:t>
      </w:r>
      <w:r w:rsidRPr="007C6F40">
        <w:rPr>
          <w:rStyle w:val="StyleUnderline"/>
        </w:rPr>
        <w:t>The criminalization of migration heaps second punishments and additional incarceration on immigrant communities of color already facing a punitive deportation and immigration detention system.</w:t>
      </w:r>
      <w:r w:rsidRPr="007C6F40">
        <w:t xml:space="preserve"> The </w:t>
      </w:r>
      <w:r w:rsidRPr="007C6F40">
        <w:rPr>
          <w:rStyle w:val="StyleUnderline"/>
        </w:rPr>
        <w:t>time for repeal is now</w:t>
      </w:r>
      <w:r w:rsidRPr="007C6F40">
        <w:t xml:space="preserve">. </w:t>
      </w:r>
    </w:p>
    <w:p w14:paraId="1AC17173" w14:textId="3F20650A" w:rsidR="00D70D21" w:rsidRPr="007C6F40" w:rsidRDefault="00D70D21" w:rsidP="00D70D21">
      <w:pPr>
        <w:pStyle w:val="Heading4"/>
        <w:rPr>
          <w:rStyle w:val="Style13ptBold"/>
          <w:b/>
          <w:bCs w:val="0"/>
          <w:sz w:val="30"/>
        </w:rPr>
      </w:pPr>
      <w:r w:rsidRPr="007C6F40">
        <w:t>Repealing section 1325 and 1326 solves</w:t>
      </w:r>
      <w:r>
        <w:t>.</w:t>
      </w:r>
    </w:p>
    <w:p w14:paraId="0A2A106A" w14:textId="77777777" w:rsidR="00D70D21" w:rsidRPr="007C6F40" w:rsidRDefault="00D70D21" w:rsidP="00D70D21">
      <w:r w:rsidRPr="007C6F40">
        <w:rPr>
          <w:rStyle w:val="Style13ptBold"/>
        </w:rPr>
        <w:t>Nyers 19</w:t>
      </w:r>
      <w:r w:rsidRPr="007C6F40">
        <w:t xml:space="preserve"> (Constance, Juris Doctor Candidate at University of La Verne College of Law, 2019, "SHOULD THE U.S. REPEAL 8 U.S.C. § 1325?", La Verne L. Rev., https://libproxy.law.umich.edu:2195/HOL/Page?collection=journals&amp;handle=hein.journals/jjuvl41&amp;id=37&amp;men_tab=srchresults, accessed: 7-2-2020)//yeed</w:t>
      </w:r>
    </w:p>
    <w:p w14:paraId="0AC45880" w14:textId="77777777" w:rsidR="00D70D21" w:rsidRPr="007C6F40" w:rsidRDefault="00D70D21" w:rsidP="00D70D21">
      <w:pPr>
        <w:rPr>
          <w:rStyle w:val="StyleUnderline"/>
        </w:rPr>
      </w:pPr>
      <w:r w:rsidRPr="007C6F40">
        <w:t xml:space="preserve">The introduction of </w:t>
      </w:r>
      <w:r w:rsidRPr="007C6F40">
        <w:rPr>
          <w:rStyle w:val="StyleUnderline"/>
        </w:rPr>
        <w:t>section 1325</w:t>
      </w:r>
      <w:r w:rsidRPr="007C6F40">
        <w:t xml:space="preserve"> into U.S. history </w:t>
      </w:r>
      <w:r w:rsidRPr="007C6F40">
        <w:rPr>
          <w:rStyle w:val="StyleUnderline"/>
        </w:rPr>
        <w:t>came at the behest of a racist</w:t>
      </w:r>
      <w:r w:rsidRPr="007C6F40">
        <w:t>. Its exploitation by various Administrations was crucial to their political platform, but it has never been used so severely until President Trump. The misuse of</w:t>
      </w:r>
      <w:r w:rsidRPr="007C6F40">
        <w:rPr>
          <w:rStyle w:val="StyleUnderline"/>
        </w:rPr>
        <w:t xml:space="preserve"> section 1325 in conjunction with other statutes has been carried out in order to intimidate and punish, beyond formal prosecution, those seeking a better life.</w:t>
      </w:r>
      <w:r w:rsidRPr="007C6F40">
        <w:t xml:space="preserve"> By the way of payment on human life and liberty, </w:t>
      </w:r>
      <w:r w:rsidRPr="007C6F40">
        <w:rPr>
          <w:rStyle w:val="StyleUnderline"/>
        </w:rPr>
        <w:t xml:space="preserve">the </w:t>
      </w:r>
      <w:r w:rsidRPr="007C6F40">
        <w:rPr>
          <w:rStyle w:val="Emphasis"/>
        </w:rPr>
        <w:t>effects are devastating</w:t>
      </w:r>
      <w:r w:rsidRPr="007C6F40">
        <w:rPr>
          <w:rStyle w:val="StyleUnderline"/>
        </w:rPr>
        <w:t xml:space="preserve"> and will be felt for decades</w:t>
      </w:r>
      <w:r w:rsidRPr="007C6F40">
        <w:t xml:space="preserve">. Meanwhile, </w:t>
      </w:r>
      <w:r w:rsidRPr="007C6F40">
        <w:rPr>
          <w:rStyle w:val="StyleUnderline"/>
        </w:rPr>
        <w:t xml:space="preserve">overstayers receive civil penalties via deportation papers while those who actually survive unlawful entry, and subsequent incarceration, get expensive and severe criminal sanctions. </w:t>
      </w:r>
    </w:p>
    <w:p w14:paraId="2983DD80" w14:textId="77777777" w:rsidR="00D70D21" w:rsidRPr="007C6F40" w:rsidRDefault="00D70D21" w:rsidP="00D70D21">
      <w:r w:rsidRPr="007C6F40">
        <w:rPr>
          <w:rStyle w:val="StyleUnderline"/>
        </w:rPr>
        <w:t>The</w:t>
      </w:r>
      <w:r w:rsidRPr="007C6F40">
        <w:t xml:space="preserve"> U.S. </w:t>
      </w:r>
      <w:r w:rsidRPr="007C6F40">
        <w:rPr>
          <w:rStyle w:val="StyleUnderline"/>
        </w:rPr>
        <w:t>Supreme Court has not yet undertaken</w:t>
      </w:r>
      <w:r w:rsidRPr="007C6F40">
        <w:t xml:space="preserve"> an analysis of the constitutionality of section </w:t>
      </w:r>
      <w:r w:rsidRPr="007C6F40">
        <w:rPr>
          <w:rStyle w:val="StyleUnderline"/>
        </w:rPr>
        <w:t>1325</w:t>
      </w:r>
      <w:r w:rsidRPr="007C6F40">
        <w:t xml:space="preserve"> </w:t>
      </w:r>
      <w:r w:rsidRPr="007C6F40">
        <w:rPr>
          <w:rStyle w:val="StyleUnderline"/>
        </w:rPr>
        <w:t>directly</w:t>
      </w:r>
      <w:r w:rsidRPr="007C6F40">
        <w:t xml:space="preserve">. Fortunately, the Supreme Court does not have to. </w:t>
      </w:r>
      <w:r w:rsidRPr="007C6F40">
        <w:rPr>
          <w:rStyle w:val="StyleUnderline"/>
        </w:rPr>
        <w:t>Repealing section 1325</w:t>
      </w:r>
      <w:r w:rsidRPr="007C6F40">
        <w:t xml:space="preserve">, </w:t>
      </w:r>
      <w:r w:rsidRPr="007C6F40">
        <w:rPr>
          <w:rStyle w:val="StyleUnderline"/>
        </w:rPr>
        <w:t>and</w:t>
      </w:r>
      <w:r w:rsidRPr="007C6F40">
        <w:t xml:space="preserve"> accordingly section </w:t>
      </w:r>
      <w:r w:rsidRPr="007C6F40">
        <w:rPr>
          <w:rStyle w:val="StyleUnderline"/>
        </w:rPr>
        <w:t>1326</w:t>
      </w:r>
      <w:r w:rsidRPr="007C6F40">
        <w:t xml:space="preserve">, </w:t>
      </w:r>
      <w:r w:rsidRPr="007C6F40">
        <w:rPr>
          <w:rStyle w:val="StyleUnderline"/>
        </w:rPr>
        <w:t>can be accomplished by an act of Congress</w:t>
      </w:r>
      <w:r w:rsidRPr="007C6F40">
        <w:t xml:space="preserve">. As Julidn Castro pointed out during the 2020 Presidential debate, there are other laws pertaining to drug and human trafficking abuses and various weapons charges to cover a wide base of infractions. 94 Imposing criminal penalties under section </w:t>
      </w:r>
      <w:r w:rsidRPr="007C6F40">
        <w:rPr>
          <w:rStyle w:val="StyleUnderline"/>
        </w:rPr>
        <w:t>1325 and section 1326 essentially "inflates" charges, much like we have seen happen historically with other minority populations in the United States.95</w:t>
      </w:r>
    </w:p>
    <w:p w14:paraId="42D5376A" w14:textId="77777777" w:rsidR="00D70D21" w:rsidRPr="007C6F40" w:rsidRDefault="00D70D21" w:rsidP="00D70D21">
      <w:r w:rsidRPr="007C6F40">
        <w:t xml:space="preserve">Footnote 94 begins: </w:t>
      </w:r>
    </w:p>
    <w:p w14:paraId="08BBB507" w14:textId="77777777" w:rsidR="00D70D21" w:rsidRPr="007C6F40" w:rsidRDefault="00D70D21" w:rsidP="00D70D21">
      <w:r w:rsidRPr="007C6F40">
        <w:t xml:space="preserve">21 U.S.C.A. § 841 (West 2018); 22 U.S.C.A. § 7102 (West 2019); 22 U.S.C.A. §§ 7101-7112 (West 2019). </w:t>
      </w:r>
    </w:p>
    <w:p w14:paraId="241C8704" w14:textId="77777777" w:rsidR="00D70D21" w:rsidRPr="007C6F40" w:rsidRDefault="00D70D21" w:rsidP="00D70D21">
      <w:r w:rsidRPr="007C6F40">
        <w:t xml:space="preserve">Footnote 94 ends and 95 begins: </w:t>
      </w:r>
    </w:p>
    <w:p w14:paraId="75746424" w14:textId="77777777" w:rsidR="00D70D21" w:rsidRPr="007C6F40" w:rsidRDefault="00D70D21" w:rsidP="00D70D21">
      <w:r w:rsidRPr="007C6F40">
        <w:t>ANGELA J. DAVIS, ARBITRARY JUSTICE: THE POWER OF THE AMERICAN PROSECUTOR 23 (2007).</w:t>
      </w:r>
    </w:p>
    <w:p w14:paraId="0D32A20E" w14:textId="77777777" w:rsidR="00D70D21" w:rsidRPr="007C6F40" w:rsidRDefault="00D70D21" w:rsidP="00D70D21">
      <w:r w:rsidRPr="007C6F40">
        <w:t xml:space="preserve">Footnote 95 ends. </w:t>
      </w:r>
    </w:p>
    <w:p w14:paraId="6A7FB8FE" w14:textId="77777777" w:rsidR="00D70D21" w:rsidRPr="007C6F40" w:rsidRDefault="00D70D21" w:rsidP="00D70D21">
      <w:r w:rsidRPr="007C6F40">
        <w:rPr>
          <w:rStyle w:val="StyleUnderline"/>
        </w:rPr>
        <w:t>The foundation underlying section 1325 and the logic for keeping it in place is weak at best</w:t>
      </w:r>
      <w:r w:rsidRPr="007C6F40">
        <w:t xml:space="preserve">. The </w:t>
      </w:r>
      <w:r w:rsidRPr="007C6F40">
        <w:rPr>
          <w:rStyle w:val="StyleUnderline"/>
        </w:rPr>
        <w:t>statute appears to be a mechanism for political praise, padding huge fiscal budgets, and targeting the vulnerable</w:t>
      </w:r>
      <w:r w:rsidRPr="007C6F40">
        <w:t>.</w:t>
      </w:r>
    </w:p>
    <w:p w14:paraId="40E8D42C" w14:textId="77777777" w:rsidR="00D70D21" w:rsidRPr="00141EF6" w:rsidRDefault="00D70D21" w:rsidP="00D70D21">
      <w:r w:rsidRPr="007C6F40">
        <w:t xml:space="preserve"> So, </w:t>
      </w:r>
      <w:r w:rsidRPr="007C6F40">
        <w:rPr>
          <w:rStyle w:val="Emphasis"/>
        </w:rPr>
        <w:t xml:space="preserve">should section 1325 be repealed? </w:t>
      </w:r>
      <w:r w:rsidRPr="007C6F40">
        <w:rPr>
          <w:rStyle w:val="StyleUnderline"/>
        </w:rPr>
        <w:t xml:space="preserve">The answer is </w:t>
      </w:r>
      <w:r w:rsidRPr="007C6F40">
        <w:rPr>
          <w:rStyle w:val="Emphasis"/>
        </w:rPr>
        <w:t>yes.</w:t>
      </w:r>
    </w:p>
    <w:p w14:paraId="36F3B348" w14:textId="061DBF74" w:rsidR="00D70D21" w:rsidRPr="007C6F40" w:rsidRDefault="00D70D21" w:rsidP="00D70D21">
      <w:pPr>
        <w:pStyle w:val="Heading4"/>
      </w:pPr>
      <w:r>
        <w:t>It</w:t>
      </w:r>
      <w:r w:rsidRPr="007C6F40">
        <w:t xml:space="preserve"> solves</w:t>
      </w:r>
      <w:r>
        <w:t>.</w:t>
      </w:r>
    </w:p>
    <w:p w14:paraId="3E31A41A" w14:textId="54E0F4E1" w:rsidR="00D70D21" w:rsidRPr="007C6F40" w:rsidRDefault="00D70D21" w:rsidP="00D70D21">
      <w:r w:rsidRPr="007C6F40">
        <w:rPr>
          <w:rStyle w:val="Style13ptBold"/>
        </w:rPr>
        <w:t>Grewal and Chavez 20</w:t>
      </w:r>
      <w:r w:rsidRPr="007C6F40">
        <w:t xml:space="preserve"> (Madhuri Grewal, Federal Immigration Policy Counsel, Yesenia </w:t>
      </w:r>
      <w:r w:rsidRPr="00D70D21">
        <w:t>Chavez, Policy Analyst, January 7, 2020, "It Is Time for</w:t>
      </w:r>
      <w:r w:rsidRPr="007C6F40">
        <w:t xml:space="preserve"> a New Way Forward", https://www.aclu.org/news/immigrants-rights/it-is-time-for-a-new-way-forward/, accessed: 6-30-2020)//yeed</w:t>
      </w:r>
    </w:p>
    <w:p w14:paraId="11715636" w14:textId="77777777" w:rsidR="00D70D21" w:rsidRPr="007C6F40" w:rsidRDefault="00D70D21" w:rsidP="00D70D21">
      <w:r w:rsidRPr="007C6F40">
        <w:t xml:space="preserve">In 1996, at the height of the “tough on crime” era, President Bill Clinton signed two laws that dramatically changed the criminal legal system and radically altered the U.S. immigration system. Just as the 1994 crime bill instituted unjust mandatory minimum sentences and ballooned the prison population, the immigration bills of that same era led to similarly disastrous consequences for immigrants — an explosion in the growth of detention and unfairly harsh punishments for immigrants, including mandatory deportations for minor crimes. The Illegal Immigration Reform and Immigrant Responsibility Act of 1996 (IIRIRA) and Antiterrorism and Effective Death Penalty Act of 1996 (AEDPA) resulted in today’s draconian immigration enforcement system. The system only expanded with the increased criminalization of immigrants, who are then funneled into the detention and deportation pipeline — often with little to no due process. </w:t>
      </w:r>
    </w:p>
    <w:p w14:paraId="44050426" w14:textId="77777777" w:rsidR="00D70D21" w:rsidRPr="007C6F40" w:rsidRDefault="00D70D21" w:rsidP="00D70D21">
      <w:r w:rsidRPr="007C6F40">
        <w:rPr>
          <w:rStyle w:val="StyleUnderline"/>
        </w:rPr>
        <w:t xml:space="preserve">Reps. Jesús “Chuy” Garcia, Pramila Jayapal, Karen Bass, and Ayanna Pressley, in December 2019, introduced the New Way Forward Act (H.R. 5383), groundbreaking legislation that </w:t>
      </w:r>
      <w:r w:rsidRPr="007C6F40">
        <w:rPr>
          <w:rStyle w:val="Emphasis"/>
        </w:rPr>
        <w:t>reimagines what a fair and just immigration system looks like</w:t>
      </w:r>
      <w:r w:rsidRPr="007C6F40">
        <w:t xml:space="preserve">. </w:t>
      </w:r>
      <w:r w:rsidRPr="007C6F40">
        <w:rPr>
          <w:rStyle w:val="StyleUnderline"/>
        </w:rPr>
        <w:t>The bill restores fundamental due process protections for immigrants by ending the mandatory detention of immigrants without the right to release on bail while a judge reviews their case</w:t>
      </w:r>
      <w:r w:rsidRPr="007C6F40">
        <w:t xml:space="preserve"> — sometimes subjecting people to years of incarceration. </w:t>
      </w:r>
      <w:r w:rsidRPr="007C6F40">
        <w:rPr>
          <w:rStyle w:val="StyleUnderline"/>
        </w:rPr>
        <w:t>The legislation also breaks down automatic pipelines to deportation from the criminal legal system</w:t>
      </w:r>
      <w:r w:rsidRPr="007C6F40">
        <w:t xml:space="preserve">. For example, the </w:t>
      </w:r>
      <w:r w:rsidRPr="007C6F40">
        <w:rPr>
          <w:rStyle w:val="StyleUnderline"/>
        </w:rPr>
        <w:t>bill would end the 287(g) program, which allows local police to act as federal immigration agents</w:t>
      </w:r>
      <w:r w:rsidRPr="007C6F40">
        <w:t xml:space="preserve">, exacerbates racial profiling, and empowers sherriffs, as was the case with Joe Arpaio. </w:t>
      </w:r>
      <w:r w:rsidRPr="007C6F40">
        <w:rPr>
          <w:rStyle w:val="StyleUnderline"/>
        </w:rPr>
        <w:t>The bill would also end the automatic deportation of people who have had contact with the criminal legal system</w:t>
      </w:r>
      <w:r w:rsidRPr="007C6F40">
        <w:t xml:space="preserve">. This </w:t>
      </w:r>
      <w:r w:rsidRPr="007C6F40">
        <w:rPr>
          <w:rStyle w:val="StyleUnderline"/>
        </w:rPr>
        <w:t>legislation also decriminalizes migration by ending federal criminal prosecutions for improper entry and reentry to the U.S</w:t>
      </w:r>
      <w:r w:rsidRPr="007C6F40">
        <w:t xml:space="preserve">. Not only is this a waste of government funding, it also misguidedly treats migration as a criminal act. </w:t>
      </w:r>
    </w:p>
    <w:p w14:paraId="0F7CF7EE" w14:textId="77777777" w:rsidR="00D70D21" w:rsidRPr="007C6F40" w:rsidRDefault="00D70D21" w:rsidP="00D70D21">
      <w:r w:rsidRPr="007C6F40">
        <w:t>Decades after the failures of the 1994 crime bill, Congress is tackling the injustices of our criminal legal system. Yet many of those same injustices are replicated in the immigration system, and should be similarly addressed. Take for example U.S. Army veteran and ACLU of Southern California client Hector Barajas. After being honorably discharged, Hector — like many veterans who return to civilian life with little support from our government — had difficulty adjusting and served three years in prison for a crime involving a firearm. Hector, a legal permanent resident, was immediately subject to the 1996 immigration laws. During his deportation hearing, the law prevented an immigration judge from considering the equities in his case, including his years of military service. Instead, the law mandated his incarceration in immigration jail, and ultimately required the judge to order him deported. In 2017, Hector received a pardon from Governor Jerry Brown and in 2018, he became a U.S. citizen.</w:t>
      </w:r>
    </w:p>
    <w:p w14:paraId="48401BEF" w14:textId="77777777" w:rsidR="00D70D21" w:rsidRPr="007C6F40" w:rsidRDefault="00D70D21" w:rsidP="00D70D21">
      <w:r w:rsidRPr="007C6F40">
        <w:t xml:space="preserve">Mark Hwang is another example of someone impacted by the 1996 laws. An ACLU client, </w:t>
      </w:r>
      <w:r w:rsidRPr="007C6F40">
        <w:rPr>
          <w:rStyle w:val="StyleUnderline"/>
        </w:rPr>
        <w:t>Mark was stopped by ICE for changing lanes without a signal. He was on his way to meet his wife and newborn twins, and had his one-year-old in the car.</w:t>
      </w:r>
      <w:r w:rsidRPr="007C6F40">
        <w:t xml:space="preserve"> After his arrest, </w:t>
      </w:r>
      <w:r w:rsidRPr="007C6F40">
        <w:rPr>
          <w:rStyle w:val="StyleUnderline"/>
        </w:rPr>
        <w:t>Mark</w:t>
      </w:r>
      <w:r w:rsidRPr="007C6F40">
        <w:t xml:space="preserve">, who </w:t>
      </w:r>
      <w:r w:rsidRPr="007C6F40">
        <w:rPr>
          <w:rStyle w:val="StyleUnderline"/>
        </w:rPr>
        <w:t>was a legal permanent resident, was subjected to mandatory detention and detained without a bond hearing for six months — kept from his children and leaving his wife to care for their three infants — because of a decade old marijuana possession conviction for which he had already served his sentence</w:t>
      </w:r>
      <w:r w:rsidRPr="007C6F40">
        <w:t xml:space="preserve">. Just as he was on the brink of  signing deportation papers, Mark got a bond hearing, thanks to a federal court order in an ACLU lawsuit. Mark was finally released on bond, allowing him a real shot at fighting his deportation. He was able to work with an attorney to have his marijuana charge vacated, removing the threat of deportation. </w:t>
      </w:r>
    </w:p>
    <w:p w14:paraId="5494C188" w14:textId="6DC04BF4" w:rsidR="00D70D21" w:rsidRDefault="00D70D21" w:rsidP="00D70D21">
      <w:r w:rsidRPr="007C6F40">
        <w:t xml:space="preserve">People like Hector and Mark are in a small minority. Far too many immigrants are locked up and summarily banished from this country without real due process. </w:t>
      </w:r>
      <w:r w:rsidRPr="007C6F40">
        <w:rPr>
          <w:rStyle w:val="StyleUnderline"/>
        </w:rPr>
        <w:t>The ACLU enthusiastically supports the New Way Forward Act,</w:t>
      </w:r>
      <w:r w:rsidRPr="007C6F40">
        <w:t xml:space="preserve"> which </w:t>
      </w:r>
      <w:r w:rsidRPr="007C6F40">
        <w:rPr>
          <w:rStyle w:val="StyleUnderline"/>
        </w:rPr>
        <w:t>if passed will change the lives of countless immigrants and communities and restore due process in our immigration system.</w:t>
      </w:r>
      <w:r w:rsidRPr="007C6F40">
        <w:t xml:space="preserve"> </w:t>
      </w:r>
      <w:r w:rsidRPr="007C6F40">
        <w:rPr>
          <w:rStyle w:val="StyleUnderline"/>
        </w:rPr>
        <w:t>The bill sets a framework for Congress to recognize and fix our broken immigration system and build a new one that gives everyone their fair day in court.</w:t>
      </w:r>
      <w:r w:rsidRPr="007C6F40">
        <w:t xml:space="preserve"> It is past time for Congress to pave a new way forward in our U.S. immigration system.</w:t>
      </w:r>
    </w:p>
    <w:p w14:paraId="509DB079" w14:textId="539DCE4A" w:rsidR="001A158A" w:rsidRDefault="001A158A" w:rsidP="001A158A">
      <w:pPr>
        <w:pStyle w:val="Heading3"/>
      </w:pPr>
      <w:r>
        <w:t>1NC – Latin America CP</w:t>
      </w:r>
    </w:p>
    <w:p w14:paraId="5D9974CC" w14:textId="71C60A35" w:rsidR="001A158A" w:rsidRDefault="001A158A" w:rsidP="001A158A">
      <w:pPr>
        <w:pStyle w:val="Heading4"/>
      </w:pPr>
      <w:r>
        <w:t>That solves Latin American instability.</w:t>
      </w:r>
    </w:p>
    <w:p w14:paraId="2B4B231A" w14:textId="77777777" w:rsidR="001A158A" w:rsidRPr="00B810A3" w:rsidRDefault="001A158A" w:rsidP="001A158A">
      <w:r>
        <w:rPr>
          <w:rStyle w:val="Style13ptBold"/>
        </w:rPr>
        <w:t>Sutton et al. 20</w:t>
      </w:r>
      <w:r>
        <w:rPr>
          <w:rStyle w:val="Style13ptBold"/>
          <w:b w:val="0"/>
          <w:bCs w:val="0"/>
        </w:rPr>
        <w:t xml:space="preserve"> — </w:t>
      </w:r>
      <w:r w:rsidRPr="00B810A3">
        <w:t xml:space="preserve">Trevor </w:t>
      </w:r>
      <w:r>
        <w:t>Sutton, a senior fellow for National Security and International Policy at American Progress, previous presidential management fellow in the Office of the Secretary of Defense, JD from Yale. Dan Restrepo, a senior fellow at American progress., the principal advisor to Obama on Latin America, the Caribbean, and Canada. Joel Martinez, the Mexico policy analyst for National Security and International Policy at American Progress, formerly in the U.S. Agency for International Development’s Development Credit Authority Office, Global Policy and Strategy master’s degree from the University of California, San Diego. (“Getting Ahead of the Curve: Why the United States Needs to Plan for the Coronavirus in the Americas,” Center for American Progress, May 5, 2020. https://www.americanprogress.org/issues/security/reports/2020/05/05/484538/getting-ahead-curve-united-states-needs-plan-coronavirus-americas/)//JLPark</w:t>
      </w:r>
    </w:p>
    <w:p w14:paraId="40130DC9" w14:textId="77777777" w:rsidR="001A158A" w:rsidRPr="00D34848" w:rsidRDefault="001A158A" w:rsidP="001A158A">
      <w:pPr>
        <w:rPr>
          <w:sz w:val="14"/>
          <w:szCs w:val="14"/>
        </w:rPr>
      </w:pPr>
      <w:r w:rsidRPr="00D34848">
        <w:rPr>
          <w:sz w:val="14"/>
          <w:szCs w:val="14"/>
        </w:rPr>
        <w:t>Policy recommendations</w:t>
      </w:r>
    </w:p>
    <w:p w14:paraId="3604B2AF" w14:textId="77777777" w:rsidR="001A158A" w:rsidRPr="000F7D16" w:rsidRDefault="001A158A" w:rsidP="001A158A">
      <w:pPr>
        <w:rPr>
          <w:sz w:val="14"/>
        </w:rPr>
      </w:pPr>
      <w:r w:rsidRPr="000F7D16">
        <w:rPr>
          <w:sz w:val="14"/>
        </w:rPr>
        <w:t xml:space="preserve">To mitigate the threat that COVID-19 poses to the Americas, </w:t>
      </w:r>
      <w:r w:rsidRPr="00471FB5">
        <w:rPr>
          <w:rStyle w:val="StyleUnderline"/>
        </w:rPr>
        <w:t>the U</w:t>
      </w:r>
      <w:r w:rsidRPr="000F7D16">
        <w:rPr>
          <w:sz w:val="14"/>
        </w:rPr>
        <w:t xml:space="preserve">nited </w:t>
      </w:r>
      <w:r w:rsidRPr="00471FB5">
        <w:rPr>
          <w:rStyle w:val="StyleUnderline"/>
        </w:rPr>
        <w:t>S</w:t>
      </w:r>
      <w:r w:rsidRPr="000F7D16">
        <w:rPr>
          <w:sz w:val="14"/>
        </w:rPr>
        <w:t xml:space="preserve">tates </w:t>
      </w:r>
      <w:r w:rsidRPr="000F7D16">
        <w:rPr>
          <w:rStyle w:val="StyleUnderline"/>
        </w:rPr>
        <w:t>needs to work with</w:t>
      </w:r>
      <w:r w:rsidRPr="000F7D16">
        <w:rPr>
          <w:sz w:val="14"/>
        </w:rPr>
        <w:t xml:space="preserve"> its </w:t>
      </w:r>
      <w:r w:rsidRPr="000F7D16">
        <w:rPr>
          <w:rStyle w:val="StyleUnderline"/>
        </w:rPr>
        <w:t>regional partners</w:t>
      </w:r>
      <w:r w:rsidRPr="000F7D16">
        <w:rPr>
          <w:sz w:val="14"/>
        </w:rPr>
        <w:t xml:space="preserve"> to develop a coordinated approach to the disease and plan for contingencies should the pandemic worsen.</w:t>
      </w:r>
    </w:p>
    <w:p w14:paraId="6D47B52B" w14:textId="77777777" w:rsidR="001A158A" w:rsidRPr="000F7D16" w:rsidRDefault="001A158A" w:rsidP="001A158A">
      <w:pPr>
        <w:rPr>
          <w:rStyle w:val="StyleUnderline"/>
        </w:rPr>
      </w:pPr>
      <w:r w:rsidRPr="000F7D16">
        <w:rPr>
          <w:rStyle w:val="StyleUnderline"/>
        </w:rPr>
        <w:t>Support and fund a regional health response drawing on the 2009 H1N1 pandemic experience</w:t>
      </w:r>
    </w:p>
    <w:p w14:paraId="72FE2B67" w14:textId="77777777" w:rsidR="001A158A" w:rsidRPr="000F7D16" w:rsidRDefault="001A158A" w:rsidP="001A158A">
      <w:pPr>
        <w:rPr>
          <w:sz w:val="14"/>
        </w:rPr>
      </w:pPr>
      <w:r w:rsidRPr="000F7D16">
        <w:rPr>
          <w:sz w:val="14"/>
        </w:rPr>
        <w:t>COVID-19 is not the first deadly respiratory-borne illness to threaten the Americas. In 2009, an unusually virulent flu strain known as H1N1, believed to have originated in Veracruz, Mexico, began spreading across much of the Americas. In response, the Pan American Health Organization (PAHO), an agency within the Inter-American System, moved quickly with the support of regional governments to establish an emergency operations center and coordinate with national health agencies to develop and implement containment measures.</w:t>
      </w:r>
      <w:hyperlink r:id="rId362" w:anchor="fn-484538-45" w:history="1">
        <w:r w:rsidRPr="000F7D16">
          <w:rPr>
            <w:rStyle w:val="Hyperlink"/>
            <w:sz w:val="14"/>
          </w:rPr>
          <w:t>45</w:t>
        </w:r>
      </w:hyperlink>
      <w:r w:rsidRPr="000F7D16">
        <w:rPr>
          <w:sz w:val="14"/>
        </w:rPr>
        <w:t> </w:t>
      </w:r>
      <w:r w:rsidRPr="000F7D16">
        <w:rPr>
          <w:rStyle w:val="StyleUnderline"/>
        </w:rPr>
        <w:t>These measures included the mobilization of emergency response teams, deployment of technical experts, prepositioning of medical supplies, strengthening of national and local reporting capacities, training of laboratory staff, and development of contingency plans for disaster situations</w:t>
      </w:r>
      <w:r w:rsidRPr="000F7D16">
        <w:rPr>
          <w:sz w:val="14"/>
        </w:rPr>
        <w:t>.</w:t>
      </w:r>
      <w:hyperlink r:id="rId363" w:anchor="fn-484538-46" w:history="1">
        <w:r w:rsidRPr="000F7D16">
          <w:rPr>
            <w:rStyle w:val="Hyperlink"/>
            <w:sz w:val="14"/>
          </w:rPr>
          <w:t>46</w:t>
        </w:r>
      </w:hyperlink>
    </w:p>
    <w:p w14:paraId="1BD40721" w14:textId="77777777" w:rsidR="001A158A" w:rsidRPr="00D34848" w:rsidRDefault="001A158A" w:rsidP="001A158A">
      <w:pPr>
        <w:rPr>
          <w:sz w:val="14"/>
        </w:rPr>
      </w:pPr>
      <w:r w:rsidRPr="00D34848">
        <w:rPr>
          <w:sz w:val="14"/>
        </w:rPr>
        <w:t xml:space="preserve">Given this history, </w:t>
      </w:r>
      <w:r w:rsidRPr="00D34848">
        <w:rPr>
          <w:rStyle w:val="StyleUnderline"/>
        </w:rPr>
        <w:t>PAHO is well-positioned to coordinate a regional response to the COVID</w:t>
      </w:r>
      <w:r w:rsidRPr="00D34848">
        <w:rPr>
          <w:sz w:val="14"/>
        </w:rPr>
        <w:t xml:space="preserve">-19 pandemic </w:t>
      </w:r>
      <w:r w:rsidRPr="00D34848">
        <w:rPr>
          <w:rStyle w:val="StyleUnderline"/>
        </w:rPr>
        <w:t>and</w:t>
      </w:r>
      <w:r w:rsidRPr="00D34848">
        <w:rPr>
          <w:sz w:val="14"/>
        </w:rPr>
        <w:t xml:space="preserve">, in fact, </w:t>
      </w:r>
      <w:r w:rsidRPr="00D34848">
        <w:rPr>
          <w:rStyle w:val="StyleUnderline"/>
        </w:rPr>
        <w:t>has</w:t>
      </w:r>
      <w:r w:rsidRPr="00D34848">
        <w:rPr>
          <w:sz w:val="14"/>
        </w:rPr>
        <w:t xml:space="preserve"> already </w:t>
      </w:r>
      <w:r w:rsidRPr="00D34848">
        <w:rPr>
          <w:rStyle w:val="StyleUnderline"/>
        </w:rPr>
        <w:t>developed an action plan that draws on the experience of H1N1</w:t>
      </w:r>
      <w:r w:rsidRPr="00D34848">
        <w:rPr>
          <w:sz w:val="14"/>
        </w:rPr>
        <w:t xml:space="preserve">. However, </w:t>
      </w:r>
      <w:r w:rsidRPr="00D34848">
        <w:rPr>
          <w:rStyle w:val="StyleUnderline"/>
        </w:rPr>
        <w:t>the agency remains critically short on funds and is currently seeking support from donors to combat the outbreak</w:t>
      </w:r>
      <w:r w:rsidRPr="00D34848">
        <w:rPr>
          <w:sz w:val="14"/>
        </w:rPr>
        <w:t>.</w:t>
      </w:r>
      <w:hyperlink r:id="rId364" w:anchor="fn-484538-47" w:history="1">
        <w:r w:rsidRPr="00D34848">
          <w:rPr>
            <w:rStyle w:val="Hyperlink"/>
            <w:sz w:val="14"/>
          </w:rPr>
          <w:t>47</w:t>
        </w:r>
      </w:hyperlink>
      <w:r w:rsidRPr="00D34848">
        <w:rPr>
          <w:sz w:val="14"/>
        </w:rPr>
        <w:t xml:space="preserve"> Rather than support this effort, the </w:t>
      </w:r>
      <w:r w:rsidRPr="00D34848">
        <w:rPr>
          <w:rStyle w:val="StyleUnderline"/>
        </w:rPr>
        <w:t>Trump</w:t>
      </w:r>
      <w:r w:rsidRPr="00D34848">
        <w:rPr>
          <w:sz w:val="14"/>
        </w:rPr>
        <w:t xml:space="preserve"> administration is $60 million in arrears on U.S. contributions to PAHO and </w:t>
      </w:r>
      <w:r w:rsidRPr="00D34848">
        <w:rPr>
          <w:rStyle w:val="StyleUnderline"/>
        </w:rPr>
        <w:t>has proposed cutting U.S. funding for PAHO by 75 percent</w:t>
      </w:r>
      <w:r w:rsidRPr="00D34848">
        <w:rPr>
          <w:sz w:val="14"/>
        </w:rPr>
        <w:t>—an alarming parallel to the administration’s withdrawal of funding from the Worth Health Organization, which works closely with PAHO.</w:t>
      </w:r>
      <w:hyperlink r:id="rId365" w:anchor="fn-484538-48" w:history="1">
        <w:r w:rsidRPr="00D34848">
          <w:rPr>
            <w:rStyle w:val="Hyperlink"/>
            <w:sz w:val="14"/>
          </w:rPr>
          <w:t>48</w:t>
        </w:r>
      </w:hyperlink>
      <w:r w:rsidRPr="00D34848">
        <w:rPr>
          <w:sz w:val="14"/>
        </w:rPr>
        <w:t xml:space="preserve"> As the window of opportunity to contain the coronavirus narrows, </w:t>
      </w:r>
      <w:r w:rsidRPr="00D34848">
        <w:rPr>
          <w:rStyle w:val="StyleUnderline"/>
        </w:rPr>
        <w:t>the U</w:t>
      </w:r>
      <w:r w:rsidRPr="00D34848">
        <w:rPr>
          <w:sz w:val="14"/>
        </w:rPr>
        <w:t xml:space="preserve">nited </w:t>
      </w:r>
      <w:r w:rsidRPr="00D34848">
        <w:rPr>
          <w:rStyle w:val="StyleUnderline"/>
        </w:rPr>
        <w:t>S</w:t>
      </w:r>
      <w:r w:rsidRPr="00D34848">
        <w:rPr>
          <w:sz w:val="14"/>
        </w:rPr>
        <w:t xml:space="preserve">tates </w:t>
      </w:r>
      <w:r w:rsidRPr="00D34848">
        <w:rPr>
          <w:rStyle w:val="StyleUnderline"/>
        </w:rPr>
        <w:t>must</w:t>
      </w:r>
      <w:r w:rsidRPr="00D34848">
        <w:rPr>
          <w:sz w:val="14"/>
        </w:rPr>
        <w:t xml:space="preserve"> correct course by robustly </w:t>
      </w:r>
      <w:r w:rsidRPr="00D34848">
        <w:rPr>
          <w:rStyle w:val="StyleUnderline"/>
        </w:rPr>
        <w:t>supporting PAHO, both financially and diplomatically, and encouraging other governments in the region to do the same</w:t>
      </w:r>
      <w:r w:rsidRPr="00D34848">
        <w:rPr>
          <w:sz w:val="14"/>
        </w:rPr>
        <w:t>.</w:t>
      </w:r>
    </w:p>
    <w:p w14:paraId="30224871" w14:textId="77777777" w:rsidR="001A158A" w:rsidRPr="003C207E" w:rsidRDefault="001A158A" w:rsidP="001A158A">
      <w:pPr>
        <w:rPr>
          <w:sz w:val="14"/>
        </w:rPr>
      </w:pPr>
      <w:r w:rsidRPr="003C207E">
        <w:rPr>
          <w:sz w:val="14"/>
        </w:rPr>
        <w:t xml:space="preserve">In the longer term, </w:t>
      </w:r>
      <w:r w:rsidRPr="003C207E">
        <w:rPr>
          <w:rStyle w:val="StyleUnderline"/>
        </w:rPr>
        <w:t>the U.S. government should</w:t>
      </w:r>
      <w:r w:rsidRPr="003C207E">
        <w:rPr>
          <w:sz w:val="14"/>
        </w:rPr>
        <w:t xml:space="preserve"> seek to </w:t>
      </w:r>
      <w:r w:rsidRPr="003C207E">
        <w:rPr>
          <w:rStyle w:val="StyleUnderline"/>
        </w:rPr>
        <w:t>leverage the Inter-American Development Bank</w:t>
      </w:r>
      <w:r w:rsidRPr="003C207E">
        <w:rPr>
          <w:sz w:val="14"/>
        </w:rPr>
        <w:t xml:space="preserve"> (IDB)—a multilateral financial institution of which the United States is the largest shareholder—</w:t>
      </w:r>
      <w:r w:rsidRPr="003C207E">
        <w:rPr>
          <w:rStyle w:val="StyleUnderline"/>
        </w:rPr>
        <w:t>to fund much-needed investments in health infrastructure</w:t>
      </w:r>
      <w:r w:rsidRPr="003C207E">
        <w:rPr>
          <w:sz w:val="14"/>
        </w:rPr>
        <w:t xml:space="preserve"> in the region. The IDB has taken immediate steps to increase support to the region’s overstretched public health sector, but longer-term efforts are also needed.</w:t>
      </w:r>
      <w:hyperlink r:id="rId366" w:anchor="fn-484538-49" w:history="1">
        <w:r w:rsidRPr="003C207E">
          <w:rPr>
            <w:rStyle w:val="Hyperlink"/>
            <w:sz w:val="14"/>
          </w:rPr>
          <w:t>49</w:t>
        </w:r>
      </w:hyperlink>
      <w:r w:rsidRPr="003C207E">
        <w:rPr>
          <w:sz w:val="14"/>
        </w:rPr>
        <w:t> The United States should work with stakeholders to increase the lending capacity of the IDB, which is small in relation to that of other international financial institutions and many national development banks. In addition</w:t>
      </w:r>
      <w:r w:rsidRPr="003C207E">
        <w:rPr>
          <w:rStyle w:val="StyleUnderline"/>
        </w:rPr>
        <w:t>, the U.S. Agency for International Development should work closely with the IDB to identify high-impact, manageable development projects and technical assistance programs in the health sector</w:t>
      </w:r>
      <w:r w:rsidRPr="003C207E">
        <w:rPr>
          <w:sz w:val="14"/>
        </w:rPr>
        <w:t>. The United States must also ensure that the next IDB president—to be elected this fall—is prepared to manage the significant, medium-term development challenges facing a region that will be struggling to recover from COVID-19.</w:t>
      </w:r>
    </w:p>
    <w:p w14:paraId="2E41ED85" w14:textId="77777777" w:rsidR="001A158A" w:rsidRPr="003C207E" w:rsidRDefault="001A158A" w:rsidP="001A158A">
      <w:pPr>
        <w:rPr>
          <w:rStyle w:val="StyleUnderline"/>
        </w:rPr>
      </w:pPr>
      <w:r w:rsidRPr="003C207E">
        <w:rPr>
          <w:rStyle w:val="StyleUnderline"/>
        </w:rPr>
        <w:t>Minimize harm and plan for contingencies in Venezuela and other fragile countries</w:t>
      </w:r>
    </w:p>
    <w:p w14:paraId="3241D252" w14:textId="77777777" w:rsidR="001A158A" w:rsidRPr="003C207E" w:rsidRDefault="001A158A" w:rsidP="001A158A">
      <w:pPr>
        <w:rPr>
          <w:rStyle w:val="StyleUnderline"/>
        </w:rPr>
      </w:pPr>
      <w:r w:rsidRPr="003C207E">
        <w:rPr>
          <w:sz w:val="14"/>
        </w:rPr>
        <w:t xml:space="preserve">The first priority of all regional stakeholders in fighting COVID-19 should be preventing a serious escalation of the pandemic. To that end, </w:t>
      </w:r>
      <w:r w:rsidRPr="003C207E">
        <w:rPr>
          <w:rStyle w:val="StyleUnderline"/>
        </w:rPr>
        <w:t>the U</w:t>
      </w:r>
      <w:r w:rsidRPr="003C207E">
        <w:rPr>
          <w:sz w:val="14"/>
        </w:rPr>
        <w:t>nited</w:t>
      </w:r>
      <w:r w:rsidRPr="003C207E">
        <w:rPr>
          <w:rStyle w:val="StyleUnderline"/>
        </w:rPr>
        <w:t xml:space="preserve"> S</w:t>
      </w:r>
      <w:r w:rsidRPr="003C207E">
        <w:rPr>
          <w:sz w:val="14"/>
        </w:rPr>
        <w:t xml:space="preserve">tates </w:t>
      </w:r>
      <w:r w:rsidRPr="003C207E">
        <w:rPr>
          <w:rStyle w:val="StyleUnderline"/>
        </w:rPr>
        <w:t>should adopt a “do no harm” policy with respect to the region’s most vulnerable state, Venezuela</w:t>
      </w:r>
      <w:r w:rsidRPr="003C207E">
        <w:rPr>
          <w:sz w:val="14"/>
        </w:rPr>
        <w:t>. To date, the Trump administration has focused solely on political dynamics in the country and has not acknowledged the urgency of humanitarian relief for the country’s residents.</w:t>
      </w:r>
      <w:hyperlink r:id="rId367" w:anchor="fn-484538-50" w:history="1">
        <w:r w:rsidRPr="003C207E">
          <w:rPr>
            <w:rStyle w:val="Hyperlink"/>
            <w:sz w:val="14"/>
          </w:rPr>
          <w:t>50</w:t>
        </w:r>
      </w:hyperlink>
      <w:r w:rsidRPr="003C207E">
        <w:rPr>
          <w:sz w:val="14"/>
        </w:rPr>
        <w:t xml:space="preserve"> As a first measure, </w:t>
      </w:r>
      <w:r w:rsidRPr="003C207E">
        <w:rPr>
          <w:rStyle w:val="StyleUnderline"/>
        </w:rPr>
        <w:t>the U</w:t>
      </w:r>
      <w:r w:rsidRPr="003C207E">
        <w:rPr>
          <w:sz w:val="14"/>
        </w:rPr>
        <w:t xml:space="preserve">nited </w:t>
      </w:r>
      <w:r w:rsidRPr="003C207E">
        <w:rPr>
          <w:rStyle w:val="StyleUnderline"/>
        </w:rPr>
        <w:t>S</w:t>
      </w:r>
      <w:r w:rsidRPr="003C207E">
        <w:rPr>
          <w:sz w:val="14"/>
        </w:rPr>
        <w:t xml:space="preserve">tates </w:t>
      </w:r>
      <w:r w:rsidRPr="003C207E">
        <w:rPr>
          <w:rStyle w:val="StyleUnderline"/>
        </w:rPr>
        <w:t>should ensure that current sanctions are not preventing the delivery of necessary medical and humanitarian supplies to that country</w:t>
      </w:r>
      <w:r w:rsidRPr="003C207E">
        <w:rPr>
          <w:sz w:val="14"/>
        </w:rPr>
        <w:t>. A recent clarification from the U.S. Department of the Treasury</w:t>
      </w:r>
      <w:hyperlink r:id="rId368" w:anchor="fn-484538-51" w:history="1">
        <w:r w:rsidRPr="003C207E">
          <w:rPr>
            <w:rStyle w:val="Hyperlink"/>
            <w:sz w:val="14"/>
          </w:rPr>
          <w:t>51</w:t>
        </w:r>
      </w:hyperlink>
      <w:r w:rsidRPr="003C207E">
        <w:rPr>
          <w:sz w:val="14"/>
        </w:rPr>
        <w:t xml:space="preserve">—expressing a willingness to work with lending institutions and humanitarian actors to ensure flows of needed resources to Venezuela—is an important first step, and effective follow up will be critical. In addition, </w:t>
      </w:r>
      <w:r w:rsidRPr="003C207E">
        <w:rPr>
          <w:rStyle w:val="StyleUnderline"/>
        </w:rPr>
        <w:t>the U</w:t>
      </w:r>
      <w:r w:rsidRPr="003C207E">
        <w:rPr>
          <w:sz w:val="14"/>
        </w:rPr>
        <w:t xml:space="preserve">nited </w:t>
      </w:r>
      <w:r w:rsidRPr="003C207E">
        <w:rPr>
          <w:rStyle w:val="StyleUnderline"/>
        </w:rPr>
        <w:t>S</w:t>
      </w:r>
      <w:r w:rsidRPr="003C207E">
        <w:rPr>
          <w:sz w:val="14"/>
        </w:rPr>
        <w:t xml:space="preserve">tates </w:t>
      </w:r>
      <w:r w:rsidRPr="003C207E">
        <w:rPr>
          <w:rStyle w:val="StyleUnderline"/>
        </w:rPr>
        <w:t>should support ongoing efforts by the international community</w:t>
      </w:r>
      <w:r w:rsidRPr="003C207E">
        <w:rPr>
          <w:sz w:val="14"/>
        </w:rPr>
        <w:t>, including the United Nations</w:t>
      </w:r>
      <w:hyperlink r:id="rId369" w:anchor="fn-484538-52" w:history="1">
        <w:r w:rsidRPr="003C207E">
          <w:rPr>
            <w:rStyle w:val="Hyperlink"/>
            <w:sz w:val="14"/>
          </w:rPr>
          <w:t>52</w:t>
        </w:r>
      </w:hyperlink>
      <w:r w:rsidRPr="003C207E">
        <w:rPr>
          <w:sz w:val="14"/>
        </w:rPr>
        <w:t> </w:t>
      </w:r>
      <w:r w:rsidRPr="003C207E">
        <w:rPr>
          <w:rStyle w:val="StyleUnderline"/>
        </w:rPr>
        <w:t>and many international nonprofit organizations, to provide aid to Venezuelans both inside the country and in neighboring Colombia.</w:t>
      </w:r>
    </w:p>
    <w:p w14:paraId="222E66D0" w14:textId="77777777" w:rsidR="001A158A" w:rsidRPr="003C207E" w:rsidRDefault="001A158A" w:rsidP="001A158A">
      <w:pPr>
        <w:rPr>
          <w:sz w:val="14"/>
        </w:rPr>
      </w:pPr>
      <w:r w:rsidRPr="003C207E">
        <w:rPr>
          <w:sz w:val="14"/>
        </w:rPr>
        <w:t xml:space="preserve">Given the highly contagious nature of COVID-19, even a well-coordinated and well-resourced regional response may be insufficient to prevent a serious humanitarian crisis. For this reason, the United States should also anticipate and plan for contingencies in key countries. </w:t>
      </w:r>
      <w:r w:rsidRPr="003C207E">
        <w:rPr>
          <w:rStyle w:val="StyleUnderline"/>
        </w:rPr>
        <w:t>This means working with Venezuela’s neighbors in Latin America and the Caribbean, especially Colombia</w:t>
      </w:r>
      <w:r w:rsidRPr="003C207E">
        <w:rPr>
          <w:sz w:val="14"/>
        </w:rPr>
        <w:t>, to anticipate the likely impact of a severe outbreak in the country. It also means planning for political turmoil and an increase in involuntary migration from other fragile states, particularly those that are already producing large numbers of asylum-seekers.</w:t>
      </w:r>
    </w:p>
    <w:p w14:paraId="692AF6ED" w14:textId="77777777" w:rsidR="001A158A" w:rsidRPr="003C207E" w:rsidRDefault="001A158A" w:rsidP="001A158A">
      <w:pPr>
        <w:rPr>
          <w:rStyle w:val="StyleUnderline"/>
        </w:rPr>
      </w:pPr>
      <w:r w:rsidRPr="003C207E">
        <w:rPr>
          <w:rStyle w:val="StyleUnderline"/>
        </w:rPr>
        <w:t>Border policies should be guided by science, not animus or politics</w:t>
      </w:r>
    </w:p>
    <w:p w14:paraId="304FD93C" w14:textId="77777777" w:rsidR="001A158A" w:rsidRPr="003C207E" w:rsidRDefault="001A158A" w:rsidP="001A158A">
      <w:pPr>
        <w:rPr>
          <w:sz w:val="14"/>
        </w:rPr>
      </w:pPr>
      <w:r w:rsidRPr="003C207E">
        <w:rPr>
          <w:sz w:val="14"/>
        </w:rPr>
        <w:t xml:space="preserve">Governments around the world, including </w:t>
      </w:r>
      <w:r w:rsidRPr="003C207E">
        <w:rPr>
          <w:rStyle w:val="StyleUnderline"/>
        </w:rPr>
        <w:t>the U</w:t>
      </w:r>
      <w:r w:rsidRPr="003C207E">
        <w:rPr>
          <w:sz w:val="14"/>
        </w:rPr>
        <w:t xml:space="preserve">nited </w:t>
      </w:r>
      <w:r w:rsidRPr="003C207E">
        <w:rPr>
          <w:rStyle w:val="StyleUnderline"/>
        </w:rPr>
        <w:t>S</w:t>
      </w:r>
      <w:r w:rsidRPr="003C207E">
        <w:rPr>
          <w:sz w:val="14"/>
        </w:rPr>
        <w:t xml:space="preserve">tates, </w:t>
      </w:r>
      <w:r w:rsidRPr="003C207E">
        <w:rPr>
          <w:rStyle w:val="StyleUnderline"/>
        </w:rPr>
        <w:t>have responded to the pandemic by closing borders, restricting air traffic, and banning entry to individuals traveling from areas deemed to be high risk</w:t>
      </w:r>
      <w:r w:rsidRPr="003C207E">
        <w:rPr>
          <w:sz w:val="14"/>
        </w:rPr>
        <w:t>—but travel restrictions alone will not solve the coronavirus crisis. Initially, U.S. travel restrictions—which were poorly designed, poorly executed, and ineffective—focused on areas that experienced high infection levels such as China, Iran, and the European Union. More recently, President Trump issued a proclamation temporarily banning the entry of many categories of people from across the world seeking permanent residency in the United States.</w:t>
      </w:r>
      <w:hyperlink r:id="rId370" w:anchor="fn-484538-53" w:history="1">
        <w:r w:rsidRPr="003C207E">
          <w:rPr>
            <w:rStyle w:val="Hyperlink"/>
            <w:sz w:val="14"/>
          </w:rPr>
          <w:t>53</w:t>
        </w:r>
      </w:hyperlink>
      <w:r w:rsidRPr="003C207E">
        <w:rPr>
          <w:sz w:val="14"/>
        </w:rPr>
        <w:t> The Trump administration has also used the coronavirus emergency as an opportunity to implement the kind of restrictive border policies it pursued long before the pandemic, such as turning away all asylum-seekers and closing the southern border to nonessential travel.</w:t>
      </w:r>
    </w:p>
    <w:p w14:paraId="024DA54C" w14:textId="77777777" w:rsidR="001A158A" w:rsidRPr="00487AD0" w:rsidRDefault="001A158A" w:rsidP="001A158A">
      <w:pPr>
        <w:rPr>
          <w:sz w:val="14"/>
        </w:rPr>
      </w:pPr>
      <w:r w:rsidRPr="003C207E">
        <w:rPr>
          <w:rStyle w:val="StyleUnderline"/>
        </w:rPr>
        <w:t>As the COVID</w:t>
      </w:r>
      <w:r w:rsidRPr="00487AD0">
        <w:rPr>
          <w:sz w:val="14"/>
        </w:rPr>
        <w:t xml:space="preserve">-19 situation </w:t>
      </w:r>
      <w:r w:rsidRPr="003C207E">
        <w:rPr>
          <w:rStyle w:val="StyleUnderline"/>
        </w:rPr>
        <w:t>evolves</w:t>
      </w:r>
      <w:r w:rsidRPr="00487AD0">
        <w:rPr>
          <w:sz w:val="14"/>
        </w:rPr>
        <w:t xml:space="preserve">, </w:t>
      </w:r>
      <w:r w:rsidRPr="003C207E">
        <w:rPr>
          <w:rStyle w:val="StyleUnderline"/>
        </w:rPr>
        <w:t>it</w:t>
      </w:r>
      <w:r w:rsidRPr="00487AD0">
        <w:rPr>
          <w:sz w:val="14"/>
        </w:rPr>
        <w:t xml:space="preserve"> may be </w:t>
      </w:r>
      <w:r w:rsidRPr="003C207E">
        <w:rPr>
          <w:rStyle w:val="StyleUnderline"/>
        </w:rPr>
        <w:t>necessary to amend current travel restrictions to account for the changing landscape of the pandemic</w:t>
      </w:r>
      <w:r w:rsidRPr="00487AD0">
        <w:rPr>
          <w:sz w:val="14"/>
        </w:rPr>
        <w:t xml:space="preserve">. In deciding how best to protect </w:t>
      </w:r>
      <w:r w:rsidRPr="003C207E">
        <w:rPr>
          <w:rStyle w:val="StyleUnderline"/>
        </w:rPr>
        <w:t>the U</w:t>
      </w:r>
      <w:r w:rsidRPr="00487AD0">
        <w:rPr>
          <w:sz w:val="14"/>
        </w:rPr>
        <w:t xml:space="preserve">nited </w:t>
      </w:r>
      <w:r w:rsidRPr="003C207E">
        <w:rPr>
          <w:rStyle w:val="StyleUnderline"/>
        </w:rPr>
        <w:t>S</w:t>
      </w:r>
      <w:r w:rsidRPr="00487AD0">
        <w:rPr>
          <w:sz w:val="14"/>
        </w:rPr>
        <w:t xml:space="preserve">tates from the virus, </w:t>
      </w:r>
      <w:r w:rsidRPr="00487AD0">
        <w:rPr>
          <w:rStyle w:val="StyleUnderline"/>
        </w:rPr>
        <w:t>policymakers should follow the guidance of public health experts and not use the pandemic as a justification for punitive and exclusionary border policies</w:t>
      </w:r>
      <w:r w:rsidRPr="00487AD0">
        <w:rPr>
          <w:sz w:val="14"/>
        </w:rPr>
        <w:t xml:space="preserve"> that demonize vulnerable groups and make Americans less safe. Forcing asylum-seekers to wait in crowded, informal camps in northern Mexico—or hastily expelling people</w:t>
      </w:r>
      <w:hyperlink r:id="rId371" w:anchor="fn-484538-54" w:history="1">
        <w:r w:rsidRPr="00487AD0">
          <w:rPr>
            <w:rStyle w:val="Hyperlink"/>
            <w:sz w:val="14"/>
          </w:rPr>
          <w:t>54</w:t>
        </w:r>
      </w:hyperlink>
      <w:r w:rsidRPr="00487AD0">
        <w:rPr>
          <w:sz w:val="14"/>
        </w:rPr>
        <w:t> and stopping them from being able to claim any protection at all—has the potential to create a new epicenter</w:t>
      </w:r>
      <w:hyperlink r:id="rId372" w:anchor="fn-484538-55" w:history="1">
        <w:r w:rsidRPr="00487AD0">
          <w:rPr>
            <w:rStyle w:val="Hyperlink"/>
            <w:sz w:val="14"/>
          </w:rPr>
          <w:t>55</w:t>
        </w:r>
      </w:hyperlink>
      <w:r w:rsidRPr="00487AD0">
        <w:rPr>
          <w:sz w:val="14"/>
        </w:rPr>
        <w:t> of the disease along the U.S. southern border, endangering public health in both countries.</w:t>
      </w:r>
      <w:r w:rsidRPr="00487AD0">
        <w:rPr>
          <w:sz w:val="14"/>
        </w:rPr>
        <w:br/>
      </w:r>
      <w:r w:rsidRPr="00487AD0">
        <w:rPr>
          <w:rStyle w:val="StyleUnderline"/>
        </w:rPr>
        <w:t>The U</w:t>
      </w:r>
      <w:r w:rsidRPr="00487AD0">
        <w:rPr>
          <w:sz w:val="14"/>
        </w:rPr>
        <w:t xml:space="preserve">nited </w:t>
      </w:r>
      <w:r w:rsidRPr="00487AD0">
        <w:rPr>
          <w:rStyle w:val="StyleUnderline"/>
        </w:rPr>
        <w:t>S</w:t>
      </w:r>
      <w:r w:rsidRPr="00487AD0">
        <w:rPr>
          <w:sz w:val="14"/>
        </w:rPr>
        <w:t xml:space="preserve">tates </w:t>
      </w:r>
      <w:r w:rsidRPr="00487AD0">
        <w:rPr>
          <w:rStyle w:val="StyleUnderline"/>
        </w:rPr>
        <w:t>should</w:t>
      </w:r>
      <w:r w:rsidRPr="00487AD0">
        <w:rPr>
          <w:sz w:val="14"/>
        </w:rPr>
        <w:t xml:space="preserve"> also </w:t>
      </w:r>
      <w:r w:rsidRPr="00487AD0">
        <w:rPr>
          <w:rStyle w:val="StyleUnderline"/>
        </w:rPr>
        <w:t xml:space="preserve">follow a “do no harm” policy with </w:t>
      </w:r>
      <w:r w:rsidRPr="00487AD0">
        <w:rPr>
          <w:sz w:val="14"/>
        </w:rPr>
        <w:t>Deferred Action for Childhood Arrivals (</w:t>
      </w:r>
      <w:r w:rsidRPr="00487AD0">
        <w:rPr>
          <w:rStyle w:val="StyleUnderline"/>
        </w:rPr>
        <w:t>DACA</w:t>
      </w:r>
      <w:r w:rsidRPr="00487AD0">
        <w:rPr>
          <w:sz w:val="14"/>
        </w:rPr>
        <w:t xml:space="preserve">) </w:t>
      </w:r>
      <w:r w:rsidRPr="00487AD0">
        <w:rPr>
          <w:rStyle w:val="StyleUnderline"/>
        </w:rPr>
        <w:t>and</w:t>
      </w:r>
      <w:r w:rsidRPr="00487AD0">
        <w:rPr>
          <w:sz w:val="14"/>
        </w:rPr>
        <w:t xml:space="preserve"> Temporary Protected Status (</w:t>
      </w:r>
      <w:r w:rsidRPr="00487AD0">
        <w:rPr>
          <w:rStyle w:val="StyleUnderline"/>
        </w:rPr>
        <w:t>TPS</w:t>
      </w:r>
      <w:r w:rsidRPr="00487AD0">
        <w:rPr>
          <w:sz w:val="14"/>
        </w:rPr>
        <w:t xml:space="preserve">) </w:t>
      </w:r>
      <w:r w:rsidRPr="00487AD0">
        <w:rPr>
          <w:rStyle w:val="StyleUnderline"/>
        </w:rPr>
        <w:t>holders and act to preserve both programs</w:t>
      </w:r>
      <w:r w:rsidRPr="00487AD0">
        <w:rPr>
          <w:sz w:val="14"/>
        </w:rPr>
        <w:t>. The vast majority of the more than 1 million current DACA</w:t>
      </w:r>
      <w:hyperlink r:id="rId373" w:anchor="fn-484538-56" w:history="1">
        <w:r w:rsidRPr="00487AD0">
          <w:rPr>
            <w:rStyle w:val="Hyperlink"/>
            <w:sz w:val="14"/>
          </w:rPr>
          <w:t>56</w:t>
        </w:r>
      </w:hyperlink>
      <w:r w:rsidRPr="00487AD0">
        <w:rPr>
          <w:sz w:val="14"/>
        </w:rPr>
        <w:t> and TPS</w:t>
      </w:r>
      <w:hyperlink r:id="rId374" w:anchor="fn-484538-57" w:history="1">
        <w:r w:rsidRPr="00487AD0">
          <w:rPr>
            <w:rStyle w:val="Hyperlink"/>
            <w:sz w:val="14"/>
          </w:rPr>
          <w:t>57</w:t>
        </w:r>
      </w:hyperlink>
      <w:r w:rsidRPr="00487AD0">
        <w:rPr>
          <w:sz w:val="14"/>
        </w:rPr>
        <w:t> holders are from Latin American and Caribbean countries. Ending DACA and TPS would create additional strain on receiving governments to ensure the health and safety of the people returning, particularly for countries lacking adequate health infrastructure such as Haiti. Lastly, there are additional steps</w:t>
      </w:r>
      <w:hyperlink r:id="rId375" w:anchor="fn-484538-58" w:history="1">
        <w:r w:rsidRPr="00487AD0">
          <w:rPr>
            <w:rStyle w:val="Hyperlink"/>
            <w:sz w:val="14"/>
          </w:rPr>
          <w:t>58</w:t>
        </w:r>
      </w:hyperlink>
      <w:r w:rsidRPr="00487AD0">
        <w:rPr>
          <w:sz w:val="14"/>
        </w:rPr>
        <w:t xml:space="preserve"> that U.S. federal immigration enforcement authorities can take to help protect public health during the coronavirus pandemic. </w:t>
      </w:r>
      <w:r w:rsidRPr="00487AD0">
        <w:rPr>
          <w:rStyle w:val="StyleUnderline"/>
        </w:rPr>
        <w:t>Once the threat posed by the virus abates, the United States should support a regional approach to migration that allows for the fair, safe, and humane movement of peoples and upholds legal obligations to refugees seeking asylum, as the Center for American Progress</w:t>
      </w:r>
      <w:r w:rsidRPr="00487AD0">
        <w:rPr>
          <w:sz w:val="14"/>
        </w:rPr>
        <w:t xml:space="preserve"> has previously advocated.</w:t>
      </w:r>
      <w:hyperlink r:id="rId376" w:anchor="fn-484538-59" w:history="1">
        <w:r w:rsidRPr="00487AD0">
          <w:rPr>
            <w:rStyle w:val="Hyperlink"/>
            <w:sz w:val="14"/>
          </w:rPr>
          <w:t>59</w:t>
        </w:r>
      </w:hyperlink>
    </w:p>
    <w:p w14:paraId="77CB078F" w14:textId="77777777" w:rsidR="001A158A" w:rsidRPr="00487AD0" w:rsidRDefault="001A158A" w:rsidP="001A158A">
      <w:pPr>
        <w:rPr>
          <w:rStyle w:val="StyleUnderline"/>
        </w:rPr>
      </w:pPr>
      <w:r w:rsidRPr="00487AD0">
        <w:rPr>
          <w:rStyle w:val="StyleUnderline"/>
        </w:rPr>
        <w:t>Condemn behavior that undermines mitigation efforts</w:t>
      </w:r>
    </w:p>
    <w:p w14:paraId="67FFDBA0" w14:textId="69F3DAE8" w:rsidR="001A158A" w:rsidRPr="001A158A" w:rsidRDefault="001A158A" w:rsidP="001A158A">
      <w:pPr>
        <w:rPr>
          <w:sz w:val="14"/>
        </w:rPr>
      </w:pPr>
      <w:r w:rsidRPr="00487AD0">
        <w:rPr>
          <w:sz w:val="14"/>
        </w:rPr>
        <w:t>Most countries’ responses to the pandemic have been marred by missed opportunities,</w:t>
      </w:r>
      <w:hyperlink r:id="rId377" w:anchor="fn-484538-60" w:history="1">
        <w:r w:rsidRPr="00487AD0">
          <w:rPr>
            <w:rStyle w:val="Hyperlink"/>
            <w:sz w:val="14"/>
          </w:rPr>
          <w:t>60</w:t>
        </w:r>
      </w:hyperlink>
      <w:r w:rsidRPr="00487AD0">
        <w:rPr>
          <w:sz w:val="14"/>
        </w:rPr>
        <w:t> botched analyses,</w:t>
      </w:r>
      <w:hyperlink r:id="rId378" w:anchor="fn-484538-61" w:history="1">
        <w:r w:rsidRPr="00487AD0">
          <w:rPr>
            <w:rStyle w:val="Hyperlink"/>
            <w:sz w:val="14"/>
          </w:rPr>
          <w:t>61</w:t>
        </w:r>
      </w:hyperlink>
      <w:r w:rsidRPr="00487AD0">
        <w:rPr>
          <w:sz w:val="14"/>
        </w:rPr>
        <w:t> and avoidable mistakes,</w:t>
      </w:r>
      <w:hyperlink r:id="rId379" w:anchor="fn-484538-62" w:history="1">
        <w:r w:rsidRPr="00487AD0">
          <w:rPr>
            <w:rStyle w:val="Hyperlink"/>
            <w:sz w:val="14"/>
          </w:rPr>
          <w:t>62</w:t>
        </w:r>
      </w:hyperlink>
      <w:r w:rsidRPr="00487AD0">
        <w:rPr>
          <w:sz w:val="14"/>
        </w:rPr>
        <w:t xml:space="preserve"> even in high-income countries with sophisticated public health infrastructure such as the United States. In working with other countries in the Americas to contain the spread of COVID-19, </w:t>
      </w:r>
      <w:r w:rsidRPr="00487AD0">
        <w:rPr>
          <w:rStyle w:val="StyleUnderline"/>
        </w:rPr>
        <w:t>the U</w:t>
      </w:r>
      <w:r w:rsidRPr="00487AD0">
        <w:rPr>
          <w:sz w:val="14"/>
        </w:rPr>
        <w:t xml:space="preserve">nited </w:t>
      </w:r>
      <w:r w:rsidRPr="00487AD0">
        <w:rPr>
          <w:rStyle w:val="StyleUnderline"/>
        </w:rPr>
        <w:t>S</w:t>
      </w:r>
      <w:r w:rsidRPr="00487AD0">
        <w:rPr>
          <w:sz w:val="14"/>
        </w:rPr>
        <w:t xml:space="preserve">tates </w:t>
      </w:r>
      <w:r w:rsidRPr="00487AD0">
        <w:rPr>
          <w:rStyle w:val="StyleUnderline"/>
        </w:rPr>
        <w:t>should adopt a cooperative tone and avoid condescension and unnecessary criticism</w:t>
      </w:r>
      <w:r w:rsidRPr="00487AD0">
        <w:rPr>
          <w:sz w:val="14"/>
        </w:rPr>
        <w:t xml:space="preserve">. However, in cases where political leaders act in a way that is likely to exacerbate spread of the virus and undermine mitigation efforts, </w:t>
      </w:r>
      <w:r w:rsidRPr="00487AD0">
        <w:rPr>
          <w:rStyle w:val="StyleUnderline"/>
        </w:rPr>
        <w:t>the U</w:t>
      </w:r>
      <w:r w:rsidRPr="00487AD0">
        <w:rPr>
          <w:sz w:val="14"/>
        </w:rPr>
        <w:t xml:space="preserve">nited </w:t>
      </w:r>
      <w:r w:rsidRPr="00487AD0">
        <w:rPr>
          <w:rStyle w:val="StyleUnderline"/>
        </w:rPr>
        <w:t>S</w:t>
      </w:r>
      <w:r w:rsidRPr="00487AD0">
        <w:rPr>
          <w:sz w:val="14"/>
        </w:rPr>
        <w:t xml:space="preserve">tates </w:t>
      </w:r>
      <w:r w:rsidRPr="00487AD0">
        <w:rPr>
          <w:rStyle w:val="StyleUnderline"/>
        </w:rPr>
        <w:t>should coordinate with other stakeholders in the region to condemn such behavior</w:t>
      </w:r>
      <w:r w:rsidRPr="00487AD0">
        <w:rPr>
          <w:sz w:val="14"/>
        </w:rPr>
        <w:t xml:space="preserve">. In particular, the United States and Latin American and Caribbean </w:t>
      </w:r>
      <w:r w:rsidRPr="00487AD0">
        <w:rPr>
          <w:rStyle w:val="StyleUnderline"/>
        </w:rPr>
        <w:t>governments cannot allow the dangerous and misleading statements by</w:t>
      </w:r>
      <w:r w:rsidRPr="00487AD0">
        <w:rPr>
          <w:sz w:val="14"/>
        </w:rPr>
        <w:t xml:space="preserve"> President </w:t>
      </w:r>
      <w:r w:rsidRPr="00487AD0">
        <w:rPr>
          <w:rStyle w:val="StyleUnderline"/>
        </w:rPr>
        <w:t>Bolsonaro to go unaddressed</w:t>
      </w:r>
      <w:r w:rsidRPr="00487AD0">
        <w:rPr>
          <w:sz w:val="14"/>
        </w:rPr>
        <w:t xml:space="preserve">. Likewise, </w:t>
      </w:r>
      <w:r w:rsidRPr="00487AD0">
        <w:rPr>
          <w:rStyle w:val="StyleUnderline"/>
        </w:rPr>
        <w:t>the U</w:t>
      </w:r>
      <w:r w:rsidRPr="00487AD0">
        <w:rPr>
          <w:sz w:val="14"/>
        </w:rPr>
        <w:t xml:space="preserve">nited </w:t>
      </w:r>
      <w:r w:rsidRPr="00487AD0">
        <w:rPr>
          <w:rStyle w:val="StyleUnderline"/>
        </w:rPr>
        <w:t>S</w:t>
      </w:r>
      <w:r w:rsidRPr="00487AD0">
        <w:rPr>
          <w:sz w:val="14"/>
        </w:rPr>
        <w:t xml:space="preserve">tates </w:t>
      </w:r>
      <w:r w:rsidRPr="00487AD0">
        <w:rPr>
          <w:rStyle w:val="StyleUnderline"/>
        </w:rPr>
        <w:t>should encourage the Mexican government to place public health concerns over economic ones until the threat of the pandemic has passed</w:t>
      </w:r>
      <w:r w:rsidRPr="00487AD0">
        <w:rPr>
          <w:sz w:val="14"/>
        </w:rPr>
        <w:t xml:space="preserve"> while working with its North American partners to preserve essential supply chains to the greatest extent possible.</w:t>
      </w:r>
    </w:p>
    <w:p w14:paraId="7E724CD5" w14:textId="69006E8B" w:rsidR="001A158A" w:rsidRPr="001A158A" w:rsidRDefault="001A158A" w:rsidP="001A158A">
      <w:pPr>
        <w:pStyle w:val="Heading3"/>
      </w:pPr>
      <w:r>
        <w:t>2NC – Latin America CP</w:t>
      </w:r>
    </w:p>
    <w:p w14:paraId="185D5746" w14:textId="4BBAE091" w:rsidR="001A158A" w:rsidRPr="004F1F54" w:rsidRDefault="001A158A" w:rsidP="001A158A">
      <w:pPr>
        <w:pStyle w:val="Heading4"/>
      </w:pPr>
      <w:r>
        <w:t>The counterplan solves Latin American instability.</w:t>
      </w:r>
    </w:p>
    <w:p w14:paraId="4FE9D100" w14:textId="704C62F3" w:rsidR="001A158A" w:rsidRPr="00FF1978" w:rsidRDefault="001A158A" w:rsidP="001A158A">
      <w:pPr>
        <w:rPr>
          <w:sz w:val="26"/>
        </w:rPr>
      </w:pPr>
      <w:r>
        <w:rPr>
          <w:rStyle w:val="Style13ptBold"/>
        </w:rPr>
        <w:t>LAWG 4/8</w:t>
      </w:r>
      <w:r>
        <w:rPr>
          <w:rStyle w:val="Style13ptBold"/>
          <w:b w:val="0"/>
          <w:bCs w:val="0"/>
        </w:rPr>
        <w:t xml:space="preserve"> —</w:t>
      </w:r>
      <w:r w:rsidRPr="00FF1978">
        <w:t xml:space="preserve"> Latin America Working Group is </w:t>
      </w:r>
      <w:r>
        <w:t>a network that calls for just U.S. policies towards Latin America and the Caribbean. (“NGO Statement: U.S. deportations during global pandemic risk spreading COVID-19, returning migrants and asylum seekers to danger and instability” Latin America Working Group, April 8, 2020. https://www.lawg.org/ngo-statement-u-s-deportations-during-global-pandemic-risk-spreading-covid-19-returning-migrants-and-asylum-seekers-to-danger-and-instability/)//JLPark</w:t>
      </w:r>
    </w:p>
    <w:p w14:paraId="5803CC28" w14:textId="77777777" w:rsidR="001A158A" w:rsidRPr="004F1F54" w:rsidRDefault="001A158A" w:rsidP="001A158A">
      <w:pPr>
        <w:rPr>
          <w:sz w:val="14"/>
          <w:szCs w:val="14"/>
        </w:rPr>
      </w:pPr>
      <w:r w:rsidRPr="004F1F54">
        <w:rPr>
          <w:sz w:val="14"/>
          <w:szCs w:val="14"/>
        </w:rPr>
        <w:t>The COVID-19 pandemic is a global health crisis that requires public health responses. There is no evidence that a border shutdown will improve public health. On the contrary, there is already evidence that deportations of migrants to the region could be seriously detrimental in spreading the virus to areas which had previously not had cases, and where the health effects and death toll will be catastrophic.</w:t>
      </w:r>
    </w:p>
    <w:p w14:paraId="24BC0E99" w14:textId="77777777" w:rsidR="001A158A" w:rsidRPr="004F1F54" w:rsidRDefault="001A158A" w:rsidP="001A158A">
      <w:pPr>
        <w:rPr>
          <w:sz w:val="14"/>
          <w:szCs w:val="14"/>
        </w:rPr>
      </w:pPr>
      <w:r w:rsidRPr="004F1F54">
        <w:rPr>
          <w:sz w:val="14"/>
          <w:szCs w:val="14"/>
        </w:rPr>
        <w:t>We urge the Trump Administration to immediately take the following actions:</w:t>
      </w:r>
    </w:p>
    <w:p w14:paraId="5D88C4EB" w14:textId="77777777" w:rsidR="001A158A" w:rsidRPr="004F1F54" w:rsidRDefault="001A158A" w:rsidP="001A158A">
      <w:pPr>
        <w:rPr>
          <w:sz w:val="14"/>
          <w:szCs w:val="14"/>
        </w:rPr>
      </w:pPr>
      <w:r w:rsidRPr="004F1F54">
        <w:rPr>
          <w:sz w:val="14"/>
          <w:szCs w:val="14"/>
        </w:rPr>
        <w:t>● Halt deportations of women, men, children and families back to their home countries;</w:t>
      </w:r>
    </w:p>
    <w:p w14:paraId="62F75432" w14:textId="77777777" w:rsidR="001A158A" w:rsidRPr="004F1F54" w:rsidRDefault="001A158A" w:rsidP="001A158A">
      <w:pPr>
        <w:rPr>
          <w:sz w:val="14"/>
        </w:rPr>
      </w:pPr>
      <w:r w:rsidRPr="004F1F54">
        <w:rPr>
          <w:sz w:val="14"/>
        </w:rPr>
        <w:t xml:space="preserve">● </w:t>
      </w:r>
      <w:r w:rsidRPr="004F1F54">
        <w:rPr>
          <w:rStyle w:val="StyleUnderline"/>
        </w:rPr>
        <w:t>Release immigrants from detention maximizing use of humanitarian parole</w:t>
      </w:r>
      <w:r w:rsidRPr="004F1F54">
        <w:rPr>
          <w:sz w:val="14"/>
        </w:rPr>
        <w:t xml:space="preserve">, release on recognizance, </w:t>
      </w:r>
      <w:r w:rsidRPr="004F1F54">
        <w:rPr>
          <w:rStyle w:val="StyleUnderline"/>
        </w:rPr>
        <w:t>and</w:t>
      </w:r>
      <w:r w:rsidRPr="004F1F54">
        <w:rPr>
          <w:sz w:val="14"/>
        </w:rPr>
        <w:t xml:space="preserve"> where necessary, </w:t>
      </w:r>
      <w:r w:rsidRPr="004F1F54">
        <w:rPr>
          <w:rStyle w:val="StyleUnderline"/>
        </w:rPr>
        <w:t>community-based alternatives to detention</w:t>
      </w:r>
      <w:r w:rsidRPr="004F1F54">
        <w:rPr>
          <w:sz w:val="14"/>
        </w:rPr>
        <w:t xml:space="preserve">, </w:t>
      </w:r>
      <w:r w:rsidRPr="004F1F54">
        <w:rPr>
          <w:rStyle w:val="StyleUnderline"/>
        </w:rPr>
        <w:t>following medical screening and in</w:t>
      </w:r>
      <w:r w:rsidRPr="004F1F54">
        <w:rPr>
          <w:sz w:val="14"/>
        </w:rPr>
        <w:t xml:space="preserve"> a manner consistent with public health </w:t>
      </w:r>
      <w:r w:rsidRPr="004F1F54">
        <w:rPr>
          <w:rStyle w:val="StyleUnderline"/>
        </w:rPr>
        <w:t>protocols</w:t>
      </w:r>
      <w:r w:rsidRPr="004F1F54">
        <w:rPr>
          <w:sz w:val="14"/>
        </w:rPr>
        <w:t xml:space="preserve"> on COVID-19;</w:t>
      </w:r>
    </w:p>
    <w:p w14:paraId="4565E06D" w14:textId="77777777" w:rsidR="001A158A" w:rsidRPr="004F1F54" w:rsidRDefault="001A158A" w:rsidP="001A158A">
      <w:pPr>
        <w:rPr>
          <w:sz w:val="14"/>
        </w:rPr>
      </w:pPr>
      <w:r w:rsidRPr="004F1F54">
        <w:rPr>
          <w:sz w:val="14"/>
        </w:rPr>
        <w:t xml:space="preserve">● </w:t>
      </w:r>
      <w:r w:rsidRPr="004F1F54">
        <w:rPr>
          <w:rStyle w:val="StyleUnderline"/>
        </w:rPr>
        <w:t>Process unaccompanied children according to the safeguards that the TVPRA provides and that child welfare standards compel</w:t>
      </w:r>
      <w:r w:rsidRPr="004F1F54">
        <w:rPr>
          <w:sz w:val="14"/>
        </w:rPr>
        <w:t>;</w:t>
      </w:r>
    </w:p>
    <w:p w14:paraId="705F7C67" w14:textId="77777777" w:rsidR="001A158A" w:rsidRPr="004F1F54" w:rsidRDefault="001A158A" w:rsidP="001A158A">
      <w:pPr>
        <w:rPr>
          <w:sz w:val="14"/>
        </w:rPr>
      </w:pPr>
      <w:r w:rsidRPr="004F1F54">
        <w:rPr>
          <w:sz w:val="14"/>
        </w:rPr>
        <w:t xml:space="preserve">● </w:t>
      </w:r>
      <w:r w:rsidRPr="004F1F54">
        <w:rPr>
          <w:rStyle w:val="StyleUnderline"/>
        </w:rPr>
        <w:t>Apply the same health screening processes currently used by CBP for other individuals crossing the land border to asylum seekers</w:t>
      </w:r>
      <w:r w:rsidRPr="004F1F54">
        <w:rPr>
          <w:sz w:val="14"/>
        </w:rPr>
        <w:t xml:space="preserve"> -- including referral to health officials for additional testing of any individuals with symptoms of illness and those who have recently traveled to high-prevalence areas -- </w:t>
      </w:r>
      <w:r w:rsidRPr="004F1F54">
        <w:rPr>
          <w:rStyle w:val="StyleUnderline"/>
        </w:rPr>
        <w:t>and provide them health information</w:t>
      </w:r>
      <w:r w:rsidRPr="004F1F54">
        <w:rPr>
          <w:sz w:val="14"/>
        </w:rPr>
        <w:t xml:space="preserve"> (in their own language) on prevention, isolation and treatment measures;</w:t>
      </w:r>
    </w:p>
    <w:p w14:paraId="1A346E36" w14:textId="77777777" w:rsidR="001A158A" w:rsidRPr="004F1F54" w:rsidRDefault="001A158A" w:rsidP="001A158A">
      <w:pPr>
        <w:rPr>
          <w:sz w:val="14"/>
        </w:rPr>
      </w:pPr>
      <w:r w:rsidRPr="004F1F54">
        <w:rPr>
          <w:sz w:val="14"/>
        </w:rPr>
        <w:t xml:space="preserve">● </w:t>
      </w:r>
      <w:r w:rsidRPr="004F1F54">
        <w:rPr>
          <w:rStyle w:val="StyleUnderline"/>
        </w:rPr>
        <w:t>Parole arriving asylum seekers at ports of entry as expeditiously as possible</w:t>
      </w:r>
      <w:r w:rsidRPr="004F1F54">
        <w:rPr>
          <w:sz w:val="14"/>
        </w:rPr>
        <w:t>, release other asylum seekers using other community-based alternatives to detention;</w:t>
      </w:r>
    </w:p>
    <w:p w14:paraId="6874CB95" w14:textId="77777777" w:rsidR="001A158A" w:rsidRPr="004F1F54" w:rsidRDefault="001A158A" w:rsidP="001A158A">
      <w:pPr>
        <w:rPr>
          <w:sz w:val="14"/>
        </w:rPr>
      </w:pPr>
      <w:r w:rsidRPr="004F1F54">
        <w:rPr>
          <w:sz w:val="14"/>
        </w:rPr>
        <w:t xml:space="preserve">● </w:t>
      </w:r>
      <w:r w:rsidRPr="004F1F54">
        <w:rPr>
          <w:rStyle w:val="StyleUnderline"/>
        </w:rPr>
        <w:t>Coordinate with local groups to ensure housing and transportation upon release</w:t>
      </w:r>
      <w:r w:rsidRPr="004F1F54">
        <w:rPr>
          <w:sz w:val="14"/>
        </w:rPr>
        <w:t>, and avoid holding asylum seekers in enclosed or densely populated spaces;</w:t>
      </w:r>
    </w:p>
    <w:p w14:paraId="63B2F548" w14:textId="77777777" w:rsidR="001A158A" w:rsidRPr="004F1F54" w:rsidRDefault="001A158A" w:rsidP="001A158A">
      <w:pPr>
        <w:rPr>
          <w:sz w:val="14"/>
        </w:rPr>
      </w:pPr>
      <w:r w:rsidRPr="004F1F54">
        <w:rPr>
          <w:sz w:val="14"/>
        </w:rPr>
        <w:t xml:space="preserve">● </w:t>
      </w:r>
      <w:r w:rsidRPr="004F1F54">
        <w:rPr>
          <w:rStyle w:val="StyleUnderline"/>
        </w:rPr>
        <w:t>Ensure the passage of humanitarian assistance and staff from the United States to reach asylum seekers on the Mexican side of the border</w:t>
      </w:r>
      <w:r w:rsidRPr="004F1F54">
        <w:rPr>
          <w:sz w:val="14"/>
        </w:rPr>
        <w:t>;</w:t>
      </w:r>
    </w:p>
    <w:p w14:paraId="6378C969" w14:textId="77777777" w:rsidR="001A158A" w:rsidRPr="004F1F54" w:rsidRDefault="001A158A" w:rsidP="001A158A">
      <w:pPr>
        <w:rPr>
          <w:sz w:val="12"/>
        </w:rPr>
      </w:pPr>
      <w:r w:rsidRPr="004F1F54">
        <w:rPr>
          <w:sz w:val="12"/>
        </w:rPr>
        <w:t xml:space="preserve">● </w:t>
      </w:r>
      <w:r w:rsidRPr="004F1F54">
        <w:rPr>
          <w:rStyle w:val="StyleUnderline"/>
        </w:rPr>
        <w:t>Urge Western Hemisphere governments not to take advantage of the pandemic to unduly restrict human rights</w:t>
      </w:r>
      <w:r w:rsidRPr="004F1F54">
        <w:rPr>
          <w:sz w:val="12"/>
        </w:rPr>
        <w:t>, freedom of the press, and civil liberties, including access to information about COVID-19; and</w:t>
      </w:r>
    </w:p>
    <w:p w14:paraId="2BD39D75" w14:textId="2369AA8C" w:rsidR="001A158A" w:rsidRDefault="001A158A" w:rsidP="001A158A">
      <w:pPr>
        <w:rPr>
          <w:sz w:val="12"/>
        </w:rPr>
      </w:pPr>
      <w:r w:rsidRPr="004F1F54">
        <w:rPr>
          <w:sz w:val="12"/>
        </w:rPr>
        <w:t xml:space="preserve">● </w:t>
      </w:r>
      <w:r w:rsidRPr="004F1F54">
        <w:rPr>
          <w:rStyle w:val="StyleUnderline"/>
        </w:rPr>
        <w:t>Release humanitarian funding that was previously withheld for Central America and provide substantial additional resources</w:t>
      </w:r>
      <w:r w:rsidRPr="004F1F54">
        <w:rPr>
          <w:sz w:val="12"/>
        </w:rPr>
        <w:t xml:space="preserve"> to support the work of international and local humanitarian organizations to assist with public health needs, food insecurity, access to sustainable livelihoods and water, and efforts to combat the virus.</w:t>
      </w:r>
    </w:p>
    <w:p w14:paraId="27C074AF" w14:textId="164841E2" w:rsidR="00586EDF" w:rsidRDefault="00586EDF" w:rsidP="00586EDF">
      <w:pPr>
        <w:pStyle w:val="Heading3"/>
      </w:pPr>
      <w:r>
        <w:t>1NC – Insider Trading CP</w:t>
      </w:r>
    </w:p>
    <w:p w14:paraId="3B2ECB39" w14:textId="7AFD7E2A" w:rsidR="00586EDF" w:rsidRPr="00586EDF" w:rsidRDefault="00586EDF" w:rsidP="00586EDF">
      <w:pPr>
        <w:pStyle w:val="Heading4"/>
      </w:pPr>
      <w:r>
        <w:t xml:space="preserve">Insider trading </w:t>
      </w:r>
      <w:r>
        <w:rPr>
          <w:u w:val="single"/>
        </w:rPr>
        <w:t>should</w:t>
      </w:r>
      <w:r>
        <w:t xml:space="preserve"> be legalized.</w:t>
      </w:r>
    </w:p>
    <w:p w14:paraId="0D371085" w14:textId="60AB4ED2" w:rsidR="00586EDF" w:rsidRPr="00790B8F" w:rsidRDefault="00586EDF" w:rsidP="00586EDF">
      <w:pPr>
        <w:rPr>
          <w:rStyle w:val="Style13ptBold"/>
          <w:b w:val="0"/>
          <w:bCs w:val="0"/>
        </w:rPr>
      </w:pPr>
      <w:r>
        <w:rPr>
          <w:rStyle w:val="Style13ptBold"/>
        </w:rPr>
        <w:t xml:space="preserve">McArdle 18 — </w:t>
      </w:r>
      <w:r w:rsidRPr="00586EDF">
        <w:t>Megan</w:t>
      </w:r>
      <w:r w:rsidRPr="00790B8F">
        <w:t xml:space="preserve"> McArdle is a writer for The Washington Post. Other publications she has worked for include The Atlantic, Newsweek/The Daily Beast, and Bloomberg View. She has also published book reviews and opinion pieces in the New York Post, The New York Sun, Reason, The Guardian, and Salon.</w:t>
      </w:r>
      <w:r>
        <w:t xml:space="preserve"> (“Show me the victims of insider trading. I’ll wait.” The Washington Post, August 9, 2018. https://www.washingtonpost.com/blogs/post-partisan/wp/2018/08/09/show-me-the-victims-of-insider-trading-ill-wait/)//JLPark</w:t>
      </w:r>
    </w:p>
    <w:p w14:paraId="14816462" w14:textId="77777777" w:rsidR="00586EDF" w:rsidRPr="00790B8F" w:rsidRDefault="00586EDF" w:rsidP="00586EDF">
      <w:pPr>
        <w:rPr>
          <w:sz w:val="14"/>
        </w:rPr>
      </w:pPr>
      <w:r w:rsidRPr="00790B8F">
        <w:rPr>
          <w:rStyle w:val="Emphasis"/>
        </w:rPr>
        <w:t xml:space="preserve">“Galaxy-level stupidity.” </w:t>
      </w:r>
      <w:r w:rsidRPr="00790B8F">
        <w:rPr>
          <w:rStyle w:val="StyleUnderline"/>
        </w:rPr>
        <w:t>That’s how</w:t>
      </w:r>
      <w:r w:rsidRPr="00790B8F">
        <w:rPr>
          <w:sz w:val="14"/>
        </w:rPr>
        <w:t xml:space="preserve"> a securities </w:t>
      </w:r>
      <w:r w:rsidRPr="00790B8F">
        <w:rPr>
          <w:rStyle w:val="StyleUnderline"/>
        </w:rPr>
        <w:t>lawyer</w:t>
      </w:r>
      <w:r w:rsidRPr="00790B8F">
        <w:rPr>
          <w:sz w:val="14"/>
        </w:rPr>
        <w:t xml:space="preserve"> of my acquaintance </w:t>
      </w:r>
      <w:r w:rsidRPr="00790B8F">
        <w:rPr>
          <w:rStyle w:val="StyleUnderline"/>
        </w:rPr>
        <w:t>characterized</w:t>
      </w:r>
      <w:r w:rsidRPr="00790B8F">
        <w:rPr>
          <w:sz w:val="14"/>
        </w:rPr>
        <w:t xml:space="preserve"> the alleged </w:t>
      </w:r>
      <w:r w:rsidRPr="00790B8F">
        <w:rPr>
          <w:rStyle w:val="StyleUnderline"/>
        </w:rPr>
        <w:t>insider trading</w:t>
      </w:r>
      <w:r w:rsidRPr="00790B8F">
        <w:rPr>
          <w:sz w:val="14"/>
        </w:rPr>
        <w:t xml:space="preserve"> operation of Rep. Chris Collins, a Republican from New York’s 27th District. If the indictment is accurate, the fact that Collins allegedly phoned illegal tips from the White House lawn is not even the most surprising or interesting thing about this case. What would be truly wondrous is his thinking he could get away with it.</w:t>
      </w:r>
    </w:p>
    <w:p w14:paraId="42F4C191" w14:textId="77777777" w:rsidR="00586EDF" w:rsidRPr="00790B8F" w:rsidRDefault="00586EDF" w:rsidP="00586EDF">
      <w:pPr>
        <w:rPr>
          <w:sz w:val="14"/>
          <w:szCs w:val="14"/>
        </w:rPr>
      </w:pPr>
      <w:r w:rsidRPr="00790B8F">
        <w:rPr>
          <w:sz w:val="14"/>
          <w:szCs w:val="14"/>
        </w:rPr>
        <w:t>If you are on a pharmaceutical company board and you tell your son to sell the firm’s stock because its new drug just failed in trials, there is basically a 100 percent chance that regulators are going to connect the dots. And if your son tells his fiancee and his future father-in-law, and said father-in-law then tells his brother and sister — well, the chances that someone close to you will be indicted are also good.</w:t>
      </w:r>
    </w:p>
    <w:p w14:paraId="42B2B9D5" w14:textId="77777777" w:rsidR="00586EDF" w:rsidRPr="00790B8F" w:rsidRDefault="00586EDF" w:rsidP="00586EDF">
      <w:pPr>
        <w:rPr>
          <w:sz w:val="14"/>
          <w:szCs w:val="14"/>
        </w:rPr>
      </w:pPr>
      <w:r w:rsidRPr="00790B8F">
        <w:rPr>
          <w:sz w:val="14"/>
          <w:szCs w:val="14"/>
        </w:rPr>
        <w:t>In this case, it was Collins, his son and the father of his son’s fiancee who were charged with wire fraud, securities fraud and conspiracy to commit securities fraud. All three pleaded not guilty, and Collins vowed not only to keep his seat but also to continue campaigning for reelection in November.</w:t>
      </w:r>
    </w:p>
    <w:p w14:paraId="5D8FF845" w14:textId="77777777" w:rsidR="00586EDF" w:rsidRPr="00790B8F" w:rsidRDefault="00586EDF" w:rsidP="00586EDF">
      <w:pPr>
        <w:rPr>
          <w:sz w:val="14"/>
          <w:szCs w:val="14"/>
        </w:rPr>
      </w:pPr>
      <w:r w:rsidRPr="00790B8F">
        <w:rPr>
          <w:sz w:val="14"/>
          <w:szCs w:val="14"/>
        </w:rPr>
        <w:t>Okay, what Collins is alleged to have done wasn’t too bright. But was it wrong?</w:t>
      </w:r>
    </w:p>
    <w:p w14:paraId="77344B60" w14:textId="77777777" w:rsidR="00586EDF" w:rsidRPr="00790B8F" w:rsidRDefault="00586EDF" w:rsidP="00586EDF">
      <w:pPr>
        <w:rPr>
          <w:sz w:val="14"/>
          <w:szCs w:val="14"/>
        </w:rPr>
      </w:pPr>
      <w:r w:rsidRPr="00790B8F">
        <w:rPr>
          <w:sz w:val="14"/>
          <w:szCs w:val="14"/>
        </w:rPr>
        <w:t>At some level, yes, it’s wrong because it’s illegal and you shouldn’t break the law. Except people break the law all the time when they think no one is being harmed, as when they speed on a deserted stretch of road or put money into the office pool during March Madness.</w:t>
      </w:r>
    </w:p>
    <w:p w14:paraId="2C3C99B0" w14:textId="77777777" w:rsidR="00586EDF" w:rsidRPr="00790B8F" w:rsidRDefault="00586EDF" w:rsidP="00586EDF">
      <w:pPr>
        <w:rPr>
          <w:sz w:val="14"/>
        </w:rPr>
      </w:pPr>
      <w:r w:rsidRPr="00790B8F">
        <w:rPr>
          <w:rStyle w:val="StyleUnderline"/>
        </w:rPr>
        <w:t xml:space="preserve">Who was hurt </w:t>
      </w:r>
      <w:r w:rsidRPr="00790B8F">
        <w:rPr>
          <w:sz w:val="14"/>
        </w:rPr>
        <w:t xml:space="preserve">by what Collins allegedly did? </w:t>
      </w:r>
      <w:r w:rsidRPr="00790B8F">
        <w:rPr>
          <w:rStyle w:val="StyleUnderline"/>
        </w:rPr>
        <w:t>The answer might seem obvious</w:t>
      </w:r>
      <w:r w:rsidRPr="00790B8F">
        <w:rPr>
          <w:sz w:val="14"/>
        </w:rPr>
        <w:t>: anyone who bought the stock that Collins’s son, Cameron, and others sold. But it’s not as if Cameron Collins went door to door persuading pensioners to buy his ticking-bomb shares. According to the indictment, he used a broker to sell the stock. The broker presumably sold that stock to people who already had an interest in buying it.</w:t>
      </w:r>
    </w:p>
    <w:p w14:paraId="2BE0B980" w14:textId="77777777" w:rsidR="00586EDF" w:rsidRPr="00790B8F" w:rsidRDefault="00586EDF" w:rsidP="00586EDF">
      <w:pPr>
        <w:rPr>
          <w:sz w:val="14"/>
        </w:rPr>
      </w:pPr>
      <w:r w:rsidRPr="00790B8F">
        <w:rPr>
          <w:sz w:val="14"/>
        </w:rPr>
        <w:t xml:space="preserve">Yes, Cameron Collins allegedly knew that the interest was misguided. It would have been selfless of him to hang on to the stock and bear the losses himself. But if he hadn’t sold, those interested buyers would have bought shares from someone else. And here’s the kicker: Since share prices tend to decrease as the supply of shares increases, </w:t>
      </w:r>
      <w:r w:rsidRPr="00790B8F">
        <w:rPr>
          <w:rStyle w:val="StyleUnderline"/>
        </w:rPr>
        <w:t>the buyers might have actually paid a higher price</w:t>
      </w:r>
      <w:r w:rsidRPr="00790B8F">
        <w:rPr>
          <w:sz w:val="14"/>
        </w:rPr>
        <w:t xml:space="preserve"> if Cameron Collins’s weren’t on the market, and </w:t>
      </w:r>
      <w:r w:rsidRPr="00790B8F">
        <w:rPr>
          <w:rStyle w:val="StyleUnderline"/>
        </w:rPr>
        <w:t>thereby would have lost more money.</w:t>
      </w:r>
    </w:p>
    <w:p w14:paraId="67391EB1" w14:textId="77777777" w:rsidR="00586EDF" w:rsidRPr="00790B8F" w:rsidRDefault="00586EDF" w:rsidP="00586EDF">
      <w:pPr>
        <w:rPr>
          <w:rStyle w:val="StyleUnderline"/>
        </w:rPr>
      </w:pPr>
      <w:r w:rsidRPr="00790B8F">
        <w:rPr>
          <w:sz w:val="14"/>
        </w:rPr>
        <w:t xml:space="preserve">But </w:t>
      </w:r>
      <w:r w:rsidRPr="00790B8F">
        <w:rPr>
          <w:rStyle w:val="StyleUnderline"/>
        </w:rPr>
        <w:t>maybe insider trading is bad for the market?</w:t>
      </w:r>
      <w:r w:rsidRPr="00790B8F">
        <w:rPr>
          <w:sz w:val="14"/>
        </w:rPr>
        <w:t xml:space="preserve"> Actually, </w:t>
      </w:r>
      <w:r w:rsidRPr="00790B8F">
        <w:rPr>
          <w:rStyle w:val="StyleUnderline"/>
        </w:rPr>
        <w:t>insider trading</w:t>
      </w:r>
      <w:r w:rsidRPr="00790B8F">
        <w:rPr>
          <w:sz w:val="14"/>
        </w:rPr>
        <w:t xml:space="preserve"> probably </w:t>
      </w:r>
      <w:r w:rsidRPr="00790B8F">
        <w:rPr>
          <w:rStyle w:val="StyleUnderline"/>
        </w:rPr>
        <w:t>makes markets more efficient. During the interval between the discovery of material nonpublic information and the publicizing of that information, the shares are being systematically mispriced through general ignorance. If insiders were trading, the shift in the supply of the stock would tend to push the price closer to a more realistic value.</w:t>
      </w:r>
    </w:p>
    <w:p w14:paraId="155B592D" w14:textId="77777777" w:rsidR="00586EDF" w:rsidRPr="00790B8F" w:rsidRDefault="00586EDF" w:rsidP="00586EDF">
      <w:pPr>
        <w:rPr>
          <w:sz w:val="14"/>
        </w:rPr>
      </w:pPr>
      <w:r w:rsidRPr="00790B8F">
        <w:rPr>
          <w:rStyle w:val="StyleUnderline"/>
        </w:rPr>
        <w:t>Critics contend that insider trading can reduce confidence in the market, making investors</w:t>
      </w:r>
      <w:r w:rsidRPr="00790B8F">
        <w:rPr>
          <w:sz w:val="14"/>
        </w:rPr>
        <w:t xml:space="preserve"> — particularly the ordinary mom-and-pop kind — </w:t>
      </w:r>
      <w:r w:rsidRPr="00790B8F">
        <w:rPr>
          <w:rStyle w:val="StyleUnderline"/>
        </w:rPr>
        <w:t>reluctant to invest in publicly traded securities</w:t>
      </w:r>
      <w:r w:rsidRPr="00790B8F">
        <w:rPr>
          <w:sz w:val="14"/>
        </w:rPr>
        <w:t xml:space="preserve">. The problem is, </w:t>
      </w:r>
      <w:r w:rsidRPr="00790B8F">
        <w:rPr>
          <w:rStyle w:val="StyleUnderline"/>
        </w:rPr>
        <w:t>there isn’t much evidence that’s true. Investor confidence levels were just fine during periods in which insider trading seemed</w:t>
      </w:r>
      <w:r w:rsidRPr="00790B8F">
        <w:rPr>
          <w:sz w:val="14"/>
        </w:rPr>
        <w:t xml:space="preserve"> to be particularly </w:t>
      </w:r>
      <w:r w:rsidRPr="00790B8F">
        <w:rPr>
          <w:rStyle w:val="StyleUnderline"/>
        </w:rPr>
        <w:t>rampant</w:t>
      </w:r>
      <w:r w:rsidRPr="00790B8F">
        <w:rPr>
          <w:sz w:val="14"/>
        </w:rPr>
        <w:t xml:space="preserve"> — </w:t>
      </w:r>
      <w:r w:rsidRPr="00790B8F">
        <w:rPr>
          <w:rStyle w:val="Emphasis"/>
        </w:rPr>
        <w:t>too confident</w:t>
      </w:r>
      <w:r w:rsidRPr="00790B8F">
        <w:rPr>
          <w:sz w:val="14"/>
        </w:rPr>
        <w:t>, possibly, since more than once those markets proceeded blithely onward into speculative bubbles.</w:t>
      </w:r>
    </w:p>
    <w:p w14:paraId="6C78C3E6" w14:textId="77777777" w:rsidR="00586EDF" w:rsidRPr="002E6B59" w:rsidRDefault="00586EDF" w:rsidP="00586EDF">
      <w:pPr>
        <w:rPr>
          <w:sz w:val="14"/>
          <w:szCs w:val="14"/>
        </w:rPr>
      </w:pPr>
      <w:r w:rsidRPr="002E6B59">
        <w:rPr>
          <w:sz w:val="14"/>
          <w:szCs w:val="14"/>
        </w:rPr>
        <w:t>As that suggests, confidence in the markets is not exactly an unalloyed good. Insider trading scandals don’t appear to discourage ordinary investors from dabbling in stock trading, but something ought to, because amateurs who can’t read a balance sheet have no business buying individual stocks. If insider trading made them less likely to do so, that would be a point in its favor.</w:t>
      </w:r>
    </w:p>
    <w:p w14:paraId="7000435E" w14:textId="77777777" w:rsidR="00586EDF" w:rsidRPr="002E6B59" w:rsidRDefault="00586EDF" w:rsidP="00586EDF">
      <w:pPr>
        <w:rPr>
          <w:sz w:val="14"/>
        </w:rPr>
      </w:pPr>
      <w:r w:rsidRPr="002E6B59">
        <w:rPr>
          <w:sz w:val="14"/>
        </w:rPr>
        <w:t>Which leads us back to where we started</w:t>
      </w:r>
      <w:r w:rsidRPr="002E6B59">
        <w:rPr>
          <w:rStyle w:val="StyleUnderline"/>
        </w:rPr>
        <w:t>: It’s surprisingly hard to pin down an actual harm from insider trading</w:t>
      </w:r>
      <w:r w:rsidRPr="002E6B59">
        <w:rPr>
          <w:sz w:val="14"/>
        </w:rPr>
        <w:t>. And yet we have a stubborn intuition that it ought to be illegal because it just doesn’t seem fair. That’s a reasonable response: Insiders such as the sons of congressmen and board members should have to take the same losses as anyone else on speculative investments.</w:t>
      </w:r>
    </w:p>
    <w:p w14:paraId="55254DE1" w14:textId="3518310B" w:rsidR="00586EDF" w:rsidRPr="00790B8F" w:rsidRDefault="00586EDF" w:rsidP="00586EDF">
      <w:pPr>
        <w:pStyle w:val="Heading3"/>
      </w:pPr>
      <w:r>
        <w:t>2NC – Insider Trading CP</w:t>
      </w:r>
    </w:p>
    <w:p w14:paraId="13299DC3" w14:textId="26E25914" w:rsidR="00586EDF" w:rsidRDefault="00586EDF" w:rsidP="00586EDF">
      <w:pPr>
        <w:pStyle w:val="Heading4"/>
      </w:pPr>
      <w:r>
        <w:t>It outweighs the negatives.</w:t>
      </w:r>
    </w:p>
    <w:p w14:paraId="1B978317" w14:textId="77777777" w:rsidR="00586EDF" w:rsidRDefault="00586EDF" w:rsidP="00586EDF">
      <w:r>
        <w:rPr>
          <w:rStyle w:val="Style13ptBold"/>
        </w:rPr>
        <w:t xml:space="preserve">Hooper 15 — </w:t>
      </w:r>
      <w:r>
        <w:t xml:space="preserve">Charles L. Hooper is president of Objective Insights, a company that consults for pharmaceutical and biotech companies. He was a visiting fellow at the Hoover Institution. (“Who Is Harmed by Insider Trading?” The Library of Economics and Liberty, March 2, 2015. </w:t>
      </w:r>
      <w:hyperlink r:id="rId380" w:history="1">
        <w:r w:rsidRPr="00972A4F">
          <w:rPr>
            <w:rStyle w:val="Hyperlink"/>
          </w:rPr>
          <w:t>https://www.econlib.org/library/Columns/y2015/Hooperharmed.html)//JLPark</w:t>
        </w:r>
      </w:hyperlink>
    </w:p>
    <w:p w14:paraId="1E8CC467" w14:textId="77777777" w:rsidR="00586EDF" w:rsidRPr="0010564C" w:rsidRDefault="00586EDF" w:rsidP="00586EDF">
      <w:pPr>
        <w:rPr>
          <w:sz w:val="14"/>
        </w:rPr>
      </w:pPr>
      <w:r w:rsidRPr="0010564C">
        <w:rPr>
          <w:rStyle w:val="StyleUnderline"/>
        </w:rPr>
        <w:t>Economists have long known about the beneficial effects of insider trading</w:t>
      </w:r>
      <w:r w:rsidRPr="0010564C">
        <w:rPr>
          <w:sz w:val="14"/>
        </w:rPr>
        <w:t xml:space="preserve">. Up-to-date information is crucial for the proper functioning of a stock market, and insiders trade when stock prices, reflecting stale information, have diverged from reality. </w:t>
      </w:r>
      <w:r w:rsidRPr="0010564C">
        <w:rPr>
          <w:rStyle w:val="StyleUnderline"/>
        </w:rPr>
        <w:t>Insiders trade on newer information, nudging share prices toward reality and improving stock market efficiency</w:t>
      </w:r>
      <w:r w:rsidRPr="0010564C">
        <w:rPr>
          <w:sz w:val="14"/>
        </w:rPr>
        <w:t>. Still, it raises a thorny question: If insider trading is beneficial, where does the insider’s newfound wealth come from? Doesn’t it come from other investors who have been harmed? Why is it economically and morally acceptable for the insider to pocket the returns that would have enriched others?</w:t>
      </w:r>
    </w:p>
    <w:p w14:paraId="19575BFE" w14:textId="77777777" w:rsidR="00586EDF" w:rsidRPr="0010564C" w:rsidRDefault="00586EDF" w:rsidP="00586EDF">
      <w:pPr>
        <w:rPr>
          <w:sz w:val="14"/>
        </w:rPr>
      </w:pPr>
      <w:r w:rsidRPr="0010564C">
        <w:rPr>
          <w:sz w:val="14"/>
        </w:rPr>
        <w:t xml:space="preserve">Those are good questions, but careful analysis shows that, contrary to the popular view, </w:t>
      </w:r>
      <w:r w:rsidRPr="0010564C">
        <w:rPr>
          <w:rStyle w:val="StyleUnderline"/>
        </w:rPr>
        <w:t>investors who lose when insiders trade are even less deserving of the windfall profits than the insiders themselves</w:t>
      </w:r>
      <w:r w:rsidRPr="0010564C">
        <w:rPr>
          <w:sz w:val="14"/>
        </w:rPr>
        <w:t>. Insider-trading laws can be seen for what they truly are: governments pushing mistaken notions of fairness and punishing victimless “crimes.”</w:t>
      </w:r>
    </w:p>
    <w:p w14:paraId="4770D812" w14:textId="77777777" w:rsidR="00586EDF" w:rsidRPr="0010564C" w:rsidRDefault="00586EDF" w:rsidP="00586EDF">
      <w:pPr>
        <w:rPr>
          <w:sz w:val="14"/>
        </w:rPr>
      </w:pPr>
      <w:r w:rsidRPr="0010564C">
        <w:rPr>
          <w:sz w:val="14"/>
        </w:rPr>
        <w:t xml:space="preserve">For our specimen, we will examine the December 2014 acquisition of Cubist Pharmaceuticals by Merck &amp; Co. for $9.5 billion, or $102 per share. Before the deal was announced, Cubist shares closed at $74.36. The next day, shares closed at $100.60.3 Insiders who traded on this information—and I know of no suspected insider trades—could have made a 35-percent return in a matter of days. </w:t>
      </w:r>
      <w:r w:rsidRPr="0010564C">
        <w:rPr>
          <w:rStyle w:val="StyleUnderline"/>
        </w:rPr>
        <w:t>Trading in options would have been even more lucrative. The appeal of insider trading is obvious</w:t>
      </w:r>
      <w:r w:rsidRPr="0010564C">
        <w:rPr>
          <w:sz w:val="14"/>
        </w:rPr>
        <w:t>.</w:t>
      </w:r>
    </w:p>
    <w:p w14:paraId="4F1DF83D" w14:textId="77777777" w:rsidR="00586EDF" w:rsidRPr="0010564C" w:rsidRDefault="00586EDF" w:rsidP="00586EDF">
      <w:pPr>
        <w:rPr>
          <w:sz w:val="14"/>
          <w:szCs w:val="14"/>
        </w:rPr>
      </w:pPr>
      <w:r w:rsidRPr="0010564C">
        <w:rPr>
          <w:sz w:val="14"/>
          <w:szCs w:val="14"/>
        </w:rPr>
        <w:t>The share price of all publicly traded stocks varies throughout the day and across days. For the sake of this example, however, consider a stock—here, Cubist—with a steady price of $74.36 for days, with no bid/ask spread. In other words, all transactions take place at exactly $74.36, with buyers and sellers meeting at that exact price and trading shares.</w:t>
      </w:r>
    </w:p>
    <w:p w14:paraId="4BC923DC" w14:textId="77777777" w:rsidR="00586EDF" w:rsidRPr="0010564C" w:rsidRDefault="00586EDF" w:rsidP="00586EDF">
      <w:pPr>
        <w:rPr>
          <w:sz w:val="14"/>
          <w:szCs w:val="14"/>
        </w:rPr>
      </w:pPr>
      <w:r w:rsidRPr="0010564C">
        <w:rPr>
          <w:sz w:val="14"/>
          <w:szCs w:val="14"/>
        </w:rPr>
        <w:t>Assume, further, that all relevant information about Cubist was widely known before the acquisition. What can we infer? All buyers at $74.36 liked the prospects of the company and preferred to own Cubist shares over cash, bonds, or the shares of other companies. Sellers either did not like the prospects of Cubist or preferred their assets to be in cash or other investments, while some sellers simply needed cash for living expenses or large purchases.</w:t>
      </w:r>
    </w:p>
    <w:p w14:paraId="7E7197BE" w14:textId="77777777" w:rsidR="00586EDF" w:rsidRPr="0010564C" w:rsidRDefault="00586EDF" w:rsidP="00586EDF">
      <w:pPr>
        <w:rPr>
          <w:rStyle w:val="StyleUnderline"/>
        </w:rPr>
      </w:pPr>
      <w:r w:rsidRPr="0010564C">
        <w:rPr>
          <w:sz w:val="14"/>
        </w:rPr>
        <w:t xml:space="preserve">The key point is that each transaction had a buyer on one side who preferred shares to cash and a seller on the other side who preferred cash to shares. Because investors were presumed informed and all key information was public, let’s call these investors Informed Buyer and Informed Seller. Why would one sell while the other was buying, even though they had the same information? They must have faced different situations, had different preferences, and/or, perhaps, had different assessments of the future. Because of their differences, each transaction benefited both investors. </w:t>
      </w:r>
      <w:r w:rsidRPr="0010564C">
        <w:rPr>
          <w:rStyle w:val="StyleUnderline"/>
        </w:rPr>
        <w:t>One avenue by which the stock market makes buyers and sellers wealthier is through the simple facilitation of trades that improve the circumstances of each party.</w:t>
      </w:r>
    </w:p>
    <w:p w14:paraId="66D758A5" w14:textId="77777777" w:rsidR="00586EDF" w:rsidRPr="009C5049" w:rsidRDefault="00586EDF" w:rsidP="00586EDF">
      <w:pPr>
        <w:rPr>
          <w:sz w:val="14"/>
          <w:szCs w:val="14"/>
        </w:rPr>
      </w:pPr>
      <w:r w:rsidRPr="009C5049">
        <w:rPr>
          <w:sz w:val="14"/>
          <w:szCs w:val="14"/>
        </w:rPr>
        <w:t>Interestingly, Informed Buyer and Informed Seller ceased to exist when Merck entered closed-door negotiations with Cubist, as these investors were suddenly deprived of important information as the actual and “true” share prices diverged and Cubist shares were temporarily mispriced. With the negotiations progressing, shares in Cubist continued to be traded at $74.36 per share—no new information was available to drive the share price higher or lower—and, hence, all subsequent investors must be labeled Uninformed Buyer and Uninformed Seller. Had they possessed that material information, they might not have bought or sold; and if they had chosen to buy or sell, they might have done so at a different price. In our example, they do trade, and Uninformed Buyer purchases Cubist shares from Uninformed Seller at $74.36 per share.</w:t>
      </w:r>
    </w:p>
    <w:p w14:paraId="6E709F42" w14:textId="77777777" w:rsidR="00586EDF" w:rsidRPr="009C5049" w:rsidRDefault="00586EDF" w:rsidP="00586EDF">
      <w:pPr>
        <w:rPr>
          <w:rStyle w:val="StyleUnderline"/>
        </w:rPr>
      </w:pPr>
      <w:r w:rsidRPr="009C5049">
        <w:rPr>
          <w:rStyle w:val="StyleUnderline"/>
        </w:rPr>
        <w:t>We need to introduce another investor, called Insider—a corporate insider employed</w:t>
      </w:r>
      <w:r w:rsidRPr="009C5049">
        <w:rPr>
          <w:sz w:val="14"/>
        </w:rPr>
        <w:t xml:space="preserve"> by either Merck or Cubist, who is in the process of buying Cubist shares at $74.36, </w:t>
      </w:r>
      <w:r w:rsidRPr="009C5049">
        <w:rPr>
          <w:rStyle w:val="StyleUnderline"/>
        </w:rPr>
        <w:t>hoping to sell them later at a profit.</w:t>
      </w:r>
    </w:p>
    <w:p w14:paraId="719AA7B3" w14:textId="77777777" w:rsidR="00586EDF" w:rsidRPr="009C5049" w:rsidRDefault="00586EDF" w:rsidP="00586EDF">
      <w:pPr>
        <w:rPr>
          <w:sz w:val="14"/>
        </w:rPr>
      </w:pPr>
      <w:r w:rsidRPr="009C5049">
        <w:rPr>
          <w:sz w:val="14"/>
        </w:rPr>
        <w:t xml:space="preserve">First, </w:t>
      </w:r>
      <w:r w:rsidRPr="009C5049">
        <w:rPr>
          <w:rStyle w:val="StyleUnderline"/>
        </w:rPr>
        <w:t>consider the case in which Insider buys a miniscule proportion</w:t>
      </w:r>
      <w:r w:rsidRPr="009C5049">
        <w:rPr>
          <w:sz w:val="14"/>
        </w:rPr>
        <w:t xml:space="preserve"> of Cubist’s average daily volume. The daily volume of Cubist was approximately 600,000 shares before the deal, which, at $74.36 per share, was $44.6 million per day. Assume that Insider purchases $100,000 of Cubist stock.</w:t>
      </w:r>
    </w:p>
    <w:p w14:paraId="552080A0" w14:textId="77777777" w:rsidR="00586EDF" w:rsidRPr="009C5049" w:rsidRDefault="00586EDF" w:rsidP="00586EDF">
      <w:pPr>
        <w:rPr>
          <w:sz w:val="14"/>
          <w:szCs w:val="14"/>
        </w:rPr>
      </w:pPr>
      <w:r w:rsidRPr="009C5049">
        <w:rPr>
          <w:sz w:val="14"/>
          <w:szCs w:val="14"/>
        </w:rPr>
        <w:t>Remember that most employees are not millionaires, and even millionaires might have a hard time coming up with $100,000 on short notice. Some actual insider-trading prosecutions involve relatively small amounts of money. In August 2012, for example, the U.S. Securities and Exchange Commission (SEC) charged eight people with making half a million dollars via insider trading on Chattem stock.4 That’s less than $65,000 per person, and the total amount was only 0.03 percent of the $1.9 billion acquisition of Chattem by Sanofi-Aventis.5 Admittedly, many cases do involve larger sums; Mathew Martoma was convicted in February 2014 of illegal trading in two pharmaceutical companies for a total value of $275 million.6</w:t>
      </w:r>
    </w:p>
    <w:p w14:paraId="5AF36B0A" w14:textId="77777777" w:rsidR="00586EDF" w:rsidRPr="009C5049" w:rsidRDefault="00586EDF" w:rsidP="00586EDF">
      <w:pPr>
        <w:rPr>
          <w:sz w:val="14"/>
        </w:rPr>
      </w:pPr>
      <w:r w:rsidRPr="009C5049">
        <w:rPr>
          <w:sz w:val="14"/>
        </w:rPr>
        <w:t xml:space="preserve">In our example, Insider’s purchases will be only 0.2 percent of Cubist’s volume for one single day. </w:t>
      </w:r>
      <w:r w:rsidRPr="009C5049">
        <w:rPr>
          <w:rStyle w:val="StyleUnderline"/>
        </w:rPr>
        <w:t xml:space="preserve">It’s hard to imagine Insider’s actions affecting the share price </w:t>
      </w:r>
      <w:r w:rsidRPr="009C5049">
        <w:rPr>
          <w:sz w:val="14"/>
        </w:rPr>
        <w:t xml:space="preserve">of Cubist </w:t>
      </w:r>
      <w:r w:rsidRPr="009C5049">
        <w:rPr>
          <w:rStyle w:val="StyleUnderline"/>
        </w:rPr>
        <w:t>more than infinitesimally</w:t>
      </w:r>
      <w:r w:rsidRPr="009C5049">
        <w:rPr>
          <w:sz w:val="14"/>
        </w:rPr>
        <w:t>. In this case, Insider will end up buying the shares from Uninformed Seller—shares that would have gone to Uninformed Buyer. Later, after the news becomes known and the share price jumps to $100.60, Uninformed Seller will kick himself or herself for selling at $74.36. But Uniformed Seller was going to sell at $74.36 anyway, to Uninformed Buyer, to Insider, or to someone else. Insider did not harm Uninformed Seller in any way whatsoever. Uninformed Seller wanted to sell and someone—in this case, Insider—obliged.</w:t>
      </w:r>
    </w:p>
    <w:p w14:paraId="475E5492" w14:textId="77777777" w:rsidR="00586EDF" w:rsidRPr="009C5049" w:rsidRDefault="00586EDF" w:rsidP="00586EDF">
      <w:pPr>
        <w:rPr>
          <w:sz w:val="14"/>
          <w:szCs w:val="14"/>
        </w:rPr>
      </w:pPr>
      <w:r w:rsidRPr="009C5049">
        <w:rPr>
          <w:sz w:val="14"/>
          <w:szCs w:val="14"/>
        </w:rPr>
        <w:t>If Uninformed Seller has a beef with anyone, other than with Insider for not purchasing more shares, it is Cubist and Merck, who knew this material information but chose not to disclose it until later. These two companies created the situation in which the true value of Cubist was higher than the market price. However, both Cubist and Merck acted within their rights. Why would companies choose to disclose information later rather than sooner? There are many reasons, two of which are the possibility of the deal falling through and the administrative matters that must be handled before such news is announced.</w:t>
      </w:r>
    </w:p>
    <w:p w14:paraId="08DF3B23" w14:textId="77777777" w:rsidR="00586EDF" w:rsidRPr="009C5049" w:rsidRDefault="00586EDF" w:rsidP="00586EDF">
      <w:pPr>
        <w:rPr>
          <w:sz w:val="14"/>
          <w:szCs w:val="14"/>
        </w:rPr>
      </w:pPr>
      <w:r w:rsidRPr="009C5049">
        <w:rPr>
          <w:sz w:val="14"/>
          <w:szCs w:val="14"/>
        </w:rPr>
        <w:t>The true “loser” is Uninformed Buyer, who would have purchased these shares had Insider not stepped in. But notice two things. First, Uninformed Buyer could have persisted and purchased other shares at $74.36, or very close to it—say, at $74.37 or $74.38. If Uninformed Buyer really wanted those shares, he or she could have easily purchased them. Second, consider Uninformed Buyer’s name—Uninformed. Uninformed Buyer was acting on old information. Had he or she bought at $74.36 and sold shortly thereafter at $100.60, Uninformed Buyer’s profit would have been due to pure dumb luck. It would be hard to argue that Uniformed Buyer earned or deserved that windfall. Someone was going to get that windfall, but what claim did Uninformed Buyer have to it? Also, we are considering the case in which the price of Cubist rose. Had the new information been bad, Uninformed Buyer would have lost money due to bad luck. Either way, Uninformed Buyer was relying on luck, plain and simple, and was not performing any valuable service—was not helping others more than some random buyer would have—by buying those Cubist shares.</w:t>
      </w:r>
    </w:p>
    <w:p w14:paraId="76EC55E0" w14:textId="77777777" w:rsidR="00586EDF" w:rsidRPr="009C5049" w:rsidRDefault="00586EDF" w:rsidP="00586EDF">
      <w:pPr>
        <w:rPr>
          <w:sz w:val="14"/>
          <w:szCs w:val="14"/>
        </w:rPr>
      </w:pPr>
      <w:r w:rsidRPr="009C5049">
        <w:rPr>
          <w:sz w:val="14"/>
          <w:szCs w:val="14"/>
        </w:rPr>
        <w:t>Uninformed Buyer has no beef with Cubist or Merck. If the companies had released information about the acquisition before Uninformed Buyer tried to purchase shares, the share price would have jumped so quickly that it’s doubtful that Uninformed Buyer could have acted swiftly enough to profit.</w:t>
      </w:r>
    </w:p>
    <w:p w14:paraId="63A75A00" w14:textId="77777777" w:rsidR="00586EDF" w:rsidRPr="009C5049" w:rsidRDefault="00586EDF" w:rsidP="00586EDF">
      <w:pPr>
        <w:rPr>
          <w:sz w:val="14"/>
        </w:rPr>
      </w:pPr>
      <w:r w:rsidRPr="009C5049">
        <w:rPr>
          <w:sz w:val="14"/>
        </w:rPr>
        <w:t xml:space="preserve">In the case of small insider-trading amounts, </w:t>
      </w:r>
      <w:r w:rsidRPr="009C5049">
        <w:rPr>
          <w:rStyle w:val="StyleUnderline"/>
        </w:rPr>
        <w:t>Insider does not hurt Cubist, Merck, or Uninformed Seller</w:t>
      </w:r>
      <w:r w:rsidRPr="009C5049">
        <w:rPr>
          <w:sz w:val="14"/>
        </w:rPr>
        <w:t xml:space="preserve">. </w:t>
      </w:r>
      <w:r w:rsidRPr="009C5049">
        <w:rPr>
          <w:rStyle w:val="StyleUnderline"/>
        </w:rPr>
        <w:t>Insider does hurt Uninformed Buyer, but only to the extent that Uninformed Buyer didn’t persist and buy the shares anyway</w:t>
      </w:r>
      <w:r w:rsidRPr="009C5049">
        <w:rPr>
          <w:sz w:val="14"/>
        </w:rPr>
        <w:t xml:space="preserve">, </w:t>
      </w:r>
      <w:r w:rsidRPr="009C5049">
        <w:rPr>
          <w:rStyle w:val="StyleUnderline"/>
        </w:rPr>
        <w:t>and Insider snatched Uninformed Buyer’s dumb-luck windfall</w:t>
      </w:r>
      <w:r w:rsidRPr="009C5049">
        <w:rPr>
          <w:sz w:val="14"/>
        </w:rPr>
        <w:t>.</w:t>
      </w:r>
    </w:p>
    <w:p w14:paraId="263493EF" w14:textId="77777777" w:rsidR="00586EDF" w:rsidRPr="009C5049" w:rsidRDefault="00586EDF" w:rsidP="00586EDF">
      <w:pPr>
        <w:rPr>
          <w:sz w:val="14"/>
          <w:szCs w:val="14"/>
        </w:rPr>
      </w:pPr>
      <w:r w:rsidRPr="009C5049">
        <w:rPr>
          <w:sz w:val="14"/>
          <w:szCs w:val="14"/>
        </w:rPr>
        <w:t>What happens if the amounts are larger? What if, instead of $100,000, the insider buys, say, $15 million in Cubist stock? That $15 million purchase would be a third of Cubist’s daily trading volume (about 200,000 of 600,000 shares), which sounds like a lot, but 31,715,300 shares traded hands on December 8 when the price jumped from $74.36 to $100.6. If the effect of the $15 million purchase is proportional,7 the share price of Cubist would have climbed 17 cents to $74.53. What would happen then?</w:t>
      </w:r>
    </w:p>
    <w:p w14:paraId="4A1BFACF" w14:textId="77777777" w:rsidR="00586EDF" w:rsidRPr="009C5049" w:rsidRDefault="00586EDF" w:rsidP="00586EDF">
      <w:pPr>
        <w:rPr>
          <w:sz w:val="14"/>
          <w:szCs w:val="14"/>
        </w:rPr>
      </w:pPr>
      <w:r w:rsidRPr="009C5049">
        <w:rPr>
          <w:sz w:val="14"/>
          <w:szCs w:val="14"/>
        </w:rPr>
        <w:t>Uninformed Seller was happy selling at $74.36 to Uninformed Buyer. Uninformed Seller, upon seeing the price of Cubist jump 17 cents, might become suspicious, refrain from selling and, instead, hold on to those Cubist shares. However, let’s assume that Uninformed Seller sells at $74.53, happy to make 17 cents per share more than expected. Uninformed Seller is clearly better off.</w:t>
      </w:r>
    </w:p>
    <w:p w14:paraId="2E71BFE0" w14:textId="77777777" w:rsidR="00586EDF" w:rsidRPr="009C5049" w:rsidRDefault="00586EDF" w:rsidP="00586EDF">
      <w:pPr>
        <w:rPr>
          <w:sz w:val="14"/>
          <w:szCs w:val="14"/>
        </w:rPr>
      </w:pPr>
      <w:r w:rsidRPr="009C5049">
        <w:rPr>
          <w:sz w:val="14"/>
          <w:szCs w:val="14"/>
        </w:rPr>
        <w:t>Uninformed Buyer, who decided not to buy at $74.36, clearly won’t buy at $74.53. Again, Uninformed Buyer could have persisted and purchased at $74.53 but chose not to, missing a windfall.</w:t>
      </w:r>
    </w:p>
    <w:p w14:paraId="5CDAC4B2" w14:textId="77777777" w:rsidR="00586EDF" w:rsidRPr="009C5049" w:rsidRDefault="00586EDF" w:rsidP="00586EDF">
      <w:pPr>
        <w:rPr>
          <w:sz w:val="14"/>
          <w:szCs w:val="14"/>
        </w:rPr>
      </w:pPr>
      <w:r w:rsidRPr="009C5049">
        <w:rPr>
          <w:sz w:val="14"/>
          <w:szCs w:val="14"/>
        </w:rPr>
        <w:t>Uninformed Seller’s only gripe is with the two companies for not disclosing the information earlier and with Insider for not purchasing more shares. Uninformed Buyer has no legitimate gripe with anyone. Insider merely nabbed the dumb-luck windfall from Uninformed Buyer. And Insider has performed a valuable function by making the share price of Cubist closer ($74.53 instead of $74.36) to the ultimate value of $100.60 and by disseminating information in the process.</w:t>
      </w:r>
    </w:p>
    <w:p w14:paraId="4FB8D613" w14:textId="77777777" w:rsidR="00586EDF" w:rsidRPr="009C5049" w:rsidRDefault="00586EDF" w:rsidP="00586EDF">
      <w:pPr>
        <w:rPr>
          <w:rStyle w:val="StyleUnderline"/>
        </w:rPr>
      </w:pPr>
      <w:r w:rsidRPr="009C5049">
        <w:rPr>
          <w:rStyle w:val="StyleUnderline"/>
        </w:rPr>
        <w:t>The more Insider buys</w:t>
      </w:r>
      <w:r w:rsidRPr="009C5049">
        <w:rPr>
          <w:sz w:val="14"/>
        </w:rPr>
        <w:t xml:space="preserve">—perhaps Insider purchases $100 million or $1 billion of Cubist stock—the sooner Cubist’s </w:t>
      </w:r>
      <w:r w:rsidRPr="009C5049">
        <w:rPr>
          <w:rStyle w:val="StyleUnderline"/>
        </w:rPr>
        <w:t>share price reaches its ultimate value</w:t>
      </w:r>
      <w:r w:rsidRPr="009C5049">
        <w:rPr>
          <w:sz w:val="14"/>
        </w:rPr>
        <w:t xml:space="preserve"> of $100.60. </w:t>
      </w:r>
      <w:r w:rsidRPr="009C5049">
        <w:rPr>
          <w:rStyle w:val="StyleUnderline"/>
        </w:rPr>
        <w:t>Insider’s actions foreshadow the ultimate market event</w:t>
      </w:r>
      <w:r w:rsidRPr="009C5049">
        <w:rPr>
          <w:sz w:val="14"/>
        </w:rPr>
        <w:t xml:space="preserve">: Cubist’s and Merck’s announcements of the acquisition. </w:t>
      </w:r>
      <w:r w:rsidRPr="009C5049">
        <w:rPr>
          <w:rStyle w:val="StyleUnderline"/>
        </w:rPr>
        <w:t>Insider’s actions are, in essence, a pre-press release and, if the market benefits from the official press release, it also benefits from the pre-press release.</w:t>
      </w:r>
    </w:p>
    <w:p w14:paraId="00F988F3" w14:textId="77777777" w:rsidR="00586EDF" w:rsidRPr="009C5049" w:rsidRDefault="00586EDF" w:rsidP="00586EDF">
      <w:pPr>
        <w:rPr>
          <w:rStyle w:val="StyleUnderline"/>
        </w:rPr>
      </w:pPr>
      <w:r w:rsidRPr="009C5049">
        <w:rPr>
          <w:sz w:val="14"/>
        </w:rPr>
        <w:t xml:space="preserve">Insider “hurt” Uninformed Buyer by nabbing Uninformed Buyer’s unexpected and unearned windfall. How can Insider be less deserving than someone who isn’t deserving at all? </w:t>
      </w:r>
      <w:r w:rsidRPr="009C5049">
        <w:rPr>
          <w:rStyle w:val="StyleUnderline"/>
        </w:rPr>
        <w:t>Insider</w:t>
      </w:r>
      <w:r w:rsidRPr="009C5049">
        <w:rPr>
          <w:sz w:val="14"/>
        </w:rPr>
        <w:t xml:space="preserve">, after all, </w:t>
      </w:r>
      <w:r w:rsidRPr="009C5049">
        <w:rPr>
          <w:rStyle w:val="StyleUnderline"/>
        </w:rPr>
        <w:t>is making the stock market more efficient by disseminating important information, while Uninformed Buyer’s actions are equivalent to background noise.</w:t>
      </w:r>
    </w:p>
    <w:p w14:paraId="000770ED" w14:textId="77777777" w:rsidR="00586EDF" w:rsidRPr="009C5049" w:rsidRDefault="00586EDF" w:rsidP="00586EDF">
      <w:pPr>
        <w:rPr>
          <w:sz w:val="12"/>
          <w:szCs w:val="12"/>
        </w:rPr>
      </w:pPr>
      <w:r w:rsidRPr="009C5049">
        <w:rPr>
          <w:sz w:val="12"/>
          <w:szCs w:val="12"/>
        </w:rPr>
        <w:t>Insider does not harm Cubist or Merck unless Insider makes a big purchase before the $102 price is fixed. In this case, Insider would help Cubist and hurt Merck in equal measure. If Cubist and Merck felt harmed, they could release the information earlier, effectively taking away Insider’s power. In addition, Merck and Cubist have it within their power to control such disclosures through contracts with their employees—through the common law.</w:t>
      </w:r>
    </w:p>
    <w:p w14:paraId="3883F2BD" w14:textId="77777777" w:rsidR="00586EDF" w:rsidRPr="009C5049" w:rsidRDefault="00586EDF" w:rsidP="00586EDF">
      <w:pPr>
        <w:rPr>
          <w:sz w:val="12"/>
          <w:szCs w:val="12"/>
        </w:rPr>
      </w:pPr>
      <w:r w:rsidRPr="009C5049">
        <w:rPr>
          <w:sz w:val="12"/>
          <w:szCs w:val="12"/>
        </w:rPr>
        <w:t>Companies can enact their own prohibitions against insider trading, but, as it turns out, few have. If businesses don’t care, the government should care far less. It is possible that companies have neglected to actively enforce insider-trading rules because the government already does so vigorously. Note, however, that the government’s enforcement zeal has crystalized only in the last few decades, years after the SEC used Rule 10b-5, a catch-all provision against securities fraud, in its famous 1960s Texas Gulf Sulphur case.8 It is revealing that in Texas Gulf Sulphur the inside trader, Charles Fogarty, was later promoted to chief executive officer.9 Clearly, the board of directors did not consider Fogarty’s actions detrimental to the company. Some might argue that it would be difficult for Merck or Cubist to police insider trading by their employees, but that’s another way of saying that the costs of trying to prohibit insider trading might not be worth the benefits. Moreover, if the SEC ceased leading insider-trading cases, it could still assume a supporting role by helping companies develop cases against employees.</w:t>
      </w:r>
    </w:p>
    <w:p w14:paraId="39041C4E" w14:textId="77777777" w:rsidR="00586EDF" w:rsidRPr="009C5049" w:rsidRDefault="00586EDF" w:rsidP="00586EDF">
      <w:pPr>
        <w:rPr>
          <w:sz w:val="12"/>
          <w:szCs w:val="12"/>
        </w:rPr>
      </w:pPr>
      <w:r w:rsidRPr="009C5049">
        <w:rPr>
          <w:sz w:val="12"/>
          <w:szCs w:val="12"/>
        </w:rPr>
        <w:t>The following table summarizes the effect of insider trading on the stock market and other market participants. Insider nabbed the windfall that was headed Uninformed Buyer’s way. It was bound to land in someone’s lap, and since Uninformed Buyer did nothing to earn or deserve this windfall, why not direct it to toward someone making the stock market more efficient?</w:t>
      </w:r>
    </w:p>
    <w:p w14:paraId="6D14347F" w14:textId="33A15FF6" w:rsidR="00586EDF" w:rsidRDefault="00586EDF" w:rsidP="00586EDF">
      <w:pPr>
        <w:pStyle w:val="Heading3"/>
      </w:pPr>
      <w:r>
        <w:t>1NC – Recovery CP</w:t>
      </w:r>
    </w:p>
    <w:p w14:paraId="6B8C5045" w14:textId="2DB5F0E6" w:rsidR="00586EDF" w:rsidRPr="00586EDF" w:rsidRDefault="00586EDF" w:rsidP="00586EDF">
      <w:pPr>
        <w:pStyle w:val="Heading4"/>
      </w:pPr>
      <w:r>
        <w:t xml:space="preserve">The counterplan spurs a </w:t>
      </w:r>
      <w:r>
        <w:rPr>
          <w:u w:val="single"/>
        </w:rPr>
        <w:t>quick recovery</w:t>
      </w:r>
      <w:r>
        <w:t xml:space="preserve"> through </w:t>
      </w:r>
      <w:r>
        <w:rPr>
          <w:u w:val="single"/>
        </w:rPr>
        <w:t>fiscal policy</w:t>
      </w:r>
      <w:r>
        <w:t>.</w:t>
      </w:r>
    </w:p>
    <w:p w14:paraId="00F0458E" w14:textId="77777777" w:rsidR="00586EDF" w:rsidRPr="00226A23" w:rsidRDefault="00586EDF" w:rsidP="00586EDF">
      <w:pPr>
        <w:rPr>
          <w:rStyle w:val="Style13ptBold"/>
          <w:b w:val="0"/>
          <w:bCs w:val="0"/>
        </w:rPr>
      </w:pPr>
      <w:r>
        <w:rPr>
          <w:rStyle w:val="Style13ptBold"/>
        </w:rPr>
        <w:t xml:space="preserve">Furman et al. 6/16 </w:t>
      </w:r>
      <w:r w:rsidRPr="00F8171E">
        <w:rPr>
          <w:rStyle w:val="Style13ptBold"/>
        </w:rPr>
        <w:t xml:space="preserve">— </w:t>
      </w:r>
      <w:r w:rsidRPr="00F8171E">
        <w:t>Jason Furman</w:t>
      </w:r>
      <w:r>
        <w:t xml:space="preserve"> is Professor of the Practice of Economic Policy jointly at Harvard Kennedy School and the Department of Economics at Harvard University</w:t>
      </w:r>
      <w:r w:rsidRPr="00F8171E">
        <w:t>, Timothy Geithner</w:t>
      </w:r>
      <w:r>
        <w:t xml:space="preserve"> is a former American central banker who served as the 75th United States Secretary of the Treasury under President Barack Obama</w:t>
      </w:r>
      <w:r w:rsidRPr="00F8171E">
        <w:t>, Glenn Hubbard</w:t>
      </w:r>
      <w:r>
        <w:t xml:space="preserve"> is an American economist and academic. He served as the Dean of the Columbia University Graduate School of Business from 2004 to 2019, where he remains the Russell L. Carson Professor of Finance and Economics</w:t>
      </w:r>
      <w:r w:rsidRPr="00F8171E">
        <w:t xml:space="preserve"> and Melissa S. Kearney</w:t>
      </w:r>
      <w:r>
        <w:t xml:space="preserve"> is the Neil Moskowitz Professor of Economics at the University of Maryland. (“Promoting Economic Recovery After COVID-19” The Aspen Institute: Economic Strategy Group, June 16, 2020. https://economicstrategygroup.org/wp-content/uploads/2020/06/Promoting-Economic-Recovery-After-COVID-0615-FINAL.pdf/)//JLPark</w:t>
      </w:r>
    </w:p>
    <w:p w14:paraId="1CA90E03" w14:textId="77777777" w:rsidR="00586EDF" w:rsidRPr="00586EDF" w:rsidRDefault="00586EDF" w:rsidP="00586EDF">
      <w:pPr>
        <w:rPr>
          <w:sz w:val="16"/>
        </w:rPr>
      </w:pPr>
      <w:r w:rsidRPr="00586EDF">
        <w:rPr>
          <w:sz w:val="16"/>
        </w:rPr>
        <w:t xml:space="preserve">Specifically, </w:t>
      </w:r>
      <w:r w:rsidRPr="00586EDF">
        <w:rPr>
          <w:rStyle w:val="StyleUnderline"/>
        </w:rPr>
        <w:t xml:space="preserve">we propose </w:t>
      </w:r>
      <w:r w:rsidRPr="00586EDF">
        <w:rPr>
          <w:rStyle w:val="Emphasis"/>
        </w:rPr>
        <w:t>major efforts</w:t>
      </w:r>
      <w:r w:rsidRPr="00586EDF">
        <w:rPr>
          <w:rStyle w:val="StyleUnderline"/>
        </w:rPr>
        <w:t xml:space="preserve"> in four areas</w:t>
      </w:r>
      <w:r w:rsidRPr="00586EDF">
        <w:rPr>
          <w:sz w:val="16"/>
        </w:rPr>
        <w:t>:</w:t>
      </w:r>
    </w:p>
    <w:p w14:paraId="1C8B5020" w14:textId="77777777" w:rsidR="00586EDF" w:rsidRPr="00586EDF" w:rsidRDefault="00586EDF" w:rsidP="00586EDF">
      <w:pPr>
        <w:rPr>
          <w:sz w:val="16"/>
        </w:rPr>
      </w:pPr>
      <w:r w:rsidRPr="00586EDF">
        <w:rPr>
          <w:rStyle w:val="StyleUnderline"/>
        </w:rPr>
        <w:t xml:space="preserve">1. Income support for the </w:t>
      </w:r>
      <w:r w:rsidRPr="00586EDF">
        <w:rPr>
          <w:rStyle w:val="Emphasis"/>
        </w:rPr>
        <w:t>unemployed</w:t>
      </w:r>
      <w:r w:rsidRPr="00586EDF">
        <w:rPr>
          <w:rStyle w:val="StyleUnderline"/>
        </w:rPr>
        <w:t xml:space="preserve">, </w:t>
      </w:r>
      <w:r w:rsidRPr="00586EDF">
        <w:rPr>
          <w:rStyle w:val="Emphasis"/>
        </w:rPr>
        <w:t>underemployed</w:t>
      </w:r>
      <w:r w:rsidRPr="00586EDF">
        <w:rPr>
          <w:rStyle w:val="StyleUnderline"/>
        </w:rPr>
        <w:t xml:space="preserve">, and </w:t>
      </w:r>
      <w:r w:rsidRPr="00586EDF">
        <w:rPr>
          <w:rStyle w:val="Emphasis"/>
        </w:rPr>
        <w:t>most vulnerable</w:t>
      </w:r>
      <w:r w:rsidRPr="00586EDF">
        <w:rPr>
          <w:rStyle w:val="StyleUnderline"/>
        </w:rPr>
        <w:t xml:space="preserve">: (a) Continue </w:t>
      </w:r>
      <w:r w:rsidRPr="00586EDF">
        <w:rPr>
          <w:rStyle w:val="Emphasis"/>
        </w:rPr>
        <w:t>increased federal Unemployment Insurance</w:t>
      </w:r>
      <w:r w:rsidRPr="00586EDF">
        <w:rPr>
          <w:sz w:val="16"/>
        </w:rPr>
        <w:t xml:space="preserve"> (UI) </w:t>
      </w:r>
      <w:r w:rsidRPr="00586EDF">
        <w:rPr>
          <w:rStyle w:val="StyleUnderline"/>
        </w:rPr>
        <w:t>benefits</w:t>
      </w:r>
      <w:r w:rsidRPr="00586EDF">
        <w:rPr>
          <w:sz w:val="16"/>
        </w:rPr>
        <w:t xml:space="preserve"> with a phasedown over time based on economic circumstances; (b) </w:t>
      </w:r>
      <w:r w:rsidRPr="00586EDF">
        <w:rPr>
          <w:rStyle w:val="StyleUnderline"/>
        </w:rPr>
        <w:t xml:space="preserve">Employ automatic triggers for </w:t>
      </w:r>
      <w:r w:rsidRPr="00586EDF">
        <w:rPr>
          <w:rStyle w:val="Emphasis"/>
        </w:rPr>
        <w:t>UI extended benefits</w:t>
      </w:r>
      <w:r w:rsidRPr="00586EDF">
        <w:rPr>
          <w:sz w:val="16"/>
        </w:rPr>
        <w:t xml:space="preserve">; (c) </w:t>
      </w:r>
      <w:r w:rsidRPr="00586EDF">
        <w:rPr>
          <w:rStyle w:val="StyleUnderline"/>
        </w:rPr>
        <w:t>Bolster short-time compensation (STC) benefits</w:t>
      </w:r>
      <w:r w:rsidRPr="00586EDF">
        <w:rPr>
          <w:sz w:val="16"/>
        </w:rPr>
        <w:t xml:space="preserve"> to preserve viable employment relationships; </w:t>
      </w:r>
      <w:r w:rsidRPr="00586EDF">
        <w:rPr>
          <w:rStyle w:val="StyleUnderline"/>
        </w:rPr>
        <w:t>and</w:t>
      </w:r>
      <w:r w:rsidRPr="00586EDF">
        <w:rPr>
          <w:sz w:val="16"/>
        </w:rPr>
        <w:t xml:space="preserve"> (d) </w:t>
      </w:r>
      <w:r w:rsidRPr="00586EDF">
        <w:rPr>
          <w:rStyle w:val="StyleUnderline"/>
        </w:rPr>
        <w:t xml:space="preserve">Increase </w:t>
      </w:r>
      <w:r w:rsidRPr="00586EDF">
        <w:rPr>
          <w:rStyle w:val="Emphasis"/>
        </w:rPr>
        <w:t>automatically benefits</w:t>
      </w:r>
      <w:r w:rsidRPr="00586EDF">
        <w:rPr>
          <w:rStyle w:val="StyleUnderline"/>
        </w:rPr>
        <w:t xml:space="preserve"> provided through</w:t>
      </w:r>
      <w:r w:rsidRPr="00586EDF">
        <w:rPr>
          <w:sz w:val="16"/>
        </w:rPr>
        <w:t xml:space="preserve"> the Supplemental Nutrition Assistance Program (</w:t>
      </w:r>
      <w:r w:rsidRPr="00586EDF">
        <w:rPr>
          <w:rStyle w:val="StyleUnderline"/>
        </w:rPr>
        <w:t>SNAP</w:t>
      </w:r>
      <w:r w:rsidRPr="00586EDF">
        <w:rPr>
          <w:sz w:val="16"/>
        </w:rPr>
        <w:t xml:space="preserve">) </w:t>
      </w:r>
      <w:r w:rsidRPr="00586EDF">
        <w:rPr>
          <w:rStyle w:val="StyleUnderline"/>
        </w:rPr>
        <w:t xml:space="preserve">and suspend </w:t>
      </w:r>
      <w:r w:rsidRPr="00586EDF">
        <w:rPr>
          <w:rStyle w:val="Emphasis"/>
        </w:rPr>
        <w:t>SNAP work requirements</w:t>
      </w:r>
      <w:r w:rsidRPr="00586EDF">
        <w:rPr>
          <w:rStyle w:val="StyleUnderline"/>
        </w:rPr>
        <w:t xml:space="preserve"> during periods of </w:t>
      </w:r>
      <w:r w:rsidRPr="00586EDF">
        <w:rPr>
          <w:rStyle w:val="Emphasis"/>
        </w:rPr>
        <w:t>high unemployment</w:t>
      </w:r>
      <w:r w:rsidRPr="00586EDF">
        <w:rPr>
          <w:sz w:val="16"/>
        </w:rPr>
        <w:t>.</w:t>
      </w:r>
    </w:p>
    <w:p w14:paraId="278DA219" w14:textId="77777777" w:rsidR="00586EDF" w:rsidRPr="00586EDF" w:rsidRDefault="00586EDF" w:rsidP="00586EDF">
      <w:pPr>
        <w:rPr>
          <w:sz w:val="16"/>
        </w:rPr>
      </w:pPr>
      <w:r w:rsidRPr="00586EDF">
        <w:rPr>
          <w:sz w:val="16"/>
        </w:rPr>
        <w:t xml:space="preserve">2. </w:t>
      </w:r>
      <w:r w:rsidRPr="00586EDF">
        <w:rPr>
          <w:rStyle w:val="StyleUnderline"/>
        </w:rPr>
        <w:t xml:space="preserve">Reward and facilitate work: </w:t>
      </w:r>
      <w:r w:rsidRPr="00586EDF">
        <w:rPr>
          <w:rStyle w:val="Emphasis"/>
        </w:rPr>
        <w:t>Temporary</w:t>
      </w:r>
      <w:r w:rsidRPr="00586EDF">
        <w:rPr>
          <w:rStyle w:val="StyleUnderline"/>
        </w:rPr>
        <w:t xml:space="preserve">, </w:t>
      </w:r>
      <w:r w:rsidRPr="00586EDF">
        <w:rPr>
          <w:rStyle w:val="Emphasis"/>
        </w:rPr>
        <w:t>targeted employment subsidies</w:t>
      </w:r>
      <w:r w:rsidRPr="00586EDF">
        <w:rPr>
          <w:rStyle w:val="StyleUnderline"/>
        </w:rPr>
        <w:t xml:space="preserve"> for workers to reward and incentivize employment and compensate workers</w:t>
      </w:r>
      <w:r w:rsidRPr="00586EDF">
        <w:rPr>
          <w:sz w:val="16"/>
        </w:rPr>
        <w:t xml:space="preserve"> who have continued to </w:t>
      </w:r>
      <w:r w:rsidRPr="00586EDF">
        <w:rPr>
          <w:rStyle w:val="StyleUnderline"/>
        </w:rPr>
        <w:t>work during the pandemic in</w:t>
      </w:r>
      <w:r w:rsidRPr="00586EDF">
        <w:rPr>
          <w:sz w:val="16"/>
        </w:rPr>
        <w:t xml:space="preserve"> the form of </w:t>
      </w:r>
      <w:r w:rsidRPr="00586EDF">
        <w:rPr>
          <w:rStyle w:val="Emphasis"/>
        </w:rPr>
        <w:t>a pandemic Earned Income Tax Credit</w:t>
      </w:r>
      <w:r w:rsidRPr="00586EDF">
        <w:rPr>
          <w:sz w:val="16"/>
        </w:rPr>
        <w:t>.</w:t>
      </w:r>
    </w:p>
    <w:p w14:paraId="7F905954" w14:textId="77777777" w:rsidR="00586EDF" w:rsidRPr="00586EDF" w:rsidRDefault="00586EDF" w:rsidP="00586EDF">
      <w:pPr>
        <w:rPr>
          <w:sz w:val="16"/>
        </w:rPr>
      </w:pPr>
      <w:r w:rsidRPr="00586EDF">
        <w:rPr>
          <w:sz w:val="16"/>
        </w:rPr>
        <w:t xml:space="preserve">3. </w:t>
      </w:r>
      <w:r w:rsidRPr="00586EDF">
        <w:rPr>
          <w:rStyle w:val="StyleUnderline"/>
        </w:rPr>
        <w:t>Lending support for small and mid-size businesses</w:t>
      </w:r>
      <w:r w:rsidRPr="00586EDF">
        <w:rPr>
          <w:sz w:val="16"/>
        </w:rPr>
        <w:t>: Monitor the Main Street Lending Program and its effect on small and mid-sized businesses; adjust the program if necessary to increase lender and borrower participation.</w:t>
      </w:r>
    </w:p>
    <w:p w14:paraId="5FBFF592" w14:textId="77777777" w:rsidR="00586EDF" w:rsidRPr="00586EDF" w:rsidRDefault="00586EDF" w:rsidP="00586EDF">
      <w:pPr>
        <w:rPr>
          <w:sz w:val="16"/>
        </w:rPr>
      </w:pPr>
      <w:r w:rsidRPr="00586EDF">
        <w:rPr>
          <w:sz w:val="16"/>
        </w:rPr>
        <w:t xml:space="preserve">4. </w:t>
      </w:r>
      <w:r w:rsidRPr="00586EDF">
        <w:rPr>
          <w:rStyle w:val="StyleUnderline"/>
        </w:rPr>
        <w:t>Federal support to state and local governments</w:t>
      </w:r>
      <w:r w:rsidRPr="00586EDF">
        <w:rPr>
          <w:sz w:val="16"/>
        </w:rPr>
        <w:t xml:space="preserve">: (a) Provide a </w:t>
      </w:r>
      <w:r w:rsidRPr="00586EDF">
        <w:rPr>
          <w:rStyle w:val="StyleUnderline"/>
        </w:rPr>
        <w:t>block grant</w:t>
      </w:r>
      <w:r w:rsidRPr="00586EDF">
        <w:rPr>
          <w:sz w:val="16"/>
        </w:rPr>
        <w:t xml:space="preserve"> for states and localities that</w:t>
      </w:r>
      <w:r w:rsidRPr="00586EDF">
        <w:rPr>
          <w:rStyle w:val="StyleUnderline"/>
        </w:rPr>
        <w:t xml:space="preserve"> cannot be used for tax cuts or pension increases; (</w:t>
      </w:r>
      <w:r w:rsidRPr="00586EDF">
        <w:rPr>
          <w:sz w:val="16"/>
        </w:rPr>
        <w:t xml:space="preserve">b) Implement </w:t>
      </w:r>
      <w:r w:rsidRPr="00586EDF">
        <w:rPr>
          <w:rStyle w:val="StyleUnderline"/>
        </w:rPr>
        <w:t>expansions in</w:t>
      </w:r>
      <w:r w:rsidRPr="00586EDF">
        <w:rPr>
          <w:sz w:val="16"/>
        </w:rPr>
        <w:t xml:space="preserve"> federal matching for state </w:t>
      </w:r>
      <w:r w:rsidRPr="00586EDF">
        <w:rPr>
          <w:rStyle w:val="StyleUnderline"/>
        </w:rPr>
        <w:t>Medicaid and</w:t>
      </w:r>
      <w:r w:rsidRPr="00586EDF">
        <w:rPr>
          <w:sz w:val="16"/>
        </w:rPr>
        <w:t xml:space="preserve"> Children’s Health Insurance Program (</w:t>
      </w:r>
      <w:r w:rsidRPr="00586EDF">
        <w:rPr>
          <w:rStyle w:val="StyleUnderline"/>
        </w:rPr>
        <w:t>CHIP</w:t>
      </w:r>
      <w:r w:rsidRPr="00586EDF">
        <w:rPr>
          <w:sz w:val="16"/>
        </w:rPr>
        <w:t xml:space="preserve">) that are </w:t>
      </w:r>
      <w:r w:rsidRPr="00586EDF">
        <w:rPr>
          <w:rStyle w:val="Emphasis"/>
        </w:rPr>
        <w:t>adjusted automatically</w:t>
      </w:r>
      <w:r w:rsidRPr="00586EDF">
        <w:rPr>
          <w:rStyle w:val="StyleUnderline"/>
        </w:rPr>
        <w:t xml:space="preserve"> based on economic conditions</w:t>
      </w:r>
      <w:r w:rsidRPr="00586EDF">
        <w:rPr>
          <w:sz w:val="16"/>
        </w:rPr>
        <w:t xml:space="preserve">; (c) Provide </w:t>
      </w:r>
      <w:r w:rsidRPr="00586EDF">
        <w:rPr>
          <w:rStyle w:val="StyleUnderline"/>
        </w:rPr>
        <w:t>block grants to</w:t>
      </w:r>
      <w:r w:rsidRPr="00586EDF">
        <w:rPr>
          <w:sz w:val="16"/>
        </w:rPr>
        <w:t xml:space="preserve"> state governments </w:t>
      </w:r>
      <w:r w:rsidRPr="00586EDF">
        <w:rPr>
          <w:rStyle w:val="StyleUnderline"/>
        </w:rPr>
        <w:t>for K-12 education spending; and</w:t>
      </w:r>
      <w:r w:rsidRPr="00586EDF">
        <w:rPr>
          <w:sz w:val="16"/>
        </w:rPr>
        <w:t xml:space="preserve"> (d) Extend federal block grants to public universities, four-year </w:t>
      </w:r>
      <w:r w:rsidRPr="00586EDF">
        <w:rPr>
          <w:rStyle w:val="StyleUnderline"/>
        </w:rPr>
        <w:t>colleges</w:t>
      </w:r>
      <w:r w:rsidRPr="00586EDF">
        <w:rPr>
          <w:sz w:val="16"/>
        </w:rPr>
        <w:t>, and community colleges.</w:t>
      </w:r>
    </w:p>
    <w:p w14:paraId="623CC29F" w14:textId="5289BADA" w:rsidR="00586EDF" w:rsidRDefault="00586EDF" w:rsidP="00586EDF">
      <w:pPr>
        <w:pStyle w:val="Heading3"/>
      </w:pPr>
      <w:r>
        <w:t>2NC – Recovery CP</w:t>
      </w:r>
    </w:p>
    <w:p w14:paraId="00EF8D3F" w14:textId="0167340C" w:rsidR="00586EDF" w:rsidRDefault="00586EDF" w:rsidP="00586EDF">
      <w:pPr>
        <w:pStyle w:val="Heading4"/>
      </w:pPr>
      <w:r>
        <w:t>It’s quick and costs a billion dollars.</w:t>
      </w:r>
    </w:p>
    <w:p w14:paraId="010A4910" w14:textId="77777777" w:rsidR="00586EDF" w:rsidRPr="00F8171E" w:rsidRDefault="00586EDF" w:rsidP="00586EDF">
      <w:pPr>
        <w:rPr>
          <w:rStyle w:val="Style13ptBold"/>
          <w:b w:val="0"/>
          <w:bCs w:val="0"/>
        </w:rPr>
      </w:pPr>
      <w:r>
        <w:rPr>
          <w:rStyle w:val="Style13ptBold"/>
        </w:rPr>
        <w:t xml:space="preserve">Furman et al. 6/16 </w:t>
      </w:r>
      <w:r w:rsidRPr="00F8171E">
        <w:rPr>
          <w:rStyle w:val="Style13ptBold"/>
        </w:rPr>
        <w:t xml:space="preserve">— </w:t>
      </w:r>
      <w:r w:rsidRPr="00F8171E">
        <w:t>Jason Furman</w:t>
      </w:r>
      <w:r>
        <w:t xml:space="preserve"> is Professor of the Practice of Economic Policy jointly at Harvard Kennedy School and the Department of Economics at Harvard University</w:t>
      </w:r>
      <w:r w:rsidRPr="00F8171E">
        <w:t>, Timothy Geithner</w:t>
      </w:r>
      <w:r>
        <w:t xml:space="preserve"> is a former American central banker who served as the 75th United States Secretary of the Treasury under President Barack Obama</w:t>
      </w:r>
      <w:r w:rsidRPr="00F8171E">
        <w:t>, Glenn Hubbard</w:t>
      </w:r>
      <w:r>
        <w:t xml:space="preserve"> is an American economist and academic. He served as the Dean of the Columbia University Graduate School of Business from 2004 to 2019, where he remains the Russell L. Carson Professor of Finance and Economics</w:t>
      </w:r>
      <w:r w:rsidRPr="00F8171E">
        <w:t xml:space="preserve"> and Melissa S. Kearney</w:t>
      </w:r>
      <w:r>
        <w:t xml:space="preserve"> is the Neil Moskowitz Professor of Economics at the University of Maryland. (“What a successful economic recovery plan must look like” The Washington Post, June 16, 2020. https://www.washingtonpost.com/opinions/2020/06/16/what-successful-economic-recovery-plan-must-look-like/)//JLPark</w:t>
      </w:r>
    </w:p>
    <w:p w14:paraId="02A18D82" w14:textId="77777777" w:rsidR="00586EDF" w:rsidRPr="0091290D" w:rsidRDefault="00586EDF" w:rsidP="00586EDF">
      <w:pPr>
        <w:rPr>
          <w:sz w:val="14"/>
        </w:rPr>
      </w:pPr>
      <w:r w:rsidRPr="0091290D">
        <w:rPr>
          <w:rStyle w:val="StyleUnderline"/>
        </w:rPr>
        <w:t>A successful recovery plan must</w:t>
      </w:r>
      <w:r w:rsidRPr="0091290D">
        <w:rPr>
          <w:sz w:val="14"/>
        </w:rPr>
        <w:t xml:space="preserve"> help businesses </w:t>
      </w:r>
      <w:r w:rsidRPr="0091290D">
        <w:rPr>
          <w:rStyle w:val="StyleUnderline"/>
        </w:rPr>
        <w:t>revive and resume hiring</w:t>
      </w:r>
      <w:r w:rsidRPr="0091290D">
        <w:rPr>
          <w:sz w:val="14"/>
        </w:rPr>
        <w:t xml:space="preserve">. It must </w:t>
      </w:r>
      <w:r w:rsidRPr="0091290D">
        <w:rPr>
          <w:rStyle w:val="StyleUnderline"/>
        </w:rPr>
        <w:t xml:space="preserve">bolster incomes battered by the pandemic shutdown without creating disincentives to work. </w:t>
      </w:r>
      <w:r w:rsidRPr="0091290D">
        <w:rPr>
          <w:sz w:val="14"/>
        </w:rPr>
        <w:t xml:space="preserve">And it must </w:t>
      </w:r>
      <w:r w:rsidRPr="0091290D">
        <w:rPr>
          <w:rStyle w:val="StyleUnderline"/>
        </w:rPr>
        <w:t>support state and local governments in their efforts</w:t>
      </w:r>
      <w:r w:rsidRPr="0091290D">
        <w:rPr>
          <w:sz w:val="14"/>
        </w:rPr>
        <w:t xml:space="preserve"> helping to heal the economy </w:t>
      </w:r>
      <w:r w:rsidRPr="0091290D">
        <w:rPr>
          <w:rStyle w:val="StyleUnderline"/>
        </w:rPr>
        <w:t xml:space="preserve">and shield their residents from the worst effects </w:t>
      </w:r>
      <w:r w:rsidRPr="0091290D">
        <w:rPr>
          <w:sz w:val="14"/>
        </w:rPr>
        <w:t>of the downturn. With this in mind, the four of us as members of the Economic Strategy Group and from both political parties are releasing a plan to achieve those goals.</w:t>
      </w:r>
    </w:p>
    <w:p w14:paraId="0ABE7707" w14:textId="77777777" w:rsidR="00586EDF" w:rsidRPr="0091290D" w:rsidRDefault="004E564C" w:rsidP="00586EDF">
      <w:pPr>
        <w:rPr>
          <w:rStyle w:val="StyleUnderline"/>
        </w:rPr>
      </w:pPr>
      <w:hyperlink r:id="rId381" w:tgtFrame="_blank" w:history="1">
        <w:r w:rsidR="00586EDF" w:rsidRPr="0091290D">
          <w:rPr>
            <w:rStyle w:val="Hyperlink"/>
          </w:rPr>
          <w:t>Our plan</w:t>
        </w:r>
      </w:hyperlink>
      <w:r w:rsidR="00586EDF" w:rsidRPr="0091290D">
        <w:t xml:space="preserve"> has </w:t>
      </w:r>
      <w:r w:rsidR="00586EDF" w:rsidRPr="0091290D">
        <w:rPr>
          <w:rStyle w:val="StyleUnderline"/>
        </w:rPr>
        <w:t>four parts</w:t>
      </w:r>
      <w:r w:rsidR="00586EDF" w:rsidRPr="0091290D">
        <w:t xml:space="preserve">: </w:t>
      </w:r>
      <w:r w:rsidR="00586EDF" w:rsidRPr="0091290D">
        <w:rPr>
          <w:rStyle w:val="StyleUnderline"/>
        </w:rPr>
        <w:t>income support for unemployed and underemployed individuals</w:t>
      </w:r>
      <w:r w:rsidR="00586EDF" w:rsidRPr="0091290D">
        <w:t xml:space="preserve">; </w:t>
      </w:r>
      <w:r w:rsidR="00586EDF" w:rsidRPr="0091290D">
        <w:rPr>
          <w:rStyle w:val="StyleUnderline"/>
        </w:rPr>
        <w:t>pandemic employment benefits for low-wage workers</w:t>
      </w:r>
      <w:r w:rsidR="00586EDF" w:rsidRPr="0091290D">
        <w:t xml:space="preserve">; </w:t>
      </w:r>
      <w:r w:rsidR="00586EDF" w:rsidRPr="0091290D">
        <w:rPr>
          <w:rStyle w:val="StyleUnderline"/>
        </w:rPr>
        <w:t>support for small business</w:t>
      </w:r>
      <w:r w:rsidR="00586EDF" w:rsidRPr="0091290D">
        <w:t xml:space="preserve">; and </w:t>
      </w:r>
      <w:r w:rsidR="00586EDF" w:rsidRPr="0091290D">
        <w:rPr>
          <w:rStyle w:val="StyleUnderline"/>
        </w:rPr>
        <w:t>federal funding for state and local governments</w:t>
      </w:r>
      <w:r w:rsidR="00586EDF" w:rsidRPr="0091290D">
        <w:t xml:space="preserve">. We estimate that </w:t>
      </w:r>
      <w:r w:rsidR="00586EDF" w:rsidRPr="0091290D">
        <w:rPr>
          <w:rStyle w:val="StyleUnderline"/>
        </w:rPr>
        <w:t>it would add about 4 percent to gross domestic product</w:t>
      </w:r>
      <w:r w:rsidR="00586EDF" w:rsidRPr="0091290D">
        <w:t xml:space="preserve"> over the next year and a half, at its peak </w:t>
      </w:r>
      <w:r w:rsidR="00586EDF" w:rsidRPr="0091290D">
        <w:rPr>
          <w:rStyle w:val="StyleUnderline"/>
        </w:rPr>
        <w:t>adding about 4.5 million jobs to the economy.</w:t>
      </w:r>
    </w:p>
    <w:p w14:paraId="47E8F49F" w14:textId="77777777" w:rsidR="00586EDF" w:rsidRPr="0091290D" w:rsidRDefault="00586EDF" w:rsidP="00586EDF">
      <w:pPr>
        <w:rPr>
          <w:rStyle w:val="StyleUnderline"/>
        </w:rPr>
      </w:pPr>
      <w:r w:rsidRPr="0091290D">
        <w:rPr>
          <w:sz w:val="14"/>
        </w:rPr>
        <w:t xml:space="preserve">With the highest unemployment rate since the Great Depression, </w:t>
      </w:r>
      <w:r w:rsidRPr="0091290D">
        <w:rPr>
          <w:rStyle w:val="StyleUnderline"/>
        </w:rPr>
        <w:t>maintaining unemployment insurance support is essential</w:t>
      </w:r>
      <w:r w:rsidRPr="0091290D">
        <w:rPr>
          <w:sz w:val="14"/>
        </w:rPr>
        <w:t xml:space="preserve"> both to protect families and support demand. </w:t>
      </w:r>
      <w:r w:rsidRPr="0091290D">
        <w:rPr>
          <w:rStyle w:val="StyleUnderline"/>
        </w:rPr>
        <w:t>This makes economic sense</w:t>
      </w:r>
      <w:r w:rsidRPr="0091290D">
        <w:rPr>
          <w:sz w:val="14"/>
        </w:rPr>
        <w:t xml:space="preserve">: Evidence shows that every $1 paid in unemployment insurance adds $1.50 to the economy. But extending the $600 weekly unemployment insurance benefit enacted at the start of the shutdown does not make sense now, when better protections against covid-19 are being put in place and the unemployment rate is coming down. We thus propose </w:t>
      </w:r>
      <w:r w:rsidRPr="0091290D">
        <w:rPr>
          <w:rStyle w:val="StyleUnderline"/>
        </w:rPr>
        <w:t>phasing down this federal benefit by tying it to the specific economic circumstances of individual states.</w:t>
      </w:r>
    </w:p>
    <w:p w14:paraId="4EFD5787" w14:textId="77777777" w:rsidR="00586EDF" w:rsidRPr="0091290D" w:rsidRDefault="00586EDF" w:rsidP="00586EDF">
      <w:pPr>
        <w:rPr>
          <w:sz w:val="14"/>
        </w:rPr>
      </w:pPr>
      <w:r w:rsidRPr="0091290D">
        <w:rPr>
          <w:sz w:val="14"/>
        </w:rPr>
        <w:t xml:space="preserve">We propose that </w:t>
      </w:r>
      <w:r w:rsidRPr="0091290D">
        <w:rPr>
          <w:rStyle w:val="StyleUnderline"/>
        </w:rPr>
        <w:t>in states with an unemployment rate above about 15 percent, the federal government would provide a weekly benefit equal to 40 percent of wages</w:t>
      </w:r>
      <w:r w:rsidRPr="0091290D">
        <w:rPr>
          <w:sz w:val="14"/>
        </w:rPr>
        <w:t xml:space="preserve">, capped at $400 a week. </w:t>
      </w:r>
      <w:r w:rsidRPr="0091290D">
        <w:rPr>
          <w:rStyle w:val="StyleUnderline"/>
        </w:rPr>
        <w:t>This amount would replace about 80 percent to 90 percent of lost wages up to the median wage</w:t>
      </w:r>
      <w:r w:rsidRPr="0091290D">
        <w:rPr>
          <w:sz w:val="14"/>
        </w:rPr>
        <w:t>. The benefit would be scaled down as the unemployment rate fell to 7 percent and then eliminated. Additional weeks of benefits beyond the normal 26 would be set to the same formula.</w:t>
      </w:r>
    </w:p>
    <w:p w14:paraId="6813C469" w14:textId="77777777" w:rsidR="00586EDF" w:rsidRPr="0091290D" w:rsidRDefault="00586EDF" w:rsidP="00586EDF">
      <w:pPr>
        <w:rPr>
          <w:sz w:val="14"/>
        </w:rPr>
      </w:pPr>
      <w:r w:rsidRPr="0091290D">
        <w:rPr>
          <w:sz w:val="14"/>
        </w:rPr>
        <w:t>We also propose enc</w:t>
      </w:r>
      <w:r w:rsidRPr="0091290D">
        <w:rPr>
          <w:rStyle w:val="StyleUnderline"/>
        </w:rPr>
        <w:t>ouraging firms to use the short-time compensation plans that are available in 26 states</w:t>
      </w:r>
      <w:r w:rsidRPr="0091290D">
        <w:rPr>
          <w:sz w:val="14"/>
        </w:rPr>
        <w:t>, covering two-thirds of workers. These plans allow firms to avoid having to dismiss some workers while retaining others full time. Instead, they can reduce hours for employees, who then receive pro-rated unemployment insurance. This mechanism should help preserve jobs for when the economy recovers.</w:t>
      </w:r>
    </w:p>
    <w:p w14:paraId="5962DF56" w14:textId="77777777" w:rsidR="00586EDF" w:rsidRPr="00F8171E" w:rsidRDefault="00586EDF" w:rsidP="00586EDF">
      <w:pPr>
        <w:rPr>
          <w:sz w:val="14"/>
        </w:rPr>
      </w:pPr>
      <w:r w:rsidRPr="00F8171E">
        <w:rPr>
          <w:sz w:val="14"/>
        </w:rPr>
        <w:t xml:space="preserve">In addition, recognizing that these benefits will not reach all those who have suffered income losses, we </w:t>
      </w:r>
      <w:r w:rsidRPr="0091290D">
        <w:rPr>
          <w:rStyle w:val="StyleUnderline"/>
        </w:rPr>
        <w:t>support a temporary increase in Supplemental Nutrition Assistance Program benefits to help vulnerable families</w:t>
      </w:r>
      <w:r w:rsidRPr="00F8171E">
        <w:rPr>
          <w:sz w:val="14"/>
        </w:rPr>
        <w:t>.</w:t>
      </w:r>
    </w:p>
    <w:p w14:paraId="411ED55C" w14:textId="77777777" w:rsidR="00586EDF" w:rsidRPr="0091290D" w:rsidRDefault="00586EDF" w:rsidP="00586EDF">
      <w:pPr>
        <w:rPr>
          <w:sz w:val="14"/>
        </w:rPr>
      </w:pPr>
      <w:r w:rsidRPr="0091290D">
        <w:rPr>
          <w:sz w:val="14"/>
        </w:rPr>
        <w:t xml:space="preserve">Coupled with these supports for the unemployed and low-income households are </w:t>
      </w:r>
      <w:r w:rsidRPr="0091290D">
        <w:rPr>
          <w:rStyle w:val="StyleUnderline"/>
        </w:rPr>
        <w:t>additional incentives to and rewards for work</w:t>
      </w:r>
      <w:r w:rsidRPr="0091290D">
        <w:rPr>
          <w:sz w:val="14"/>
        </w:rPr>
        <w:t xml:space="preserve">. The fairest way to create these would be an across-the-board increase that would </w:t>
      </w:r>
      <w:r w:rsidRPr="0091290D">
        <w:rPr>
          <w:rStyle w:val="StyleUnderline"/>
        </w:rPr>
        <w:t>apply to all lower-wage workers equally in the form of a Pandemic Earned Income Tax Credit that would give those in the labor force additional money</w:t>
      </w:r>
      <w:r w:rsidRPr="0091290D">
        <w:rPr>
          <w:sz w:val="14"/>
        </w:rPr>
        <w:t>. Alternatively, a more targeted approach would limit support to a hiring bonus for newly employed workers.</w:t>
      </w:r>
    </w:p>
    <w:p w14:paraId="56EC1292" w14:textId="77777777" w:rsidR="00586EDF" w:rsidRPr="0091290D" w:rsidRDefault="00586EDF" w:rsidP="00586EDF">
      <w:pPr>
        <w:rPr>
          <w:rStyle w:val="StyleUnderline"/>
        </w:rPr>
      </w:pPr>
      <w:r w:rsidRPr="0091290D">
        <w:rPr>
          <w:sz w:val="14"/>
        </w:rPr>
        <w:t xml:space="preserve">Part of the original response to the pandemic was the Paycheck Protection Program, which provided forgivable loans for small businesses. Going forward, </w:t>
      </w:r>
      <w:r w:rsidRPr="0091290D">
        <w:rPr>
          <w:rStyle w:val="StyleUnderline"/>
        </w:rPr>
        <w:t>subsidized federal loans represent the more sensible approach</w:t>
      </w:r>
      <w:r w:rsidRPr="0091290D">
        <w:rPr>
          <w:sz w:val="14"/>
        </w:rPr>
        <w:t xml:space="preserve">. </w:t>
      </w:r>
      <w:r w:rsidRPr="0091290D">
        <w:rPr>
          <w:rStyle w:val="StyleUnderline"/>
        </w:rPr>
        <w:t>They are better targeted to supporting businesses that have a prospect of being viable in the future</w:t>
      </w:r>
      <w:r w:rsidRPr="0091290D">
        <w:rPr>
          <w:sz w:val="14"/>
        </w:rPr>
        <w:t xml:space="preserve">. Accomplishing this objective would not require new funding. Rather, </w:t>
      </w:r>
      <w:r w:rsidRPr="0091290D">
        <w:rPr>
          <w:rStyle w:val="StyleUnderline"/>
        </w:rPr>
        <w:t>the Treasury Department could allocate more of the $454 billion already enacted to support lending and instruct the Federal Reserve</w:t>
      </w:r>
      <w:r w:rsidRPr="0091290D">
        <w:rPr>
          <w:sz w:val="14"/>
        </w:rPr>
        <w:t xml:space="preserve">, which administers these programs, </w:t>
      </w:r>
      <w:r w:rsidRPr="0091290D">
        <w:rPr>
          <w:rStyle w:val="StyleUnderline"/>
        </w:rPr>
        <w:t>that it should be willing to take losses by partially guaranteeing and subsidizing loans.</w:t>
      </w:r>
    </w:p>
    <w:p w14:paraId="39915750" w14:textId="77777777" w:rsidR="00586EDF" w:rsidRPr="0091290D" w:rsidRDefault="00586EDF" w:rsidP="00586EDF">
      <w:pPr>
        <w:rPr>
          <w:rStyle w:val="StyleUnderline"/>
        </w:rPr>
      </w:pPr>
      <w:r w:rsidRPr="0091290D">
        <w:rPr>
          <w:sz w:val="14"/>
        </w:rPr>
        <w:t xml:space="preserve">Finally, </w:t>
      </w:r>
      <w:r w:rsidRPr="0091290D">
        <w:rPr>
          <w:rStyle w:val="StyleUnderline"/>
        </w:rPr>
        <w:t>this is a critical time to provide help for state and local governments now facing massive revenue shortfalls</w:t>
      </w:r>
      <w:r w:rsidRPr="0091290D">
        <w:rPr>
          <w:sz w:val="14"/>
        </w:rPr>
        <w:t xml:space="preserve">. Such funding also provides effective bang for the buck, adding at least $1.70 in additional GDP per dollar spent while protecting vital services. </w:t>
      </w:r>
      <w:r w:rsidRPr="0091290D">
        <w:rPr>
          <w:rStyle w:val="StyleUnderline"/>
        </w:rPr>
        <w:t>We propose a combination of block grants, expanded Medicaid assistance keyed to unemployment rates and financial support for K-12 schools.</w:t>
      </w:r>
      <w:r w:rsidRPr="0091290D">
        <w:rPr>
          <w:sz w:val="14"/>
        </w:rPr>
        <w:t xml:space="preserve"> We also </w:t>
      </w:r>
      <w:r w:rsidRPr="0091290D">
        <w:rPr>
          <w:rStyle w:val="StyleUnderline"/>
        </w:rPr>
        <w:t>call for three years of federal grant funding to public universities and community colleges, which play a critical role in retraining workers for the changing economy.</w:t>
      </w:r>
    </w:p>
    <w:p w14:paraId="17CF5D99" w14:textId="77777777" w:rsidR="00586EDF" w:rsidRPr="0091290D" w:rsidRDefault="00586EDF" w:rsidP="00586EDF">
      <w:pPr>
        <w:rPr>
          <w:rStyle w:val="StyleUnderline"/>
        </w:rPr>
      </w:pPr>
      <w:r w:rsidRPr="0091290D">
        <w:rPr>
          <w:sz w:val="14"/>
        </w:rPr>
        <w:t xml:space="preserve">The path of the recovery is uncertain, and our plan automatically adjusts based on economic conditions. </w:t>
      </w:r>
      <w:r w:rsidRPr="0091290D">
        <w:rPr>
          <w:rStyle w:val="StyleUnderline"/>
        </w:rPr>
        <w:t>If the recovery is quick, it would cost less than $1 trillion. With a more prolonged recovery, the cost could be $2 trillion or more</w:t>
      </w:r>
      <w:r w:rsidRPr="0091290D">
        <w:rPr>
          <w:sz w:val="14"/>
        </w:rPr>
        <w:t xml:space="preserve">. But these </w:t>
      </w:r>
      <w:r w:rsidRPr="0091290D">
        <w:rPr>
          <w:rStyle w:val="StyleUnderline"/>
        </w:rPr>
        <w:t>costs are designed to cover the needs of the economy</w:t>
      </w:r>
      <w:r w:rsidRPr="0091290D">
        <w:rPr>
          <w:sz w:val="14"/>
        </w:rPr>
        <w:t xml:space="preserve"> and of U.S. citizens for years to come — </w:t>
      </w:r>
      <w:r w:rsidRPr="0091290D">
        <w:rPr>
          <w:rStyle w:val="StyleUnderline"/>
        </w:rPr>
        <w:t>averaging some $60 billion a month</w:t>
      </w:r>
      <w:r w:rsidRPr="0091290D">
        <w:rPr>
          <w:sz w:val="14"/>
        </w:rPr>
        <w:t xml:space="preserve">, much below the roughly $500 billion a month expended from April through July. And policymakers weighing this admittedly high price tag must keep in mind: </w:t>
      </w:r>
      <w:r w:rsidRPr="0091290D">
        <w:rPr>
          <w:rStyle w:val="StyleUnderline"/>
        </w:rPr>
        <w:t>The costs of inaction would be much higher.</w:t>
      </w:r>
    </w:p>
    <w:p w14:paraId="08D22559" w14:textId="77777777" w:rsidR="00586EDF" w:rsidRPr="00586EDF" w:rsidRDefault="00586EDF" w:rsidP="00586EDF"/>
    <w:p w14:paraId="50EB3CE7" w14:textId="77777777" w:rsidR="00586EDF" w:rsidRPr="00586EDF" w:rsidRDefault="00586EDF" w:rsidP="00586EDF"/>
    <w:p w14:paraId="68CA6B06" w14:textId="6A152E4A" w:rsidR="00931C9A" w:rsidRDefault="00931C9A" w:rsidP="003242AF">
      <w:pPr>
        <w:pStyle w:val="Heading2"/>
      </w:pPr>
      <w:r>
        <w:t>T-Enact</w:t>
      </w:r>
    </w:p>
    <w:p w14:paraId="499DB748" w14:textId="52C44FEE" w:rsidR="00931C9A" w:rsidRDefault="00931C9A" w:rsidP="00931C9A">
      <w:pPr>
        <w:pStyle w:val="Heading3"/>
      </w:pPr>
      <w:r>
        <w:t>2NC – Violation</w:t>
      </w:r>
    </w:p>
    <w:p w14:paraId="503B514D" w14:textId="77777777" w:rsidR="00931C9A" w:rsidRDefault="00931C9A" w:rsidP="00931C9A">
      <w:pPr>
        <w:pStyle w:val="Heading4"/>
      </w:pPr>
      <w:r>
        <w:t xml:space="preserve">Canons are NOT law.  </w:t>
      </w:r>
    </w:p>
    <w:p w14:paraId="0EAAC9C6" w14:textId="77777777" w:rsidR="00931C9A" w:rsidRPr="00245449" w:rsidRDefault="00931C9A" w:rsidP="00931C9A">
      <w:r w:rsidRPr="00810745">
        <w:rPr>
          <w:rStyle w:val="Style13ptBold"/>
        </w:rPr>
        <w:t xml:space="preserve">Gluck </w:t>
      </w:r>
      <w:r w:rsidRPr="004A2D33">
        <w:rPr>
          <w:rStyle w:val="Style13ptBold"/>
          <w:sz w:val="24"/>
          <w:szCs w:val="20"/>
        </w:rPr>
        <w:t>18.</w:t>
      </w:r>
      <w:r>
        <w:t xml:space="preserve"> </w:t>
      </w:r>
      <w:r w:rsidRPr="007C7C98">
        <w:rPr>
          <w:sz w:val="20"/>
          <w:szCs w:val="20"/>
          <w:u w:val="single"/>
        </w:rPr>
        <w:t>Abbe R. Gluck</w:t>
      </w:r>
      <w:r w:rsidRPr="007C7C98">
        <w:rPr>
          <w:sz w:val="20"/>
          <w:szCs w:val="20"/>
        </w:rPr>
        <w:t xml:space="preserve">, Professor of Law and Faculty Director, Solomon Center for Health Law and Policy, Yale Law School. </w:t>
      </w:r>
      <w:r w:rsidRPr="007C7C98">
        <w:rPr>
          <w:sz w:val="20"/>
          <w:szCs w:val="20"/>
          <w:u w:val="single"/>
        </w:rPr>
        <w:t>Richard A. Posner</w:t>
      </w:r>
      <w:r w:rsidRPr="007C7C98">
        <w:rPr>
          <w:sz w:val="20"/>
          <w:szCs w:val="20"/>
        </w:rPr>
        <w:t>, Former Judge of the U.S. Court of Appeals for the Seventh Circuit, currently President of Team Posner, Inc. (3-9-2018, "Statutory Interpretation on the Bench: A Survey of Forty-Two Judges on the Federal Courts of Appeals," Harvard Law Review, vol. 131, pp. 1298-1373, https://harvardlawreview.org/2018/03/statutory-interpretation-on-the-bench-a-survey-of-forty-two-judges-on-the-federal-courts-of-appeals/)//pacc</w:t>
      </w:r>
    </w:p>
    <w:p w14:paraId="769D8E89" w14:textId="45DD5862" w:rsidR="00931C9A" w:rsidRDefault="00931C9A" w:rsidP="00931C9A">
      <w:pPr>
        <w:rPr>
          <w:sz w:val="14"/>
        </w:rPr>
      </w:pPr>
      <w:r w:rsidRPr="00245449">
        <w:rPr>
          <w:u w:val="single"/>
        </w:rPr>
        <w:t xml:space="preserve">This is </w:t>
      </w:r>
      <w:r w:rsidRPr="00456038">
        <w:rPr>
          <w:highlight w:val="cyan"/>
          <w:u w:val="single"/>
        </w:rPr>
        <w:t>no</w:t>
      </w:r>
      <w:r w:rsidRPr="00245449">
        <w:rPr>
          <w:u w:val="single"/>
        </w:rPr>
        <w:t xml:space="preserve">t to say that the </w:t>
      </w:r>
      <w:r w:rsidRPr="00456038">
        <w:rPr>
          <w:highlight w:val="cyan"/>
          <w:u w:val="single"/>
        </w:rPr>
        <w:t>canons are treated as</w:t>
      </w:r>
      <w:r w:rsidRPr="00245449">
        <w:rPr>
          <w:u w:val="single"/>
        </w:rPr>
        <w:t xml:space="preserve"> “</w:t>
      </w:r>
      <w:r w:rsidRPr="00456038">
        <w:rPr>
          <w:highlight w:val="cyan"/>
          <w:u w:val="single"/>
        </w:rPr>
        <w:t>law</w:t>
      </w:r>
      <w:r w:rsidRPr="00245449">
        <w:rPr>
          <w:u w:val="single"/>
        </w:rPr>
        <w:t xml:space="preserve">,” </w:t>
      </w:r>
      <w:r w:rsidRPr="00245449">
        <w:rPr>
          <w:sz w:val="14"/>
        </w:rPr>
        <w:t xml:space="preserve">as ordinary doctrine is, or that their legal status is even fully understood.72 </w:t>
      </w:r>
      <w:r w:rsidRPr="00456038">
        <w:rPr>
          <w:highlight w:val="cyan"/>
          <w:u w:val="single"/>
        </w:rPr>
        <w:t>The Court</w:t>
      </w:r>
      <w:r w:rsidRPr="00245449">
        <w:rPr>
          <w:u w:val="single"/>
        </w:rPr>
        <w:t xml:space="preserve"> itself has </w:t>
      </w:r>
      <w:r w:rsidRPr="00456038">
        <w:rPr>
          <w:highlight w:val="cyan"/>
          <w:u w:val="single"/>
        </w:rPr>
        <w:t>called them</w:t>
      </w:r>
      <w:r w:rsidRPr="00245449">
        <w:rPr>
          <w:u w:val="single"/>
        </w:rPr>
        <w:t xml:space="preserve"> mere “</w:t>
      </w:r>
      <w:r w:rsidRPr="00456038">
        <w:rPr>
          <w:rStyle w:val="Emphasis"/>
          <w:highlight w:val="cyan"/>
        </w:rPr>
        <w:t>rules of thumb</w:t>
      </w:r>
      <w:r w:rsidRPr="00245449">
        <w:rPr>
          <w:u w:val="single"/>
        </w:rPr>
        <w:t>.”</w:t>
      </w:r>
      <w:r w:rsidRPr="00245449">
        <w:rPr>
          <w:sz w:val="14"/>
        </w:rPr>
        <w:t xml:space="preserve">73 </w:t>
      </w:r>
      <w:r w:rsidRPr="00456038">
        <w:rPr>
          <w:highlight w:val="cyan"/>
          <w:u w:val="single"/>
        </w:rPr>
        <w:t xml:space="preserve">Judges </w:t>
      </w:r>
      <w:r w:rsidRPr="00456038">
        <w:rPr>
          <w:rStyle w:val="Emphasis"/>
          <w:highlight w:val="cyan"/>
        </w:rPr>
        <w:t>across the board</w:t>
      </w:r>
      <w:r w:rsidRPr="00245449">
        <w:rPr>
          <w:u w:val="single"/>
        </w:rPr>
        <w:t xml:space="preserve"> generally </w:t>
      </w:r>
      <w:r w:rsidRPr="00456038">
        <w:rPr>
          <w:highlight w:val="cyan"/>
          <w:u w:val="single"/>
        </w:rPr>
        <w:t xml:space="preserve">do </w:t>
      </w:r>
      <w:r w:rsidRPr="00456038">
        <w:rPr>
          <w:rStyle w:val="Emphasis"/>
          <w:highlight w:val="cyan"/>
        </w:rPr>
        <w:t>not</w:t>
      </w:r>
      <w:r w:rsidRPr="00456038">
        <w:rPr>
          <w:highlight w:val="cyan"/>
          <w:u w:val="single"/>
        </w:rPr>
        <w:t xml:space="preserve"> give</w:t>
      </w:r>
      <w:r w:rsidRPr="00245449">
        <w:rPr>
          <w:u w:val="single"/>
        </w:rPr>
        <w:t xml:space="preserve"> the </w:t>
      </w:r>
      <w:r w:rsidRPr="00456038">
        <w:rPr>
          <w:highlight w:val="cyan"/>
          <w:u w:val="single"/>
        </w:rPr>
        <w:t xml:space="preserve">canons </w:t>
      </w:r>
      <w:r w:rsidRPr="00456038">
        <w:rPr>
          <w:rStyle w:val="Emphasis"/>
          <w:highlight w:val="cyan"/>
        </w:rPr>
        <w:t>precedential effect</w:t>
      </w:r>
      <w:r w:rsidRPr="00245449">
        <w:rPr>
          <w:sz w:val="14"/>
        </w:rPr>
        <w:t xml:space="preserve">. And yet, the canons dominate briefing in cases raising statutory interpretation questions and are typically referenced in opinions to justify statutory interpretation decisions. A random sampling of opinions from each of the forty-two judges we interviewed revealed all of the judges to use canons routinely, despite some telling us that they do not. </w:t>
      </w:r>
    </w:p>
    <w:p w14:paraId="57948DA7" w14:textId="240A8BF6" w:rsidR="00931C9A" w:rsidRDefault="00931C9A" w:rsidP="00931C9A">
      <w:pPr>
        <w:pStyle w:val="Heading3"/>
      </w:pPr>
      <w:r>
        <w:t>2NC – Limits</w:t>
      </w:r>
    </w:p>
    <w:p w14:paraId="43A8257F" w14:textId="77777777" w:rsidR="00931C9A" w:rsidRPr="006C20C1" w:rsidRDefault="00931C9A" w:rsidP="00931C9A">
      <w:pPr>
        <w:pStyle w:val="Heading4"/>
        <w:rPr>
          <w:rFonts w:asciiTheme="minorHAnsi" w:hAnsiTheme="minorHAnsi" w:cstheme="minorHAnsi"/>
        </w:rPr>
      </w:pPr>
      <w:r w:rsidRPr="006C20C1">
        <w:rPr>
          <w:rFonts w:asciiTheme="minorHAnsi" w:hAnsiTheme="minorHAnsi" w:cstheme="minorHAnsi"/>
          <w:u w:val="single"/>
        </w:rPr>
        <w:t>Millions of pages</w:t>
      </w:r>
      <w:r>
        <w:rPr>
          <w:rFonts w:asciiTheme="minorHAnsi" w:hAnsiTheme="minorHAnsi" w:cstheme="minorHAnsi"/>
        </w:rPr>
        <w:t xml:space="preserve"> of judicial opinions. </w:t>
      </w:r>
    </w:p>
    <w:p w14:paraId="24B35DC4" w14:textId="77777777" w:rsidR="00931C9A" w:rsidRPr="00C57F55" w:rsidRDefault="00931C9A" w:rsidP="00931C9A">
      <w:pPr>
        <w:rPr>
          <w:rFonts w:asciiTheme="minorHAnsi" w:hAnsiTheme="minorHAnsi" w:cstheme="minorHAnsi"/>
        </w:rPr>
      </w:pPr>
      <w:r w:rsidRPr="00C57F55">
        <w:rPr>
          <w:rStyle w:val="Style13ptBold"/>
          <w:rFonts w:asciiTheme="minorHAnsi" w:hAnsiTheme="minorHAnsi" w:cstheme="minorHAnsi"/>
        </w:rPr>
        <w:t xml:space="preserve">Smith </w:t>
      </w:r>
      <w:r w:rsidRPr="001905C4">
        <w:rPr>
          <w:rStyle w:val="Style13ptBold"/>
          <w:rFonts w:asciiTheme="minorHAnsi" w:hAnsiTheme="minorHAnsi" w:cstheme="minorHAnsi"/>
          <w:sz w:val="24"/>
          <w:szCs w:val="20"/>
        </w:rPr>
        <w:t>17.</w:t>
      </w:r>
      <w:r w:rsidRPr="00C57F55">
        <w:rPr>
          <w:rFonts w:asciiTheme="minorHAnsi" w:hAnsiTheme="minorHAnsi" w:cstheme="minorHAnsi"/>
          <w:sz w:val="16"/>
          <w:szCs w:val="16"/>
        </w:rPr>
        <w:t xml:space="preserve"> </w:t>
      </w:r>
      <w:r w:rsidRPr="007C7C98">
        <w:rPr>
          <w:rFonts w:asciiTheme="minorHAnsi" w:hAnsiTheme="minorHAnsi" w:cstheme="minorHAnsi"/>
          <w:sz w:val="20"/>
          <w:szCs w:val="20"/>
        </w:rPr>
        <w:t>Stephen F. Smith, Professor of Law, University of Notre Dame, former clerk for SCOTUS &amp; D.C. Court of Appeals, J.D. from University of Virginia Law, and B.A. from Dartmouth, (2017, “Overfederalization,” Sandra Day O’Connor College of Law Arizona State University, Reforming Criminal Justice Vol. 1: Introduction and Criminalization, https://law.asu.edu/sites/default/files/pdf/academy_for_justice/Reforming-Criminal-Justice_Vol_1.pdf)//pacc</w:t>
      </w:r>
    </w:p>
    <w:p w14:paraId="1020FFDF" w14:textId="77777777" w:rsidR="00931C9A" w:rsidRPr="00C57F55" w:rsidRDefault="00931C9A" w:rsidP="00931C9A">
      <w:pPr>
        <w:rPr>
          <w:rFonts w:asciiTheme="minorHAnsi" w:hAnsiTheme="minorHAnsi" w:cstheme="minorHAnsi"/>
          <w:sz w:val="14"/>
        </w:rPr>
      </w:pPr>
      <w:r w:rsidRPr="00C57F55">
        <w:rPr>
          <w:rFonts w:asciiTheme="minorHAnsi" w:hAnsiTheme="minorHAnsi" w:cstheme="minorHAnsi"/>
          <w:sz w:val="14"/>
        </w:rPr>
        <w:t xml:space="preserve">Those days, of course, are long gone. </w:t>
      </w:r>
      <w:r w:rsidRPr="00C57F55">
        <w:rPr>
          <w:rStyle w:val="StyleUnderline"/>
          <w:rFonts w:asciiTheme="minorHAnsi" w:hAnsiTheme="minorHAnsi" w:cstheme="minorHAnsi"/>
        </w:rPr>
        <w:t xml:space="preserve">With Congress having cast off </w:t>
      </w:r>
      <w:r w:rsidRPr="00C57F55">
        <w:rPr>
          <w:rStyle w:val="StyleUnderline"/>
          <w:rFonts w:asciiTheme="minorHAnsi" w:hAnsiTheme="minorHAnsi" w:cstheme="minorHAnsi"/>
          <w:sz w:val="14"/>
          <w:szCs w:val="14"/>
          <w:u w:val="none"/>
        </w:rPr>
        <w:t>the shackles of federalism and self</w:t>
      </w:r>
      <w:r w:rsidRPr="00C57F55">
        <w:rPr>
          <w:rStyle w:val="StyleUnderline"/>
          <w:rFonts w:asciiTheme="minorHAnsi" w:hAnsiTheme="minorHAnsi" w:cstheme="minorHAnsi"/>
        </w:rPr>
        <w:t>-restraint in recent</w:t>
      </w:r>
      <w:r w:rsidRPr="00C57F55">
        <w:rPr>
          <w:rFonts w:asciiTheme="minorHAnsi" w:hAnsiTheme="minorHAnsi" w:cstheme="minorHAnsi"/>
          <w:sz w:val="14"/>
        </w:rPr>
        <w:t xml:space="preserve"> generations, </w:t>
      </w:r>
      <w:r w:rsidRPr="00C57F55">
        <w:rPr>
          <w:rFonts w:asciiTheme="minorHAnsi" w:hAnsiTheme="minorHAnsi" w:cstheme="minorHAnsi"/>
          <w:u w:val="single"/>
        </w:rPr>
        <w:t xml:space="preserve">it comes as no surprise that the </w:t>
      </w:r>
      <w:r w:rsidRPr="00C57F55">
        <w:rPr>
          <w:rStyle w:val="Emphasis"/>
          <w:rFonts w:asciiTheme="minorHAnsi" w:hAnsiTheme="minorHAnsi" w:cstheme="minorHAnsi"/>
        </w:rPr>
        <w:t>loose collection</w:t>
      </w:r>
      <w:r w:rsidRPr="00C57F55">
        <w:rPr>
          <w:rFonts w:asciiTheme="minorHAnsi" w:hAnsiTheme="minorHAnsi" w:cstheme="minorHAnsi"/>
          <w:u w:val="single"/>
        </w:rPr>
        <w:t xml:space="preserve"> of statutes </w:t>
      </w:r>
      <w:r w:rsidRPr="00E577DC">
        <w:rPr>
          <w:rFonts w:asciiTheme="minorHAnsi" w:hAnsiTheme="minorHAnsi" w:cstheme="minorHAnsi"/>
          <w:u w:val="single"/>
        </w:rPr>
        <w:t>known as “</w:t>
      </w:r>
      <w:r w:rsidRPr="00E577DC">
        <w:rPr>
          <w:rStyle w:val="Emphasis"/>
          <w:rFonts w:asciiTheme="minorHAnsi" w:hAnsiTheme="minorHAnsi" w:cstheme="minorHAnsi"/>
        </w:rPr>
        <w:t xml:space="preserve">federal </w:t>
      </w:r>
      <w:r w:rsidRPr="00456038">
        <w:rPr>
          <w:rStyle w:val="Emphasis"/>
          <w:rFonts w:asciiTheme="minorHAnsi" w:hAnsiTheme="minorHAnsi" w:cstheme="minorHAnsi"/>
          <w:highlight w:val="cyan"/>
        </w:rPr>
        <w:t>criminal</w:t>
      </w:r>
      <w:r w:rsidRPr="00E577DC">
        <w:rPr>
          <w:rStyle w:val="Emphasis"/>
          <w:rFonts w:asciiTheme="minorHAnsi" w:hAnsiTheme="minorHAnsi" w:cstheme="minorHAnsi"/>
        </w:rPr>
        <w:t xml:space="preserve"> law</w:t>
      </w:r>
      <w:r w:rsidRPr="00E577DC">
        <w:rPr>
          <w:rFonts w:asciiTheme="minorHAnsi" w:hAnsiTheme="minorHAnsi" w:cstheme="minorHAnsi"/>
          <w:u w:val="single"/>
        </w:rPr>
        <w:t>” is</w:t>
      </w:r>
      <w:r w:rsidRPr="00C57F55">
        <w:rPr>
          <w:rFonts w:asciiTheme="minorHAnsi" w:hAnsiTheme="minorHAnsi" w:cstheme="minorHAnsi"/>
          <w:sz w:val="14"/>
        </w:rPr>
        <w:t xml:space="preserve"> sprawling and virtually limitless in its reach into the domain of state criminal law. It is, however, surprising just how large, sprawling, and inaccessible </w:t>
      </w:r>
      <w:r w:rsidRPr="00C57F55">
        <w:rPr>
          <w:rFonts w:asciiTheme="minorHAnsi" w:hAnsiTheme="minorHAnsi" w:cstheme="minorHAnsi"/>
          <w:u w:val="single"/>
        </w:rPr>
        <w:t xml:space="preserve">the resulting </w:t>
      </w:r>
      <w:r w:rsidRPr="00E577DC">
        <w:rPr>
          <w:rFonts w:asciiTheme="minorHAnsi" w:hAnsiTheme="minorHAnsi" w:cstheme="minorHAnsi"/>
          <w:u w:val="single"/>
        </w:rPr>
        <w:t xml:space="preserve">collection of </w:t>
      </w:r>
      <w:r w:rsidRPr="00456038">
        <w:rPr>
          <w:rFonts w:asciiTheme="minorHAnsi" w:hAnsiTheme="minorHAnsi" w:cstheme="minorHAnsi"/>
          <w:b/>
          <w:bCs/>
          <w:highlight w:val="cyan"/>
          <w:u w:val="single"/>
        </w:rPr>
        <w:t>statutes</w:t>
      </w:r>
      <w:r w:rsidRPr="00C57F55">
        <w:rPr>
          <w:rFonts w:asciiTheme="minorHAnsi" w:hAnsiTheme="minorHAnsi" w:cstheme="minorHAnsi"/>
          <w:sz w:val="14"/>
        </w:rPr>
        <w:t xml:space="preserve"> (which, strictly speaking, is not properly referred to as a “code” at all)5 </w:t>
      </w:r>
      <w:r w:rsidRPr="00C57F55">
        <w:rPr>
          <w:rFonts w:asciiTheme="minorHAnsi" w:hAnsiTheme="minorHAnsi" w:cstheme="minorHAnsi"/>
          <w:u w:val="single"/>
        </w:rPr>
        <w:t>has become</w:t>
      </w:r>
      <w:r w:rsidRPr="00C57F55">
        <w:rPr>
          <w:rFonts w:asciiTheme="minorHAnsi" w:hAnsiTheme="minorHAnsi" w:cstheme="minorHAnsi"/>
          <w:sz w:val="14"/>
        </w:rPr>
        <w:t xml:space="preserve"> after more than a century of statute-by-statute accumulation.</w:t>
      </w:r>
    </w:p>
    <w:p w14:paraId="5D04D56B" w14:textId="77777777" w:rsidR="00931C9A" w:rsidRPr="00C57F55" w:rsidRDefault="00931C9A" w:rsidP="00931C9A">
      <w:pPr>
        <w:rPr>
          <w:rFonts w:asciiTheme="minorHAnsi" w:hAnsiTheme="minorHAnsi" w:cstheme="minorHAnsi"/>
          <w:sz w:val="14"/>
        </w:rPr>
      </w:pPr>
      <w:r w:rsidRPr="00C57F55">
        <w:rPr>
          <w:rFonts w:asciiTheme="minorHAnsi" w:hAnsiTheme="minorHAnsi" w:cstheme="minorHAnsi"/>
          <w:sz w:val="14"/>
        </w:rPr>
        <w:t xml:space="preserve">It is surprising but true that no one—not the Department of Justice, scholars in the field, nor blue-ribbon task forces that spent years studying the subject— has even a rough idea of how many federal criminal laws there are. The American Bar Association’s Task Force on Federalization, for instance, abandoned its own years-long counting effort as futile given how “large … the present body of federal criminal law [is].”6 Even defenders of the federalization of criminal law concede that its scope is “potentially infinite”: “Current </w:t>
      </w:r>
      <w:r w:rsidRPr="00C57F55">
        <w:rPr>
          <w:rFonts w:asciiTheme="minorHAnsi" w:hAnsiTheme="minorHAnsi" w:cstheme="minorHAnsi"/>
          <w:u w:val="single"/>
        </w:rPr>
        <w:t xml:space="preserve">federal criminal law is </w:t>
      </w:r>
      <w:r w:rsidRPr="00E577DC">
        <w:rPr>
          <w:rFonts w:asciiTheme="minorHAnsi" w:hAnsiTheme="minorHAnsi" w:cstheme="minorHAnsi"/>
          <w:u w:val="single"/>
        </w:rPr>
        <w:t xml:space="preserve">set </w:t>
      </w:r>
      <w:r w:rsidRPr="000B2910">
        <w:rPr>
          <w:rFonts w:asciiTheme="minorHAnsi" w:hAnsiTheme="minorHAnsi" w:cstheme="minorHAnsi"/>
          <w:u w:val="single"/>
        </w:rPr>
        <w:t xml:space="preserve">forth in </w:t>
      </w:r>
      <w:r w:rsidRPr="000B2910">
        <w:rPr>
          <w:rStyle w:val="Emphasis"/>
          <w:rFonts w:asciiTheme="minorHAnsi" w:hAnsiTheme="minorHAnsi" w:cstheme="minorHAnsi"/>
          <w:b w:val="0"/>
          <w:bCs/>
          <w:sz w:val="14"/>
          <w:u w:val="none"/>
        </w:rPr>
        <w:t>forty-eight titles</w:t>
      </w:r>
      <w:r w:rsidRPr="000B2910">
        <w:rPr>
          <w:rFonts w:asciiTheme="minorHAnsi" w:hAnsiTheme="minorHAnsi" w:cstheme="minorHAnsi"/>
          <w:b/>
          <w:bCs/>
          <w:sz w:val="14"/>
        </w:rPr>
        <w:t xml:space="preserve"> </w:t>
      </w:r>
      <w:r w:rsidRPr="000B2910">
        <w:rPr>
          <w:rFonts w:asciiTheme="minorHAnsi" w:hAnsiTheme="minorHAnsi" w:cstheme="minorHAnsi"/>
          <w:sz w:val="14"/>
        </w:rPr>
        <w:t>of</w:t>
      </w:r>
      <w:r w:rsidRPr="000B2910">
        <w:rPr>
          <w:rFonts w:asciiTheme="minorHAnsi" w:hAnsiTheme="minorHAnsi" w:cstheme="minorHAnsi"/>
          <w:b/>
          <w:bCs/>
          <w:sz w:val="14"/>
        </w:rPr>
        <w:t xml:space="preserve"> </w:t>
      </w:r>
      <w:r w:rsidRPr="000B2910">
        <w:rPr>
          <w:rFonts w:asciiTheme="minorHAnsi" w:hAnsiTheme="minorHAnsi" w:cstheme="minorHAnsi"/>
          <w:u w:val="single"/>
        </w:rPr>
        <w:t xml:space="preserve">the </w:t>
      </w:r>
      <w:r w:rsidRPr="000B2910">
        <w:rPr>
          <w:rFonts w:asciiTheme="minorHAnsi" w:hAnsiTheme="minorHAnsi" w:cstheme="minorHAnsi"/>
          <w:b/>
          <w:bCs/>
          <w:u w:val="single"/>
        </w:rPr>
        <w:t>U</w:t>
      </w:r>
      <w:r w:rsidRPr="000B2910">
        <w:rPr>
          <w:rFonts w:asciiTheme="minorHAnsi" w:hAnsiTheme="minorHAnsi" w:cstheme="minorHAnsi"/>
          <w:sz w:val="14"/>
        </w:rPr>
        <w:t xml:space="preserve">nited </w:t>
      </w:r>
      <w:r w:rsidRPr="000B2910">
        <w:rPr>
          <w:rFonts w:asciiTheme="minorHAnsi" w:hAnsiTheme="minorHAnsi" w:cstheme="minorHAnsi"/>
          <w:b/>
          <w:bCs/>
          <w:u w:val="single"/>
        </w:rPr>
        <w:t>S</w:t>
      </w:r>
      <w:r w:rsidRPr="000B2910">
        <w:rPr>
          <w:rFonts w:asciiTheme="minorHAnsi" w:hAnsiTheme="minorHAnsi" w:cstheme="minorHAnsi"/>
          <w:sz w:val="14"/>
        </w:rPr>
        <w:t xml:space="preserve">tates </w:t>
      </w:r>
      <w:r w:rsidRPr="000B2910">
        <w:rPr>
          <w:rFonts w:asciiTheme="minorHAnsi" w:hAnsiTheme="minorHAnsi" w:cstheme="minorHAnsi"/>
          <w:b/>
          <w:bCs/>
          <w:u w:val="single"/>
        </w:rPr>
        <w:t>C</w:t>
      </w:r>
      <w:r w:rsidRPr="000B2910">
        <w:rPr>
          <w:rFonts w:asciiTheme="minorHAnsi" w:hAnsiTheme="minorHAnsi" w:cstheme="minorHAnsi"/>
          <w:sz w:val="14"/>
        </w:rPr>
        <w:t>ode, encompassing roughly 27,</w:t>
      </w:r>
      <w:r w:rsidRPr="00C57F55">
        <w:rPr>
          <w:rFonts w:asciiTheme="minorHAnsi" w:hAnsiTheme="minorHAnsi" w:cstheme="minorHAnsi"/>
          <w:sz w:val="14"/>
        </w:rPr>
        <w:t>000 pages of printed text, as</w:t>
      </w:r>
      <w:r w:rsidRPr="00C57F55">
        <w:rPr>
          <w:rFonts w:asciiTheme="minorHAnsi" w:hAnsiTheme="minorHAnsi" w:cstheme="minorHAnsi"/>
          <w:u w:val="single"/>
        </w:rPr>
        <w:t xml:space="preserve"> </w:t>
      </w:r>
      <w:r w:rsidRPr="00456038">
        <w:rPr>
          <w:rStyle w:val="Emphasis"/>
          <w:rFonts w:asciiTheme="minorHAnsi" w:hAnsiTheme="minorHAnsi" w:cstheme="minorHAnsi"/>
          <w:highlight w:val="cyan"/>
        </w:rPr>
        <w:t>interpreted in</w:t>
      </w:r>
      <w:r w:rsidRPr="00456038">
        <w:rPr>
          <w:rFonts w:asciiTheme="minorHAnsi" w:hAnsiTheme="minorHAnsi" w:cstheme="minorHAnsi"/>
          <w:highlight w:val="cyan"/>
          <w:u w:val="single"/>
        </w:rPr>
        <w:t xml:space="preserve"> </w:t>
      </w:r>
      <w:r w:rsidRPr="00456038">
        <w:rPr>
          <w:rFonts w:asciiTheme="minorHAnsi" w:hAnsiTheme="minorHAnsi" w:cstheme="minorHAnsi"/>
          <w:b/>
          <w:bCs/>
          <w:highlight w:val="cyan"/>
          <w:u w:val="single"/>
        </w:rPr>
        <w:t xml:space="preserve">judicial </w:t>
      </w:r>
      <w:r w:rsidRPr="00456038">
        <w:rPr>
          <w:rStyle w:val="StyleUnderline"/>
          <w:b/>
          <w:bCs/>
          <w:highlight w:val="cyan"/>
        </w:rPr>
        <w:t>opinions</w:t>
      </w:r>
      <w:r w:rsidRPr="00845A05">
        <w:rPr>
          <w:rStyle w:val="StyleUnderline"/>
        </w:rPr>
        <w:t xml:space="preserve"> found </w:t>
      </w:r>
      <w:r w:rsidRPr="00456038">
        <w:rPr>
          <w:rStyle w:val="StyleUnderline"/>
          <w:highlight w:val="cyan"/>
        </w:rPr>
        <w:t>in</w:t>
      </w:r>
      <w:r w:rsidRPr="00845A05">
        <w:rPr>
          <w:rStyle w:val="StyleUnderline"/>
        </w:rPr>
        <w:t xml:space="preserve"> over </w:t>
      </w:r>
      <w:r w:rsidRPr="00845A05">
        <w:rPr>
          <w:rStyle w:val="StyleUnderline"/>
          <w:b/>
          <w:bCs/>
        </w:rPr>
        <w:t>2,800 volumes</w:t>
      </w:r>
      <w:r w:rsidRPr="00845A05">
        <w:rPr>
          <w:rStyle w:val="StyleUnderline"/>
        </w:rPr>
        <w:t>, containing</w:t>
      </w:r>
      <w:r w:rsidRPr="00C57F55">
        <w:rPr>
          <w:rFonts w:asciiTheme="minorHAnsi" w:hAnsiTheme="minorHAnsi" w:cstheme="minorHAnsi"/>
          <w:sz w:val="14"/>
        </w:rPr>
        <w:t xml:space="preserve"> approximately </w:t>
      </w:r>
      <w:r w:rsidRPr="00456038">
        <w:rPr>
          <w:rStyle w:val="Emphasis"/>
          <w:highlight w:val="cyan"/>
        </w:rPr>
        <w:t>4,000,000</w:t>
      </w:r>
      <w:r w:rsidRPr="00845A05">
        <w:rPr>
          <w:rStyle w:val="Emphasis"/>
        </w:rPr>
        <w:t xml:space="preserve"> printed </w:t>
      </w:r>
      <w:r w:rsidRPr="00456038">
        <w:rPr>
          <w:rStyle w:val="Emphasis"/>
          <w:highlight w:val="cyan"/>
        </w:rPr>
        <w:t>pages</w:t>
      </w:r>
      <w:r w:rsidRPr="00C57F55">
        <w:rPr>
          <w:rFonts w:asciiTheme="minorHAnsi" w:hAnsiTheme="minorHAnsi" w:cstheme="minorHAnsi"/>
          <w:sz w:val="14"/>
        </w:rPr>
        <w:t>.”7</w:t>
      </w:r>
    </w:p>
    <w:p w14:paraId="1D7C47AF" w14:textId="77777777" w:rsidR="00931C9A" w:rsidRPr="00C57F55" w:rsidRDefault="00931C9A" w:rsidP="00931C9A">
      <w:pPr>
        <w:rPr>
          <w:rFonts w:asciiTheme="minorHAnsi" w:hAnsiTheme="minorHAnsi" w:cstheme="minorHAnsi"/>
          <w:sz w:val="14"/>
          <w:szCs w:val="14"/>
        </w:rPr>
      </w:pPr>
      <w:r w:rsidRPr="00C57F55">
        <w:rPr>
          <w:rFonts w:asciiTheme="minorHAnsi" w:hAnsiTheme="minorHAnsi" w:cstheme="minorHAnsi"/>
          <w:sz w:val="14"/>
          <w:szCs w:val="14"/>
        </w:rPr>
        <w:t>Several factors combine with the sheer number of federal criminal laws to make it exceedingly difficult to determine how many actually exist. Federal criminal statutes are not contained in any one volume of the U.S. Code (not even the one volume, Title 18, specifically entitled “Crimes and Criminal Procedure”) but rather scattered throughout almost 50 different volumes, without useful indexing and cross-references. In addition to being difficult to find, federal criminal statutes are often quite complex and multifaceted in structure, with a single provision creating multiple separately enforceable criminal prohibitions.8</w:t>
      </w:r>
    </w:p>
    <w:p w14:paraId="43D6C7EF" w14:textId="77777777" w:rsidR="00931C9A" w:rsidRPr="00C57F55" w:rsidRDefault="00931C9A" w:rsidP="00931C9A">
      <w:pPr>
        <w:rPr>
          <w:rFonts w:asciiTheme="minorHAnsi" w:hAnsiTheme="minorHAnsi" w:cstheme="minorHAnsi"/>
          <w:sz w:val="14"/>
          <w:szCs w:val="14"/>
        </w:rPr>
      </w:pPr>
      <w:r w:rsidRPr="00C57F55">
        <w:rPr>
          <w:rFonts w:asciiTheme="minorHAnsi" w:hAnsiTheme="minorHAnsi" w:cstheme="minorHAnsi"/>
          <w:sz w:val="14"/>
          <w:szCs w:val="14"/>
        </w:rPr>
        <w:t>The difficulty of the Herculean (or, more accurately, Sisyphean) effort to count the number of federal criminal laws is further compounded by the fact that many regulations issued by federal agencies can result in criminal punishment. Given that many administrative regulations are criminally enforceable, a count of the number of federal criminal statutes alone cannot adequately convey the true scope of available punishment; criminally enforceable agency rules and regulations must also be taken into account. Efforts to do so put the number of federal criminal prohibitions at anywhere from 10,000, on the low side, to a staggering 300,000.9</w:t>
      </w:r>
    </w:p>
    <w:p w14:paraId="467845FE" w14:textId="044F58E8" w:rsidR="00931C9A" w:rsidRPr="00931C9A" w:rsidRDefault="00931C9A" w:rsidP="00931C9A">
      <w:pPr>
        <w:rPr>
          <w:rFonts w:asciiTheme="minorHAnsi" w:hAnsiTheme="minorHAnsi" w:cstheme="minorHAnsi"/>
          <w:sz w:val="14"/>
        </w:rPr>
      </w:pPr>
      <w:r w:rsidRPr="00C57F55">
        <w:rPr>
          <w:rFonts w:asciiTheme="minorHAnsi" w:hAnsiTheme="minorHAnsi" w:cstheme="minorHAnsi"/>
          <w:sz w:val="14"/>
        </w:rPr>
        <w:t>The daunting size and utter chaos in</w:t>
      </w:r>
      <w:r w:rsidRPr="00C57F55">
        <w:rPr>
          <w:rFonts w:asciiTheme="minorHAnsi" w:hAnsiTheme="minorHAnsi" w:cstheme="minorHAnsi"/>
          <w:u w:val="single"/>
        </w:rPr>
        <w:t xml:space="preserve"> federal criminal law </w:t>
      </w:r>
      <w:r w:rsidRPr="00374C6D">
        <w:rPr>
          <w:rStyle w:val="Emphasis"/>
          <w:rFonts w:asciiTheme="minorHAnsi" w:hAnsiTheme="minorHAnsi" w:cstheme="minorHAnsi"/>
        </w:rPr>
        <w:t>resulted</w:t>
      </w:r>
      <w:r w:rsidRPr="00374C6D">
        <w:rPr>
          <w:rFonts w:asciiTheme="minorHAnsi" w:hAnsiTheme="minorHAnsi" w:cstheme="minorHAnsi"/>
          <w:u w:val="single"/>
        </w:rPr>
        <w:t xml:space="preserve"> principally</w:t>
      </w:r>
      <w:r w:rsidRPr="00C57F55">
        <w:rPr>
          <w:rFonts w:asciiTheme="minorHAnsi" w:hAnsiTheme="minorHAnsi" w:cstheme="minorHAnsi"/>
          <w:u w:val="single"/>
        </w:rPr>
        <w:t xml:space="preserve"> </w:t>
      </w:r>
      <w:r w:rsidRPr="00456038">
        <w:rPr>
          <w:rFonts w:asciiTheme="minorHAnsi" w:hAnsiTheme="minorHAnsi" w:cstheme="minorHAnsi"/>
          <w:highlight w:val="cyan"/>
          <w:u w:val="single"/>
        </w:rPr>
        <w:t>from</w:t>
      </w:r>
      <w:r w:rsidRPr="00C57F55">
        <w:rPr>
          <w:rFonts w:asciiTheme="minorHAnsi" w:hAnsiTheme="minorHAnsi" w:cstheme="minorHAnsi"/>
          <w:sz w:val="14"/>
        </w:rPr>
        <w:t xml:space="preserve"> the fact that </w:t>
      </w:r>
      <w:r w:rsidRPr="00374C6D">
        <w:rPr>
          <w:rStyle w:val="Emphasis"/>
          <w:rFonts w:asciiTheme="minorHAnsi" w:hAnsiTheme="minorHAnsi" w:cstheme="minorHAnsi"/>
        </w:rPr>
        <w:t>new</w:t>
      </w:r>
      <w:r w:rsidRPr="00C57F55">
        <w:rPr>
          <w:rFonts w:asciiTheme="minorHAnsi" w:hAnsiTheme="minorHAnsi" w:cstheme="minorHAnsi"/>
          <w:u w:val="single"/>
        </w:rPr>
        <w:t xml:space="preserve"> criminal </w:t>
      </w:r>
      <w:r w:rsidRPr="00456038">
        <w:rPr>
          <w:rStyle w:val="Emphasis"/>
          <w:rFonts w:asciiTheme="minorHAnsi" w:hAnsiTheme="minorHAnsi" w:cstheme="minorHAnsi"/>
          <w:highlight w:val="cyan"/>
        </w:rPr>
        <w:t>laws</w:t>
      </w:r>
      <w:r w:rsidRPr="00C57F55">
        <w:rPr>
          <w:rFonts w:asciiTheme="minorHAnsi" w:hAnsiTheme="minorHAnsi" w:cstheme="minorHAnsi"/>
          <w:sz w:val="14"/>
        </w:rPr>
        <w:t xml:space="preserve"> are </w:t>
      </w:r>
      <w:r w:rsidRPr="00456038">
        <w:rPr>
          <w:rStyle w:val="Emphasis"/>
          <w:highlight w:val="cyan"/>
        </w:rPr>
        <w:t>enacted by Congress</w:t>
      </w:r>
      <w:r w:rsidRPr="00C57F55">
        <w:rPr>
          <w:rFonts w:asciiTheme="minorHAnsi" w:hAnsiTheme="minorHAnsi" w:cstheme="minorHAnsi"/>
          <w:u w:val="single"/>
        </w:rPr>
        <w:t xml:space="preserve"> at a break-neck pace, year after year</w:t>
      </w:r>
      <w:r w:rsidRPr="00C57F55">
        <w:rPr>
          <w:rFonts w:asciiTheme="minorHAnsi" w:hAnsiTheme="minorHAnsi" w:cstheme="minorHAnsi"/>
          <w:sz w:val="14"/>
        </w:rPr>
        <w:t xml:space="preserve">. On average, </w:t>
      </w:r>
      <w:r w:rsidRPr="008A1BE2">
        <w:rPr>
          <w:rStyle w:val="Emphasis"/>
          <w:rFonts w:asciiTheme="minorHAnsi" w:hAnsiTheme="minorHAnsi" w:cstheme="minorHAnsi"/>
        </w:rPr>
        <w:t>Congress created 56 new crimes every year</w:t>
      </w:r>
      <w:r w:rsidRPr="008A1BE2">
        <w:rPr>
          <w:rFonts w:asciiTheme="minorHAnsi" w:hAnsiTheme="minorHAnsi" w:cstheme="minorHAnsi"/>
          <w:u w:val="single"/>
        </w:rPr>
        <w:t xml:space="preserve"> from</w:t>
      </w:r>
      <w:r w:rsidRPr="00C57F55">
        <w:rPr>
          <w:rFonts w:asciiTheme="minorHAnsi" w:hAnsiTheme="minorHAnsi" w:cstheme="minorHAnsi"/>
          <w:u w:val="single"/>
        </w:rPr>
        <w:t xml:space="preserve"> 2000 to 2008</w:t>
      </w:r>
      <w:r w:rsidRPr="00C57F55">
        <w:rPr>
          <w:rFonts w:asciiTheme="minorHAnsi" w:hAnsiTheme="minorHAnsi" w:cstheme="minorHAnsi"/>
          <w:sz w:val="14"/>
        </w:rPr>
        <w:t xml:space="preserve">.10 Significantly, Congress enacted new criminal laws at roughly the same rate during this period as it did during the two prior decades11 even though 2000 to 2008 was a period of uncommonly low crime rates.12 </w:t>
      </w:r>
      <w:r w:rsidRPr="00C57F55">
        <w:rPr>
          <w:rFonts w:asciiTheme="minorHAnsi" w:hAnsiTheme="minorHAnsi" w:cstheme="minorHAnsi"/>
          <w:u w:val="single"/>
        </w:rPr>
        <w:t>The rate at which Congress has added new criminal prohibitions in recent</w:t>
      </w:r>
      <w:r w:rsidRPr="00C57F55">
        <w:rPr>
          <w:rFonts w:asciiTheme="minorHAnsi" w:hAnsiTheme="minorHAnsi" w:cstheme="minorHAnsi"/>
          <w:sz w:val="14"/>
        </w:rPr>
        <w:t xml:space="preserve"> decades </w:t>
      </w:r>
      <w:r w:rsidRPr="00C57F55">
        <w:rPr>
          <w:rFonts w:asciiTheme="minorHAnsi" w:hAnsiTheme="minorHAnsi" w:cstheme="minorHAnsi"/>
          <w:u w:val="single"/>
        </w:rPr>
        <w:t>is so high that, according to the ABA’s Federalization Task Force, “[m]ore than 40% of the federal criminal provisions</w:t>
      </w:r>
      <w:r w:rsidRPr="00C57F55">
        <w:rPr>
          <w:rFonts w:asciiTheme="minorHAnsi" w:hAnsiTheme="minorHAnsi" w:cstheme="minorHAnsi"/>
          <w:sz w:val="14"/>
        </w:rPr>
        <w:t xml:space="preserve"> enacted since the Civil War </w:t>
      </w:r>
      <w:r w:rsidRPr="00C57F55">
        <w:rPr>
          <w:rFonts w:asciiTheme="minorHAnsi" w:hAnsiTheme="minorHAnsi" w:cstheme="minorHAnsi"/>
          <w:u w:val="single"/>
        </w:rPr>
        <w:t>have been enacted since 1970</w:t>
      </w:r>
      <w:r w:rsidRPr="00C57F55">
        <w:rPr>
          <w:rFonts w:asciiTheme="minorHAnsi" w:hAnsiTheme="minorHAnsi" w:cstheme="minorHAnsi"/>
          <w:sz w:val="14"/>
        </w:rPr>
        <w:t>.”13</w:t>
      </w:r>
    </w:p>
    <w:p w14:paraId="601AE70F" w14:textId="0E47A44E" w:rsidR="00931C9A" w:rsidRDefault="00931C9A" w:rsidP="003242AF">
      <w:pPr>
        <w:pStyle w:val="Heading2"/>
      </w:pPr>
      <w:r>
        <w:t>T-Civil</w:t>
      </w:r>
    </w:p>
    <w:p w14:paraId="6D76F782" w14:textId="3B81A035" w:rsidR="00931C9A" w:rsidRPr="00931C9A" w:rsidRDefault="00931C9A" w:rsidP="00931C9A">
      <w:pPr>
        <w:pStyle w:val="Heading3"/>
      </w:pPr>
      <w:r>
        <w:t>2NC – Immigration Violation</w:t>
      </w:r>
    </w:p>
    <w:p w14:paraId="11E98611" w14:textId="77777777" w:rsidR="00931C9A" w:rsidRPr="00402295" w:rsidRDefault="00931C9A" w:rsidP="00931C9A">
      <w:pPr>
        <w:pStyle w:val="Heading4"/>
      </w:pPr>
      <w:r>
        <w:t xml:space="preserve">Removability is </w:t>
      </w:r>
      <w:r w:rsidRPr="00402295">
        <w:rPr>
          <w:u w:val="single"/>
        </w:rPr>
        <w:t>immigration reform</w:t>
      </w:r>
      <w:r>
        <w:t xml:space="preserve">, NOT criminal justice reform. </w:t>
      </w:r>
    </w:p>
    <w:p w14:paraId="46C8FF42" w14:textId="77777777" w:rsidR="00931C9A" w:rsidRPr="00791E15" w:rsidRDefault="00931C9A" w:rsidP="00931C9A">
      <w:pPr>
        <w:rPr>
          <w:sz w:val="20"/>
          <w:szCs w:val="20"/>
        </w:rPr>
      </w:pPr>
      <w:r w:rsidRPr="00302E86">
        <w:rPr>
          <w:rStyle w:val="Style13ptBold"/>
        </w:rPr>
        <w:t xml:space="preserve">Chacón </w:t>
      </w:r>
      <w:r w:rsidRPr="00402295">
        <w:rPr>
          <w:rStyle w:val="Style13ptBold"/>
          <w:sz w:val="24"/>
          <w:szCs w:val="20"/>
        </w:rPr>
        <w:t>17.</w:t>
      </w:r>
      <w:r>
        <w:rPr>
          <w:sz w:val="16"/>
          <w:szCs w:val="16"/>
        </w:rPr>
        <w:t xml:space="preserve"> </w:t>
      </w:r>
      <w:r w:rsidRPr="00791E15">
        <w:rPr>
          <w:sz w:val="20"/>
          <w:szCs w:val="20"/>
        </w:rPr>
        <w:t xml:space="preserve">Jennifer M. Chacón, Professor of Law, University of California, Irvine, (2017, “Reforming Criminal Justice. Vol. 1, Introduction and Criminalization,” Sandra Day O’Connor College of Law Arizona State University, </w:t>
      </w:r>
      <w:hyperlink r:id="rId382" w:history="1">
        <w:r w:rsidRPr="00791E15">
          <w:rPr>
            <w:rStyle w:val="Hyperlink"/>
            <w:sz w:val="20"/>
            <w:szCs w:val="20"/>
          </w:rPr>
          <w:t>https://law.asu.edu/sites/default/files/pdf/academy_for_justice/Reforming-Criminal-Justice_Vol_1.pdf</w:t>
        </w:r>
      </w:hyperlink>
      <w:r w:rsidRPr="00791E15">
        <w:rPr>
          <w:sz w:val="20"/>
          <w:szCs w:val="20"/>
        </w:rPr>
        <w:t>)//pacc</w:t>
      </w:r>
    </w:p>
    <w:p w14:paraId="5B52C8AD" w14:textId="76EBD429" w:rsidR="00931C9A" w:rsidRPr="00931C9A" w:rsidRDefault="00931C9A" w:rsidP="00931C9A">
      <w:pPr>
        <w:rPr>
          <w:sz w:val="14"/>
        </w:rPr>
      </w:pPr>
      <w:r w:rsidRPr="000B71F7">
        <w:rPr>
          <w:sz w:val="14"/>
        </w:rPr>
        <w:t>Effectively reforming the “crimmigration” system would require changes to both the immigration laws and the criminal laws</w:t>
      </w:r>
      <w:r w:rsidRPr="000B71F7">
        <w:rPr>
          <w:u w:val="single"/>
        </w:rPr>
        <w:t xml:space="preserve">. Some of the </w:t>
      </w:r>
      <w:r w:rsidRPr="00456038">
        <w:rPr>
          <w:highlight w:val="cyan"/>
          <w:u w:val="single"/>
        </w:rPr>
        <w:t>reforms</w:t>
      </w:r>
      <w:r w:rsidRPr="000B71F7">
        <w:rPr>
          <w:u w:val="single"/>
        </w:rPr>
        <w:t xml:space="preserve"> most</w:t>
      </w:r>
      <w:r>
        <w:rPr>
          <w:u w:val="single"/>
        </w:rPr>
        <w:t xml:space="preserve"> </w:t>
      </w:r>
      <w:r w:rsidRPr="000B71F7">
        <w:rPr>
          <w:u w:val="single"/>
        </w:rPr>
        <w:t xml:space="preserve">urgently needed involve reforms </w:t>
      </w:r>
      <w:r w:rsidRPr="00456038">
        <w:rPr>
          <w:highlight w:val="cyan"/>
          <w:u w:val="single"/>
        </w:rPr>
        <w:t>of</w:t>
      </w:r>
      <w:r w:rsidRPr="000B71F7">
        <w:rPr>
          <w:u w:val="single"/>
        </w:rPr>
        <w:t xml:space="preserve"> federal </w:t>
      </w:r>
      <w:r w:rsidRPr="00456038">
        <w:rPr>
          <w:highlight w:val="cyan"/>
          <w:u w:val="single"/>
        </w:rPr>
        <w:t>immigration</w:t>
      </w:r>
      <w:r w:rsidRPr="000B71F7">
        <w:rPr>
          <w:u w:val="single"/>
        </w:rPr>
        <w:t xml:space="preserve"> law, </w:t>
      </w:r>
      <w:r w:rsidRPr="00456038">
        <w:rPr>
          <w:highlight w:val="cyan"/>
          <w:u w:val="single"/>
        </w:rPr>
        <w:t>including</w:t>
      </w:r>
      <w:r w:rsidRPr="000B71F7">
        <w:rPr>
          <w:u w:val="single"/>
        </w:rPr>
        <w:t xml:space="preserve"> </w:t>
      </w:r>
      <w:r w:rsidRPr="00456038">
        <w:rPr>
          <w:highlight w:val="cyan"/>
          <w:u w:val="single"/>
        </w:rPr>
        <w:t>scaling back</w:t>
      </w:r>
      <w:r w:rsidRPr="000B71F7">
        <w:rPr>
          <w:u w:val="single"/>
        </w:rPr>
        <w:t xml:space="preserve"> many </w:t>
      </w:r>
      <w:r w:rsidRPr="00302E86">
        <w:rPr>
          <w:rStyle w:val="Emphasis"/>
        </w:rPr>
        <w:t xml:space="preserve">grounds of </w:t>
      </w:r>
      <w:r w:rsidRPr="00456038">
        <w:rPr>
          <w:rStyle w:val="Emphasis"/>
          <w:highlight w:val="cyan"/>
        </w:rPr>
        <w:t>removability</w:t>
      </w:r>
      <w:r w:rsidRPr="000B71F7">
        <w:rPr>
          <w:u w:val="single"/>
        </w:rPr>
        <w:t xml:space="preserve">; </w:t>
      </w:r>
      <w:r w:rsidRPr="00456038">
        <w:rPr>
          <w:highlight w:val="cyan"/>
          <w:u w:val="single"/>
        </w:rPr>
        <w:t>restoring discretion to</w:t>
      </w:r>
      <w:r w:rsidRPr="000B71F7">
        <w:rPr>
          <w:u w:val="single"/>
        </w:rPr>
        <w:t xml:space="preserve"> immigration</w:t>
      </w:r>
      <w:r>
        <w:rPr>
          <w:u w:val="single"/>
        </w:rPr>
        <w:t xml:space="preserve"> </w:t>
      </w:r>
      <w:r w:rsidRPr="000B71F7">
        <w:rPr>
          <w:u w:val="single"/>
        </w:rPr>
        <w:t xml:space="preserve">judges to </w:t>
      </w:r>
      <w:r w:rsidRPr="00456038">
        <w:rPr>
          <w:rStyle w:val="Emphasis"/>
          <w:highlight w:val="cyan"/>
        </w:rPr>
        <w:t>suspend removals</w:t>
      </w:r>
      <w:r w:rsidRPr="000B71F7">
        <w:rPr>
          <w:u w:val="single"/>
        </w:rPr>
        <w:t xml:space="preserve"> in a broad range of cases; providing for </w:t>
      </w:r>
      <w:r w:rsidRPr="00456038">
        <w:rPr>
          <w:rStyle w:val="Emphasis"/>
          <w:highlight w:val="cyan"/>
        </w:rPr>
        <w:t>adequate immigration adjudication</w:t>
      </w:r>
      <w:r w:rsidRPr="000B71F7">
        <w:rPr>
          <w:u w:val="single"/>
        </w:rPr>
        <w:t xml:space="preserve"> for all individuals in removal proceedings;</w:t>
      </w:r>
      <w:r>
        <w:rPr>
          <w:u w:val="single"/>
        </w:rPr>
        <w:t xml:space="preserve"> </w:t>
      </w:r>
      <w:r w:rsidRPr="000B71F7">
        <w:rPr>
          <w:u w:val="single"/>
        </w:rPr>
        <w:t xml:space="preserve">significantly reducing reliance </w:t>
      </w:r>
      <w:r w:rsidRPr="006E1B5C">
        <w:rPr>
          <w:u w:val="single"/>
        </w:rPr>
        <w:t xml:space="preserve">on immigration </w:t>
      </w:r>
      <w:r w:rsidRPr="006E1B5C">
        <w:rPr>
          <w:rStyle w:val="Emphasis"/>
        </w:rPr>
        <w:t>detention</w:t>
      </w:r>
      <w:r w:rsidRPr="006E1B5C">
        <w:rPr>
          <w:u w:val="single"/>
        </w:rPr>
        <w:t xml:space="preserve">; and enacting </w:t>
      </w:r>
      <w:r w:rsidRPr="006E1B5C">
        <w:rPr>
          <w:rStyle w:val="Emphasis"/>
        </w:rPr>
        <w:t>broad immigration reform</w:t>
      </w:r>
      <w:r w:rsidRPr="006E1B5C">
        <w:rPr>
          <w:u w:val="single"/>
        </w:rPr>
        <w:t xml:space="preserve"> that would legalize</w:t>
      </w:r>
      <w:r w:rsidRPr="000B71F7">
        <w:rPr>
          <w:u w:val="single"/>
        </w:rPr>
        <w:t xml:space="preserve"> the existing unauthorized population</w:t>
      </w:r>
      <w:r>
        <w:rPr>
          <w:u w:val="single"/>
        </w:rPr>
        <w:t xml:space="preserve"> </w:t>
      </w:r>
      <w:r w:rsidRPr="000B71F7">
        <w:rPr>
          <w:u w:val="single"/>
        </w:rPr>
        <w:t xml:space="preserve">and create a more effective means of managing future migration flows. </w:t>
      </w:r>
      <w:r w:rsidRPr="006E578B">
        <w:rPr>
          <w:rStyle w:val="StyleUnderline"/>
        </w:rPr>
        <w:t xml:space="preserve">But these </w:t>
      </w:r>
      <w:r w:rsidRPr="00456038">
        <w:rPr>
          <w:rStyle w:val="StyleUnderline"/>
          <w:highlight w:val="cyan"/>
        </w:rPr>
        <w:t xml:space="preserve">are </w:t>
      </w:r>
      <w:r w:rsidRPr="00456038">
        <w:rPr>
          <w:rStyle w:val="Emphasis"/>
          <w:highlight w:val="cyan"/>
        </w:rPr>
        <w:t>immigration reforms</w:t>
      </w:r>
      <w:r w:rsidRPr="00456038">
        <w:rPr>
          <w:rStyle w:val="StyleUnderline"/>
          <w:highlight w:val="cyan"/>
        </w:rPr>
        <w:t xml:space="preserve">, not </w:t>
      </w:r>
      <w:r w:rsidRPr="00456038">
        <w:rPr>
          <w:rStyle w:val="Emphasis"/>
          <w:highlight w:val="cyan"/>
        </w:rPr>
        <w:t>criminal justice reforms</w:t>
      </w:r>
      <w:r w:rsidRPr="006E578B">
        <w:rPr>
          <w:rStyle w:val="StyleUnderline"/>
        </w:rPr>
        <w:t>.</w:t>
      </w:r>
      <w:r w:rsidRPr="000B71F7">
        <w:rPr>
          <w:sz w:val="14"/>
        </w:rPr>
        <w:t xml:space="preserve"> In the spirit of this project, the following recommendations, which flow from the discussion in the previous section, are divided into recommendations for federal actors and for sub-federal actors. The recommendations are also presented in order from more modest to more sweeping.</w:t>
      </w:r>
    </w:p>
    <w:p w14:paraId="006530EB" w14:textId="77777777" w:rsidR="00D91D7C" w:rsidRDefault="00D91D7C" w:rsidP="00D91D7C">
      <w:pPr>
        <w:pStyle w:val="Heading2"/>
      </w:pPr>
      <w:r>
        <w:t>Crime DA</w:t>
      </w:r>
    </w:p>
    <w:p w14:paraId="4512512E" w14:textId="77777777" w:rsidR="00D91D7C" w:rsidRPr="00D91D7C" w:rsidRDefault="00D91D7C" w:rsidP="00D91D7C">
      <w:pPr>
        <w:pStyle w:val="Heading3"/>
      </w:pPr>
      <w:r>
        <w:t>1NC – Crime DA</w:t>
      </w:r>
    </w:p>
    <w:p w14:paraId="6AC13930" w14:textId="77777777" w:rsidR="00D91D7C" w:rsidRDefault="00D91D7C" w:rsidP="00D91D7C">
      <w:pPr>
        <w:pStyle w:val="Heading4"/>
      </w:pPr>
      <w:r>
        <w:t xml:space="preserve">Lenity precludes key sentencing enhancements for </w:t>
      </w:r>
      <w:r w:rsidRPr="00D91D7C">
        <w:rPr>
          <w:u w:val="single"/>
        </w:rPr>
        <w:t>violent</w:t>
      </w:r>
      <w:r>
        <w:t xml:space="preserve"> crimes.</w:t>
      </w:r>
    </w:p>
    <w:p w14:paraId="11BBC8BF" w14:textId="77777777" w:rsidR="00D91D7C" w:rsidRPr="00D6209F" w:rsidRDefault="00D91D7C" w:rsidP="00D91D7C">
      <w:r w:rsidRPr="009D7AF4">
        <w:rPr>
          <w:rStyle w:val="Style13ptBold"/>
        </w:rPr>
        <w:t>Spector 02</w:t>
      </w:r>
      <w:r>
        <w:t xml:space="preserve"> (Phillip M. Spector, Lecturer in Law at Yale Law School, Toledo Law Review, Vol33 No3, “The Sentencing Rule of Lenity,” Spring 2002)</w:t>
      </w:r>
    </w:p>
    <w:p w14:paraId="6C1106D9" w14:textId="77777777" w:rsidR="00D91D7C" w:rsidRDefault="00D91D7C" w:rsidP="00D91D7C">
      <w:r>
        <w:t xml:space="preserve">The </w:t>
      </w:r>
      <w:r w:rsidRPr="00795A36">
        <w:rPr>
          <w:rStyle w:val="StyleUnderline"/>
        </w:rPr>
        <w:t>canons of statutory interpretation, at least in their current form, are generally regarded as an embarrassment of modem American jurisprudence."" Discredited in their use33 and in their conceptualization,332 the current crop of interpretive tools is seen as politically tainted, inconsistently applied, and irrelevant in their obsolescence.33 It is increasingly urged that a new set of canons is needed</w:t>
      </w:r>
      <w:r>
        <w:t>.3 4 However, inertia seems to have set in. There is the sense that we are stuck with an anachronistic toolbox of blunt and misshapen devices, ones wholly inadequate to the task of tackling statutory interpretation problems that will only become increasingly difficult in the years to come.</w:t>
      </w:r>
    </w:p>
    <w:p w14:paraId="6440AD43" w14:textId="77777777" w:rsidR="00D91D7C" w:rsidRDefault="00D91D7C" w:rsidP="00D91D7C">
      <w:r>
        <w:t>There is talk that certain canons of statutory interpretation should be abandoned. There is also debate about where, in the interpretative calculus, it is appropriate to apply certain interpretative tools. 335 Moreover, there is a growing recognition that some canons should apply in some cases but not others because some of the canons are too broad given their purported rationales. 336 There is little recognition, however, that certain tools may warrant less weight than the rest.</w:t>
      </w:r>
    </w:p>
    <w:p w14:paraId="2043DC0D" w14:textId="77777777" w:rsidR="00D91D7C" w:rsidRDefault="00D91D7C" w:rsidP="00D91D7C">
      <w:r>
        <w:t>Professors Eskridge and Fnckey have assembled a list of more than a hundred modem canons of statutory interpretation.3 7 While some of the canons have accrued their own sophisticated doctrinal tests, 33 R most of them are deployed by courts in a fairly desultory manner. They are thrown, often for rhetorical support, on one side of the interpretive ledger or the other. While some of the clear statement rules are categorized as "strong"33 9 or "super-strong," 4 ' that is the extent of variance in the canons' strength. There is also little discussion in the literature about how to apply multiple canons in a given case. The discussion of how canons interact is anemic,34 ' even though it is well recogmzed that judges are often forced to apply numerous different canons to a single case. 42</w:t>
      </w:r>
    </w:p>
    <w:p w14:paraId="665DAA19" w14:textId="77777777" w:rsidR="00D91D7C" w:rsidRDefault="00D91D7C" w:rsidP="00D91D7C">
      <w:r>
        <w:t>Permitting the weight of the canons to vary, where warranted, could not only bring much needed intellectual rigor back to the canonical enterprise, but also begin to suggest answers to some of the above issues. The remainder of this article will begin exploring how</w:t>
      </w:r>
    </w:p>
    <w:p w14:paraId="325376F2" w14:textId="77777777" w:rsidR="00D91D7C" w:rsidRDefault="00D91D7C" w:rsidP="00D91D7C">
      <w:r>
        <w:t>[Begin footnote] ON THE CONSTITUTION OF THE UNITED STATES 433 (1833) (describing the canons of statutory interpretation as "susceptible of being applied, and indeed are often ingeniously applied, to the subversion of the text, and the objects of the instrument"). 332. See Posner, supra note 122, at 805 ("I ... think that most of the canons are just plain wrong ..... ); Macey &amp; Miller, supra note 2, at 648 ("[Elven if the canons were entirely outcome determinative in every case, the existence of the canons as a source of judicial authority would not constrainjudges, becausejudges who did not like the outcome prescribed by invoking the canons could choose to ignore the canons and invoke some other source of authority .... ). See also Miller, supra note 1, at 1179-80 (noting that the intellectual justification for the canons of statutory interpretation were "long ago considered demolished by Karl Llewellyn's devastating critique"); Edward L. Rubin, Modern Statutes, Loose Canons, and the Limits of Practical Reason: A Response to Farber and Ross, 45 VAND L. REV. 579, 590 (1992) (stating that the "indeterminate" canons "illustrate the pitfalls of rules without theory"). But see Miller, supra note 1, at 1183-91 (suggesting that the canons fred antecedents in historical maxims of interpretation and classic linguistic rules). 333. See Eskridge, supra note 4, at 1083-85. 334. See, e.g., id. at 1092 ("[Tihe Court ought to be more critical of the existing hodgepodge of public value rules and presumptions."); Sunstein, supra note 330, at 460-508 (proposing a whole new array of "interpretive pnnciples" for a regulatory state). As might be expected, a bustling cottage industry has arisen consisting entirely of attacks on individual canons of statutory interpretation. See, e.g., Rodriguez, supra note 330, at 777 (arguing that the canon favonng reviewability of administrative agency decisions may cause more problems than it solves); Eskndge &amp; Frickey, supra note 130, at 618-45 (criticizing the new breed of super-strong clear statement rules in furtherance of federalism principles); Jerry L. Mashaw, Textualism, Constitutionalism, and the Interpretation of Federal Statutes, 32 WM. &amp; MARY L. REv. 827, 840 (1991) (arguing that the canon favoring avoidance of constitutional questions is "in grave need of either refurbishing or rejection"). 335. The operation of many of these interpretive tools-in particular, the rule of lenity-is the subject of increasingly heated debate. There are many who would use clear statement rules, such as the rule of lenity, very early in the interpretive game. So, for example, Justice Scalia is a vocal advocate for applying the rule of lenity immediately following textual ambiguity, while others would wait until after an examination of the statute's legislative history and purpose. See Kahan, supra note 5, at 382-96 (chronicling this debate). This exaltation of clear statement rules appears to arise not out of any love for the rules, but rather out of a distaste for the other available interpretive tools. 336. See, e.g., Rubin, supra note 332, at 582-83 (arguing that the canons of statutory interpretation should apply to some subsets of statutes, but that in their current form, they are "indeterminate"). 337 See generally Eskridge &amp; Frickey, supra note 130. 338. The rule of deference to agency interpretations is probably the most glamorous example. See Chevron U.S.A., Inc. v. Natural Res. Def. Council, Inc., 467 U.S. 837, 842-43 (1984) (elaborating a two-part test for administrative agency deference). [End footnote]</w:t>
      </w:r>
    </w:p>
    <w:p w14:paraId="4706F10A" w14:textId="77777777" w:rsidR="00D91D7C" w:rsidRDefault="00D91D7C" w:rsidP="00D91D7C">
      <w:r w:rsidRPr="00795A36">
        <w:rPr>
          <w:rStyle w:val="StyleUnderline"/>
        </w:rPr>
        <w:t>The rationales for the sentencing rule of le</w:t>
      </w:r>
      <w:r>
        <w:rPr>
          <w:rStyle w:val="StyleUnderline"/>
        </w:rPr>
        <w:t>ni</w:t>
      </w:r>
      <w:r w:rsidRPr="00795A36">
        <w:rPr>
          <w:rStyle w:val="StyleUnderline"/>
        </w:rPr>
        <w:t>ty are weak, and as long as the rule continues to exert seemingly dispositive power in any case, it will remain illegitimate.</w:t>
      </w:r>
      <w:r>
        <w:t xml:space="preserve"> So </w:t>
      </w:r>
      <w:r w:rsidRPr="00795A36">
        <w:rPr>
          <w:rStyle w:val="StyleUnderline"/>
        </w:rPr>
        <w:t xml:space="preserve">why not discard the hoary legal fiction that all of the canons merit equal weight? The current largely binary system, in which a canon is either fully accepted or ignored, often leaves judges with no alternative but to ignore or attempt to explain away the rule in obvious cases. </w:t>
      </w:r>
      <w:r>
        <w:t>So it went in United States v. Chapman,343 a case that dealt a body blow to the credibility of the rule of lenity.3 " Chapman concerned a section of the drug laws providing for a mandatory minimum sentence of five years for the distribution of more than one gram of a "mixture or substance containing a detectable amount" of LSD,345 with larger minimum sentences attached to higher drug weights.346 The problem is that LSD is commonly distributed on blotter paper (and even heavier carriers), and the weight of the blotter paper dwarfs that of the drug. So, for example, Richard Chapman's blotter paper weighed 5 7 grams, even though the LSD on the paper weighed only 50 milligrams.3 47 The district court included the weight of the blotter paper, as part of a "mixture or substance" containing LSD, in calculating the defendant's sentences.3 4i</w:t>
      </w:r>
    </w:p>
    <w:p w14:paraId="7059DF47" w14:textId="77777777" w:rsidR="00D91D7C" w:rsidRDefault="00D91D7C" w:rsidP="00D91D7C">
      <w:r>
        <w:t>This interpretation of "mixture or substance" produces two awkward consequences. First, an individual's prison sentence turns primarily on the weight of the carrier, resulting in dramatically different sentences for the same amount of drugs contained in different carriers. Second, largely inexplicable variances appear across different kinds of drugs. So, for example, Chapman sold fewer than 12,000 doses of LSD and was sentenced to twenty years, whereas an individual would have to sell anywhere from 325,000 to five million doses of cocaine to receive the same sentence.349 To add to the chaos, the words "mixture" and "substance" are left undefined by the statute.350</w:t>
      </w:r>
    </w:p>
    <w:p w14:paraId="42D78E0B" w14:textId="77777777" w:rsidR="00D91D7C" w:rsidRDefault="00D91D7C" w:rsidP="00D91D7C">
      <w:r>
        <w:t>The Supreme Court, nonetheless, declined to apply the rule of lenity, finding clarity in the structure of the Act and the "ordinary meaning" of "mixture or substance." ' ' Actually, it is unclear that the Court could bring itself to declare statutory clarity, it instead noted that there was no "grievous ambiguity or uncertainty,"3'52 and that "the statutory language and structure indicate" that the weight of a carrier should be counted. 53 The Court also stressed during the brief rule of lenity discussion that it was adopting a "straightforward" reading of the statute, which, of course, is different from saying that the statute is clear.354</w:t>
      </w:r>
    </w:p>
    <w:p w14:paraId="62712186" w14:textId="77777777" w:rsidR="00D91D7C" w:rsidRDefault="00D91D7C" w:rsidP="00D91D7C">
      <w:r>
        <w:t>Chapman is a classic mandatory minimum (Type I) sentencing rule of lenity case. If the sentencing rule of lenity were assigned the lower value it deserves, one can imagine the Justices seizing the opportunity to avoid the embarrassing tapdance around the question of ambiguity. They could have conceded some statutory ambiguity, but not enough for a diminished sentencing rule of lenity to win the day.</w:t>
      </w:r>
    </w:p>
    <w:p w14:paraId="291FF03E" w14:textId="77777777" w:rsidR="00D91D7C" w:rsidRDefault="00D91D7C" w:rsidP="00D91D7C">
      <w:r>
        <w:t>While undoubtedly a close case, the majority would probably still have voted to convict. However, the opinion would have been more forthright, and, therefore, less vulnerable to the blistering, frustrated commentary that followed. Better yet, Chapman would not have contributed to the growing perception that a judge can find clarity or ambiguity wherever she wishes, and that the rule of lenity (along with most other canons) lack in any true integrity. In short, nuance in the canon would diminish judges' need to circumvent the rigid rule of lenity.</w:t>
      </w:r>
    </w:p>
    <w:p w14:paraId="495036D7" w14:textId="77777777" w:rsidR="00D91D7C" w:rsidRDefault="00D91D7C" w:rsidP="00D91D7C">
      <w:r>
        <w:t>A refined sentencing rule of lenity, even if it did not have a substantive impact on the results in any particular case, would thus perform an important function if only by leading to greater consistency and transparency in the use of the canons. 355</w:t>
      </w:r>
    </w:p>
    <w:p w14:paraId="2554B86A" w14:textId="77777777" w:rsidR="00D91D7C" w:rsidRDefault="00D91D7C" w:rsidP="00D91D7C">
      <w:r>
        <w:t xml:space="preserve">B. United States v Rivera There is every reason to believe, however, that </w:t>
      </w:r>
      <w:r w:rsidRPr="00795A36">
        <w:rPr>
          <w:rStyle w:val="StyleUnderline"/>
        </w:rPr>
        <w:t>a diminished sentencing rule of lenity can have a substantive impact as well.</w:t>
      </w:r>
      <w:r>
        <w:t xml:space="preserve"> A good example is the remarkable case of United States v. Rivera.3 1 6 </w:t>
      </w:r>
      <w:r w:rsidRPr="00795A36">
        <w:rPr>
          <w:rStyle w:val="StyleUnderline"/>
        </w:rPr>
        <w:t>The defendant in this case carjacked a twenty-fouryear-old mother, drove her to a remote area, and raped her at gunpoint. The rapist was caught about a month later, charged and convicted in federal court with carjacking</w:t>
      </w:r>
      <w:r>
        <w:t xml:space="preserve"> 57</w:t>
      </w:r>
    </w:p>
    <w:p w14:paraId="3E3379F9" w14:textId="77777777" w:rsidR="00D91D7C" w:rsidRDefault="00D91D7C" w:rsidP="00D91D7C">
      <w:r w:rsidRPr="00795A36">
        <w:rPr>
          <w:rStyle w:val="StyleUnderline"/>
        </w:rPr>
        <w:t>The judge sentenced the rapist to twenty-five years in prison under the federal carjacking statute, which provides for a fifteen-year maximum term enhanced to a twenty-five-year maximum if "serious bodily injury</w:t>
      </w:r>
      <w:r>
        <w:t xml:space="preserve"> (as defined in section 1365 of this title) results" from the carjacking.358 Section 1365 defines "serious bodily injury" to include bodily injury that involves either: "(A) a substantial risk of death; (B) extreme physical harm; (C) protracted and obvious disfigurement; or (D) protracted loss or impairment of the function of a bodily member, organ, or mental faculty. 359</w:t>
      </w:r>
    </w:p>
    <w:p w14:paraId="57DB1987" w14:textId="77777777" w:rsidR="00D91D7C" w:rsidRDefault="00D91D7C" w:rsidP="00D91D7C">
      <w:r w:rsidRPr="00795A36">
        <w:rPr>
          <w:rStyle w:val="StyleUnderline"/>
        </w:rPr>
        <w:t>A three-judge panel of the First Circuit concluded that the rape did not t</w:t>
      </w:r>
      <w:r>
        <w:rPr>
          <w:rStyle w:val="StyleUnderline"/>
        </w:rPr>
        <w:t>rigger</w:t>
      </w:r>
      <w:r w:rsidRPr="00795A36">
        <w:rPr>
          <w:rStyle w:val="StyleUnderline"/>
        </w:rPr>
        <w:t xml:space="preserve"> the statutory sentencing enhancement</w:t>
      </w:r>
      <w:r>
        <w:t xml:space="preserve">.3 ' They noted that </w:t>
      </w:r>
      <w:r w:rsidRPr="00795A36">
        <w:rPr>
          <w:rStyle w:val="StyleUnderline"/>
        </w:rPr>
        <w:t>there was no specific evidence indicating "extreme physical pain"</w:t>
      </w:r>
      <w:r>
        <w:t xml:space="preserve"> beyond what one can infer from a five-minute rape. Further, noting that the only evidence showing a "protracted loss or impairment of ... mental faculty" was the defendant's own testimony that the rape had had "a devastating effect on her life, family, and consensual relationship," the court concluded that to include this rape under the enhancement language would mean that every rape would trigger the enhancement.3"6' </w:t>
      </w:r>
      <w:r w:rsidRPr="00795A36">
        <w:rPr>
          <w:rStyle w:val="StyleUnderline"/>
        </w:rPr>
        <w:t>Invoking the rule of lenity, the court refused to take the step of effectively adding punishment for rape to the carjacking scheme, absent clear statutory language.</w:t>
      </w:r>
      <w:r>
        <w:t xml:space="preserve"> 62 The panel indicated that it was troubled by its ruling, but felt confined by the statutory language and the rule of lenity.363</w:t>
      </w:r>
    </w:p>
    <w:p w14:paraId="0B6F223E" w14:textId="77777777" w:rsidR="00D91D7C" w:rsidRDefault="00D91D7C" w:rsidP="00D91D7C">
      <w:r>
        <w:t xml:space="preserve">[Begin footnote] 355. But that's not all. By relaxing the dispositive nature of the rule of lenity, one would take pressure off of other elements of the doctrine, which are being squeezed to accommodate the Court's ruling. For example, </w:t>
      </w:r>
      <w:r w:rsidRPr="00795A36">
        <w:rPr>
          <w:rStyle w:val="StyleUnderline"/>
        </w:rPr>
        <w:t>the Court in Chapman described the rule as salient only in cases of "grievous ambiguity or uncertainty," which it is fair to say is a starkly narrow conception of the ambiguity required to trigger the rule. In essence, the Chapman Court was manipulating the line between "ambiguous" and "clear" because it was unable to control the impact the rule of lenity would have on the case if ambiguity were found</w:t>
      </w:r>
      <w:r>
        <w:t>. In other words, e</w:t>
      </w:r>
      <w:r w:rsidRPr="00795A36">
        <w:rPr>
          <w:rStyle w:val="StyleUnderline"/>
        </w:rPr>
        <w:t>rror in one portion of a legal doctrine reverberated to the other parts; yet another reason to vary the values of canons</w:t>
      </w:r>
      <w:r>
        <w:t>. If the impact of the rule of lenity were rightly reduced, there is every reason to believe that canonical "ambiguity" would retake its former shape. 356. 83 F.3d 542 (1st Cir. 1996). 357 Id. at 544. 358. See 18 U.S.C. § 2119 (1994). 359 18 U.S.C. § 1365(3) (1994). Section 1365(4) defines the term "bodily injury" to mean: "(A) a cut, abrasion, bruise, bum, or disfigurement; (B) physical pain; (C) illness; (D) impairment of the function of a bodily member, organ, or mental faculty; or (E) any other injury to the body, no matter how temporary" Id. § 1365(4). 360. Rivera, 83 F.3d at 548. 361. Id. at 547. [End footnote]</w:t>
      </w:r>
    </w:p>
    <w:p w14:paraId="418161F7" w14:textId="77777777" w:rsidR="00D91D7C" w:rsidRDefault="00D91D7C" w:rsidP="00D91D7C">
      <w:r>
        <w:t>f lenity.363 The First Circuit declined to hear the case en banc by a 4-3 vote.3 " In a dissent from the denial of rehearing en banc, Judge Lynch stressed that in the same omnibus statute that contained the carjacking statute, Congress also enacted various provisions to protect rape victims, and otherwise made it clear that it understood that victims of rape "are often further victimized by a criminal justice system that is insensitive to the trauma caused by the crime.""36 Judge Lynch also observed that the definition of "extreme physical pain" was lifted whole cloth from a subsection of the U.S. Code pertaining to the entirely different problem of consumer product tampering, and therefore, should not be applied in an overly technical manner in the carjacking context." She (and two other judges in dissent) contended that it was incomprehensible that Congress intended there to be an enhancement when a victim's finger was cut off ("loss of a bodily member"), but not when there was a brutal rape at gunpoint.367</w:t>
      </w:r>
    </w:p>
    <w:p w14:paraId="1B981879" w14:textId="77777777" w:rsidR="00D91D7C" w:rsidRDefault="00D91D7C" w:rsidP="00D91D7C">
      <w:r>
        <w:t xml:space="preserve">In close cases like these-where text rests on one side of the ledger, and legislative history, purpose arguments, "absurdity" arguments, and evidence from the "whole statute" rest on the other-the rule of lenity makes all the difference. It is certainly no coincidence that Judge Lynch's en banc dissent declines to even mention the rule, while the three-judge panel's opinion turns on it. </w:t>
      </w:r>
      <w:r w:rsidRPr="00D6209F">
        <w:rPr>
          <w:rStyle w:val="StyleUnderline"/>
        </w:rPr>
        <w:t>A downgraded sentencing rule of lenity would have prevented the three-judge panel from leaning on the rule to the degree they did, and may have produced a different result</w:t>
      </w:r>
      <w:r>
        <w:t>. At the very least, it may have prompted one more First Circuit judge to consent to a rehearing en banc in a case raising a difficult question of statutory interpretation.</w:t>
      </w:r>
    </w:p>
    <w:p w14:paraId="34EFA855" w14:textId="77777777" w:rsidR="00D91D7C" w:rsidRDefault="00D91D7C" w:rsidP="00D91D7C">
      <w:r>
        <w:t xml:space="preserve">C. The Need for Refinement The point is that </w:t>
      </w:r>
      <w:r w:rsidRPr="00D6209F">
        <w:rPr>
          <w:rStyle w:val="StyleUnderline"/>
        </w:rPr>
        <w:t>judges will often find ways to circumvent rigid rules with which they are dissatisfied</w:t>
      </w:r>
      <w:r>
        <w:t>. In the process, other rules are collaterally damaged (as in the arguable corruption of Chapman requisite of "ambiguity" to trigger the rule of lenity and, therefore, any canon that turns on statutory ambiguity) and faith in the enterprise suffers among judges and scholars alike. To resuscitate the canonical mission, nuance must be brought to the endeavor.</w:t>
      </w:r>
    </w:p>
    <w:p w14:paraId="69199E91" w14:textId="77777777" w:rsidR="00D91D7C" w:rsidRPr="00D6209F" w:rsidRDefault="00D91D7C" w:rsidP="00D91D7C">
      <w:pPr>
        <w:rPr>
          <w:rStyle w:val="StyleUnderline"/>
        </w:rPr>
      </w:pPr>
      <w:r>
        <w:t>Varying the value of canons is a first step toward this goal. Of course, grading the value of the canons is not a costless step. The principal virtue of a "rule" is the consistency it brings to lawmaking, and consistency demands at least some</w:t>
      </w:r>
      <w:r w:rsidRPr="007E0DAE">
        <w:t xml:space="preserve"> </w:t>
      </w:r>
      <w:r>
        <w:t xml:space="preserve">inflexibility. Every rule can be reduced to the interests that animate it, and only be applied when (and to the degree) those interests dictate which, in turn, denudes the rule of much of its value.368 In addition, there is a uniquely acute need for consistency (and, therefore, for categorical rules) in statutory interpretation, given the otherwise shapeless and unguided nature of the enterprise. However, this is not a reason to eschew all nuance in the canons. </w:t>
      </w:r>
      <w:r w:rsidRPr="00D6209F">
        <w:rPr>
          <w:rStyle w:val="StyleUnderline"/>
        </w:rPr>
        <w:t>We can retain the advantages of categorical rules while still varying the strength of those rules. 69 For example, with few exceptions, killing another individual is widely regarded as repugnant, and one could imagine a legal system that punished all acts of (unjustified) homicide equally. Our legal system has long benefitted, however, from the splintering of murder statutes into varying gradations of culpability. We have sacrificed predictability, cabining of discretion, and ease of administration for a more precise mapping of punishment onto guilt.</w:t>
      </w:r>
    </w:p>
    <w:p w14:paraId="16E50AC7" w14:textId="77777777" w:rsidR="00D91D7C" w:rsidRDefault="00D91D7C" w:rsidP="00D91D7C">
      <w:r>
        <w:t>Similar gradations can be made to the canons of statutory interpretation. We currently enjoy as categorical a system of canons as we are likely to devise, with almost all species of ambiguous statutes treated similarly Varying the weight and scope of the canons will produce benefits that are almost certain to outweigh whatever slight damage to consistency might result. The potential advantages of refinement are the honest usage of the canon, more accurate and forthright decisions, and removal of the incentive to warp other elements of the canons' doctrines to compensate for their all-or-nothing nature,37 which are chronicled throughout the article above. Even if only some of these benefits spring forth, refinement is still a worthwhile experiment, and the sentencing rule of lenity is a valuable first step toward that estimable goal.</w:t>
      </w:r>
    </w:p>
    <w:p w14:paraId="6BDB2F8F" w14:textId="77777777" w:rsidR="00D91D7C" w:rsidRDefault="00D91D7C" w:rsidP="00D91D7C">
      <w:r>
        <w:t>[Begin footnote] 368. These issues are discussed in much more detailed (and elegant) fashion in several articles, among them: Duncan Kennedy, Form and Substance in Private Law Adjudication, 89 HARV. L. REv. 1685, 1687-1713 (1976); Carol M. Rose, Crystals and Mud in Property Law, 40 STAN. L. REv. 577, 579-80 (1988); Sullivan, supra note 329, at 56-122; Frederick Schauer, Prescriptions in Three Dimensions, 82 IOWA L. REv 911, 912 (1997). 369 There is elegant and thoughtful literature on the relationship between categorical rules and the law that explores these issues in much greater detail. See, e.g., Kennedy, supra note 368, at 1687- 1713; Rose, supra note 368, at 579-80; Sullivan, supra note 329, at 56-122; Schauer, supra note 368, at 912. 370. See, e.g., supra note 355. [End footnote]</w:t>
      </w:r>
    </w:p>
    <w:p w14:paraId="52BC74CA" w14:textId="77777777" w:rsidR="00D91D7C" w:rsidRDefault="00D91D7C" w:rsidP="00D91D7C">
      <w:r>
        <w:t>VI. CONCLUSION Ultimately</w:t>
      </w:r>
      <w:r w:rsidRPr="00D6209F">
        <w:rPr>
          <w:rStyle w:val="Emphasis"/>
        </w:rPr>
        <w:t>, the sentencing rule of lenity should be eliminated</w:t>
      </w:r>
      <w:r>
        <w:t xml:space="preserve">. </w:t>
      </w:r>
      <w:r w:rsidRPr="00D6209F">
        <w:rPr>
          <w:rStyle w:val="StyleUnderline"/>
        </w:rPr>
        <w:t>It is a canon almost completely lacking in support. However, if this seems too drastic a remedy, we should recognize its failings, and downgrade the canon appropriately, a step the operation of which was sketched in the previous part</w:t>
      </w:r>
      <w:r>
        <w:t>. If, after deliberate and thoughtful applications of a diminished sentencing rule of lenity, judges find the rule s attenuated rationales not worth the bother of a canon at all, then the sentencing rule of lenity will then rightfully fade away.</w:t>
      </w:r>
    </w:p>
    <w:p w14:paraId="22D93C55" w14:textId="77777777" w:rsidR="00D91D7C" w:rsidRPr="00D6209F" w:rsidRDefault="00D91D7C" w:rsidP="00D91D7C">
      <w:pPr>
        <w:rPr>
          <w:rStyle w:val="StyleUnderline"/>
        </w:rPr>
      </w:pPr>
      <w:r>
        <w:t xml:space="preserve">After centuries of use, the current system of categorical canons seems trapped in obloquy. This article offers a dual prescription. First, </w:t>
      </w:r>
      <w:r w:rsidRPr="00D6209F">
        <w:rPr>
          <w:rStyle w:val="StyleUnderline"/>
        </w:rPr>
        <w:t>we must expunge the illogical or malextended canons, one of which is the sentencing rule of lenity However, resuscitation of the canonical endeavor also demands refinement in the way we treat the canons. This article has hinted at some possibilities, the foremost of which would be varying the power of the canons. If eliminating the sentencing rule of lenity seems like too harsh a tonic, then diminishing its strength is an opportunity to bring some much needed nuance to the canons of statutory interpretation.</w:t>
      </w:r>
    </w:p>
    <w:p w14:paraId="02EC3F48" w14:textId="77777777" w:rsidR="00D91D7C" w:rsidRPr="00D91D7C" w:rsidRDefault="00D91D7C" w:rsidP="00D91D7C"/>
    <w:p w14:paraId="0DD77569" w14:textId="77777777" w:rsidR="00D91D7C" w:rsidRDefault="00D91D7C">
      <w:pPr>
        <w:rPr>
          <w:rFonts w:asciiTheme="minorHAnsi" w:hAnsiTheme="minorHAnsi" w:cstheme="minorBidi"/>
        </w:rPr>
      </w:pPr>
    </w:p>
    <w:sectPr w:rsidR="00D91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5A76BF"/>
    <w:multiLevelType w:val="hybridMultilevel"/>
    <w:tmpl w:val="8FA63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5416E7"/>
    <w:multiLevelType w:val="hybridMultilevel"/>
    <w:tmpl w:val="1A324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AC78EC"/>
    <w:multiLevelType w:val="hybridMultilevel"/>
    <w:tmpl w:val="515A7818"/>
    <w:lvl w:ilvl="0" w:tplc="CE0C24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892DD4"/>
    <w:multiLevelType w:val="hybridMultilevel"/>
    <w:tmpl w:val="2F00789E"/>
    <w:lvl w:ilvl="0" w:tplc="19B0F7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05203"/>
    <w:multiLevelType w:val="hybridMultilevel"/>
    <w:tmpl w:val="FBBE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1B33BD"/>
    <w:multiLevelType w:val="hybridMultilevel"/>
    <w:tmpl w:val="96884D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5"/>
  </w:num>
  <w:num w:numId="14">
    <w:abstractNumId w:val="10"/>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randon Stras"/>
    <w:docVar w:name="RibbonPointer" w:val="2644194555152"/>
    <w:docVar w:name="VerbatimVersion" w:val="5.1"/>
  </w:docVars>
  <w:rsids>
    <w:rsidRoot w:val="00ED671A"/>
    <w:rsid w:val="000139A3"/>
    <w:rsid w:val="0001407D"/>
    <w:rsid w:val="000153E6"/>
    <w:rsid w:val="0002379D"/>
    <w:rsid w:val="00032A45"/>
    <w:rsid w:val="00045D11"/>
    <w:rsid w:val="00045ED1"/>
    <w:rsid w:val="00054AEB"/>
    <w:rsid w:val="00062D94"/>
    <w:rsid w:val="000865B9"/>
    <w:rsid w:val="000A140F"/>
    <w:rsid w:val="000A3254"/>
    <w:rsid w:val="000B26B7"/>
    <w:rsid w:val="000B3396"/>
    <w:rsid w:val="000C323A"/>
    <w:rsid w:val="000C38F9"/>
    <w:rsid w:val="000C39AD"/>
    <w:rsid w:val="000C45A0"/>
    <w:rsid w:val="000C65FE"/>
    <w:rsid w:val="000C6EC6"/>
    <w:rsid w:val="000C7DBE"/>
    <w:rsid w:val="000D088A"/>
    <w:rsid w:val="000D25BD"/>
    <w:rsid w:val="000D2D70"/>
    <w:rsid w:val="000E12C0"/>
    <w:rsid w:val="000F2602"/>
    <w:rsid w:val="000F325D"/>
    <w:rsid w:val="00100833"/>
    <w:rsid w:val="00104529"/>
    <w:rsid w:val="00105942"/>
    <w:rsid w:val="001072C2"/>
    <w:rsid w:val="00107396"/>
    <w:rsid w:val="00111BEA"/>
    <w:rsid w:val="00113589"/>
    <w:rsid w:val="00142A7F"/>
    <w:rsid w:val="00144A4C"/>
    <w:rsid w:val="001561A4"/>
    <w:rsid w:val="00156E94"/>
    <w:rsid w:val="00166D96"/>
    <w:rsid w:val="00176AB0"/>
    <w:rsid w:val="00177B7D"/>
    <w:rsid w:val="00181638"/>
    <w:rsid w:val="0018322D"/>
    <w:rsid w:val="00192DF0"/>
    <w:rsid w:val="00197115"/>
    <w:rsid w:val="001A00BC"/>
    <w:rsid w:val="001A158A"/>
    <w:rsid w:val="001A249E"/>
    <w:rsid w:val="001A6E5B"/>
    <w:rsid w:val="001A77F6"/>
    <w:rsid w:val="001B5772"/>
    <w:rsid w:val="001B5776"/>
    <w:rsid w:val="001D1548"/>
    <w:rsid w:val="001D655B"/>
    <w:rsid w:val="001E0253"/>
    <w:rsid w:val="001E527A"/>
    <w:rsid w:val="001E6ADC"/>
    <w:rsid w:val="001F1CDC"/>
    <w:rsid w:val="001F5946"/>
    <w:rsid w:val="001F7206"/>
    <w:rsid w:val="001F78CE"/>
    <w:rsid w:val="00205B1F"/>
    <w:rsid w:val="00212680"/>
    <w:rsid w:val="002131D1"/>
    <w:rsid w:val="00216C67"/>
    <w:rsid w:val="00217DBC"/>
    <w:rsid w:val="00220A46"/>
    <w:rsid w:val="00230F4D"/>
    <w:rsid w:val="0024151A"/>
    <w:rsid w:val="00242E54"/>
    <w:rsid w:val="00244009"/>
    <w:rsid w:val="00246471"/>
    <w:rsid w:val="00247C9C"/>
    <w:rsid w:val="00251FC7"/>
    <w:rsid w:val="00255B21"/>
    <w:rsid w:val="002611BF"/>
    <w:rsid w:val="002712BE"/>
    <w:rsid w:val="00276FF1"/>
    <w:rsid w:val="002855A7"/>
    <w:rsid w:val="00290FC9"/>
    <w:rsid w:val="002934D6"/>
    <w:rsid w:val="00293660"/>
    <w:rsid w:val="00294130"/>
    <w:rsid w:val="002A607A"/>
    <w:rsid w:val="002B146A"/>
    <w:rsid w:val="002B477B"/>
    <w:rsid w:val="002B5E17"/>
    <w:rsid w:val="002C07E5"/>
    <w:rsid w:val="002D54FA"/>
    <w:rsid w:val="002D7184"/>
    <w:rsid w:val="002D7D78"/>
    <w:rsid w:val="002E524B"/>
    <w:rsid w:val="002E73BE"/>
    <w:rsid w:val="00300852"/>
    <w:rsid w:val="00301990"/>
    <w:rsid w:val="00301E25"/>
    <w:rsid w:val="00315690"/>
    <w:rsid w:val="00316B75"/>
    <w:rsid w:val="003242AF"/>
    <w:rsid w:val="00325646"/>
    <w:rsid w:val="00331867"/>
    <w:rsid w:val="00336D11"/>
    <w:rsid w:val="0034589D"/>
    <w:rsid w:val="003460F2"/>
    <w:rsid w:val="00346EA7"/>
    <w:rsid w:val="00353B3D"/>
    <w:rsid w:val="00366D51"/>
    <w:rsid w:val="0037709D"/>
    <w:rsid w:val="00377977"/>
    <w:rsid w:val="003800F3"/>
    <w:rsid w:val="0038158C"/>
    <w:rsid w:val="00387486"/>
    <w:rsid w:val="003902BA"/>
    <w:rsid w:val="003A09E2"/>
    <w:rsid w:val="003C1B8A"/>
    <w:rsid w:val="003C53D7"/>
    <w:rsid w:val="003E14EA"/>
    <w:rsid w:val="003E25C2"/>
    <w:rsid w:val="003E3EF0"/>
    <w:rsid w:val="003F3BC2"/>
    <w:rsid w:val="003F4393"/>
    <w:rsid w:val="0040581A"/>
    <w:rsid w:val="00407037"/>
    <w:rsid w:val="00417BAB"/>
    <w:rsid w:val="004304D3"/>
    <w:rsid w:val="00440F00"/>
    <w:rsid w:val="004501D6"/>
    <w:rsid w:val="00452CC3"/>
    <w:rsid w:val="00454FA9"/>
    <w:rsid w:val="00456038"/>
    <w:rsid w:val="004605D6"/>
    <w:rsid w:val="00471EA1"/>
    <w:rsid w:val="00472A6F"/>
    <w:rsid w:val="0047362D"/>
    <w:rsid w:val="00481A05"/>
    <w:rsid w:val="004A1A5E"/>
    <w:rsid w:val="004A3E3E"/>
    <w:rsid w:val="004A4CD2"/>
    <w:rsid w:val="004B1F6C"/>
    <w:rsid w:val="004C1FFF"/>
    <w:rsid w:val="004C3A92"/>
    <w:rsid w:val="004C60E8"/>
    <w:rsid w:val="004C6553"/>
    <w:rsid w:val="004C73AD"/>
    <w:rsid w:val="004D1A78"/>
    <w:rsid w:val="004D690C"/>
    <w:rsid w:val="004D7C02"/>
    <w:rsid w:val="004E24BB"/>
    <w:rsid w:val="004E2D89"/>
    <w:rsid w:val="004E3579"/>
    <w:rsid w:val="004E3863"/>
    <w:rsid w:val="004E5101"/>
    <w:rsid w:val="004E564C"/>
    <w:rsid w:val="004E728B"/>
    <w:rsid w:val="004F39E0"/>
    <w:rsid w:val="004F533D"/>
    <w:rsid w:val="00505A2A"/>
    <w:rsid w:val="005075E1"/>
    <w:rsid w:val="005106FD"/>
    <w:rsid w:val="00516959"/>
    <w:rsid w:val="00517996"/>
    <w:rsid w:val="00523BC4"/>
    <w:rsid w:val="00524CC9"/>
    <w:rsid w:val="005304A7"/>
    <w:rsid w:val="00536F2B"/>
    <w:rsid w:val="00537BD5"/>
    <w:rsid w:val="00550F45"/>
    <w:rsid w:val="005572C1"/>
    <w:rsid w:val="005661EF"/>
    <w:rsid w:val="0057268A"/>
    <w:rsid w:val="00573038"/>
    <w:rsid w:val="005733D3"/>
    <w:rsid w:val="0057352F"/>
    <w:rsid w:val="00574227"/>
    <w:rsid w:val="00577FE0"/>
    <w:rsid w:val="00586EDF"/>
    <w:rsid w:val="00587583"/>
    <w:rsid w:val="00591015"/>
    <w:rsid w:val="00593391"/>
    <w:rsid w:val="00594EFD"/>
    <w:rsid w:val="00595928"/>
    <w:rsid w:val="005A49E2"/>
    <w:rsid w:val="005B44C7"/>
    <w:rsid w:val="005C3F3A"/>
    <w:rsid w:val="005D2327"/>
    <w:rsid w:val="005D2912"/>
    <w:rsid w:val="005D2A34"/>
    <w:rsid w:val="005D5FE5"/>
    <w:rsid w:val="005E222A"/>
    <w:rsid w:val="005E5433"/>
    <w:rsid w:val="00600EF8"/>
    <w:rsid w:val="006065BD"/>
    <w:rsid w:val="00621D20"/>
    <w:rsid w:val="00622F3A"/>
    <w:rsid w:val="00623913"/>
    <w:rsid w:val="00624DAC"/>
    <w:rsid w:val="00633047"/>
    <w:rsid w:val="00640323"/>
    <w:rsid w:val="00641201"/>
    <w:rsid w:val="00644227"/>
    <w:rsid w:val="00644FD1"/>
    <w:rsid w:val="006459C6"/>
    <w:rsid w:val="00645FA9"/>
    <w:rsid w:val="00647866"/>
    <w:rsid w:val="006615EC"/>
    <w:rsid w:val="0066243D"/>
    <w:rsid w:val="00664205"/>
    <w:rsid w:val="006642FA"/>
    <w:rsid w:val="00665003"/>
    <w:rsid w:val="00675914"/>
    <w:rsid w:val="00687FCB"/>
    <w:rsid w:val="00692A8F"/>
    <w:rsid w:val="006966A8"/>
    <w:rsid w:val="006A012A"/>
    <w:rsid w:val="006A2AD0"/>
    <w:rsid w:val="006A4DFB"/>
    <w:rsid w:val="006A5029"/>
    <w:rsid w:val="006B208B"/>
    <w:rsid w:val="006B4290"/>
    <w:rsid w:val="006B5305"/>
    <w:rsid w:val="006B738A"/>
    <w:rsid w:val="006C2375"/>
    <w:rsid w:val="006D1153"/>
    <w:rsid w:val="006D4ECC"/>
    <w:rsid w:val="006E3B21"/>
    <w:rsid w:val="006E578B"/>
    <w:rsid w:val="0071444B"/>
    <w:rsid w:val="0072117B"/>
    <w:rsid w:val="00722258"/>
    <w:rsid w:val="007243E5"/>
    <w:rsid w:val="00733167"/>
    <w:rsid w:val="00737209"/>
    <w:rsid w:val="00742DF8"/>
    <w:rsid w:val="00745279"/>
    <w:rsid w:val="00751AE1"/>
    <w:rsid w:val="00752B9D"/>
    <w:rsid w:val="00760E4C"/>
    <w:rsid w:val="00763608"/>
    <w:rsid w:val="0076550C"/>
    <w:rsid w:val="00766EA0"/>
    <w:rsid w:val="00771C1E"/>
    <w:rsid w:val="007721E6"/>
    <w:rsid w:val="00774BBF"/>
    <w:rsid w:val="00775229"/>
    <w:rsid w:val="00780009"/>
    <w:rsid w:val="00780C93"/>
    <w:rsid w:val="00781794"/>
    <w:rsid w:val="00782FD6"/>
    <w:rsid w:val="00796CB3"/>
    <w:rsid w:val="007A2226"/>
    <w:rsid w:val="007B0732"/>
    <w:rsid w:val="007B6C4D"/>
    <w:rsid w:val="007D5585"/>
    <w:rsid w:val="007D6256"/>
    <w:rsid w:val="007E36E8"/>
    <w:rsid w:val="007F5B66"/>
    <w:rsid w:val="00805A42"/>
    <w:rsid w:val="008109DE"/>
    <w:rsid w:val="00823A1C"/>
    <w:rsid w:val="00835595"/>
    <w:rsid w:val="008405B5"/>
    <w:rsid w:val="00840BEE"/>
    <w:rsid w:val="00844B09"/>
    <w:rsid w:val="00845B9D"/>
    <w:rsid w:val="00845E25"/>
    <w:rsid w:val="00846A4C"/>
    <w:rsid w:val="00851B6A"/>
    <w:rsid w:val="00854A86"/>
    <w:rsid w:val="008607B0"/>
    <w:rsid w:val="00860984"/>
    <w:rsid w:val="00871052"/>
    <w:rsid w:val="0087170C"/>
    <w:rsid w:val="008727CB"/>
    <w:rsid w:val="008747BA"/>
    <w:rsid w:val="00885FAA"/>
    <w:rsid w:val="008A13F9"/>
    <w:rsid w:val="008A1859"/>
    <w:rsid w:val="008A1891"/>
    <w:rsid w:val="008A6DFA"/>
    <w:rsid w:val="008B24BC"/>
    <w:rsid w:val="008B278F"/>
    <w:rsid w:val="008B37A8"/>
    <w:rsid w:val="008B3ECB"/>
    <w:rsid w:val="008B4E85"/>
    <w:rsid w:val="008C1B2E"/>
    <w:rsid w:val="008D141F"/>
    <w:rsid w:val="008D3C0A"/>
    <w:rsid w:val="008D503C"/>
    <w:rsid w:val="008D78CC"/>
    <w:rsid w:val="008E16EC"/>
    <w:rsid w:val="008F017A"/>
    <w:rsid w:val="008F4437"/>
    <w:rsid w:val="00905640"/>
    <w:rsid w:val="009064B8"/>
    <w:rsid w:val="0091627E"/>
    <w:rsid w:val="00920649"/>
    <w:rsid w:val="00927759"/>
    <w:rsid w:val="00931C9A"/>
    <w:rsid w:val="00942D23"/>
    <w:rsid w:val="00945AFF"/>
    <w:rsid w:val="00947257"/>
    <w:rsid w:val="00950C2F"/>
    <w:rsid w:val="00950E86"/>
    <w:rsid w:val="0095149D"/>
    <w:rsid w:val="009628BE"/>
    <w:rsid w:val="009679EA"/>
    <w:rsid w:val="0097032B"/>
    <w:rsid w:val="00985763"/>
    <w:rsid w:val="00985A12"/>
    <w:rsid w:val="009B0F77"/>
    <w:rsid w:val="009B6EB8"/>
    <w:rsid w:val="009B74AC"/>
    <w:rsid w:val="009C4529"/>
    <w:rsid w:val="009D2EAD"/>
    <w:rsid w:val="009D54B2"/>
    <w:rsid w:val="009E1922"/>
    <w:rsid w:val="009E54C9"/>
    <w:rsid w:val="009F69E2"/>
    <w:rsid w:val="009F7ED2"/>
    <w:rsid w:val="00A1452A"/>
    <w:rsid w:val="00A36EC9"/>
    <w:rsid w:val="00A41D4B"/>
    <w:rsid w:val="00A41F85"/>
    <w:rsid w:val="00A4560C"/>
    <w:rsid w:val="00A51193"/>
    <w:rsid w:val="00A61F75"/>
    <w:rsid w:val="00A66121"/>
    <w:rsid w:val="00A70A31"/>
    <w:rsid w:val="00A72F07"/>
    <w:rsid w:val="00A77204"/>
    <w:rsid w:val="00A93661"/>
    <w:rsid w:val="00A937B9"/>
    <w:rsid w:val="00A94F80"/>
    <w:rsid w:val="00A95652"/>
    <w:rsid w:val="00AA4F49"/>
    <w:rsid w:val="00AB6353"/>
    <w:rsid w:val="00AC0AB8"/>
    <w:rsid w:val="00AD1257"/>
    <w:rsid w:val="00AE326E"/>
    <w:rsid w:val="00AF0B67"/>
    <w:rsid w:val="00AF7FCA"/>
    <w:rsid w:val="00B211E5"/>
    <w:rsid w:val="00B24995"/>
    <w:rsid w:val="00B27AFB"/>
    <w:rsid w:val="00B329E0"/>
    <w:rsid w:val="00B33C6D"/>
    <w:rsid w:val="00B34723"/>
    <w:rsid w:val="00B40314"/>
    <w:rsid w:val="00B40440"/>
    <w:rsid w:val="00B4508F"/>
    <w:rsid w:val="00B46BF0"/>
    <w:rsid w:val="00B50E81"/>
    <w:rsid w:val="00B51F6B"/>
    <w:rsid w:val="00B55AD5"/>
    <w:rsid w:val="00B70B7E"/>
    <w:rsid w:val="00B752E0"/>
    <w:rsid w:val="00B75E88"/>
    <w:rsid w:val="00B8057C"/>
    <w:rsid w:val="00B8678D"/>
    <w:rsid w:val="00BA45DC"/>
    <w:rsid w:val="00BB4B3A"/>
    <w:rsid w:val="00BC0E41"/>
    <w:rsid w:val="00BC5547"/>
    <w:rsid w:val="00BC5AB2"/>
    <w:rsid w:val="00BD08A4"/>
    <w:rsid w:val="00BD0A1B"/>
    <w:rsid w:val="00BD2519"/>
    <w:rsid w:val="00BD6238"/>
    <w:rsid w:val="00BD7AA1"/>
    <w:rsid w:val="00BF4A26"/>
    <w:rsid w:val="00BF593B"/>
    <w:rsid w:val="00BF768F"/>
    <w:rsid w:val="00BF773A"/>
    <w:rsid w:val="00BF7E81"/>
    <w:rsid w:val="00C032E4"/>
    <w:rsid w:val="00C0499A"/>
    <w:rsid w:val="00C1250B"/>
    <w:rsid w:val="00C13773"/>
    <w:rsid w:val="00C17CC8"/>
    <w:rsid w:val="00C30512"/>
    <w:rsid w:val="00C32475"/>
    <w:rsid w:val="00C3543B"/>
    <w:rsid w:val="00C43F0B"/>
    <w:rsid w:val="00C44725"/>
    <w:rsid w:val="00C45FF7"/>
    <w:rsid w:val="00C539AE"/>
    <w:rsid w:val="00C5483C"/>
    <w:rsid w:val="00C60C68"/>
    <w:rsid w:val="00C60DB8"/>
    <w:rsid w:val="00C61A0E"/>
    <w:rsid w:val="00C72E89"/>
    <w:rsid w:val="00C7688D"/>
    <w:rsid w:val="00C8282D"/>
    <w:rsid w:val="00C83417"/>
    <w:rsid w:val="00C862CF"/>
    <w:rsid w:val="00C878AD"/>
    <w:rsid w:val="00C94616"/>
    <w:rsid w:val="00C9604F"/>
    <w:rsid w:val="00CA19AA"/>
    <w:rsid w:val="00CA211E"/>
    <w:rsid w:val="00CA323B"/>
    <w:rsid w:val="00CB0645"/>
    <w:rsid w:val="00CB1E0D"/>
    <w:rsid w:val="00CB3ACD"/>
    <w:rsid w:val="00CB3F1F"/>
    <w:rsid w:val="00CB43EC"/>
    <w:rsid w:val="00CB6C8B"/>
    <w:rsid w:val="00CB742D"/>
    <w:rsid w:val="00CC4950"/>
    <w:rsid w:val="00CC5298"/>
    <w:rsid w:val="00CD1F80"/>
    <w:rsid w:val="00CD736E"/>
    <w:rsid w:val="00CD798D"/>
    <w:rsid w:val="00CE161E"/>
    <w:rsid w:val="00CE3B5A"/>
    <w:rsid w:val="00CE5CEF"/>
    <w:rsid w:val="00CE6E18"/>
    <w:rsid w:val="00CF5793"/>
    <w:rsid w:val="00CF59A8"/>
    <w:rsid w:val="00CF7DEC"/>
    <w:rsid w:val="00D046C0"/>
    <w:rsid w:val="00D10287"/>
    <w:rsid w:val="00D3249E"/>
    <w:rsid w:val="00D325A9"/>
    <w:rsid w:val="00D366F0"/>
    <w:rsid w:val="00D36A8A"/>
    <w:rsid w:val="00D4120B"/>
    <w:rsid w:val="00D4168F"/>
    <w:rsid w:val="00D431CF"/>
    <w:rsid w:val="00D5110B"/>
    <w:rsid w:val="00D61409"/>
    <w:rsid w:val="00D6526D"/>
    <w:rsid w:val="00D6691E"/>
    <w:rsid w:val="00D70D21"/>
    <w:rsid w:val="00D71170"/>
    <w:rsid w:val="00D8577A"/>
    <w:rsid w:val="00D858D2"/>
    <w:rsid w:val="00D91D7C"/>
    <w:rsid w:val="00DA1C92"/>
    <w:rsid w:val="00DA25D4"/>
    <w:rsid w:val="00DA6538"/>
    <w:rsid w:val="00DC3E31"/>
    <w:rsid w:val="00DC3FF6"/>
    <w:rsid w:val="00DC6BAB"/>
    <w:rsid w:val="00DF285B"/>
    <w:rsid w:val="00E01162"/>
    <w:rsid w:val="00E03959"/>
    <w:rsid w:val="00E05C39"/>
    <w:rsid w:val="00E15E75"/>
    <w:rsid w:val="00E17F20"/>
    <w:rsid w:val="00E44345"/>
    <w:rsid w:val="00E5262C"/>
    <w:rsid w:val="00E5528C"/>
    <w:rsid w:val="00E609C2"/>
    <w:rsid w:val="00E61075"/>
    <w:rsid w:val="00E63BAC"/>
    <w:rsid w:val="00E66281"/>
    <w:rsid w:val="00E72F8B"/>
    <w:rsid w:val="00E7574B"/>
    <w:rsid w:val="00E76177"/>
    <w:rsid w:val="00E80A85"/>
    <w:rsid w:val="00E96A0E"/>
    <w:rsid w:val="00EA1317"/>
    <w:rsid w:val="00EA6F45"/>
    <w:rsid w:val="00EC7DC4"/>
    <w:rsid w:val="00ED0A7F"/>
    <w:rsid w:val="00ED30CF"/>
    <w:rsid w:val="00ED671A"/>
    <w:rsid w:val="00ED6A50"/>
    <w:rsid w:val="00EE0DC0"/>
    <w:rsid w:val="00EE6BEE"/>
    <w:rsid w:val="00EF4FE9"/>
    <w:rsid w:val="00F072AB"/>
    <w:rsid w:val="00F14CB6"/>
    <w:rsid w:val="00F176EF"/>
    <w:rsid w:val="00F17B9B"/>
    <w:rsid w:val="00F234DF"/>
    <w:rsid w:val="00F24C61"/>
    <w:rsid w:val="00F32351"/>
    <w:rsid w:val="00F36B27"/>
    <w:rsid w:val="00F4277B"/>
    <w:rsid w:val="00F42F27"/>
    <w:rsid w:val="00F45E10"/>
    <w:rsid w:val="00F6364A"/>
    <w:rsid w:val="00F701CB"/>
    <w:rsid w:val="00F74F95"/>
    <w:rsid w:val="00F9113A"/>
    <w:rsid w:val="00F92994"/>
    <w:rsid w:val="00F93929"/>
    <w:rsid w:val="00FA6E1E"/>
    <w:rsid w:val="00FB2A59"/>
    <w:rsid w:val="00FB4529"/>
    <w:rsid w:val="00FB4C25"/>
    <w:rsid w:val="00FB53D9"/>
    <w:rsid w:val="00FC0D83"/>
    <w:rsid w:val="00FC2648"/>
    <w:rsid w:val="00FE0B3E"/>
    <w:rsid w:val="00FE1EB2"/>
    <w:rsid w:val="00FE2546"/>
    <w:rsid w:val="00FE3EF9"/>
    <w:rsid w:val="00FE7015"/>
    <w:rsid w:val="00FF270B"/>
    <w:rsid w:val="00FF4371"/>
    <w:rsid w:val="00FF53A6"/>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31D5"/>
  <w15:chartTrackingRefBased/>
  <w15:docId w15:val="{D938D4C8-BAE6-4A08-96F7-7961BC84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E564C"/>
    <w:rPr>
      <w:rFonts w:ascii="Calibri" w:hAnsi="Calibri" w:cs="Calibri"/>
    </w:rPr>
  </w:style>
  <w:style w:type="paragraph" w:styleId="Heading1">
    <w:name w:val="heading 1"/>
    <w:aliases w:val="Pocket"/>
    <w:basedOn w:val="Normal"/>
    <w:next w:val="Normal"/>
    <w:link w:val="Heading1Char"/>
    <w:qFormat/>
    <w:rsid w:val="004E56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56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unhideWhenUsed/>
    <w:qFormat/>
    <w:rsid w:val="004E56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
    <w:basedOn w:val="Normal"/>
    <w:next w:val="Normal"/>
    <w:link w:val="Heading4Char"/>
    <w:uiPriority w:val="3"/>
    <w:unhideWhenUsed/>
    <w:qFormat/>
    <w:rsid w:val="004E564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E56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64C"/>
  </w:style>
  <w:style w:type="character" w:customStyle="1" w:styleId="Heading1Char">
    <w:name w:val="Heading 1 Char"/>
    <w:aliases w:val="Pocket Char"/>
    <w:basedOn w:val="DefaultParagraphFont"/>
    <w:link w:val="Heading1"/>
    <w:rsid w:val="004E56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564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4E564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4E564C"/>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7"/>
    <w:qFormat/>
    <w:rsid w:val="004E564C"/>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E564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4E564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4E564C"/>
    <w:rPr>
      <w:color w:val="auto"/>
      <w:u w:val="none"/>
    </w:rPr>
  </w:style>
  <w:style w:type="character" w:styleId="FollowedHyperlink">
    <w:name w:val="FollowedHyperlink"/>
    <w:basedOn w:val="DefaultParagraphFont"/>
    <w:uiPriority w:val="99"/>
    <w:semiHidden/>
    <w:unhideWhenUsed/>
    <w:rsid w:val="004E564C"/>
    <w:rPr>
      <w:color w:val="auto"/>
      <w:u w:val="none"/>
    </w:rPr>
  </w:style>
  <w:style w:type="paragraph" w:customStyle="1" w:styleId="Analytics">
    <w:name w:val="Analytics"/>
    <w:next w:val="NormalWeb"/>
    <w:link w:val="AnalyticsChar"/>
    <w:uiPriority w:val="4"/>
    <w:qFormat/>
    <w:rsid w:val="004E564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E564C"/>
    <w:rPr>
      <w:rFonts w:ascii="Calibri" w:eastAsiaTheme="majorEastAsia" w:hAnsi="Calibri" w:cstheme="majorBidi"/>
      <w:b/>
      <w:iCs/>
      <w:sz w:val="26"/>
      <w:szCs w:val="28"/>
    </w:rPr>
  </w:style>
  <w:style w:type="paragraph" w:styleId="NormalWeb">
    <w:name w:val="Normal (Web)"/>
    <w:basedOn w:val="Normal"/>
    <w:uiPriority w:val="99"/>
    <w:semiHidden/>
    <w:unhideWhenUsed/>
    <w:rsid w:val="004E564C"/>
    <w:rPr>
      <w:rFonts w:ascii="Times New Roman" w:hAnsi="Times New Roman" w:cs="Times New Roman"/>
      <w:sz w:val="24"/>
      <w:szCs w:val="24"/>
    </w:rPr>
  </w:style>
  <w:style w:type="paragraph" w:customStyle="1" w:styleId="textbold">
    <w:name w:val="text bold"/>
    <w:basedOn w:val="Normal"/>
    <w:link w:val="Emphasis"/>
    <w:uiPriority w:val="7"/>
    <w:qFormat/>
    <w:rsid w:val="003C53D7"/>
    <w:pPr>
      <w:pBdr>
        <w:top w:val="single" w:sz="8" w:space="0" w:color="auto"/>
        <w:left w:val="single" w:sz="8" w:space="0" w:color="auto"/>
        <w:bottom w:val="single" w:sz="8" w:space="0" w:color="auto"/>
        <w:right w:val="single" w:sz="8" w:space="0" w:color="auto"/>
      </w:pBdr>
      <w:spacing w:line="256" w:lineRule="auto"/>
      <w:ind w:left="720"/>
    </w:pPr>
    <w:rPr>
      <w:b/>
      <w:iCs/>
      <w:sz w:val="24"/>
      <w:u w:val="single"/>
      <w:bdr w:val="single" w:sz="8" w:space="0" w:color="auto"/>
    </w:rPr>
  </w:style>
  <w:style w:type="paragraph" w:styleId="BalloonText">
    <w:name w:val="Balloon Text"/>
    <w:basedOn w:val="Normal"/>
    <w:link w:val="BalloonTextChar"/>
    <w:uiPriority w:val="99"/>
    <w:semiHidden/>
    <w:unhideWhenUsed/>
    <w:rsid w:val="00EE6B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6BEE"/>
    <w:rPr>
      <w:rFonts w:ascii="Segoe UI" w:hAnsi="Segoe UI" w:cs="Segoe UI"/>
      <w:sz w:val="18"/>
      <w:szCs w:val="18"/>
    </w:rPr>
  </w:style>
  <w:style w:type="character" w:styleId="UnresolvedMention">
    <w:name w:val="Unresolved Mention"/>
    <w:basedOn w:val="DefaultParagraphFont"/>
    <w:uiPriority w:val="99"/>
    <w:semiHidden/>
    <w:unhideWhenUsed/>
    <w:rsid w:val="000C6EC6"/>
    <w:rPr>
      <w:color w:val="605E5C"/>
      <w:shd w:val="clear" w:color="auto" w:fill="E1DFDD"/>
    </w:rPr>
  </w:style>
  <w:style w:type="paragraph" w:styleId="ListParagraph">
    <w:name w:val="List Paragraph"/>
    <w:basedOn w:val="Normal"/>
    <w:uiPriority w:val="99"/>
    <w:unhideWhenUsed/>
    <w:qFormat/>
    <w:rsid w:val="003242AF"/>
    <w:pPr>
      <w:ind w:left="720"/>
      <w:contextualSpacing/>
    </w:pPr>
  </w:style>
  <w:style w:type="paragraph" w:customStyle="1" w:styleId="Warrant">
    <w:name w:val="Warrant"/>
    <w:basedOn w:val="Normal"/>
    <w:link w:val="WarrantChar"/>
    <w:autoRedefine/>
    <w:uiPriority w:val="4"/>
    <w:qFormat/>
    <w:rsid w:val="00931C9A"/>
    <w:rPr>
      <w:b/>
      <w:sz w:val="24"/>
      <w:u w:val="single"/>
      <w:bdr w:val="single" w:sz="12" w:space="0" w:color="auto"/>
    </w:rPr>
  </w:style>
  <w:style w:type="character" w:customStyle="1" w:styleId="WarrantChar">
    <w:name w:val="Warrant Char"/>
    <w:basedOn w:val="DefaultParagraphFont"/>
    <w:link w:val="Warrant"/>
    <w:uiPriority w:val="4"/>
    <w:rsid w:val="00931C9A"/>
    <w:rPr>
      <w:rFonts w:ascii="Calibri" w:hAnsi="Calibri" w:cs="Calibri"/>
      <w:b/>
      <w:sz w:val="24"/>
      <w:u w:val="single"/>
      <w:bdr w:val="single" w:sz="12" w:space="0" w:color="auto"/>
    </w:rPr>
  </w:style>
  <w:style w:type="paragraph" w:customStyle="1" w:styleId="Emphasis1">
    <w:name w:val="Emphasis1"/>
    <w:basedOn w:val="Normal"/>
    <w:autoRedefine/>
    <w:uiPriority w:val="7"/>
    <w:qFormat/>
    <w:rsid w:val="00CB3F1F"/>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sz w:val="24"/>
      <w:szCs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5E5433"/>
    <w:pPr>
      <w:spacing w:after="0" w:line="240" w:lineRule="auto"/>
    </w:pPr>
    <w:rPr>
      <w:u w:val="single"/>
    </w:rPr>
  </w:style>
  <w:style w:type="character" w:styleId="CommentReference">
    <w:name w:val="annotation reference"/>
    <w:basedOn w:val="DefaultParagraphFont"/>
    <w:uiPriority w:val="99"/>
    <w:semiHidden/>
    <w:unhideWhenUsed/>
    <w:rsid w:val="0047362D"/>
    <w:rPr>
      <w:sz w:val="16"/>
      <w:szCs w:val="16"/>
    </w:rPr>
  </w:style>
  <w:style w:type="paragraph" w:styleId="CommentText">
    <w:name w:val="annotation text"/>
    <w:basedOn w:val="Normal"/>
    <w:link w:val="CommentTextChar"/>
    <w:uiPriority w:val="99"/>
    <w:semiHidden/>
    <w:unhideWhenUsed/>
    <w:rsid w:val="0047362D"/>
    <w:pPr>
      <w:spacing w:line="240" w:lineRule="auto"/>
    </w:pPr>
    <w:rPr>
      <w:sz w:val="20"/>
      <w:szCs w:val="20"/>
    </w:rPr>
  </w:style>
  <w:style w:type="character" w:customStyle="1" w:styleId="CommentTextChar">
    <w:name w:val="Comment Text Char"/>
    <w:basedOn w:val="DefaultParagraphFont"/>
    <w:link w:val="CommentText"/>
    <w:uiPriority w:val="99"/>
    <w:semiHidden/>
    <w:rsid w:val="0047362D"/>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silience.org/stories/2020-03-04/we-need-to-talk-about-catastrophic-global-risk/" TargetMode="External"/><Relationship Id="rId299" Type="http://schemas.openxmlformats.org/officeDocument/2006/relationships/hyperlink" Target="https://scholar.lib.vt.edu/ejournals/JOTS/v41/v41n1/tate.html" TargetMode="External"/><Relationship Id="rId21" Type="http://schemas.openxmlformats.org/officeDocument/2006/relationships/hyperlink" Target="http://www.tandfonline.com/doi/abs/10.1080/00396338.2016.1161899?journalCode=tsur20" TargetMode="External"/><Relationship Id="rId63" Type="http://schemas.openxmlformats.org/officeDocument/2006/relationships/hyperlink" Target="http://www.nysd.uscourts.gov/cases/show.php?db=special&amp;id=634" TargetMode="External"/><Relationship Id="rId159" Type="http://schemas.openxmlformats.org/officeDocument/2006/relationships/hyperlink" Target="https://papers.ssrn.com/sol3/papers.cfm?abstract_id=2808848" TargetMode="External"/><Relationship Id="rId324" Type="http://schemas.openxmlformats.org/officeDocument/2006/relationships/hyperlink" Target="https://www.dwt.com/blogs/energy--environmental-law-blog/2019/03/trump-track-chevron-deference--whose-ox-is-gored" TargetMode="External"/><Relationship Id="rId366" Type="http://schemas.openxmlformats.org/officeDocument/2006/relationships/hyperlink" Target="https://www.americanprogress.org/issues/security/reports/2020/05/05/484538/getting-ahead-curve-united-states-needs-plan-coronavirus-americas/" TargetMode="External"/><Relationship Id="rId170" Type="http://schemas.openxmlformats.org/officeDocument/2006/relationships/hyperlink" Target="http://www.fed-soc.org/chapters/detail/pennsylvania-student-chapter" TargetMode="External"/><Relationship Id="rId226" Type="http://schemas.openxmlformats.org/officeDocument/2006/relationships/hyperlink" Target="https://digitalcommons.law.yale.edu/cgi/viewcontent.cgi?article=4771&amp;context=fss_papers" TargetMode="External"/><Relationship Id="rId268" Type="http://schemas.openxmlformats.org/officeDocument/2006/relationships/hyperlink" Target="https://foreignpolicy.com/2020/05/13/coronavirus-pandemic-depression-economy-world-war/" TargetMode="External"/><Relationship Id="rId32" Type="http://schemas.openxmlformats.org/officeDocument/2006/relationships/hyperlink" Target="https://www.nytimes.com/2020/04/23/us/politics/coronavirus-teenage-migrants-ice.html" TargetMode="External"/><Relationship Id="rId74" Type="http://schemas.openxmlformats.org/officeDocument/2006/relationships/hyperlink" Target="https://www.templelawreview.org/lawreview/assets/uploads/2017/05/Fleming-89-Temp.-L.-Rev.-579.pdf" TargetMode="External"/><Relationship Id="rId128" Type="http://schemas.openxmlformats.org/officeDocument/2006/relationships/hyperlink" Target="https://votesmart.org/public-statement/1404966/remarks-by-president-trump-at-the-2020-conservative-political-action-conference-national-harbor-md" TargetMode="External"/><Relationship Id="rId335" Type="http://schemas.openxmlformats.org/officeDocument/2006/relationships/hyperlink" Target="https://www.law.upenn.edu/live/files/81-long157upalrev19652009pdf" TargetMode="External"/><Relationship Id="rId377" Type="http://schemas.openxmlformats.org/officeDocument/2006/relationships/hyperlink" Target="https://www.americanprogress.org/issues/security/reports/2020/05/05/484538/getting-ahead-curve-united-states-needs-plan-coronavirus-americas/" TargetMode="External"/><Relationship Id="rId5" Type="http://schemas.openxmlformats.org/officeDocument/2006/relationships/webSettings" Target="webSettings.xml"/><Relationship Id="rId181" Type="http://schemas.openxmlformats.org/officeDocument/2006/relationships/hyperlink" Target="https://www.irs.gov/" TargetMode="External"/><Relationship Id="rId237" Type="http://schemas.openxmlformats.org/officeDocument/2006/relationships/hyperlink" Target="https://www.hawarnews.com/en/haber/aa-begins-to-evacuate-mabrouka-camp-h12000.html" TargetMode="External"/><Relationship Id="rId279" Type="http://schemas.openxmlformats.org/officeDocument/2006/relationships/hyperlink" Target="https://www.americanbar.org/groups/environment_energy_resources/publications/trends/2015-2016/september-october-2015/the_decline_deference_the_supreme_court_pruning_back_chevron_doctrine/" TargetMode="External"/><Relationship Id="rId43" Type="http://schemas.openxmlformats.org/officeDocument/2006/relationships/hyperlink" Target="https://publications.iadb.org/es/tras-los-pasos-del-migrante-perspectivas-y-experiencias-de-la-migracion-de-el-salvador-guatemala-y" TargetMode="External"/><Relationship Id="rId139" Type="http://schemas.openxmlformats.org/officeDocument/2006/relationships/hyperlink" Target="https://www.yalejreg.com/nc/the-separation-of-powers-restoration-act-in-the-age-of-trump-by-adrian-vermeule/" TargetMode="External"/><Relationship Id="rId290" Type="http://schemas.openxmlformats.org/officeDocument/2006/relationships/hyperlink" Target="https://scholar.lib.vt.edu/ejournals/JOTS/v41/v41n1/tate.html" TargetMode="External"/><Relationship Id="rId304" Type="http://schemas.openxmlformats.org/officeDocument/2006/relationships/hyperlink" Target="https://arxiv.org/pdf/2006.04948.pdf" TargetMode="External"/><Relationship Id="rId346" Type="http://schemas.openxmlformats.org/officeDocument/2006/relationships/hyperlink" Target="https://www.ipwatchdog.com/2020/04/12/pandemics-need-us-patent-laws-promote-progress-invention-federal-circuit-en-banc-can-fix/id=120575/" TargetMode="External"/><Relationship Id="rId85" Type="http://schemas.openxmlformats.org/officeDocument/2006/relationships/hyperlink" Target="https://tnsr.org/2020/05/economic-might-national-security-future-american-statecraft/" TargetMode="External"/><Relationship Id="rId150" Type="http://schemas.openxmlformats.org/officeDocument/2006/relationships/hyperlink" Target="https://lawliberty.org/the-chevron-doctrines-shrinking-domain/" TargetMode="External"/><Relationship Id="rId192" Type="http://schemas.openxmlformats.org/officeDocument/2006/relationships/hyperlink" Target="https://scholarship.law.bu.edu/cgi/viewcontent.cgi?article=1519&amp;context=faculty_scholarship)//JLPark" TargetMode="External"/><Relationship Id="rId206" Type="http://schemas.openxmlformats.org/officeDocument/2006/relationships/hyperlink" Target="https://www.washingtonpost.com/news/innovations/wp/2015/03/11/heres-why-patents-are-innovations-worst-enemy/" TargetMode="External"/><Relationship Id="rId248" Type="http://schemas.openxmlformats.org/officeDocument/2006/relationships/hyperlink" Target="https://www.demos.org/sites/default/files/publications/Rulemaking%20as%20a%20Tool%20of%20Democracy.pdf" TargetMode="External"/><Relationship Id="rId12" Type="http://schemas.openxmlformats.org/officeDocument/2006/relationships/hyperlink" Target="https://www.washingtonpost.com/news/volokh-conspiracy/wp/2016/02/12/the-case-for-patent-law-and-criminal-law-exceptionalism-in-the-administrative-state/" TargetMode="External"/><Relationship Id="rId108" Type="http://schemas.openxmlformats.org/officeDocument/2006/relationships/hyperlink" Target="https://www.project-syndicate.org/columnist/harold-james" TargetMode="External"/><Relationship Id="rId315" Type="http://schemas.openxmlformats.org/officeDocument/2006/relationships/hyperlink" Target="https://theconversation.com/the-original-sars-virus-disappeared-heres-why-coronavirus-wont-do-the-same-138177" TargetMode="External"/><Relationship Id="rId357" Type="http://schemas.openxmlformats.org/officeDocument/2006/relationships/hyperlink" Target="https://builtin.com/artificial-intelligence/risks-of-artificial-intelligence" TargetMode="External"/><Relationship Id="rId54" Type="http://schemas.openxmlformats.org/officeDocument/2006/relationships/hyperlink" Target="http://www.presidency.ucsb.edu/ws/?pid=15381" TargetMode="External"/><Relationship Id="rId96" Type="http://schemas.openxmlformats.org/officeDocument/2006/relationships/hyperlink" Target="https://tnsr.org/2020/05/economic-might-national-security-future-american-statecraft/" TargetMode="External"/><Relationship Id="rId161" Type="http://schemas.openxmlformats.org/officeDocument/2006/relationships/hyperlink" Target="javascript:void(0)" TargetMode="External"/><Relationship Id="rId217" Type="http://schemas.openxmlformats.org/officeDocument/2006/relationships/hyperlink" Target="https://www.technologyreview.com/2020/02/25/906083/artificial-intelligence-destroy-civilization-canaries-robot-overlords-take-over-world-ai/" TargetMode="External"/><Relationship Id="rId259" Type="http://schemas.openxmlformats.org/officeDocument/2006/relationships/hyperlink" Target="http://www.jgriffin.info/wp-content/uploads/2017/11/corr_pub.pdf" TargetMode="External"/><Relationship Id="rId23" Type="http://schemas.openxmlformats.org/officeDocument/2006/relationships/hyperlink" Target="http://digitalcommons.wcl.american.edu/aublr/vol5/iss1/4" TargetMode="External"/><Relationship Id="rId119" Type="http://schemas.openxmlformats.org/officeDocument/2006/relationships/hyperlink" Target="https://www.resilience.org/stories/2020-03-04/we-need-to-talk-about-catastrophic-global-risk/" TargetMode="External"/><Relationship Id="rId270" Type="http://schemas.openxmlformats.org/officeDocument/2006/relationships/hyperlink" Target="https://en.wikipedia.org/wiki/Turkish_War_of_Independence" TargetMode="External"/><Relationship Id="rId326" Type="http://schemas.openxmlformats.org/officeDocument/2006/relationships/hyperlink" Target="https://static1.squarespace.com/static/514e1ca0e4b04c6ad1834313/t/5cc682a6fa0d6052bc7340e9/1556513447521/Gillis+FINAL.pdf" TargetMode="External"/><Relationship Id="rId65" Type="http://schemas.openxmlformats.org/officeDocument/2006/relationships/hyperlink" Target="https://www.bloomberg.com/graphics/recovery-tracker/" TargetMode="External"/><Relationship Id="rId130" Type="http://schemas.openxmlformats.org/officeDocument/2006/relationships/hyperlink" Target="http://chicagopricetheory.com/" TargetMode="External"/><Relationship Id="rId368" Type="http://schemas.openxmlformats.org/officeDocument/2006/relationships/hyperlink" Target="https://www.americanprogress.org/issues/security/reports/2020/05/05/484538/getting-ahead-curve-united-states-needs-plan-coronavirus-americas/" TargetMode="External"/><Relationship Id="rId172" Type="http://schemas.openxmlformats.org/officeDocument/2006/relationships/hyperlink" Target="http://www.fed-soc.org/" TargetMode="External"/><Relationship Id="rId228" Type="http://schemas.openxmlformats.org/officeDocument/2006/relationships/hyperlink" Target="https://columbialawreview.org/content/chevron-is-dead-long-live-chevron-2/" TargetMode="External"/><Relationship Id="rId281" Type="http://schemas.openxmlformats.org/officeDocument/2006/relationships/hyperlink" Target="http://www.law.du.edu/index.php/profile/federico-cheever" TargetMode="External"/><Relationship Id="rId337" Type="http://schemas.openxmlformats.org/officeDocument/2006/relationships/hyperlink" Target="https://www.jdsupra.com/legalnews/biopharmaceutical-industry-fights-covid-41304/" TargetMode="External"/><Relationship Id="rId34" Type="http://schemas.openxmlformats.org/officeDocument/2006/relationships/hyperlink" Target="https://apnews.com/e8f0224caf612cf1e7bcf28500a01fae" TargetMode="External"/><Relationship Id="rId76" Type="http://schemas.openxmlformats.org/officeDocument/2006/relationships/hyperlink" Target="https://www.bloomberg.com/opinion/articles/2020-04-06/coronavirus-war-is-also-a-war-on-bureaucratic-obstacles" TargetMode="External"/><Relationship Id="rId141" Type="http://schemas.openxmlformats.org/officeDocument/2006/relationships/hyperlink" Target="https://papers.ssrn.com/sol3/papers.cfm?abstract_id=3602679" TargetMode="External"/><Relationship Id="rId379" Type="http://schemas.openxmlformats.org/officeDocument/2006/relationships/hyperlink" Target="https://www.americanprogress.org/issues/security/reports/2020/05/05/484538/getting-ahead-curve-united-states-needs-plan-coronavirus-americas/" TargetMode="External"/><Relationship Id="rId7" Type="http://schemas.openxmlformats.org/officeDocument/2006/relationships/hyperlink" Target="https://www.agri-pulse.com/articles/9203-opinion-food-security-strategy-is-essential-to-our-national-security" TargetMode="External"/><Relationship Id="rId183" Type="http://schemas.openxmlformats.org/officeDocument/2006/relationships/hyperlink" Target="https://www.teapartypatriots.org/tag/obamacare/" TargetMode="External"/><Relationship Id="rId239" Type="http://schemas.openxmlformats.org/officeDocument/2006/relationships/hyperlink" Target="https://www.apnews.com/2beb641ae63a4a4fb07e77cfa962d68f" TargetMode="External"/><Relationship Id="rId250" Type="http://schemas.openxmlformats.org/officeDocument/2006/relationships/hyperlink" Target="https://www.sltrib.com/news/nation-world/2020/06/08/us-economic-growth-ended/)//JLPark" TargetMode="External"/><Relationship Id="rId292" Type="http://schemas.openxmlformats.org/officeDocument/2006/relationships/hyperlink" Target="https://scholar.lib.vt.edu/ejournals/JOTS/v41/v41n1/tate.html" TargetMode="External"/><Relationship Id="rId306" Type="http://schemas.openxmlformats.org/officeDocument/2006/relationships/hyperlink" Target="https://ebookcentral-proquest-com.proxy.lib.umich.edu/lib/umichigan/detail.action?docID=5746177" TargetMode="External"/><Relationship Id="rId45" Type="http://schemas.openxmlformats.org/officeDocument/2006/relationships/hyperlink" Target="https://www.theguardian.com/world/2020/jan/26/mexico-immigration-amlo-enforcement-trump" TargetMode="External"/><Relationship Id="rId87" Type="http://schemas.openxmlformats.org/officeDocument/2006/relationships/hyperlink" Target="https://tnsr.org/2020/05/economic-might-national-security-future-american-statecraft/" TargetMode="External"/><Relationship Id="rId110" Type="http://schemas.openxmlformats.org/officeDocument/2006/relationships/hyperlink" Target="https://mitpress.mit.edu/books/size-nations" TargetMode="External"/><Relationship Id="rId348" Type="http://schemas.openxmlformats.org/officeDocument/2006/relationships/hyperlink" Target="https://www.researchgate.net/publication/265179404_Unpredictability_in_Patent_Law_and_Its_Effect_on_Pharmaceutical_Innovation" TargetMode="External"/><Relationship Id="rId152" Type="http://schemas.openxmlformats.org/officeDocument/2006/relationships/hyperlink" Target="https://www.natlawreview.com/article/supreme-court-places-another-limitation-chevron-deference" TargetMode="External"/><Relationship Id="rId194" Type="http://schemas.openxmlformats.org/officeDocument/2006/relationships/hyperlink" Target="https://heinonline.org/HOL/LandingPage?handle=hein.journals/wasbur57&amp;div=13&amp;id=&amp;page=" TargetMode="External"/><Relationship Id="rId208" Type="http://schemas.openxmlformats.org/officeDocument/2006/relationships/hyperlink" Target="https://www.nytimes.com/2015/09/29/upshot/how-patent-law-can-block-even-lifesaving-drugs.html" TargetMode="External"/><Relationship Id="rId261" Type="http://schemas.openxmlformats.org/officeDocument/2006/relationships/hyperlink" Target="https://www.sec.gov/ix?doc=/Archives/edgar/data/72971/000007297120000217/wfc-12312019xex13.htm" TargetMode="External"/><Relationship Id="rId14" Type="http://schemas.openxmlformats.org/officeDocument/2006/relationships/hyperlink" Target="http://nationalinterest.org/feature/how-china-sees-world-order-15846" TargetMode="External"/><Relationship Id="rId56" Type="http://schemas.openxmlformats.org/officeDocument/2006/relationships/hyperlink" Target="https://empiricalscotus.com/2017/12/07/the-next-nominee/" TargetMode="External"/><Relationship Id="rId317" Type="http://schemas.openxmlformats.org/officeDocument/2006/relationships/hyperlink" Target="https://www.cnbc.com/2020/05/18/us-china-tech-race-beijing-has-strength-to-catch-up-with-us-lead.html" TargetMode="External"/><Relationship Id="rId359" Type="http://schemas.openxmlformats.org/officeDocument/2006/relationships/hyperlink" Target="http://fordhamlawreview.org/wp-content/uploads/assets/pdfs/Vol_83/Beermann_November.pdf" TargetMode="External"/><Relationship Id="rId98" Type="http://schemas.openxmlformats.org/officeDocument/2006/relationships/hyperlink" Target="https://tnsr.org/2020/05/economic-might-national-security-future-american-statecraft/" TargetMode="External"/><Relationship Id="rId121" Type="http://schemas.openxmlformats.org/officeDocument/2006/relationships/hyperlink" Target="https://www.resilience.org/stories/2020-03-04/we-need-to-talk-about-catastrophic-global-risk/" TargetMode="External"/><Relationship Id="rId163" Type="http://schemas.openxmlformats.org/officeDocument/2006/relationships/hyperlink" Target="javascript:void(0)" TargetMode="External"/><Relationship Id="rId219" Type="http://schemas.openxmlformats.org/officeDocument/2006/relationships/hyperlink" Target="https://www.theguardian.com/science/2020/apr/26/what-if-covid-19-isnt-our-biggest-threat" TargetMode="External"/><Relationship Id="rId370" Type="http://schemas.openxmlformats.org/officeDocument/2006/relationships/hyperlink" Target="https://www.americanprogress.org/issues/security/reports/2020/05/05/484538/getting-ahead-curve-united-states-needs-plan-coronavirus-americas/" TargetMode="External"/><Relationship Id="rId230" Type="http://schemas.openxmlformats.org/officeDocument/2006/relationships/hyperlink" Target="http://www.nrcs.usda.gov/wps/portal/nrcs/detail/national/technical/nra/nri/?cid=stelprdb1041887" TargetMode="External"/><Relationship Id="rId25" Type="http://schemas.openxmlformats.org/officeDocument/2006/relationships/hyperlink" Target="https://www.cato.org/sites/cato.org/files/pubs/pdf/perez-guzman-cert-stage.pdf" TargetMode="External"/><Relationship Id="rId67" Type="http://schemas.openxmlformats.org/officeDocument/2006/relationships/hyperlink" Target="https://www.realclearmarkets.com/articles/2018/05/11/sarbanes-oxley_is_suffocating_our_essential_capital_markets_103255.html" TargetMode="External"/><Relationship Id="rId272" Type="http://schemas.openxmlformats.org/officeDocument/2006/relationships/hyperlink" Target="https://www.washingtonpost.com/outlook/2019/11/05/trump-keeps-talking-about-keeping-middle-east-oil-that-would-be-illegal/" TargetMode="External"/><Relationship Id="rId328" Type="http://schemas.openxmlformats.org/officeDocument/2006/relationships/hyperlink" Target="https://www.natlawreview.com/article/supreme-court-places-another-limitation-chevron-deference" TargetMode="External"/><Relationship Id="rId132" Type="http://schemas.openxmlformats.org/officeDocument/2006/relationships/image" Target="media/image2.png"/><Relationship Id="rId174" Type="http://schemas.openxmlformats.org/officeDocument/2006/relationships/hyperlink" Target="https://www.foley.com/cleta-mitchell/" TargetMode="External"/><Relationship Id="rId381" Type="http://schemas.openxmlformats.org/officeDocument/2006/relationships/hyperlink" Target="https://economicstrategygroup.org/wp-content/uploads/2020/06/Promoting-Economic-Recovery-After-COVID-0615-FINAL.pdf" TargetMode="External"/><Relationship Id="rId241" Type="http://schemas.openxmlformats.org/officeDocument/2006/relationships/hyperlink" Target="https://www.reuters.com/article/us-syria-security-turkey-refugees-graphi/turkeys-plan-to-settle-refugees-in-northeast-syria-alarms-allies-idUSKBN1WN28J" TargetMode="External"/><Relationship Id="rId36" Type="http://schemas.openxmlformats.org/officeDocument/2006/relationships/hyperlink" Target="https://www.animalpolitico.com/2020/04/migrantes-frente-covid-19-abandonados-mexico-fronteras-cerradas/" TargetMode="External"/><Relationship Id="rId283" Type="http://schemas.openxmlformats.org/officeDocument/2006/relationships/hyperlink" Target="https://www.theguardian.com/science/2020/mar/06/worst-case-thinking-prevent-pandemics-coronavirus-existential-risk" TargetMode="External"/><Relationship Id="rId339" Type="http://schemas.openxmlformats.org/officeDocument/2006/relationships/hyperlink" Target="https://www.klemchuk.com/ip-law-trends/vaccine-patents-for-covid-19-concerns" TargetMode="External"/><Relationship Id="rId78" Type="http://schemas.openxmlformats.org/officeDocument/2006/relationships/hyperlink" Target="https://tnsr.org/2020/05/economic-might-national-security-future-american-statecraft/" TargetMode="External"/><Relationship Id="rId101" Type="http://schemas.openxmlformats.org/officeDocument/2006/relationships/hyperlink" Target="https://tnsr.org/2020/05/economic-might-national-security-future-american-statecraft/" TargetMode="External"/><Relationship Id="rId143" Type="http://schemas.openxmlformats.org/officeDocument/2006/relationships/hyperlink" Target="https://www.crowell.com/NewsEvents/Publications/Articles/Administrative-Law-The-Supreme-Court-and-the-President-Rein-in-the-Administrative-State" TargetMode="External"/><Relationship Id="rId185" Type="http://schemas.openxmlformats.org/officeDocument/2006/relationships/hyperlink" Target="https://www.supremecourt.gov/" TargetMode="External"/><Relationship Id="rId350" Type="http://schemas.openxmlformats.org/officeDocument/2006/relationships/hyperlink" Target="https://www.ipwatchdog.com/2019/07/09/may-time-abolish-federal-circuit/id=111122/" TargetMode="External"/><Relationship Id="rId9" Type="http://schemas.openxmlformats.org/officeDocument/2006/relationships/hyperlink" Target="https://www.amacad.org/publication/conclusion-ending-civil-wars" TargetMode="External"/><Relationship Id="rId210" Type="http://schemas.openxmlformats.org/officeDocument/2006/relationships/hyperlink" Target="https://www.hcn.org/issues/49.7/should-courts-defer-to-federal-agencies-our-new-supreme-court-justice-doesnt-think-so" TargetMode="External"/><Relationship Id="rId26" Type="http://schemas.openxmlformats.org/officeDocument/2006/relationships/hyperlink" Target="http://igm.gob.gt/" TargetMode="External"/><Relationship Id="rId231" Type="http://schemas.openxmlformats.org/officeDocument/2006/relationships/hyperlink" Target="https://www.usnews.com/news/best-countries/canada" TargetMode="External"/><Relationship Id="rId252" Type="http://schemas.openxmlformats.org/officeDocument/2006/relationships/hyperlink" Target="https://www.federalreserve.gov/mediacenter/files/FOMCpresconf20190619.pdf" TargetMode="External"/><Relationship Id="rId273" Type="http://schemas.openxmlformats.org/officeDocument/2006/relationships/hyperlink" Target="https://www.forbes.com/sites/briandomitrovic/2018/11/22/the-stock-market-has-predicted-nine-of-the-past-five-recessions/" TargetMode="External"/><Relationship Id="rId294" Type="http://schemas.openxmlformats.org/officeDocument/2006/relationships/hyperlink" Target="https://scholar.lib.vt.edu/ejournals/JOTS/v41/v41n1/tate.html" TargetMode="External"/><Relationship Id="rId308" Type="http://schemas.openxmlformats.org/officeDocument/2006/relationships/hyperlink" Target="https://link.springer.com/book/10.1007/978-3-319-74633-3" TargetMode="External"/><Relationship Id="rId329" Type="http://schemas.openxmlformats.org/officeDocument/2006/relationships/hyperlink" Target="https://www.shearman.com/~/media/Files/NewsInsights/Publications/2017/04/How-Eliminating-Agency-Deference-Might-Affect-PTAB-And-ITC.pdf" TargetMode="External"/><Relationship Id="rId47" Type="http://schemas.openxmlformats.org/officeDocument/2006/relationships/hyperlink" Target="https://www.theguardian.com/world/2020/apr/17/us-asylum-seekers-coronavirus-law-un" TargetMode="External"/><Relationship Id="rId68" Type="http://schemas.openxmlformats.org/officeDocument/2006/relationships/hyperlink" Target="https://www.law360.com/articles/625152/lenity-and-deference-on-a-collision-course" TargetMode="External"/><Relationship Id="rId89" Type="http://schemas.openxmlformats.org/officeDocument/2006/relationships/hyperlink" Target="https://tnsr.org/2020/05/economic-might-national-security-future-american-statecraft/" TargetMode="External"/><Relationship Id="rId112" Type="http://schemas.openxmlformats.org/officeDocument/2006/relationships/hyperlink" Target="https://www.resilience.org/stories/2020-03-04/we-need-to-talk-about-catastrophic-global-risk/" TargetMode="External"/><Relationship Id="rId133" Type="http://schemas.openxmlformats.org/officeDocument/2006/relationships/hyperlink" Target="http://doi.org/10.1086/701186" TargetMode="External"/><Relationship Id="rId154" Type="http://schemas.openxmlformats.org/officeDocument/2006/relationships/hyperlink" Target="https://scholarship.law.bu.edu/cgi/viewcontent.cgi?article=1519&amp;context=faculty_scholarship)//JLPark" TargetMode="External"/><Relationship Id="rId175" Type="http://schemas.openxmlformats.org/officeDocument/2006/relationships/hyperlink" Target="https://www.foley.com/" TargetMode="External"/><Relationship Id="rId340" Type="http://schemas.openxmlformats.org/officeDocument/2006/relationships/hyperlink" Target="https://www.ipwatchdog.com/2020/04/12/pandemics-need-us-patent-laws-promote-progress-invention-federal-circuit-en-banc-can-fix/id=120575/" TargetMode="External"/><Relationship Id="rId361" Type="http://schemas.openxmlformats.org/officeDocument/2006/relationships/hyperlink" Target="http://www.jstor.org/stable/1342529" TargetMode="External"/><Relationship Id="rId196" Type="http://schemas.openxmlformats.org/officeDocument/2006/relationships/hyperlink" Target="https://www.vox.com/new-money/2017/2/2/14473728/neil-gorsuch-chevron-deference" TargetMode="External"/><Relationship Id="rId200" Type="http://schemas.openxmlformats.org/officeDocument/2006/relationships/hyperlink" Target="https://scholar.smu.edu/cgi/viewcontent.cgi?article=1120&amp;context=smulr" TargetMode="External"/><Relationship Id="rId382" Type="http://schemas.openxmlformats.org/officeDocument/2006/relationships/hyperlink" Target="https://law.asu.edu/sites/default/files/pdf/academy_for_justice/Reforming-Criminal-Justice_Vol_1.pdf" TargetMode="External"/><Relationship Id="rId16" Type="http://schemas.openxmlformats.org/officeDocument/2006/relationships/hyperlink" Target="http://www.iiss.org/en/publications/survival/sections/2016-5e13/survival--global-politics-and-strategy-april-may-2016-eb2d/58-2-03-boyle-6dbd" TargetMode="External"/><Relationship Id="rId221" Type="http://schemas.openxmlformats.org/officeDocument/2006/relationships/hyperlink" Target="https://www.mirror.co.uk/science/coronavirus-could-burn-out-naturally-22043575" TargetMode="External"/><Relationship Id="rId242" Type="http://schemas.openxmlformats.org/officeDocument/2006/relationships/hyperlink" Target="https://www.businessinsider.com/political-instability-protests-in-latin-america-may-intensify-in-2020-2019-11)//JLPark" TargetMode="External"/><Relationship Id="rId263" Type="http://schemas.openxmlformats.org/officeDocument/2006/relationships/hyperlink" Target="https://fred.stlouisfed.org/series/UNRATE/" TargetMode="External"/><Relationship Id="rId284" Type="http://schemas.openxmlformats.org/officeDocument/2006/relationships/hyperlink" Target="https://www.theguardian.com/world/2018/sep/09/spanish-flu-pandemic-centenary-first-world-war" TargetMode="External"/><Relationship Id="rId319" Type="http://schemas.openxmlformats.org/officeDocument/2006/relationships/hyperlink" Target="https://futureoflife.org/2020/06/15/steven-pinker-and-stuart-russell-on-the-foundations-benefits-and-possible-existential-risk-of-ai/" TargetMode="External"/><Relationship Id="rId37" Type="http://schemas.openxmlformats.org/officeDocument/2006/relationships/hyperlink" Target="https://www.infobae.com/america/mexico/2020/04/09/el-instituto-nacional-de-migracion-abandono-a-480-migrantes-en-la-frontera-con-guatemala/" TargetMode="External"/><Relationship Id="rId58" Type="http://schemas.openxmlformats.org/officeDocument/2006/relationships/hyperlink" Target="https://www.cadc.uscourts.gov/internet/opinions.nsf/B7623651686D60D585258226005405AC/$file/15-1177.pdf" TargetMode="External"/><Relationship Id="rId79" Type="http://schemas.openxmlformats.org/officeDocument/2006/relationships/hyperlink" Target="https://tnsr.org/2020/05/economic-might-national-security-future-american-statecraft/" TargetMode="External"/><Relationship Id="rId102" Type="http://schemas.openxmlformats.org/officeDocument/2006/relationships/hyperlink" Target="https://tnsr.org/2020/05/economic-might-national-security-future-american-statecraft/" TargetMode="External"/><Relationship Id="rId123" Type="http://schemas.openxmlformats.org/officeDocument/2006/relationships/hyperlink" Target="https://www.resilience.org/stories/2020-03-04/we-need-to-talk-about-catastrophic-global-risk/" TargetMode="External"/><Relationship Id="rId144" Type="http://schemas.openxmlformats.org/officeDocument/2006/relationships/hyperlink" Target="https://lawliberty.org/the-chevron-doctrines-shrinking-domain/" TargetMode="External"/><Relationship Id="rId330" Type="http://schemas.openxmlformats.org/officeDocument/2006/relationships/hyperlink" Target="https://scholarship.law.wm.edu/wmlr/vol54/iss6/5/" TargetMode="External"/><Relationship Id="rId90" Type="http://schemas.openxmlformats.org/officeDocument/2006/relationships/hyperlink" Target="https://tnsr.org/2020/05/economic-might-national-security-future-american-statecraft/" TargetMode="External"/><Relationship Id="rId165" Type="http://schemas.openxmlformats.org/officeDocument/2006/relationships/hyperlink" Target="javascript:void(0)" TargetMode="External"/><Relationship Id="rId186" Type="http://schemas.openxmlformats.org/officeDocument/2006/relationships/hyperlink" Target="https://www.law.cornell.edu/supremecourt/text/467/837" TargetMode="External"/><Relationship Id="rId351" Type="http://schemas.openxmlformats.org/officeDocument/2006/relationships/hyperlink" Target="https://www.researchgate.net/publication/265179404_Unpredictability_in_Patent_Law_and_Its_Effect_on_Pharmaceutical_Innovation" TargetMode="External"/><Relationship Id="rId372" Type="http://schemas.openxmlformats.org/officeDocument/2006/relationships/hyperlink" Target="https://www.americanprogress.org/issues/security/reports/2020/05/05/484538/getting-ahead-curve-united-states-needs-plan-coronavirus-americas/" TargetMode="External"/><Relationship Id="rId211" Type="http://schemas.openxmlformats.org/officeDocument/2006/relationships/hyperlink" Target="https://www.europeanpharmaceuticalreview.com/article/120696/radical-innovation-occurs-when-pharma-looks-outside-its-own-world/" TargetMode="External"/><Relationship Id="rId232" Type="http://schemas.openxmlformats.org/officeDocument/2006/relationships/hyperlink" Target="https://www.canada.ca/content/dam/ircc/migration/ircc/english/pdf/pub/annual-report-2018.pdf" TargetMode="External"/><Relationship Id="rId253" Type="http://schemas.openxmlformats.org/officeDocument/2006/relationships/hyperlink" Target="https://www.federalreserve.gov/econres/notes/feds-notes/who-owns-us-clo-securities-20190719.htm" TargetMode="External"/><Relationship Id="rId274" Type="http://schemas.openxmlformats.org/officeDocument/2006/relationships/hyperlink" Target="https://www.amazon.com/Conventional-Deterrence-Cornell-Studies-Security/dp/0801493463" TargetMode="External"/><Relationship Id="rId295" Type="http://schemas.openxmlformats.org/officeDocument/2006/relationships/hyperlink" Target="https://scholar.lib.vt.edu/ejournals/JOTS/v41/v41n1/tate.html" TargetMode="External"/><Relationship Id="rId309" Type="http://schemas.openxmlformats.org/officeDocument/2006/relationships/hyperlink" Target="https://link.springer.com/book/10.1007/978-3-319-74633-3" TargetMode="External"/><Relationship Id="rId27" Type="http://schemas.openxmlformats.org/officeDocument/2006/relationships/hyperlink" Target="https://www.conmigho.hn/direccion-general-de-proteccion-al-hondureno-migrante/retornados/" TargetMode="External"/><Relationship Id="rId48" Type="http://schemas.openxmlformats.org/officeDocument/2006/relationships/hyperlink" Target="https://edition.cnn.com/2020/04/22/politics/trump-executive-order-immigration-coronavirus/index.html" TargetMode="External"/><Relationship Id="rId69" Type="http://schemas.openxmlformats.org/officeDocument/2006/relationships/hyperlink" Target="https://www.law360.com/companies/chevron-corp" TargetMode="External"/><Relationship Id="rId113" Type="http://schemas.openxmlformats.org/officeDocument/2006/relationships/hyperlink" Target="https://www.resilience.org/the-science-of-resilience/" TargetMode="External"/><Relationship Id="rId134" Type="http://schemas.openxmlformats.org/officeDocument/2006/relationships/hyperlink" Target="http://digitalcommons.wcl.american.edu/aublr/vol5/iss1/4" TargetMode="External"/><Relationship Id="rId320" Type="http://schemas.openxmlformats.org/officeDocument/2006/relationships/hyperlink" Target="https://papers.ssrn.com/sol3/papers.cfm?abstract_id=2808848" TargetMode="External"/><Relationship Id="rId80" Type="http://schemas.openxmlformats.org/officeDocument/2006/relationships/hyperlink" Target="https://tnsr.org/2020/05/economic-might-national-security-future-american-statecraft/" TargetMode="External"/><Relationship Id="rId155" Type="http://schemas.openxmlformats.org/officeDocument/2006/relationships/hyperlink" Target="https://scholarship.law.bu.edu/cgi/viewcontent.cgi?article=1519&amp;context=faculty_scholarship)//JLPark" TargetMode="External"/><Relationship Id="rId176" Type="http://schemas.openxmlformats.org/officeDocument/2006/relationships/hyperlink" Target="http://www.cooperkirk.com/lawyers/charles-j-cooper/" TargetMode="External"/><Relationship Id="rId197" Type="http://schemas.openxmlformats.org/officeDocument/2006/relationships/hyperlink" Target="https://chicagounbound.uchicago.edu/cgi/viewcontent.cgi?article=6071&amp;context=uclrev" TargetMode="External"/><Relationship Id="rId341" Type="http://schemas.openxmlformats.org/officeDocument/2006/relationships/hyperlink" Target="https://www.researchgate.net/publication/265179404_Unpredictability_in_Patent_Law_and_Its_Effect_on_Pharmaceutical_Innovation" TargetMode="External"/><Relationship Id="rId362" Type="http://schemas.openxmlformats.org/officeDocument/2006/relationships/hyperlink" Target="https://www.americanprogress.org/issues/security/reports/2020/05/05/484538/getting-ahead-curve-united-states-needs-plan-coronavirus-americas/" TargetMode="External"/><Relationship Id="rId383" Type="http://schemas.openxmlformats.org/officeDocument/2006/relationships/fontTable" Target="fontTable.xml"/><Relationship Id="rId201" Type="http://schemas.openxmlformats.org/officeDocument/2006/relationships/hyperlink" Target="https://www.washingtonpost.com/news/volokh-conspiracy/wp/2016/02/12/the-case-for-patent-law-and-criminal-law-exceptionalism-in-the-administrative-state/" TargetMode="External"/><Relationship Id="rId222" Type="http://schemas.openxmlformats.org/officeDocument/2006/relationships/hyperlink" Target="https://environmentalprogress.org/big-news/2020/6/29/on-behalf-of-environmentalists-i-apologize-for-the-climate-scare" TargetMode="External"/><Relationship Id="rId243" Type="http://schemas.openxmlformats.org/officeDocument/2006/relationships/hyperlink" Target="https://equitablegrowth.org/reforming-u-s-antitrust-enforcement-and-competition-policy/" TargetMode="External"/><Relationship Id="rId264" Type="http://schemas.openxmlformats.org/officeDocument/2006/relationships/hyperlink" Target="http://doc.xueqiu.com/14cdbae48e74653fe7546fe0.pdf" TargetMode="External"/><Relationship Id="rId285" Type="http://schemas.openxmlformats.org/officeDocument/2006/relationships/hyperlink" Target="https://www.theguardian.com/world/2018/sep/09/spanish-flu-pandemic-centenary-first-world-war" TargetMode="External"/><Relationship Id="rId17" Type="http://schemas.openxmlformats.org/officeDocument/2006/relationships/hyperlink" Target="https://freedomhouse.org/sites/default/files/01152015_FIW_2015_final.pdf" TargetMode="External"/><Relationship Id="rId38" Type="http://schemas.openxmlformats.org/officeDocument/2006/relationships/hyperlink" Target="https://republica.gt/2020/04/09/giammattei-pide-a-mexico-incrementar-medidas-por-covid-19/" TargetMode="External"/><Relationship Id="rId59" Type="http://schemas.openxmlformats.org/officeDocument/2006/relationships/hyperlink" Target="https://www.law.cornell.edu/constitution/articleii" TargetMode="External"/><Relationship Id="rId103" Type="http://schemas.openxmlformats.org/officeDocument/2006/relationships/hyperlink" Target="https://tnsr.org/2020/05/economic-might-national-security-future-american-statecraft/" TargetMode="External"/><Relationship Id="rId124" Type="http://schemas.openxmlformats.org/officeDocument/2006/relationships/hyperlink" Target="https://www.resilience.org/stories/2020-03-04/we-need-to-talk-about-catastrophic-global-risk/" TargetMode="External"/><Relationship Id="rId310" Type="http://schemas.openxmlformats.org/officeDocument/2006/relationships/image" Target="media/image4.png"/><Relationship Id="rId70" Type="http://schemas.openxmlformats.org/officeDocument/2006/relationships/hyperlink" Target="https://www.law360.com/agencies/u-s-supreme-court" TargetMode="External"/><Relationship Id="rId91" Type="http://schemas.openxmlformats.org/officeDocument/2006/relationships/hyperlink" Target="https://tnsr.org/2020/05/economic-might-national-security-future-american-statecraft/" TargetMode="External"/><Relationship Id="rId145" Type="http://schemas.openxmlformats.org/officeDocument/2006/relationships/hyperlink" Target="https://ilr.law.uiowa.edu/print/volume-104-issue-2/new-article/" TargetMode="External"/><Relationship Id="rId166" Type="http://schemas.openxmlformats.org/officeDocument/2006/relationships/hyperlink" Target="javascript:void(0)" TargetMode="External"/><Relationship Id="rId187" Type="http://schemas.openxmlformats.org/officeDocument/2006/relationships/hyperlink" Target="https://www.law.berkeley.edu/" TargetMode="External"/><Relationship Id="rId331" Type="http://schemas.openxmlformats.org/officeDocument/2006/relationships/hyperlink" Target="https://www.shearman.com/~/media/Files/NewsInsights/Publications/2017/04/How-Eliminating-Agency-Deference-Might-Affect-PTAB-And-ITC.pdf" TargetMode="External"/><Relationship Id="rId352" Type="http://schemas.openxmlformats.org/officeDocument/2006/relationships/hyperlink" Target="https://www.brookings.edu/research/congress-may-tell-courts-to-ignore-regulatory-agencies-reasoning-but-will-it-matter/" TargetMode="External"/><Relationship Id="rId373" Type="http://schemas.openxmlformats.org/officeDocument/2006/relationships/hyperlink" Target="https://www.americanprogress.org/issues/security/reports/2020/05/05/484538/getting-ahead-curve-united-states-needs-plan-coronavirus-americas/" TargetMode="External"/><Relationship Id="rId1" Type="http://schemas.openxmlformats.org/officeDocument/2006/relationships/customXml" Target="../customXml/item1.xml"/><Relationship Id="rId212" Type="http://schemas.openxmlformats.org/officeDocument/2006/relationships/hyperlink" Target="https://www.motherjones.com/environment/2020/05/these-scientists-saw-covid-19-coming-now-theyre-trying-to-stop-the-next-pandemic-before-it-starts/" TargetMode="External"/><Relationship Id="rId233" Type="http://schemas.openxmlformats.org/officeDocument/2006/relationships/hyperlink" Target="https://www.unhcr.org/figures-at-a-glance.html" TargetMode="External"/><Relationship Id="rId254" Type="http://schemas.openxmlformats.org/officeDocument/2006/relationships/hyperlink" Target="https://www.fsb.org/2019/12/vulnerabilities-associated-with-leveraged-loans-and-collateralised-loan-obligations/" TargetMode="External"/><Relationship Id="rId28" Type="http://schemas.openxmlformats.org/officeDocument/2006/relationships/hyperlink" Target="https://mic.iom.int/webntmi/descargas/sv/2020/3/SVmar2020.pdf" TargetMode="External"/><Relationship Id="rId49" Type="http://schemas.openxmlformats.org/officeDocument/2006/relationships/hyperlink" Target="https://emisorasunidas.com/2020/04/15/intentan-quemar-a-retornados/" TargetMode="External"/><Relationship Id="rId114" Type="http://schemas.openxmlformats.org/officeDocument/2006/relationships/hyperlink" Target="https://www.resilience.org/stories/2020-03-04/we-need-to-talk-about-catastrophic-global-risk/" TargetMode="External"/><Relationship Id="rId275" Type="http://schemas.openxmlformats.org/officeDocument/2006/relationships/hyperlink" Target="https://harvardelr.com/wp-content/uploads/sites/12/2015/11/Cruden-Oakes-40-HELR-189.pdf" TargetMode="External"/><Relationship Id="rId296" Type="http://schemas.openxmlformats.org/officeDocument/2006/relationships/hyperlink" Target="https://scholar.lib.vt.edu/ejournals/JOTS/v41/v41n1/tate.html" TargetMode="External"/><Relationship Id="rId300" Type="http://schemas.openxmlformats.org/officeDocument/2006/relationships/hyperlink" Target="https://scholar.lib.vt.edu/ejournals/JOTS/v41/v41n1/tate.html" TargetMode="External"/><Relationship Id="rId60" Type="http://schemas.openxmlformats.org/officeDocument/2006/relationships/hyperlink" Target="http://www.nydailynews.com/opinion/ny-oped-courting-disaster-20180713-story.html" TargetMode="External"/><Relationship Id="rId81" Type="http://schemas.openxmlformats.org/officeDocument/2006/relationships/hyperlink" Target="https://tnsr.org/2020/05/economic-might-national-security-future-american-statecraft/" TargetMode="External"/><Relationship Id="rId135" Type="http://schemas.openxmlformats.org/officeDocument/2006/relationships/hyperlink" Target="http://digitalcommons.wcl.american.edu/aublr/vol5/iss1/4" TargetMode="External"/><Relationship Id="rId156" Type="http://schemas.openxmlformats.org/officeDocument/2006/relationships/hyperlink" Target="https://scholarship.law.bu.edu/cgi/viewcontent.cgi?article=1519&amp;context=faculty_scholarship)//JLPark" TargetMode="External"/><Relationship Id="rId177" Type="http://schemas.openxmlformats.org/officeDocument/2006/relationships/hyperlink" Target="http://www.cooperkirk.com/" TargetMode="External"/><Relationship Id="rId198" Type="http://schemas.openxmlformats.org/officeDocument/2006/relationships/hyperlink" Target="http://digitalcommons.wcl.american.edu/aublr/vol5/iss1/4" TargetMode="External"/><Relationship Id="rId321" Type="http://schemas.openxmlformats.org/officeDocument/2006/relationships/image" Target="media/image5.PNG"/><Relationship Id="rId342" Type="http://schemas.openxmlformats.org/officeDocument/2006/relationships/hyperlink" Target="https://www.law.upenn.edu/live/files/81-long157upalrev19652009pdf" TargetMode="External"/><Relationship Id="rId363" Type="http://schemas.openxmlformats.org/officeDocument/2006/relationships/hyperlink" Target="https://www.americanprogress.org/issues/security/reports/2020/05/05/484538/getting-ahead-curve-united-states-needs-plan-coronavirus-americas/" TargetMode="External"/><Relationship Id="rId384" Type="http://schemas.openxmlformats.org/officeDocument/2006/relationships/theme" Target="theme/theme1.xml"/><Relationship Id="rId202" Type="http://schemas.openxmlformats.org/officeDocument/2006/relationships/hyperlink" Target="https://scholar.smu.edu/cgi/viewcontent.cgi?article=1120&amp;context=smulr" TargetMode="External"/><Relationship Id="rId223" Type="http://schemas.openxmlformats.org/officeDocument/2006/relationships/hyperlink" Target="https://environmentalprogress.org/big-news/2020/6/29/on-behalf-of-environmentalists-i-apologize-for-the-climate-scare" TargetMode="External"/><Relationship Id="rId244" Type="http://schemas.openxmlformats.org/officeDocument/2006/relationships/hyperlink" Target="http://www.oecd.org/competition/inequality-a-hidden-cost-of-market-power.htm" TargetMode="External"/><Relationship Id="rId18" Type="http://schemas.openxmlformats.org/officeDocument/2006/relationships/hyperlink" Target="file:///C:\Users\PMeylan\AppData\Local\Microsoft\Windows\Temporary%20Internet%20Files\Content.Outlook\5V2CJVRN\160715_KendallTaylor_DemocracysDecline_Commentary.docx" TargetMode="External"/><Relationship Id="rId39" Type="http://schemas.openxmlformats.org/officeDocument/2006/relationships/hyperlink" Target="https://www.crisisgroup.org/latin-america-caribbean/central-america/honduras/077-fight-and-flight-tackling-roots-honduras-emergency" TargetMode="External"/><Relationship Id="rId265" Type="http://schemas.openxmlformats.org/officeDocument/2006/relationships/hyperlink" Target="https://www.frbatlanta.org/-/media/documents/cqer/researchcq/gdpnow/RealGDPTrackingSlides.pdf" TargetMode="External"/><Relationship Id="rId286" Type="http://schemas.openxmlformats.org/officeDocument/2006/relationships/hyperlink" Target="https://www.ipwatchdog.com/2016/12/11/congress-can-save-software-patents-by-repeating-one-of-its-successes/id=75390/" TargetMode="External"/><Relationship Id="rId50" Type="http://schemas.openxmlformats.org/officeDocument/2006/relationships/hyperlink" Target="http://digitalcommons.wcl.american.edu/aublr/vol5/iss1/4" TargetMode="External"/><Relationship Id="rId104" Type="http://schemas.openxmlformats.org/officeDocument/2006/relationships/hyperlink" Target="https://tnsr.org/2020/05/economic-might-national-security-future-american-statecraft/" TargetMode="External"/><Relationship Id="rId125" Type="http://schemas.openxmlformats.org/officeDocument/2006/relationships/hyperlink" Target="https://www.resilience.org/stories/2020-03-04/we-need-to-talk-about-catastrophic-global-risk/" TargetMode="External"/><Relationship Id="rId146" Type="http://schemas.openxmlformats.org/officeDocument/2006/relationships/image" Target="media/image3.png"/><Relationship Id="rId167" Type="http://schemas.openxmlformats.org/officeDocument/2006/relationships/hyperlink" Target="https://www.theregreview.org/2017/10/19/bodnar-administrative-state-threaten-democracy/" TargetMode="External"/><Relationship Id="rId188" Type="http://schemas.openxmlformats.org/officeDocument/2006/relationships/hyperlink" Target="https://www.amazon.com/Libertys-Nemesis-Unchecked-Expansion-State/dp/1594038376/ref=sr_1_1?ie=UTF8&amp;qid=1493483316&amp;sr=8-1&amp;keywords=Liberty%27s+Nemesis" TargetMode="External"/><Relationship Id="rId311" Type="http://schemas.openxmlformats.org/officeDocument/2006/relationships/hyperlink" Target="https://link.springer.com/book/10.1007/978-3-319-74633-3" TargetMode="External"/><Relationship Id="rId332" Type="http://schemas.openxmlformats.org/officeDocument/2006/relationships/hyperlink" Target="https://www.shearman.com/~/media/Files/NewsInsights/Publications/2017/04/How-Eliminating-Agency-Deference-Might-Affect-PTAB-And-ITC.pdf" TargetMode="External"/><Relationship Id="rId353" Type="http://schemas.openxmlformats.org/officeDocument/2006/relationships/hyperlink" Target="https://www.motherjones.com/politics/2018/07/brett-kavanaugh-supreme-court-chevron-deference/" TargetMode="External"/><Relationship Id="rId374" Type="http://schemas.openxmlformats.org/officeDocument/2006/relationships/hyperlink" Target="https://www.americanprogress.org/issues/security/reports/2020/05/05/484538/getting-ahead-curve-united-states-needs-plan-coronavirus-americas/" TargetMode="External"/><Relationship Id="rId71" Type="http://schemas.openxmlformats.org/officeDocument/2006/relationships/hyperlink" Target="http://digitalcommons.wcl.american.edu/aublr/vol5/iss1/4" TargetMode="External"/><Relationship Id="rId92" Type="http://schemas.openxmlformats.org/officeDocument/2006/relationships/hyperlink" Target="https://tnsr.org/2020/05/economic-might-national-security-future-american-statecraft/" TargetMode="External"/><Relationship Id="rId213" Type="http://schemas.openxmlformats.org/officeDocument/2006/relationships/hyperlink" Target="https://futureoflife.org/2020/06/15/steven-pinker-and-stuart-russell-on-the-foundations-benefits-and-possible-existential-risk-of-ai/" TargetMode="External"/><Relationship Id="rId234" Type="http://schemas.openxmlformats.org/officeDocument/2006/relationships/hyperlink" Target="https://www.canada.ca/en/immigration-refugees-citizenship/news/2017/03/canada_funds_internationalrefugeeresettlementefforts.html" TargetMode="External"/><Relationship Id="rId2" Type="http://schemas.openxmlformats.org/officeDocument/2006/relationships/numbering" Target="numbering.xml"/><Relationship Id="rId29" Type="http://schemas.openxmlformats.org/officeDocument/2006/relationships/hyperlink" Target="https://www.washingtonpost.com/world/the_americas/scant-testing-in-us-migration-system-risks-spreading-virus/2020/04/17/ceb70968-8113-11ea-84c2-0792d8591911_story.html" TargetMode="External"/><Relationship Id="rId255" Type="http://schemas.openxmlformats.org/officeDocument/2006/relationships/hyperlink" Target="https://www.sec.gov/ix?doc=/Archives/edgar/data/72971/000007297120000217/wfc-12312019xex13.htm" TargetMode="External"/><Relationship Id="rId276" Type="http://schemas.openxmlformats.org/officeDocument/2006/relationships/hyperlink" Target="https://via.library.depaul.edu/cgi/viewcontent.cgi?article=4028&amp;context=law-review" TargetMode="External"/><Relationship Id="rId297" Type="http://schemas.openxmlformats.org/officeDocument/2006/relationships/hyperlink" Target="https://scholar.lib.vt.edu/ejournals/JOTS/v41/v41n1/tate.html" TargetMode="External"/><Relationship Id="rId40" Type="http://schemas.openxmlformats.org/officeDocument/2006/relationships/hyperlink" Target="https://www.migrationpolicy.org/article/central-american-immigrants-united-states" TargetMode="External"/><Relationship Id="rId115" Type="http://schemas.openxmlformats.org/officeDocument/2006/relationships/hyperlink" Target="https://www.resilience.org/stories/2020-03-04/we-need-to-talk-about-catastrophic-global-risk/" TargetMode="External"/><Relationship Id="rId136" Type="http://schemas.openxmlformats.org/officeDocument/2006/relationships/hyperlink" Target="https://www.templelawreview.org/lawreview/assets/uploads/2017/05/Fleming-89-Temp.-L.-Rev.-579.pdf" TargetMode="External"/><Relationship Id="rId157" Type="http://schemas.openxmlformats.org/officeDocument/2006/relationships/hyperlink" Target="https://www.crowell.com/NewsEvents/Publications/Articles/Administrative-Law-The-Supreme-Court-and-the-President-Rein-in-the-Administrative-State" TargetMode="External"/><Relationship Id="rId178" Type="http://schemas.openxmlformats.org/officeDocument/2006/relationships/hyperlink" Target="https://www.washingtonpost.com/news/wonk/wp/2014/04/16/operation-choke-point-the-battle-over-financial-data-between-the-government-and-banks/?utm_term=.84ba232bbf66" TargetMode="External"/><Relationship Id="rId301" Type="http://schemas.openxmlformats.org/officeDocument/2006/relationships/hyperlink" Target="https://scholar.lib.vt.edu/ejournals/JOTS/v41/v41n1/tate.html" TargetMode="External"/><Relationship Id="rId322" Type="http://schemas.openxmlformats.org/officeDocument/2006/relationships/hyperlink" Target="https://adlaw.jotwell.com/circuit-courts-do-strange-things-with-chevron/" TargetMode="External"/><Relationship Id="rId343" Type="http://schemas.openxmlformats.org/officeDocument/2006/relationships/hyperlink" Target="https://www.law.upenn.edu/live/files/81-long157upalrev19652009pdf" TargetMode="External"/><Relationship Id="rId364" Type="http://schemas.openxmlformats.org/officeDocument/2006/relationships/hyperlink" Target="https://www.americanprogress.org/issues/security/reports/2020/05/05/484538/getting-ahead-curve-united-states-needs-plan-coronavirus-americas/" TargetMode="External"/><Relationship Id="rId61" Type="http://schemas.openxmlformats.org/officeDocument/2006/relationships/hyperlink" Target="https://thehill.com/people/donald-trump" TargetMode="External"/><Relationship Id="rId82" Type="http://schemas.openxmlformats.org/officeDocument/2006/relationships/hyperlink" Target="https://tnsr.org/2020/05/economic-might-national-security-future-american-statecraft/" TargetMode="External"/><Relationship Id="rId199" Type="http://schemas.openxmlformats.org/officeDocument/2006/relationships/hyperlink" Target="http://digitalcommons.wcl.american.edu/aublr/vol5/iss1/4" TargetMode="External"/><Relationship Id="rId203" Type="http://schemas.openxmlformats.org/officeDocument/2006/relationships/hyperlink" Target="https://www.ipwatchdog.com/2019/10/01/examining-usptos-bid-adjudicatory-chevron-deference/id=114132/" TargetMode="External"/><Relationship Id="rId19" Type="http://schemas.openxmlformats.org/officeDocument/2006/relationships/hyperlink" Target="file:///C:\Users\PMeylan\AppData\Local\Microsoft\Windows\Temporary%20Internet%20Files\Content.Outlook\5V2CJVRN\160715_KendallTaylor_DemocracysDecline_Commentary.docx" TargetMode="External"/><Relationship Id="rId224" Type="http://schemas.openxmlformats.org/officeDocument/2006/relationships/hyperlink" Target="https://www.thefencepost.com/news/chevron-deference-strangling-farmers-one-regulation-at-a-time/" TargetMode="External"/><Relationship Id="rId245" Type="http://schemas.openxmlformats.org/officeDocument/2006/relationships/hyperlink" Target="https://www.nber.org/papers/w25395" TargetMode="External"/><Relationship Id="rId266" Type="http://schemas.openxmlformats.org/officeDocument/2006/relationships/hyperlink" Target="https://www.morningstar.com/articles/979110/nobodys-talking-about-the-banks" TargetMode="External"/><Relationship Id="rId287" Type="http://schemas.openxmlformats.org/officeDocument/2006/relationships/hyperlink" Target="https://www.scmp.com/news/china/diplomacy/article/3036053/us-still-out-front-tech-race-china-experts-say-response" TargetMode="External"/><Relationship Id="rId30" Type="http://schemas.openxmlformats.org/officeDocument/2006/relationships/hyperlink" Target="https://lahora.gt/drama-migrante-suman-85-retornados-infectados-del-virus/" TargetMode="External"/><Relationship Id="rId105" Type="http://schemas.openxmlformats.org/officeDocument/2006/relationships/hyperlink" Target="https://tnsr.org/2020/05/economic-might-national-security-future-american-statecraft/" TargetMode="External"/><Relationship Id="rId126" Type="http://schemas.openxmlformats.org/officeDocument/2006/relationships/hyperlink" Target="https://www.resilience.org/stories/2020-03-04/we-need-to-talk-about-catastrophic-global-risk/" TargetMode="External"/><Relationship Id="rId147" Type="http://schemas.openxmlformats.org/officeDocument/2006/relationships/hyperlink" Target="https://lawliberty.org/the-chevron-doctrines-shrinking-domain/" TargetMode="External"/><Relationship Id="rId168" Type="http://schemas.openxmlformats.org/officeDocument/2006/relationships/hyperlink" Target="https://www.federalregister.gov/agencies" TargetMode="External"/><Relationship Id="rId312" Type="http://schemas.openxmlformats.org/officeDocument/2006/relationships/hyperlink" Target="https://opastonline.com/wp-content/uploads/2020/04/will-covid-19-trigger-extinction-of-all-life-on-earth-eesrr-20-.pdf" TargetMode="External"/><Relationship Id="rId333" Type="http://schemas.openxmlformats.org/officeDocument/2006/relationships/hyperlink" Target="https://www.shearman.com/~/media/Files/NewsInsights/Publications/2017/04/How-Eliminating-Agency-Deference-Might-Affect-PTAB-And-ITC.pdf" TargetMode="External"/><Relationship Id="rId354" Type="http://schemas.openxmlformats.org/officeDocument/2006/relationships/hyperlink" Target="https://news.nd.edu/news/why-the-chevron-deference-matters-in-the-age-of-trump/" TargetMode="External"/><Relationship Id="rId51" Type="http://schemas.openxmlformats.org/officeDocument/2006/relationships/hyperlink" Target="https://www.committeeforjustice.org/" TargetMode="External"/><Relationship Id="rId72" Type="http://schemas.openxmlformats.org/officeDocument/2006/relationships/hyperlink" Target="https://securitiesdiary.files.wordpress.com/2014/11/rakoff-pli-speech.pdf" TargetMode="External"/><Relationship Id="rId93" Type="http://schemas.openxmlformats.org/officeDocument/2006/relationships/hyperlink" Target="https://tnsr.org/2020/05/economic-might-national-security-future-american-statecraft/" TargetMode="External"/><Relationship Id="rId189" Type="http://schemas.openxmlformats.org/officeDocument/2006/relationships/hyperlink" Target="http://www.biography.com/people/neil-gorsuch-020617" TargetMode="External"/><Relationship Id="rId375" Type="http://schemas.openxmlformats.org/officeDocument/2006/relationships/hyperlink" Target="https://www.americanprogress.org/issues/security/reports/2020/05/05/484538/getting-ahead-curve-united-states-needs-plan-coronavirus-americas/" TargetMode="External"/><Relationship Id="rId3" Type="http://schemas.openxmlformats.org/officeDocument/2006/relationships/styles" Target="styles.xml"/><Relationship Id="rId214" Type="http://schemas.openxmlformats.org/officeDocument/2006/relationships/hyperlink" Target="https://futureoflife.org/2020/06/15/steven-pinker-and-stuart-russell-on-the-foundations-benefits-and-possible-existential-risk-of-ai/" TargetMode="External"/><Relationship Id="rId235" Type="http://schemas.openxmlformats.org/officeDocument/2006/relationships/hyperlink" Target="https://www.usnews.com/news/best-countries/united-states" TargetMode="External"/><Relationship Id="rId256" Type="http://schemas.openxmlformats.org/officeDocument/2006/relationships/hyperlink" Target="https://www.fsb.org/2019/12/vulnerabilities-associated-with-leveraged-loans-and-collateralised-loan-obligations/" TargetMode="External"/><Relationship Id="rId277" Type="http://schemas.openxmlformats.org/officeDocument/2006/relationships/hyperlink" Target="https://www.fhi.ox.ac.uk/wp-content/uploads/Managing-existential-risks-from-Emerging-Technologies.pdf" TargetMode="External"/><Relationship Id="rId298" Type="http://schemas.openxmlformats.org/officeDocument/2006/relationships/hyperlink" Target="https://scholar.lib.vt.edu/ejournals/JOTS/v41/v41n1/tate.html" TargetMode="External"/><Relationship Id="rId116" Type="http://schemas.openxmlformats.org/officeDocument/2006/relationships/hyperlink" Target="https://www.resilience.org/stories/2020-03-04/we-need-to-talk-about-catastrophic-global-risk/" TargetMode="External"/><Relationship Id="rId137" Type="http://schemas.openxmlformats.org/officeDocument/2006/relationships/hyperlink" Target="https://heinonline-org.proxy.lib.umich.edu/HOL/P?h=hein.journals/geoimlj17&amp;i=525.)//JLPark" TargetMode="External"/><Relationship Id="rId158" Type="http://schemas.openxmlformats.org/officeDocument/2006/relationships/hyperlink" Target="https://www.gwlr.org/wp-content/uploads/2018/01/85-Geo.-Wash.-L.-Rev.-1392.pdf" TargetMode="External"/><Relationship Id="rId302" Type="http://schemas.openxmlformats.org/officeDocument/2006/relationships/hyperlink" Target="https://scholar.lib.vt.edu/ejournals/JOTS/v41/v41n1/tate.html" TargetMode="External"/><Relationship Id="rId323" Type="http://schemas.openxmlformats.org/officeDocument/2006/relationships/hyperlink" Target="https://www.dwt.com/blogs/energy--environmental-law-blog/2019/07/chevron-deference-idaho-conservation-league-v-wh" TargetMode="External"/><Relationship Id="rId344" Type="http://schemas.openxmlformats.org/officeDocument/2006/relationships/hyperlink" Target="https://scholarlycommons.law.northwestern.edu/cgi/viewcontent.cgi?article=1113&amp;context=njtip" TargetMode="External"/><Relationship Id="rId20" Type="http://schemas.openxmlformats.org/officeDocument/2006/relationships/hyperlink" Target="https://www.washingtonpost.com/opinions/christopher-walker-authoritarian-regimes-are-changing-how-the-world-defines-democracy/2014/06/12/d1328e3a-f0ee-11e3-bf76-447a5df6411f_story.html" TargetMode="External"/><Relationship Id="rId41" Type="http://schemas.openxmlformats.org/officeDocument/2006/relationships/hyperlink" Target="https://www.migrationpolicy.org/data/unauthorized-immigrant-population/state/US" TargetMode="External"/><Relationship Id="rId62" Type="http://schemas.openxmlformats.org/officeDocument/2006/relationships/hyperlink" Target="https://www.law.cornell.edu/supct/html/08-861.ZO.html" TargetMode="External"/><Relationship Id="rId83" Type="http://schemas.openxmlformats.org/officeDocument/2006/relationships/hyperlink" Target="https://tnsr.org/2020/05/economic-might-national-security-future-american-statecraft/" TargetMode="External"/><Relationship Id="rId179" Type="http://schemas.openxmlformats.org/officeDocument/2006/relationships/hyperlink" Target="https://www.justice.gov/" TargetMode="External"/><Relationship Id="rId365" Type="http://schemas.openxmlformats.org/officeDocument/2006/relationships/hyperlink" Target="https://www.americanprogress.org/issues/security/reports/2020/05/05/484538/getting-ahead-curve-united-states-needs-plan-coronavirus-americas/" TargetMode="External"/><Relationship Id="rId190" Type="http://schemas.openxmlformats.org/officeDocument/2006/relationships/hyperlink" Target="https://columbialawreview.org/content/chevron-is-dead-long-live-chevron-2/" TargetMode="External"/><Relationship Id="rId204" Type="http://schemas.openxmlformats.org/officeDocument/2006/relationships/hyperlink" Target="https://www.researchgate.net/publication/265179404_Unpredictability_in_Patent_Law_and_Its_Effect_on_Pharmaceutical_Innovation" TargetMode="External"/><Relationship Id="rId225" Type="http://schemas.openxmlformats.org/officeDocument/2006/relationships/hyperlink" Target="https://escholarship.org/uc/item/31m8w6x0" TargetMode="External"/><Relationship Id="rId246" Type="http://schemas.openxmlformats.org/officeDocument/2006/relationships/hyperlink" Target="https://equitablegrowth.org/reforming-u-s-antitrust-enforcement-and-competition-policy/" TargetMode="External"/><Relationship Id="rId267" Type="http://schemas.openxmlformats.org/officeDocument/2006/relationships/hyperlink" Target="https://www.morningstar.com/articles/979110" TargetMode="External"/><Relationship Id="rId288" Type="http://schemas.openxmlformats.org/officeDocument/2006/relationships/hyperlink" Target="https://www.economist.com/leaders/2018/01/25/the-growing-danger-of-great-power-conflict" TargetMode="External"/><Relationship Id="rId106" Type="http://schemas.openxmlformats.org/officeDocument/2006/relationships/hyperlink" Target="https://www.project-syndicate.org/commentary/deglobalization-threat-to-world-economy-and-united-states-by-kenneth-rogoff-2020-06" TargetMode="External"/><Relationship Id="rId127" Type="http://schemas.openxmlformats.org/officeDocument/2006/relationships/hyperlink" Target="https://www.city-journal.org/costs-of-revival-of-regulatory-state" TargetMode="External"/><Relationship Id="rId313" Type="http://schemas.openxmlformats.org/officeDocument/2006/relationships/hyperlink" Target="https://www.johnlocke.org/update/unlike-climate-change-covid-19-is-an-actual-existential-threat/" TargetMode="External"/><Relationship Id="rId10" Type="http://schemas.openxmlformats.org/officeDocument/2006/relationships/hyperlink" Target="https://www.amacad.org/publication/conclusion-ending-civil-wars" TargetMode="External"/><Relationship Id="rId31" Type="http://schemas.openxmlformats.org/officeDocument/2006/relationships/hyperlink" Target="https://www.aljazeera.com/news/2020/04/mexico-14-migrants-covid-19-deports-man-virus-200420201837633.html" TargetMode="External"/><Relationship Id="rId52" Type="http://schemas.openxmlformats.org/officeDocument/2006/relationships/hyperlink" Target="https://thehill.com/opinion/judiciary/403694-kavanaughs-administrative-law-opinions-should-be-given-due-deference" TargetMode="External"/><Relationship Id="rId73" Type="http://schemas.openxmlformats.org/officeDocument/2006/relationships/hyperlink" Target="https://oxfordre.com/economics/view/10.1093/acrefore/9780190625979.001.0001/acrefore-9780190625979-e-372" TargetMode="External"/><Relationship Id="rId94" Type="http://schemas.openxmlformats.org/officeDocument/2006/relationships/hyperlink" Target="https://tnsr.org/2020/05/economic-might-national-security-future-american-statecraft/" TargetMode="External"/><Relationship Id="rId148" Type="http://schemas.openxmlformats.org/officeDocument/2006/relationships/hyperlink" Target="https://www.amazon.com/Reading-Law-Interpretation-Legal-Texts/dp/031427555X" TargetMode="External"/><Relationship Id="rId169" Type="http://schemas.openxmlformats.org/officeDocument/2006/relationships/hyperlink" Target="https://fas.org/sgp/crs/misc/R43056.pdf" TargetMode="External"/><Relationship Id="rId334" Type="http://schemas.openxmlformats.org/officeDocument/2006/relationships/hyperlink" Target="https://www.ipwatchdog.com/2019/10/01/examining-usptos-bid-adjudicatory-chevron-deference/id=114132/" TargetMode="External"/><Relationship Id="rId355" Type="http://schemas.openxmlformats.org/officeDocument/2006/relationships/hyperlink" Target="https://heinonline.org/HOL/LandingPage?handle=hein.journals/branlaj58&amp;div=6&amp;id=&amp;page=" TargetMode="External"/><Relationship Id="rId376" Type="http://schemas.openxmlformats.org/officeDocument/2006/relationships/hyperlink" Target="https://www.americanprogress.org/issues/security/reports/2020/05/05/484538/getting-ahead-curve-united-states-needs-plan-coronavirus-americas/" TargetMode="External"/><Relationship Id="rId4" Type="http://schemas.openxmlformats.org/officeDocument/2006/relationships/settings" Target="settings.xml"/><Relationship Id="rId180" Type="http://schemas.openxmlformats.org/officeDocument/2006/relationships/hyperlink" Target="https://www.fdic.gov/" TargetMode="External"/><Relationship Id="rId215" Type="http://schemas.openxmlformats.org/officeDocument/2006/relationships/hyperlink" Target="https://futureoflife.org/2020/06/15/steven-pinker-and-stuart-russell-on-the-foundations-benefits-and-possible-existential-risk-of-ai/" TargetMode="External"/><Relationship Id="rId236" Type="http://schemas.openxmlformats.org/officeDocument/2006/relationships/hyperlink" Target="https://www.usnews.com/news/politics/articles/2019-01-08/with-oval-office-speech-trump-arrives-at-defining-moment-for-the-wall" TargetMode="External"/><Relationship Id="rId257" Type="http://schemas.openxmlformats.org/officeDocument/2006/relationships/hyperlink" Target="https://www.sec.gov/ix?doc=/Archives/edgar/data/831001/000083100120000044/c-3312020x10q.htm" TargetMode="External"/><Relationship Id="rId278" Type="http://schemas.openxmlformats.org/officeDocument/2006/relationships/hyperlink" Target="https://columbialawreview.org/wp-content/uploads/2016/03/November-2015-13-Herz.pdf" TargetMode="External"/><Relationship Id="rId303" Type="http://schemas.openxmlformats.org/officeDocument/2006/relationships/hyperlink" Target="https://scholar.lib.vt.edu/ejournals/JOTS/v41/v41n1/tate.html" TargetMode="External"/><Relationship Id="rId42" Type="http://schemas.openxmlformats.org/officeDocument/2006/relationships/hyperlink" Target="https://www.cbp.gov/newsroom/stats/sw-border-migration/usbp-sw-border-apprehensions" TargetMode="External"/><Relationship Id="rId84" Type="http://schemas.openxmlformats.org/officeDocument/2006/relationships/hyperlink" Target="https://tnsr.org/2020/05/economic-might-national-security-future-american-statecraft/" TargetMode="External"/><Relationship Id="rId138" Type="http://schemas.openxmlformats.org/officeDocument/2006/relationships/hyperlink" Target="https://harvardjol.com/wp-content/uploads/sites/17/2019/08/HLL204_crop.pdf)//pacc" TargetMode="External"/><Relationship Id="rId345" Type="http://schemas.openxmlformats.org/officeDocument/2006/relationships/hyperlink" Target="https://www.law.upenn.edu/live/files/81-long157upalrev19652009pdf" TargetMode="External"/><Relationship Id="rId191" Type="http://schemas.openxmlformats.org/officeDocument/2006/relationships/hyperlink" Target="https://scholarship.law.bu.edu/cgi/viewcontent.cgi?article=1519&amp;context=faculty_scholarship)//JLPark" TargetMode="External"/><Relationship Id="rId205" Type="http://schemas.openxmlformats.org/officeDocument/2006/relationships/hyperlink" Target="https://scholarlycommons.law.northwestern.edu/cgi/viewcontent.cgi?article=1113&amp;context=njtip" TargetMode="External"/><Relationship Id="rId247" Type="http://schemas.openxmlformats.org/officeDocument/2006/relationships/hyperlink" Target="https://equitablegrowth.org/reforming-u-s-antitrust-enforcement-and-competition-policy/" TargetMode="External"/><Relationship Id="rId107" Type="http://schemas.openxmlformats.org/officeDocument/2006/relationships/hyperlink" Target="https://www.hup.harvard.edu/catalog.php?isbn=9780674010079&amp;content=toc" TargetMode="External"/><Relationship Id="rId289" Type="http://schemas.openxmlformats.org/officeDocument/2006/relationships/hyperlink" Target="https://scholar.lib.vt.edu/ejournals/JOTS/v41/v41n1/tate.html" TargetMode="External"/><Relationship Id="rId11" Type="http://schemas.openxmlformats.org/officeDocument/2006/relationships/hyperlink" Target="https://www.amacad.org/publication/conclusion-ending-civil-wars" TargetMode="External"/><Relationship Id="rId53" Type="http://schemas.openxmlformats.org/officeDocument/2006/relationships/hyperlink" Target="https://www.law.cornell.edu/supremecourt/text/467/837" TargetMode="External"/><Relationship Id="rId149" Type="http://schemas.openxmlformats.org/officeDocument/2006/relationships/hyperlink" Target="https://www.oyez.org/cases/1996/95-897" TargetMode="External"/><Relationship Id="rId314" Type="http://schemas.openxmlformats.org/officeDocument/2006/relationships/hyperlink" Target="https://theconversation.com/the-original-sars-virus-disappeared-heres-why-coronavirus-wont-do-the-same-138177" TargetMode="External"/><Relationship Id="rId356" Type="http://schemas.openxmlformats.org/officeDocument/2006/relationships/hyperlink" Target="https://www.forbes.com/sites/bernardmarr/2020/03/02/is-artificial-intelligence-ai-a-threat-to-humans/" TargetMode="External"/><Relationship Id="rId95" Type="http://schemas.openxmlformats.org/officeDocument/2006/relationships/hyperlink" Target="https://tnsr.org/2020/05/economic-might-national-security-future-american-statecraft/" TargetMode="External"/><Relationship Id="rId160" Type="http://schemas.openxmlformats.org/officeDocument/2006/relationships/hyperlink" Target="https://www.jstor.org/stable/20788304?seq=1" TargetMode="External"/><Relationship Id="rId216" Type="http://schemas.openxmlformats.org/officeDocument/2006/relationships/hyperlink" Target="https://futureoflife.org/2020/06/15/steven-pinker-and-stuart-russell-on-the-foundations-benefits-and-possible-existential-risk-of-ai/" TargetMode="External"/><Relationship Id="rId258" Type="http://schemas.openxmlformats.org/officeDocument/2006/relationships/hyperlink" Target="https://www.sec.gov/ix?doc=/Archives/edgar/data/19617/000001961720000299/corpq12020.htm" TargetMode="External"/><Relationship Id="rId22" Type="http://schemas.openxmlformats.org/officeDocument/2006/relationships/hyperlink" Target="https://www.foreignaffairs.com/articles/china/1995-05-01/democratization-and-war" TargetMode="External"/><Relationship Id="rId64" Type="http://schemas.openxmlformats.org/officeDocument/2006/relationships/hyperlink" Target="https://www.google.com/books/edition/The_Precipice/3aSiDwAAQBAJ?hl=en&amp;gbpv=0" TargetMode="External"/><Relationship Id="rId118" Type="http://schemas.openxmlformats.org/officeDocument/2006/relationships/hyperlink" Target="https://www.resilience.org/stories/2020-03-04/we-need-to-talk-about-catastrophic-global-risk/" TargetMode="External"/><Relationship Id="rId325" Type="http://schemas.openxmlformats.org/officeDocument/2006/relationships/hyperlink" Target="https://www.jdsupra.com/legalnews/declining-to-overrule-a-long-standing-22780/" TargetMode="External"/><Relationship Id="rId367" Type="http://schemas.openxmlformats.org/officeDocument/2006/relationships/hyperlink" Target="https://www.americanprogress.org/issues/security/reports/2020/05/05/484538/getting-ahead-curve-united-states-needs-plan-coronavirus-americas/" TargetMode="External"/><Relationship Id="rId171" Type="http://schemas.openxmlformats.org/officeDocument/2006/relationships/hyperlink" Target="https://www.amazon.com/Libertys-Nemesis-Unchecked-Expansion-State/dp/1594038376/ref=sr_1_1?ie=UTF8&amp;qid=1493483316&amp;sr=8-1&amp;keywords=Liberty%27s+Nemesis" TargetMode="External"/><Relationship Id="rId227" Type="http://schemas.openxmlformats.org/officeDocument/2006/relationships/hyperlink" Target="https://news.nd.edu/news/why-the-chevron-deference-matters-in-the-age-of-trump/" TargetMode="External"/><Relationship Id="rId269" Type="http://schemas.openxmlformats.org/officeDocument/2006/relationships/hyperlink" Target="https://www.scientificamerican.com/article/just-how-dangerous-is-the-murder-hornet/" TargetMode="External"/><Relationship Id="rId33" Type="http://schemas.openxmlformats.org/officeDocument/2006/relationships/hyperlink" Target="https://www.latimes.com/politics/story/2020-04-01/coronavirus-sidelines-border-patrol-tsa-ice-officers" TargetMode="External"/><Relationship Id="rId129" Type="http://schemas.openxmlformats.org/officeDocument/2006/relationships/hyperlink" Target="https://www.mercatus.org/publications/regulation/regressive-effects-federal-regulation-and-roadmap-reform" TargetMode="External"/><Relationship Id="rId280" Type="http://schemas.openxmlformats.org/officeDocument/2006/relationships/hyperlink" Target="https://www.hcn.org/issues/49.7/dc-dispatch-should-courts-defer-to-federal-agencies-our-new-supreme-court-justice-doesnt-think-so" TargetMode="External"/><Relationship Id="rId336" Type="http://schemas.openxmlformats.org/officeDocument/2006/relationships/hyperlink" Target="https://writtendescription.blogspot.com/2014/05/john-golden-is-uspto-entitlted-to.html" TargetMode="External"/><Relationship Id="rId75" Type="http://schemas.openxmlformats.org/officeDocument/2006/relationships/hyperlink" Target="https://www.realclearmarkets.com/articles/2020/04/09/an_effective_pandemic_response_would_be_deregulation_488648.html" TargetMode="External"/><Relationship Id="rId140" Type="http://schemas.openxmlformats.org/officeDocument/2006/relationships/hyperlink" Target="https://www.brookings.edu/research/congress-may-tell-courts-to-ignore-regulatory-agencies-reasoning-but-will-it-matter/" TargetMode="External"/><Relationship Id="rId182" Type="http://schemas.openxmlformats.org/officeDocument/2006/relationships/hyperlink" Target="https://www.teapartypatriots.org/" TargetMode="External"/><Relationship Id="rId378" Type="http://schemas.openxmlformats.org/officeDocument/2006/relationships/hyperlink" Target="https://www.americanprogress.org/issues/security/reports/2020/05/05/484538/getting-ahead-curve-united-states-needs-plan-coronavirus-americas/" TargetMode="External"/><Relationship Id="rId6" Type="http://schemas.openxmlformats.org/officeDocument/2006/relationships/hyperlink" Target="https://www.nationalimmigrationproject.org/PDFs/practitioners/our_lit/sel_amicus_briefs/2015_25Aug_Luna-Torres-v.-Lynch.pdf" TargetMode="External"/><Relationship Id="rId238" Type="http://schemas.openxmlformats.org/officeDocument/2006/relationships/hyperlink" Target="https://www.doctorswithoutborders.org/what-we-do/news-stories/news/northeastern-syria-turkish-military-operations-result-displacement-and" TargetMode="External"/><Relationship Id="rId291" Type="http://schemas.openxmlformats.org/officeDocument/2006/relationships/hyperlink" Target="https://scholar.lib.vt.edu/ejournals/JOTS/v41/v41n1/tate.html" TargetMode="External"/><Relationship Id="rId305" Type="http://schemas.openxmlformats.org/officeDocument/2006/relationships/hyperlink" Target="https://ebookcentral-proquest-com.proxy.lib.umich.edu/lib/umichigan/detail.action?docID=5746177" TargetMode="External"/><Relationship Id="rId347" Type="http://schemas.openxmlformats.org/officeDocument/2006/relationships/hyperlink" Target="https://www.ipwatchdog.com/2019/07/09/may-time-abolish-federal-circuit/id=111122/" TargetMode="External"/><Relationship Id="rId44" Type="http://schemas.openxmlformats.org/officeDocument/2006/relationships/hyperlink" Target="https://www.state.gov/united-states-continues-u-s-foreign-assistance-for-el-salvador-guatemala-and-honduras/" TargetMode="External"/><Relationship Id="rId86" Type="http://schemas.openxmlformats.org/officeDocument/2006/relationships/hyperlink" Target="https://tnsr.org/2020/05/economic-might-national-security-future-american-statecraft/" TargetMode="External"/><Relationship Id="rId151" Type="http://schemas.openxmlformats.org/officeDocument/2006/relationships/hyperlink" Target="https://www.oyez.org/cases/2014/14-114" TargetMode="External"/><Relationship Id="rId193" Type="http://schemas.openxmlformats.org/officeDocument/2006/relationships/hyperlink" Target="https://www.cato.org/sites/cato.org/files/pubs/pdf/perez-guzman-cert-stage.pdf)//JLPark" TargetMode="External"/><Relationship Id="rId207" Type="http://schemas.openxmlformats.org/officeDocument/2006/relationships/hyperlink" Target="https://s3.amazonaws.com/real.stlouisfed.org/wp/2012/2012-035.pdf" TargetMode="External"/><Relationship Id="rId249" Type="http://schemas.openxmlformats.org/officeDocument/2006/relationships/hyperlink" Target="https://www.ced.org/reports/regulation-and-the-economy)//JLPark" TargetMode="External"/><Relationship Id="rId13" Type="http://schemas.openxmlformats.org/officeDocument/2006/relationships/hyperlink" Target="https://www.csis.org/analysis/how-democracy%E2%80%99s-decline-would-undermine-international-order" TargetMode="External"/><Relationship Id="rId109" Type="http://schemas.openxmlformats.org/officeDocument/2006/relationships/hyperlink" Target="https://www.project-syndicate.org/columnist/alberto-alesina" TargetMode="External"/><Relationship Id="rId260" Type="http://schemas.openxmlformats.org/officeDocument/2006/relationships/hyperlink" Target="https://www.sec.gov/Archives/edgar/data/72971/000007297120000236/0000072971-20-000236-index.htm" TargetMode="External"/><Relationship Id="rId316" Type="http://schemas.openxmlformats.org/officeDocument/2006/relationships/hyperlink" Target="https://www.forbes.com/sites/zakdoffman/2020/12/29/us-and-china-technology-conflict-heres-why-2020-is-so-critical/" TargetMode="External"/><Relationship Id="rId55" Type="http://schemas.openxmlformats.org/officeDocument/2006/relationships/hyperlink" Target="https://www.judiciary.senate.gov/imo/media/doc/Brett%20M.%20Kavanaugh%2013(c)%20Attachments.pdf" TargetMode="External"/><Relationship Id="rId97" Type="http://schemas.openxmlformats.org/officeDocument/2006/relationships/hyperlink" Target="https://tnsr.org/2020/05/economic-might-national-security-future-american-statecraft/" TargetMode="External"/><Relationship Id="rId120" Type="http://schemas.openxmlformats.org/officeDocument/2006/relationships/hyperlink" Target="https://www.resilience.org/stories/2020-03-04/we-need-to-talk-about-catastrophic-global-risk/" TargetMode="External"/><Relationship Id="rId358" Type="http://schemas.openxmlformats.org/officeDocument/2006/relationships/hyperlink" Target="https://www.technologyreview.com/s/612689/never-mind-killer-robotshere-are-six-real-ai-dangers-to-watch-out-for-in-2019/" TargetMode="External"/><Relationship Id="rId162" Type="http://schemas.openxmlformats.org/officeDocument/2006/relationships/hyperlink" Target="javascript:void(0)" TargetMode="External"/><Relationship Id="rId218" Type="http://schemas.openxmlformats.org/officeDocument/2006/relationships/hyperlink" Target="https://www.technologyreview.com/s/615126/ai-common-sense-reads-human-language-ai2/" TargetMode="External"/><Relationship Id="rId271" Type="http://schemas.openxmlformats.org/officeDocument/2006/relationships/hyperlink" Target="https://www.tandfonline.com/doi/abs/10.1080/00396339108442571" TargetMode="External"/><Relationship Id="rId24" Type="http://schemas.openxmlformats.org/officeDocument/2006/relationships/hyperlink" Target="http://digitalcommons.wcl.american.edu/aublr/vol5/iss1/4" TargetMode="External"/><Relationship Id="rId66" Type="http://schemas.openxmlformats.org/officeDocument/2006/relationships/image" Target="media/image1.png"/><Relationship Id="rId131" Type="http://schemas.openxmlformats.org/officeDocument/2006/relationships/hyperlink" Target="https://link.springer.com/article/10.1007/s11127-018-00634-8" TargetMode="External"/><Relationship Id="rId327" Type="http://schemas.openxmlformats.org/officeDocument/2006/relationships/hyperlink" Target="https://kb.osu.edu/bitstream/handle/1811/79028/OSLJ_Furthermore_V77_129.pdf" TargetMode="External"/><Relationship Id="rId369" Type="http://schemas.openxmlformats.org/officeDocument/2006/relationships/hyperlink" Target="https://www.americanprogress.org/issues/security/reports/2020/05/05/484538/getting-ahead-curve-united-states-needs-plan-coronavirus-americas/" TargetMode="External"/><Relationship Id="rId173" Type="http://schemas.openxmlformats.org/officeDocument/2006/relationships/hyperlink" Target="https://www.amazon.com/Libertys-Nemesis-Unchecked-Expansion-State/dp/1594038376/ref=sr_1_1?ie=UTF8&amp;qid=1493483316&amp;sr=8-1&amp;keywords=Liberty%27s+Nemesis" TargetMode="External"/><Relationship Id="rId229" Type="http://schemas.openxmlformats.org/officeDocument/2006/relationships/hyperlink" Target="https://www.agcensus.usda.gov/Publications/2012/Full_Report/Volume_1,_Chapter_1_US/st99_1_003_003.pdf" TargetMode="External"/><Relationship Id="rId380" Type="http://schemas.openxmlformats.org/officeDocument/2006/relationships/hyperlink" Target="https://www.econlib.org/library/Columns/y2015/Hooperharmed.html)//JLPark" TargetMode="External"/><Relationship Id="rId240" Type="http://schemas.openxmlformats.org/officeDocument/2006/relationships/hyperlink" Target="http://www.naharnet.com/stories/en/265502-kurdish-forces-put-down-riot-in-syria-is-camp" TargetMode="External"/><Relationship Id="rId35" Type="http://schemas.openxmlformats.org/officeDocument/2006/relationships/hyperlink" Target="https://www.eluniversal.com.mx/nacion/cierran-estacion-migratoria-tenosique-tras-muerte-de-migrantes" TargetMode="External"/><Relationship Id="rId77" Type="http://schemas.openxmlformats.org/officeDocument/2006/relationships/hyperlink" Target="https://www.ncbi.nlm.nih.gov/pmc/articles/PMC7300918/" TargetMode="External"/><Relationship Id="rId100" Type="http://schemas.openxmlformats.org/officeDocument/2006/relationships/hyperlink" Target="https://tnsr.org/2020/05/economic-might-national-security-future-american-statecraft/" TargetMode="External"/><Relationship Id="rId282" Type="http://schemas.openxmlformats.org/officeDocument/2006/relationships/hyperlink" Target="https://www.caesar.law/news-resources/court-applies-chevron-deference-patent-law-fractured-decision/" TargetMode="External"/><Relationship Id="rId338" Type="http://schemas.openxmlformats.org/officeDocument/2006/relationships/hyperlink" Target="https://www.natlawreview.com/article/race-covid-19-vaccine-key-factors-may-impact-patent-protection" TargetMode="External"/><Relationship Id="rId8" Type="http://schemas.openxmlformats.org/officeDocument/2006/relationships/hyperlink" Target="about:blank" TargetMode="External"/><Relationship Id="rId142" Type="http://schemas.openxmlformats.org/officeDocument/2006/relationships/hyperlink" Target="https://takecareblog.com/blog/the-imminent-demise-of-chevron-deference" TargetMode="External"/><Relationship Id="rId184" Type="http://schemas.openxmlformats.org/officeDocument/2006/relationships/hyperlink" Target="https://www.hhs.gov/healthcare/about-the-aca/index.html" TargetMode="External"/><Relationship Id="rId251" Type="http://schemas.openxmlformats.org/officeDocument/2006/relationships/hyperlink" Target="https://www.bis.org/publ/qtrpdf/r_qt1909.pdf" TargetMode="External"/><Relationship Id="rId46" Type="http://schemas.openxmlformats.org/officeDocument/2006/relationships/hyperlink" Target="https://mic.iom.int/webntmi/descargasoim/" TargetMode="External"/><Relationship Id="rId293" Type="http://schemas.openxmlformats.org/officeDocument/2006/relationships/hyperlink" Target="https://scholar.lib.vt.edu/ejournals/JOTS/v41/v41n1/tate.html" TargetMode="External"/><Relationship Id="rId307" Type="http://schemas.openxmlformats.org/officeDocument/2006/relationships/hyperlink" Target="https://ebookcentral-proquest-com.proxy.lib.umich.edu/lib/umichigan/detail.action?docID=5746177" TargetMode="External"/><Relationship Id="rId349" Type="http://schemas.openxmlformats.org/officeDocument/2006/relationships/hyperlink" Target="https://www.ipwatchdog.com/2019/07/09/may-time-abolish-federal-circuit/id=111122/" TargetMode="External"/><Relationship Id="rId88" Type="http://schemas.openxmlformats.org/officeDocument/2006/relationships/hyperlink" Target="https://tnsr.org/2020/05/economic-might-national-security-future-american-statecraft/" TargetMode="External"/><Relationship Id="rId111" Type="http://schemas.openxmlformats.org/officeDocument/2006/relationships/hyperlink" Target="https://www.hup.harvard.edu/catalog.php?isbn=9780674430006" TargetMode="External"/><Relationship Id="rId153" Type="http://schemas.openxmlformats.org/officeDocument/2006/relationships/hyperlink" Target="https://fas.org/sgp/crs/misc/LSB10204.pdf" TargetMode="External"/><Relationship Id="rId195" Type="http://schemas.openxmlformats.org/officeDocument/2006/relationships/hyperlink" Target="https://heinonline.org/HOL/LandingPage?handle=hein.journals/jtelhtel17&amp;div=8&amp;id=&amp;page=" TargetMode="External"/><Relationship Id="rId209" Type="http://schemas.openxmlformats.org/officeDocument/2006/relationships/hyperlink" Target="https://blogs.sciencemag.org/pipeline/archives/2015/08/13/the-problem-with-patents" TargetMode="External"/><Relationship Id="rId360" Type="http://schemas.openxmlformats.org/officeDocument/2006/relationships/hyperlink" Target="https://heinonline.org/HOL/LandingPage?handle=hein.journals/branlaj58&amp;div=6&amp;id=&amp;page=" TargetMode="External"/><Relationship Id="rId220" Type="http://schemas.openxmlformats.org/officeDocument/2006/relationships/hyperlink" Target="https://www.baconsrebellion.com/wp/covid-19-a-danger-to-individuals-but-not-an-existential-threat-to-society/" TargetMode="External"/><Relationship Id="rId15" Type="http://schemas.openxmlformats.org/officeDocument/2006/relationships/hyperlink" Target="http://www.journalofdemocracy.org/article/facing-democratic-recession" TargetMode="External"/><Relationship Id="rId57" Type="http://schemas.openxmlformats.org/officeDocument/2006/relationships/hyperlink" Target="https://www.cadc.uscourts.gov/internet/opinions.nsf/DC680786101321BA8525780000551AC0/$file/07-5127-1134687.pdf" TargetMode="External"/><Relationship Id="rId262" Type="http://schemas.openxmlformats.org/officeDocument/2006/relationships/hyperlink" Target="https://www.morningstar.com/articles/982525/the-stock-market-is-not-the-economy" TargetMode="External"/><Relationship Id="rId318" Type="http://schemas.openxmlformats.org/officeDocument/2006/relationships/hyperlink" Target="https://futureoflife.org/2020/06/15/steven-pinker-and-stuart-russell-on-the-foundations-benefits-and-possible-existential-risk-of-ai/" TargetMode="External"/><Relationship Id="rId99" Type="http://schemas.openxmlformats.org/officeDocument/2006/relationships/hyperlink" Target="https://tnsr.org/2020/05/economic-might-national-security-future-american-statecraft/" TargetMode="External"/><Relationship Id="rId122" Type="http://schemas.openxmlformats.org/officeDocument/2006/relationships/hyperlink" Target="https://www.resilience.org/stories/2020-03-04/we-need-to-talk-about-catastrophic-global-risk/" TargetMode="External"/><Relationship Id="rId164" Type="http://schemas.openxmlformats.org/officeDocument/2006/relationships/hyperlink" Target="javascript:void(0)" TargetMode="External"/><Relationship Id="rId371" Type="http://schemas.openxmlformats.org/officeDocument/2006/relationships/hyperlink" Target="https://www.americanprogress.org/issues/security/reports/2020/05/05/484538/getting-ahead-curve-united-states-needs-plan-coronavirus-americ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E66A9-D68A-45D5-A64C-68F57B539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2956</TotalTime>
  <Pages>1</Pages>
  <Words>294382</Words>
  <Characters>1677983</Characters>
  <Application>Microsoft Office Word</Application>
  <DocSecurity>0</DocSecurity>
  <Lines>13983</Lines>
  <Paragraphs>3936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dc:creator>
  <cp:keywords>5.1.1</cp:keywords>
  <dc:description/>
  <cp:lastModifiedBy>brandonstras@outlook.com</cp:lastModifiedBy>
  <cp:revision>173</cp:revision>
  <dcterms:created xsi:type="dcterms:W3CDTF">2020-06-09T14:14:00Z</dcterms:created>
  <dcterms:modified xsi:type="dcterms:W3CDTF">2020-07-08T06:20:00Z</dcterms:modified>
</cp:coreProperties>
</file>