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FA842A" w14:textId="72D1AD49" w:rsidR="00CC14CB" w:rsidRDefault="00A167AA" w:rsidP="00A167AA">
      <w:pPr>
        <w:pStyle w:val="Heading1"/>
      </w:pPr>
      <w:r>
        <w:t>CP – Congress – Umich 2020 – Starter Pack</w:t>
      </w:r>
    </w:p>
    <w:p w14:paraId="069B128B" w14:textId="6CCB5E9F" w:rsidR="00A167AA" w:rsidRDefault="00A167AA" w:rsidP="00A167AA">
      <w:pPr>
        <w:pStyle w:val="Heading2"/>
      </w:pPr>
      <w:r>
        <w:t>Congress CP – Neg Notes</w:t>
      </w:r>
    </w:p>
    <w:p w14:paraId="23F271CB" w14:textId="19AD7C31" w:rsidR="00972BA3" w:rsidRDefault="00972BA3" w:rsidP="00CC14CB">
      <w:pPr>
        <w:pStyle w:val="Heading3"/>
      </w:pPr>
      <w:r>
        <w:t>Congress CP Notes – Forensic Science</w:t>
      </w:r>
    </w:p>
    <w:p w14:paraId="4FFBD417" w14:textId="446E62F2" w:rsidR="00972BA3" w:rsidRPr="00972BA3" w:rsidRDefault="00972BA3" w:rsidP="00972BA3">
      <w:pPr>
        <w:rPr>
          <w:b/>
          <w:bCs/>
        </w:rPr>
      </w:pPr>
      <w:r w:rsidRPr="00972BA3">
        <w:rPr>
          <w:b/>
          <w:bCs/>
        </w:rPr>
        <w:t>I think this area and sentencing will have the most courts AFFs from my initial scope of the literature base, hence why they have their own dedicated note sections. Forensic science is a bit more straightforward than sentencing (and has a lot less moving parts) so I’ll start with that.</w:t>
      </w:r>
    </w:p>
    <w:p w14:paraId="6074791D" w14:textId="0BC0C79E" w:rsidR="00972BA3" w:rsidRDefault="00972BA3" w:rsidP="00972BA3">
      <w:pPr>
        <w:rPr>
          <w:b/>
          <w:bCs/>
        </w:rPr>
      </w:pPr>
      <w:r w:rsidRPr="00972BA3">
        <w:rPr>
          <w:b/>
          <w:bCs/>
        </w:rPr>
        <w:t xml:space="preserve">Forensic science is a relatively new phenomenon in the criminal justice scene for a variety of reasons, but mostly notable is that the science didn’t really exist until recently. This is where a lot of the controversy in this section falls because most of the issues with forensic science have to do with creating verifiable scientific standards, implementing those standards uniformly and consistently, and/or having those in court accurately interpret, verify, and use evidence put through the process. Therefore the Congress CP v Court AFF debate for sentencing is mostly about whether the legislature or the judiciary can more effectively write guidelines for everyone involved in the process and who will have a better/more accurate scientific understanding when writing said guidelines. </w:t>
      </w:r>
    </w:p>
    <w:p w14:paraId="4BB5C501" w14:textId="4062BF9D" w:rsidR="00ED5D00" w:rsidRPr="00ED5D00" w:rsidRDefault="00ED5D00" w:rsidP="00972BA3">
      <w:pPr>
        <w:rPr>
          <w:b/>
          <w:bCs/>
        </w:rPr>
      </w:pPr>
      <w:r>
        <w:rPr>
          <w:b/>
          <w:bCs/>
        </w:rPr>
        <w:t xml:space="preserve">Also slight plug for the Netflix documentary: </w:t>
      </w:r>
      <w:r>
        <w:rPr>
          <w:b/>
          <w:bCs/>
          <w:i/>
          <w:iCs/>
        </w:rPr>
        <w:t>How to Fix a Drug Scandal</w:t>
      </w:r>
      <w:r>
        <w:rPr>
          <w:b/>
          <w:bCs/>
        </w:rPr>
        <w:t xml:space="preserve"> (with appropriate permissions from parents if necessary of course [might even be a fun family evening watch!])</w:t>
      </w:r>
      <w:r w:rsidR="00144814">
        <w:rPr>
          <w:b/>
          <w:bCs/>
        </w:rPr>
        <w:t>. It covers the Annie Dookhan scandal and another drug lab scandal that put a bunch of cases up in the air.</w:t>
      </w:r>
    </w:p>
    <w:p w14:paraId="272D56FF" w14:textId="50EE2971" w:rsidR="00972BA3" w:rsidRPr="00972BA3" w:rsidRDefault="00972BA3" w:rsidP="00972BA3">
      <w:pPr>
        <w:rPr>
          <w:b/>
          <w:bCs/>
        </w:rPr>
      </w:pPr>
      <w:r w:rsidRPr="00972BA3">
        <w:rPr>
          <w:b/>
          <w:bCs/>
        </w:rPr>
        <w:t xml:space="preserve">Now the cards to help put all of this into context – </w:t>
      </w:r>
    </w:p>
    <w:p w14:paraId="5BB8BF32" w14:textId="77777777" w:rsidR="00972BA3" w:rsidRPr="004F5CEE" w:rsidRDefault="00972BA3" w:rsidP="004F5CEE">
      <w:pPr>
        <w:pStyle w:val="Heading4"/>
      </w:pPr>
      <w:r w:rsidRPr="004F5CEE">
        <w:t>Forensic science definition</w:t>
      </w:r>
    </w:p>
    <w:p w14:paraId="74827DCF" w14:textId="77777777" w:rsidR="006D4006" w:rsidRPr="006D4006" w:rsidRDefault="006D4006" w:rsidP="006D4006">
      <w:pPr>
        <w:rPr>
          <w:rStyle w:val="Style13ptBold"/>
        </w:rPr>
      </w:pPr>
      <w:r w:rsidRPr="006D4006">
        <w:rPr>
          <w:rStyle w:val="Style13ptBold"/>
          <w:b w:val="0"/>
          <w:bCs w:val="0"/>
          <w:sz w:val="16"/>
          <w:szCs w:val="16"/>
        </w:rPr>
        <w:t>President’s Council of Advisors on Science and Technology</w:t>
      </w:r>
      <w:r w:rsidRPr="006D4006">
        <w:rPr>
          <w:rStyle w:val="Style13ptBold"/>
        </w:rPr>
        <w:t xml:space="preserve"> PCAST ’16</w:t>
      </w:r>
      <w:r w:rsidRPr="006D4006">
        <w:rPr>
          <w:rStyle w:val="Style13ptBold"/>
          <w:b w:val="0"/>
          <w:bCs w:val="0"/>
          <w:sz w:val="16"/>
          <w:szCs w:val="16"/>
        </w:rPr>
        <w:t>, is an advisory group of the Nation’s leading scientists and engineers, appointed by the President to augment the science and technology advice available to him from inside the White House and from cabinet departments and other Federal agencies. PCAST is consulted about, and often makes policy recommendations concerning, the full range of issues where understandings from the domains of science, technology, and innovation bear potentially on the policy choices before the President, “REPORT TO THE PRESIDENT Forensic Science in Criminal Courts: Ensuring Scientific Validity of Feature-Comparison Methods”, September 2016, Executive Office of the President – President’s Council of Advisors on Science and Technology, http://cjpp.law.harvard.edu/assets/pcast_forensic_science_report_final.pdf</w:t>
      </w:r>
    </w:p>
    <w:p w14:paraId="656B1FE4" w14:textId="385A357C" w:rsidR="00972BA3" w:rsidRDefault="00972BA3" w:rsidP="00972BA3">
      <w:pPr>
        <w:spacing w:before="240"/>
      </w:pPr>
      <w:r w:rsidRPr="003570B2">
        <w:rPr>
          <w:rStyle w:val="StyleUnderline"/>
          <w:b/>
          <w:bCs/>
        </w:rPr>
        <w:t>“Forensic science” has been defined as the application of scientific or technical practices to the recognition, collection, analysis, and interpretation of evidence for criminal and civil law or regulatory issues</w:t>
      </w:r>
      <w:r>
        <w:t>. Developments over the past two decades—including the exoneration of defendants who had been wrongfully convicted based in part on forensic-science evidence, a variety of studies of the scientific underpinnings of the forensic disciplines, reviews of expert testimony based on forensic findings, and scandals in state crime laboratories— have called increasing attention to the question of the validity and reliability of some important forms of forensic evidence and of testimony based upon them.</w:t>
      </w:r>
    </w:p>
    <w:p w14:paraId="59B35813" w14:textId="5D3C2930" w:rsidR="00972BA3" w:rsidRDefault="00972BA3" w:rsidP="00972BA3">
      <w:pPr>
        <w:pStyle w:val="Heading4"/>
      </w:pPr>
      <w:r>
        <w:t xml:space="preserve">2016 PCAST summary of findings and broad areas to improve on </w:t>
      </w:r>
    </w:p>
    <w:p w14:paraId="36299694" w14:textId="77777777" w:rsidR="006D4006" w:rsidRPr="006D4006" w:rsidRDefault="006D4006" w:rsidP="006D4006">
      <w:pPr>
        <w:rPr>
          <w:rStyle w:val="Style13ptBold"/>
        </w:rPr>
      </w:pPr>
      <w:r w:rsidRPr="006D4006">
        <w:rPr>
          <w:rStyle w:val="Style13ptBold"/>
          <w:b w:val="0"/>
          <w:bCs w:val="0"/>
          <w:sz w:val="16"/>
          <w:szCs w:val="16"/>
        </w:rPr>
        <w:t>President’s Council of Advisors on Science and Technology</w:t>
      </w:r>
      <w:r w:rsidRPr="006D4006">
        <w:rPr>
          <w:rStyle w:val="Style13ptBold"/>
        </w:rPr>
        <w:t xml:space="preserve"> PCAST ’16</w:t>
      </w:r>
      <w:r w:rsidRPr="006D4006">
        <w:rPr>
          <w:rStyle w:val="Style13ptBold"/>
          <w:b w:val="0"/>
          <w:bCs w:val="0"/>
          <w:sz w:val="16"/>
          <w:szCs w:val="16"/>
        </w:rPr>
        <w:t>, is an advisory group of the Nation’s leading scientists and engineers, appointed by the President to augment the science and technology advice available to him from inside the White House and from cabinet departments and other Federal agencies. PCAST is consulted about, and often makes policy recommendations concerning, the full range of issues where understandings from the domains of science, technology, and innovation bear potentially on the policy choices before the President, “REPORT TO THE PRESIDENT Forensic Science in Criminal Courts: Ensuring Scientific Validity of Feature-Comparison Methods”, September 2016, Executive Office of the President – President’s Council of Advisors on Science and Technology, http://cjpp.law.harvard.edu/assets/pcast_forensic_science_report_final.pdf</w:t>
      </w:r>
    </w:p>
    <w:p w14:paraId="7BFFDC1C" w14:textId="51A20327" w:rsidR="00972BA3" w:rsidRPr="002341BA" w:rsidRDefault="00972BA3" w:rsidP="00972BA3">
      <w:pPr>
        <w:rPr>
          <w:sz w:val="16"/>
        </w:rPr>
      </w:pPr>
      <w:r w:rsidRPr="002341BA">
        <w:rPr>
          <w:rStyle w:val="StyleUnderline"/>
        </w:rPr>
        <w:t>When President Obama asked</w:t>
      </w:r>
      <w:r w:rsidRPr="002341BA">
        <w:rPr>
          <w:sz w:val="16"/>
        </w:rPr>
        <w:t xml:space="preserve"> the President’s Council of Advisors on Science and Technology (</w:t>
      </w:r>
      <w:r w:rsidRPr="002341BA">
        <w:rPr>
          <w:rStyle w:val="StyleUnderline"/>
        </w:rPr>
        <w:t>PCAST) in 2015 to consider whether there are additional steps that could usefully be taken on the scientific side to strengthen the forensic-science disciplines and ensure the validity of forensic evidence used</w:t>
      </w:r>
      <w:r w:rsidRPr="002341BA">
        <w:rPr>
          <w:sz w:val="16"/>
        </w:rPr>
        <w:t xml:space="preserve"> in the Nation’s legal system, </w:t>
      </w:r>
      <w:r w:rsidRPr="002341BA">
        <w:rPr>
          <w:rStyle w:val="StyleUnderline"/>
        </w:rPr>
        <w:t>PCAST concluded that there are two important gaps: (1) the need for clarity about the scientific standards for the validity and reliability of forensic methods and (2) the need to evaluate specific forensic methods to determine whether they have been scientifically established to be valid and reliable.</w:t>
      </w:r>
      <w:r w:rsidR="002341BA" w:rsidRPr="002341BA">
        <w:rPr>
          <w:sz w:val="16"/>
        </w:rPr>
        <w:t xml:space="preserve"> </w:t>
      </w:r>
      <w:r w:rsidRPr="002341BA">
        <w:rPr>
          <w:rStyle w:val="StyleUnderline"/>
        </w:rPr>
        <w:t>This report aims to help close these gaps for the case of forensic “feature-comparison” methods—that is, methods that attempt to determine whether an evidentiary sample</w:t>
      </w:r>
      <w:r w:rsidRPr="002341BA">
        <w:rPr>
          <w:sz w:val="16"/>
        </w:rPr>
        <w:t xml:space="preserve"> (e.g., from a crime scene) </w:t>
      </w:r>
      <w:r w:rsidRPr="002341BA">
        <w:rPr>
          <w:rStyle w:val="StyleUnderline"/>
        </w:rPr>
        <w:t>is or is not associated with a potential “source” sample</w:t>
      </w:r>
      <w:r w:rsidRPr="002341BA">
        <w:rPr>
          <w:sz w:val="16"/>
        </w:rPr>
        <w:t xml:space="preserve"> (e.g., </w:t>
      </w:r>
      <w:r w:rsidRPr="002341BA">
        <w:rPr>
          <w:rStyle w:val="StyleUnderline"/>
        </w:rPr>
        <w:t>from a suspect</w:t>
      </w:r>
      <w:r w:rsidRPr="002341BA">
        <w:rPr>
          <w:sz w:val="16"/>
        </w:rPr>
        <w:t xml:space="preserve">), </w:t>
      </w:r>
      <w:r w:rsidRPr="002341BA">
        <w:rPr>
          <w:rStyle w:val="StyleUnderline"/>
        </w:rPr>
        <w:t>based on the presence of similar patterns, impressions, or other features in the sample and the source</w:t>
      </w:r>
      <w:r w:rsidRPr="002341BA">
        <w:rPr>
          <w:sz w:val="16"/>
        </w:rPr>
        <w:t>. Examples of such methods include the analysis of DNA, hair, latent fingerprints, firearms and spent ammunition, toolmarks and bitemarks, shoeprints and tire tracks, and handwriting.</w:t>
      </w:r>
    </w:p>
    <w:p w14:paraId="21AC1ED3" w14:textId="77777777" w:rsidR="00972BA3" w:rsidRDefault="00972BA3" w:rsidP="00972BA3">
      <w:pPr>
        <w:pStyle w:val="Heading4"/>
      </w:pPr>
      <w:r>
        <w:t>A large issue with forensic science currently is the ability to train, standardize, and create a coherent understanding of what labs are testing for</w:t>
      </w:r>
    </w:p>
    <w:p w14:paraId="7300423C" w14:textId="77777777" w:rsidR="004F5CEE" w:rsidRPr="006D4006" w:rsidRDefault="004F5CEE" w:rsidP="006D4006">
      <w:pPr>
        <w:rPr>
          <w:rStyle w:val="Style13ptBold"/>
        </w:rPr>
      </w:pPr>
      <w:bookmarkStart w:id="0" w:name="_Hlk39502434"/>
      <w:r w:rsidRPr="006D4006">
        <w:rPr>
          <w:rStyle w:val="Style13ptBold"/>
          <w:b w:val="0"/>
          <w:bCs w:val="0"/>
          <w:sz w:val="16"/>
          <w:szCs w:val="16"/>
        </w:rPr>
        <w:t>President’s Council of Advisors on Science and Technology</w:t>
      </w:r>
      <w:r w:rsidRPr="006D4006">
        <w:rPr>
          <w:rStyle w:val="Style13ptBold"/>
        </w:rPr>
        <w:t xml:space="preserve"> PCAST ’16</w:t>
      </w:r>
      <w:r w:rsidRPr="006D4006">
        <w:rPr>
          <w:rStyle w:val="Style13ptBold"/>
          <w:b w:val="0"/>
          <w:bCs w:val="0"/>
          <w:sz w:val="16"/>
          <w:szCs w:val="16"/>
        </w:rPr>
        <w:t>, is an advisory group of the Nation’s leading scientists and engineers, appointed by the President to augment the science and technology advice available to him from inside the White House and from cabinet departments and other Federal agencies. PCAST is consulted about, and often makes policy recommendations concerning, the full range of issues where understandings from the domains of science, technology, and innovation bear potentially on the policy choices before the President, “REPORT TO THE PRESIDENT Forensic Science in Criminal Courts: Ensuring Scientific Validity of Feature-Comparison Methods”, September 2016, Executive Office of the President – President’s Council of Advisors on Science and Technology, http://cjpp.law.harvard.edu/assets/pcast_forensic_science_report_final.pdf</w:t>
      </w:r>
    </w:p>
    <w:bookmarkEnd w:id="0"/>
    <w:p w14:paraId="01751E96" w14:textId="6414374A" w:rsidR="00972BA3" w:rsidRPr="002341BA" w:rsidRDefault="00972BA3" w:rsidP="00972BA3">
      <w:pPr>
        <w:rPr>
          <w:rStyle w:val="StyleUnderline"/>
          <w:b/>
          <w:bCs/>
        </w:rPr>
      </w:pPr>
      <w:r w:rsidRPr="002341BA">
        <w:rPr>
          <w:rStyle w:val="StyleUnderline"/>
        </w:rPr>
        <w:t>The 2009 National Research Council report was the most comprehensive review to date of the forensic sciences in this country</w:t>
      </w:r>
      <w:r w:rsidRPr="002341BA">
        <w:rPr>
          <w:sz w:val="16"/>
        </w:rPr>
        <w:t xml:space="preserve">. </w:t>
      </w:r>
      <w:r w:rsidRPr="002341BA">
        <w:rPr>
          <w:rStyle w:val="StyleUnderline"/>
          <w:b/>
          <w:bCs/>
        </w:rPr>
        <w:t>The</w:t>
      </w:r>
      <w:r w:rsidRPr="002341BA">
        <w:rPr>
          <w:sz w:val="16"/>
        </w:rPr>
        <w:t xml:space="preserve"> </w:t>
      </w:r>
      <w:r w:rsidRPr="002341BA">
        <w:rPr>
          <w:rStyle w:val="StyleUnderline"/>
          <w:b/>
          <w:bCs/>
        </w:rPr>
        <w:t xml:space="preserve">report made clear that some types of problems, irregularities, and miscarriages of justice cannot simply be attributed to a handful of rogue analysts or underperforming laboratories, but are </w:t>
      </w:r>
      <w:r w:rsidRPr="002341BA">
        <w:rPr>
          <w:rStyle w:val="Emphasis"/>
        </w:rPr>
        <w:t>systemic and pervasive</w:t>
      </w:r>
      <w:r w:rsidRPr="002341BA">
        <w:rPr>
          <w:sz w:val="16"/>
        </w:rPr>
        <w:t xml:space="preserve">—the result of factors </w:t>
      </w:r>
      <w:r w:rsidRPr="002341BA">
        <w:rPr>
          <w:rStyle w:val="StyleUnderline"/>
        </w:rPr>
        <w:t>including a high degree of fragmentation</w:t>
      </w:r>
      <w:r w:rsidRPr="002341BA">
        <w:rPr>
          <w:sz w:val="16"/>
        </w:rPr>
        <w:t xml:space="preserve"> (</w:t>
      </w:r>
      <w:r w:rsidRPr="002341BA">
        <w:rPr>
          <w:rStyle w:val="StyleUnderline"/>
        </w:rPr>
        <w:t>including disparate and often inadequate training and educational requirements, resources, and capacities of laboratories</w:t>
      </w:r>
      <w:r w:rsidRPr="002341BA">
        <w:rPr>
          <w:sz w:val="16"/>
        </w:rPr>
        <w:t xml:space="preserve">), a </w:t>
      </w:r>
      <w:r w:rsidRPr="002341BA">
        <w:rPr>
          <w:rStyle w:val="StyleUnderline"/>
        </w:rPr>
        <w:t xml:space="preserve">lack of standardization </w:t>
      </w:r>
      <w:r w:rsidRPr="002341BA">
        <w:rPr>
          <w:sz w:val="16"/>
        </w:rPr>
        <w:t xml:space="preserve">of the disciplines, </w:t>
      </w:r>
      <w:r w:rsidRPr="002341BA">
        <w:rPr>
          <w:rStyle w:val="StyleUnderline"/>
        </w:rPr>
        <w:t>insufficient high-quality research and education</w:t>
      </w:r>
      <w:r w:rsidRPr="002341BA">
        <w:rPr>
          <w:sz w:val="16"/>
        </w:rPr>
        <w:t xml:space="preserve">, </w:t>
      </w:r>
      <w:r w:rsidRPr="002341BA">
        <w:rPr>
          <w:rStyle w:val="StyleUnderline"/>
        </w:rPr>
        <w:t>and a dearth of peerreviewed studies establishing the scientific basis and validity of many routinely used forensic methods</w:t>
      </w:r>
      <w:r w:rsidRPr="002341BA">
        <w:rPr>
          <w:sz w:val="16"/>
        </w:rPr>
        <w:t>.</w:t>
      </w:r>
      <w:r w:rsidR="002341BA" w:rsidRPr="002341BA">
        <w:rPr>
          <w:sz w:val="16"/>
        </w:rPr>
        <w:t xml:space="preserve"> </w:t>
      </w:r>
      <w:r w:rsidRPr="002341BA">
        <w:rPr>
          <w:sz w:val="16"/>
        </w:rPr>
        <w:t xml:space="preserve">The 2009 report found that </w:t>
      </w:r>
      <w:r w:rsidRPr="002341BA">
        <w:rPr>
          <w:rStyle w:val="StyleUnderline"/>
        </w:rPr>
        <w:t>shortcomings in the forensic sciences were especially prevalent among the featurecomparison disciplines, many of which, the report said, lacked well-defined systems for determining error rates and had not done studies to establish the uniqueness or relative rarity or commonality of the particular marks or features examined</w:t>
      </w:r>
      <w:r w:rsidRPr="002341BA">
        <w:rPr>
          <w:sz w:val="16"/>
        </w:rPr>
        <w:t xml:space="preserve">. </w:t>
      </w:r>
      <w:r w:rsidRPr="002341BA">
        <w:rPr>
          <w:rStyle w:val="StyleUnderline"/>
        </w:rPr>
        <w:t>In addition, proficiency testing, where it had been conducted, showed instances of poor performance by specific examiners</w:t>
      </w:r>
      <w:r w:rsidRPr="002341BA">
        <w:rPr>
          <w:sz w:val="16"/>
        </w:rPr>
        <w:t xml:space="preserve">. In short, </w:t>
      </w:r>
      <w:r w:rsidRPr="002341BA">
        <w:rPr>
          <w:rStyle w:val="StyleUnderline"/>
          <w:b/>
          <w:bCs/>
        </w:rPr>
        <w:t>the report concluded that “much forensic evidence</w:t>
      </w:r>
      <w:r w:rsidRPr="002341BA">
        <w:rPr>
          <w:sz w:val="16"/>
        </w:rPr>
        <w:t>—including, for example, bitemarks and firearm and toolmark identifications—</w:t>
      </w:r>
      <w:r w:rsidRPr="002341BA">
        <w:rPr>
          <w:rStyle w:val="StyleUnderline"/>
          <w:b/>
          <w:bCs/>
        </w:rPr>
        <w:t>is introduced in criminal trials without any meaningful scientific validation, determination of error rates, or reliability testing to explain the limits of the discipline.”</w:t>
      </w:r>
    </w:p>
    <w:p w14:paraId="05231792" w14:textId="77777777" w:rsidR="00972BA3" w:rsidRDefault="00972BA3" w:rsidP="00972BA3">
      <w:pPr>
        <w:pStyle w:val="Heading4"/>
      </w:pPr>
      <w:r>
        <w:t>The “legal context” of the forensic science issue according to PCAST</w:t>
      </w:r>
    </w:p>
    <w:p w14:paraId="2B5D1AB9" w14:textId="77777777" w:rsidR="002341BA" w:rsidRPr="006D4006" w:rsidRDefault="002341BA" w:rsidP="002341BA">
      <w:pPr>
        <w:rPr>
          <w:rStyle w:val="Style13ptBold"/>
        </w:rPr>
      </w:pPr>
      <w:r w:rsidRPr="006D4006">
        <w:rPr>
          <w:rStyle w:val="Style13ptBold"/>
          <w:b w:val="0"/>
          <w:bCs w:val="0"/>
          <w:sz w:val="16"/>
          <w:szCs w:val="16"/>
        </w:rPr>
        <w:t>President’s Council of Advisors on Science and Technology</w:t>
      </w:r>
      <w:r w:rsidRPr="006D4006">
        <w:rPr>
          <w:rStyle w:val="Style13ptBold"/>
        </w:rPr>
        <w:t xml:space="preserve"> PCAST ’16</w:t>
      </w:r>
      <w:r w:rsidRPr="006D4006">
        <w:rPr>
          <w:rStyle w:val="Style13ptBold"/>
          <w:b w:val="0"/>
          <w:bCs w:val="0"/>
          <w:sz w:val="16"/>
          <w:szCs w:val="16"/>
        </w:rPr>
        <w:t>, is an advisory group of the Nation’s leading scientists and engineers, appointed by the President to augment the science and technology advice available to him from inside the White House and from cabinet departments and other Federal agencies. PCAST is consulted about, and often makes policy recommendations concerning, the full range of issues where understandings from the domains of science, technology, and innovation bear potentially on the policy choices before the President, “REPORT TO THE PRESIDENT Forensic Science in Criminal Courts: Ensuring Scientific Validity of Feature-Comparison Methods”, September 2016, Executive Office of the President – President’s Council of Advisors on Science and Technology, http://cjpp.law.harvard.edu/assets/pcast_forensic_science_report_final.pdf</w:t>
      </w:r>
    </w:p>
    <w:p w14:paraId="2F45F8D0" w14:textId="195CD6EA" w:rsidR="00972BA3" w:rsidRPr="00144814" w:rsidRDefault="00972BA3" w:rsidP="00972BA3">
      <w:pPr>
        <w:rPr>
          <w:sz w:val="16"/>
        </w:rPr>
      </w:pPr>
      <w:r w:rsidRPr="00144814">
        <w:rPr>
          <w:sz w:val="16"/>
        </w:rPr>
        <w:t xml:space="preserve">Historically, </w:t>
      </w:r>
      <w:r w:rsidRPr="00144814">
        <w:rPr>
          <w:rStyle w:val="StyleUnderline"/>
        </w:rPr>
        <w:t>forensic science has been used primarily in two phases of the criminal-justice process: (1) investigation, which seeks to identify the likely perpetrator of a crime, and (2) prosecution, which seeks to prove the guilt of a defendant beyond a reasonable doubt</w:t>
      </w:r>
      <w:r w:rsidRPr="00144814">
        <w:rPr>
          <w:sz w:val="16"/>
        </w:rPr>
        <w:t xml:space="preserve">. In recent years, </w:t>
      </w:r>
      <w:r w:rsidRPr="00144814">
        <w:rPr>
          <w:rStyle w:val="StyleUnderline"/>
        </w:rPr>
        <w:t>forensic science</w:t>
      </w:r>
      <w:r w:rsidRPr="00144814">
        <w:rPr>
          <w:sz w:val="16"/>
        </w:rPr>
        <w:t>—particularly DNA analysis—</w:t>
      </w:r>
      <w:r w:rsidRPr="00144814">
        <w:rPr>
          <w:rStyle w:val="StyleUnderline"/>
        </w:rPr>
        <w:t>has also come into wide use for challenging past convictions.</w:t>
      </w:r>
      <w:r w:rsidR="00144814">
        <w:rPr>
          <w:rStyle w:val="StyleUnderline"/>
        </w:rPr>
        <w:t xml:space="preserve"> </w:t>
      </w:r>
      <w:r w:rsidRPr="00144814">
        <w:rPr>
          <w:sz w:val="16"/>
        </w:rPr>
        <w:t>Importantly, the investigative and prosecutorial phases involve different standards for the use of forensic science and other investigative tools. I</w:t>
      </w:r>
      <w:r w:rsidRPr="00144814">
        <w:rPr>
          <w:rStyle w:val="StyleUnderline"/>
        </w:rPr>
        <w:t xml:space="preserve">n investigations, insights and information may come from both wellestablished science and exploratory approaches. </w:t>
      </w:r>
      <w:r w:rsidRPr="00144814">
        <w:rPr>
          <w:rStyle w:val="StyleUnderline"/>
          <w:b/>
          <w:bCs/>
        </w:rPr>
        <w:t>In the prosecution phase, forensic science must satisfy a higher standard</w:t>
      </w:r>
      <w:r w:rsidRPr="00144814">
        <w:rPr>
          <w:rStyle w:val="StyleUnderline"/>
        </w:rPr>
        <w:t>.</w:t>
      </w:r>
      <w:r w:rsidRPr="00144814">
        <w:rPr>
          <w:sz w:val="16"/>
        </w:rPr>
        <w:t xml:space="preserve"> Specifically, the Federal Rules of Evidence (Rule 702(c,d)) require that expert testimony be based, among other things, on “reliable principles and methods” that have been “reliably applied” to the facts of the case. And, the Supreme Court has stated that judges must determine “whether the reasoning or methodology underlying the testimony is scientifically valid.”</w:t>
      </w:r>
      <w:r w:rsidR="00144814" w:rsidRPr="00144814">
        <w:rPr>
          <w:sz w:val="16"/>
        </w:rPr>
        <w:t xml:space="preserve"> </w:t>
      </w:r>
      <w:r w:rsidRPr="00144814">
        <w:rPr>
          <w:rStyle w:val="Emphasis"/>
        </w:rPr>
        <w:t>This is where legal standards and scientific standards intersect</w:t>
      </w:r>
      <w:r w:rsidRPr="00144814">
        <w:rPr>
          <w:sz w:val="16"/>
        </w:rPr>
        <w:t xml:space="preserve">. </w:t>
      </w:r>
      <w:r w:rsidRPr="00144814">
        <w:rPr>
          <w:rStyle w:val="StyleUnderline"/>
        </w:rPr>
        <w:t>Judges’ decisions about the admissibility of scientific evidence rest solely on legal standards; they are exclusively the province of the courts and PCAST does not opine on them</w:t>
      </w:r>
      <w:r w:rsidRPr="00144814">
        <w:rPr>
          <w:sz w:val="16"/>
        </w:rPr>
        <w:t xml:space="preserve">. </w:t>
      </w:r>
      <w:r w:rsidRPr="00144814">
        <w:rPr>
          <w:rStyle w:val="StyleUnderline"/>
          <w:b/>
          <w:bCs/>
        </w:rPr>
        <w:t>But, these decisions require making determinations about scientific validity</w:t>
      </w:r>
      <w:r w:rsidRPr="00144814">
        <w:rPr>
          <w:sz w:val="16"/>
        </w:rPr>
        <w:t>. It is the proper province of the scientific community to provide guidance concerning scientific standards for scientific validity, and it is on those scientific standards that PCAST focuses here.</w:t>
      </w:r>
      <w:r w:rsidR="00144814" w:rsidRPr="00144814">
        <w:rPr>
          <w:sz w:val="16"/>
        </w:rPr>
        <w:t xml:space="preserve"> </w:t>
      </w:r>
      <w:r w:rsidRPr="00144814">
        <w:rPr>
          <w:rStyle w:val="StyleUnderline"/>
        </w:rPr>
        <w:t>We distinguish here between two types of scientific validity: foundational validity and validity as applied.</w:t>
      </w:r>
      <w:r w:rsidR="00144814">
        <w:rPr>
          <w:rStyle w:val="StyleUnderline"/>
        </w:rPr>
        <w:t xml:space="preserve"> </w:t>
      </w:r>
      <w:r w:rsidRPr="00144814">
        <w:rPr>
          <w:sz w:val="16"/>
        </w:rPr>
        <w:t xml:space="preserve">(1) </w:t>
      </w:r>
      <w:r w:rsidRPr="00144814">
        <w:rPr>
          <w:rStyle w:val="StyleUnderline"/>
        </w:rPr>
        <w:t>Foundational validity for a forensic-science method requires that it be shown, based on empirical studies, to be repeatable, reproducible, and accurate, at levels that have been measured and are appropriate to the intended application. Foundational validity</w:t>
      </w:r>
      <w:r w:rsidRPr="00144814">
        <w:rPr>
          <w:sz w:val="16"/>
        </w:rPr>
        <w:t xml:space="preserve">, then, </w:t>
      </w:r>
      <w:r w:rsidRPr="00144814">
        <w:rPr>
          <w:rStyle w:val="StyleUnderline"/>
        </w:rPr>
        <w:t>means that a method can</w:t>
      </w:r>
      <w:r w:rsidRPr="00144814">
        <w:rPr>
          <w:sz w:val="16"/>
        </w:rPr>
        <w:t xml:space="preserve">, in principle, </w:t>
      </w:r>
      <w:r w:rsidRPr="00144814">
        <w:rPr>
          <w:rStyle w:val="StyleUnderline"/>
        </w:rPr>
        <w:t>be reliable</w:t>
      </w:r>
      <w:r w:rsidRPr="00144814">
        <w:rPr>
          <w:sz w:val="16"/>
        </w:rPr>
        <w:t>. It is the scientific concept we mean to correspond to the legal requirement, in Rule 702(c), of “reliable principles and methods.”</w:t>
      </w:r>
      <w:r w:rsidR="00144814" w:rsidRPr="00144814">
        <w:rPr>
          <w:sz w:val="16"/>
        </w:rPr>
        <w:t xml:space="preserve"> </w:t>
      </w:r>
      <w:r w:rsidRPr="00144814">
        <w:rPr>
          <w:sz w:val="16"/>
        </w:rPr>
        <w:t xml:space="preserve">(2) </w:t>
      </w:r>
      <w:r w:rsidRPr="00144814">
        <w:rPr>
          <w:rStyle w:val="StyleUnderline"/>
        </w:rPr>
        <w:t>Validity as applied means that the method has been reliably applied in practice. It is the scientific concept we mean to correspond to the legal requirement</w:t>
      </w:r>
      <w:r w:rsidRPr="00144814">
        <w:rPr>
          <w:sz w:val="16"/>
        </w:rPr>
        <w:t xml:space="preserve">, in Rule 702(d), </w:t>
      </w:r>
      <w:r w:rsidRPr="00144814">
        <w:rPr>
          <w:rStyle w:val="StyleUnderline"/>
        </w:rPr>
        <w:t>that an expert “has reliably applied the principles and methods to the facts of the case</w:t>
      </w:r>
      <w:r w:rsidRPr="00144814">
        <w:rPr>
          <w:sz w:val="16"/>
        </w:rPr>
        <w:t>.”</w:t>
      </w:r>
    </w:p>
    <w:p w14:paraId="3A2766CF" w14:textId="4FF44AA1" w:rsidR="00ED5D00" w:rsidRDefault="00ED5D00" w:rsidP="00ED5D00">
      <w:pPr>
        <w:pStyle w:val="Heading4"/>
      </w:pPr>
      <w:r>
        <w:t>In 2013, the state of forensic testing facilities was largely unregulated by the federal government and there were a lot of questions surrounding whether forensics should be used beyond DNA testing</w:t>
      </w:r>
    </w:p>
    <w:p w14:paraId="7C4DD30C" w14:textId="77777777" w:rsidR="008074F0" w:rsidRPr="0028524B" w:rsidRDefault="008074F0" w:rsidP="008074F0">
      <w:pPr>
        <w:rPr>
          <w:rStyle w:val="Style13ptBold"/>
          <w:b w:val="0"/>
          <w:bCs w:val="0"/>
        </w:rPr>
      </w:pPr>
      <w:r w:rsidRPr="0028524B">
        <w:rPr>
          <w:rStyle w:val="Style13ptBold"/>
          <w:b w:val="0"/>
          <w:bCs w:val="0"/>
          <w:sz w:val="16"/>
          <w:szCs w:val="16"/>
        </w:rPr>
        <w:t>Eric</w:t>
      </w:r>
      <w:r>
        <w:rPr>
          <w:rStyle w:val="Style13ptBold"/>
          <w:b w:val="0"/>
          <w:bCs w:val="0"/>
        </w:rPr>
        <w:t xml:space="preserve"> </w:t>
      </w:r>
      <w:r>
        <w:rPr>
          <w:rStyle w:val="Style13ptBold"/>
        </w:rPr>
        <w:t>Maloney ’13</w:t>
      </w:r>
      <w:r w:rsidRPr="0028524B">
        <w:rPr>
          <w:rStyle w:val="Style13ptBold"/>
          <w:b w:val="0"/>
          <w:bCs w:val="0"/>
          <w:sz w:val="16"/>
          <w:szCs w:val="16"/>
        </w:rPr>
        <w:t>,  J.D. Candidate (2014), University of Minnesota Law School, “Two More Problems and Too Little Money: Can Congress Truly Reform Forensic Science?”, 2013, Minnesota Journal of Law, Science &amp; Technology, Vol. 14, Issue 2, Article 11, https://scholarship.law.umn.edu/cgi/viewcontent.cgi?article=1047&amp;context=mjlst</w:t>
      </w:r>
    </w:p>
    <w:p w14:paraId="4E104C51" w14:textId="60643F7A" w:rsidR="00ED5D00" w:rsidRPr="006473D0" w:rsidRDefault="00ED5D00" w:rsidP="00ED5D00">
      <w:pPr>
        <w:rPr>
          <w:sz w:val="16"/>
        </w:rPr>
      </w:pPr>
      <w:r w:rsidRPr="006473D0">
        <w:rPr>
          <w:sz w:val="16"/>
        </w:rPr>
        <w:t xml:space="preserve">At the moment, </w:t>
      </w:r>
      <w:r w:rsidRPr="006473D0">
        <w:rPr>
          <w:rStyle w:val="StyleUnderline"/>
          <w:b/>
          <w:bCs/>
        </w:rPr>
        <w:t>forensic testing facilities and employees are largely unregulated by the federal government</w:t>
      </w:r>
      <w:r w:rsidRPr="006473D0">
        <w:rPr>
          <w:sz w:val="16"/>
        </w:rPr>
        <w:t xml:space="preserve">.10 While Congress set stringent standards over twenty years ago for clinical laboratory environments running medical tests,11 </w:t>
      </w:r>
      <w:r w:rsidRPr="006473D0">
        <w:rPr>
          <w:rStyle w:val="StyleUnderline"/>
        </w:rPr>
        <w:t>forensic facilities have only recently been subject to federal oversight, and such regulation has been largely circumscribed to their performance of DNA analysis in light of numerous DNA exonerations</w:t>
      </w:r>
      <w:r w:rsidRPr="006473D0">
        <w:rPr>
          <w:sz w:val="16"/>
        </w:rPr>
        <w:t xml:space="preserve">.12 </w:t>
      </w:r>
      <w:r w:rsidRPr="006473D0">
        <w:rPr>
          <w:rStyle w:val="StyleUnderline"/>
          <w:b/>
          <w:bCs/>
        </w:rPr>
        <w:t>However, DNA testing is but a small fraction of the volume of forensic testing performed in such laboratories nationwide in processing evidence for use in criminal proceedings</w:t>
      </w:r>
      <w:r w:rsidRPr="006473D0">
        <w:rPr>
          <w:sz w:val="16"/>
        </w:rPr>
        <w:t xml:space="preserve">.13 </w:t>
      </w:r>
      <w:r w:rsidRPr="006473D0">
        <w:rPr>
          <w:rStyle w:val="StyleUnderline"/>
        </w:rPr>
        <w:t>These disciplines include, but are not limited to, general toxicology, firearm and tool marks, questioned documents, trace evidence, biological and serological screening, impression evidence, and controlled substance analysis</w:t>
      </w:r>
      <w:r w:rsidRPr="006473D0">
        <w:rPr>
          <w:sz w:val="16"/>
        </w:rPr>
        <w:t xml:space="preserve">.14 In fact, </w:t>
      </w:r>
      <w:r w:rsidRPr="006473D0">
        <w:rPr>
          <w:rStyle w:val="StyleUnderline"/>
          <w:b/>
          <w:bCs/>
        </w:rPr>
        <w:t>testing of suspected controlled substances has been a focus of forensic laboratories since the 1970s</w:t>
      </w:r>
      <w:r w:rsidRPr="006473D0">
        <w:rPr>
          <w:sz w:val="16"/>
        </w:rPr>
        <w:t xml:space="preserve">15 </w:t>
      </w:r>
      <w:r w:rsidRPr="006473D0">
        <w:rPr>
          <w:rStyle w:val="StyleUnderline"/>
          <w:b/>
          <w:bCs/>
        </w:rPr>
        <w:t>and remains the most frequent type of testing performed in labs</w:t>
      </w:r>
      <w:r w:rsidRPr="006473D0">
        <w:rPr>
          <w:sz w:val="16"/>
        </w:rPr>
        <w:t>.16</w:t>
      </w:r>
      <w:r w:rsidR="006473D0" w:rsidRPr="006473D0">
        <w:rPr>
          <w:sz w:val="16"/>
        </w:rPr>
        <w:t xml:space="preserve"> </w:t>
      </w:r>
      <w:r w:rsidRPr="006473D0">
        <w:rPr>
          <w:rStyle w:val="StyleUnderline"/>
        </w:rPr>
        <w:t>The expansive use of forensic testing methods outside of DNA analysis is especially troubling in light of significant concerns that have been raised with non-DNA forensic methodologies</w:t>
      </w:r>
      <w:r w:rsidRPr="006473D0">
        <w:rPr>
          <w:sz w:val="16"/>
        </w:rPr>
        <w:t xml:space="preserve">.17 The goal of any of forensic analysis is to “individualize” a sample and match it to a person or a source for purposes of showing guilt or innocence.18 However, only DNA has been shown to be able to do this with scientific certainty based on repeated, consistent research results; other disciplines have varying levels of available research and set protocols to ensure the validity of testing results.19 </w:t>
      </w:r>
      <w:r w:rsidRPr="006473D0">
        <w:rPr>
          <w:rStyle w:val="StyleUnderline"/>
        </w:rPr>
        <w:t>The result is a patchwork of different disciplines with different levels of discriminating power, administered by practitioners who may lack the necessary training to properly interpret results or may ignore results altogether</w:t>
      </w:r>
      <w:r w:rsidRPr="006473D0">
        <w:rPr>
          <w:sz w:val="16"/>
        </w:rPr>
        <w:t>.20</w:t>
      </w:r>
    </w:p>
    <w:p w14:paraId="69DFCFAA" w14:textId="5963FB30" w:rsidR="00ED5D00" w:rsidRPr="00ED5D00" w:rsidRDefault="00ED5D00" w:rsidP="00ED5D00"/>
    <w:p w14:paraId="48F5E005" w14:textId="722AD28B" w:rsidR="00CC14CB" w:rsidRDefault="00CC14CB" w:rsidP="00CC14CB">
      <w:pPr>
        <w:pStyle w:val="Heading3"/>
      </w:pPr>
      <w:r>
        <w:t>Congress CP Notes – Sentencing</w:t>
      </w:r>
    </w:p>
    <w:p w14:paraId="61BFE330" w14:textId="7F59655B" w:rsidR="00CC14CB" w:rsidRDefault="00CC14CB" w:rsidP="00CC14CB">
      <w:pPr>
        <w:rPr>
          <w:b/>
          <w:bCs/>
          <w:sz w:val="24"/>
          <w:szCs w:val="24"/>
        </w:rPr>
      </w:pPr>
      <w:r>
        <w:rPr>
          <w:b/>
          <w:bCs/>
          <w:sz w:val="24"/>
          <w:szCs w:val="24"/>
        </w:rPr>
        <w:t>The Congress CP v Court AFF debate for sentencing is going to center around the question of whether the legislative or judicial branch is more effective at creating guidelines and pressure on judges to make consistent, fair judgements for whatever reason the AFF sets up. To master this debate, one must understand the history of how federal sentencing guidelines came to exist, what phases of federal sentencing have been experienced over the last couple of decades, and how sentencing occurs now.</w:t>
      </w:r>
    </w:p>
    <w:p w14:paraId="6A4689E9" w14:textId="77777777" w:rsidR="00CC14CB" w:rsidRDefault="00CC14CB" w:rsidP="00CC14CB">
      <w:pPr>
        <w:rPr>
          <w:b/>
          <w:bCs/>
          <w:sz w:val="24"/>
          <w:szCs w:val="24"/>
        </w:rPr>
      </w:pPr>
      <w:r>
        <w:rPr>
          <w:b/>
          <w:bCs/>
          <w:sz w:val="24"/>
          <w:szCs w:val="24"/>
        </w:rPr>
        <w:t>Here is a b</w:t>
      </w:r>
      <w:r w:rsidRPr="00777D7D">
        <w:rPr>
          <w:b/>
          <w:bCs/>
          <w:sz w:val="24"/>
          <w:szCs w:val="24"/>
        </w:rPr>
        <w:t>rief</w:t>
      </w:r>
      <w:r>
        <w:rPr>
          <w:b/>
          <w:bCs/>
          <w:sz w:val="24"/>
          <w:szCs w:val="24"/>
        </w:rPr>
        <w:t>/definitely not comprehensive</w:t>
      </w:r>
      <w:r w:rsidRPr="00777D7D">
        <w:rPr>
          <w:b/>
          <w:bCs/>
          <w:sz w:val="24"/>
          <w:szCs w:val="24"/>
        </w:rPr>
        <w:t xml:space="preserve"> outline of sentencing history</w:t>
      </w:r>
      <w:r>
        <w:rPr>
          <w:b/>
          <w:bCs/>
          <w:sz w:val="24"/>
          <w:szCs w:val="24"/>
        </w:rPr>
        <w:t>:</w:t>
      </w:r>
    </w:p>
    <w:p w14:paraId="6624D214" w14:textId="57BDAE9E" w:rsidR="00CC14CB" w:rsidRPr="00777D7D" w:rsidRDefault="00CC14CB" w:rsidP="00CC14CB">
      <w:pPr>
        <w:rPr>
          <w:b/>
          <w:bCs/>
          <w:sz w:val="24"/>
          <w:szCs w:val="24"/>
        </w:rPr>
      </w:pPr>
      <w:r>
        <w:rPr>
          <w:b/>
          <w:bCs/>
          <w:sz w:val="24"/>
          <w:szCs w:val="24"/>
        </w:rPr>
        <w:t>P</w:t>
      </w:r>
      <w:r w:rsidRPr="00777D7D">
        <w:rPr>
          <w:b/>
          <w:bCs/>
          <w:sz w:val="24"/>
          <w:szCs w:val="24"/>
        </w:rPr>
        <w:t>rior to 1970s when sentencing guideline talks started</w:t>
      </w:r>
      <w:r>
        <w:rPr>
          <w:b/>
          <w:bCs/>
          <w:sz w:val="24"/>
          <w:szCs w:val="24"/>
        </w:rPr>
        <w:t xml:space="preserve"> -</w:t>
      </w:r>
      <w:r w:rsidRPr="00777D7D">
        <w:rPr>
          <w:b/>
          <w:bCs/>
          <w:sz w:val="24"/>
          <w:szCs w:val="24"/>
        </w:rPr>
        <w:t xml:space="preserve"> ad hoc indeterminate sentences where after 1/3 time served the US parloe board decided whether to release prisoners and sometimes after 2/3 of the time had been served for sentences 5+ years in length they would just release people</w:t>
      </w:r>
      <w:r>
        <w:rPr>
          <w:b/>
          <w:bCs/>
          <w:sz w:val="24"/>
          <w:szCs w:val="24"/>
        </w:rPr>
        <w:t xml:space="preserve"> </w:t>
      </w:r>
      <w:r w:rsidRPr="00CC14CB">
        <w:rPr>
          <w:b/>
          <w:bCs/>
          <w:sz w:val="24"/>
          <w:szCs w:val="24"/>
        </w:rPr>
        <w:sym w:font="Wingdings" w:char="F0E0"/>
      </w:r>
      <w:r>
        <w:rPr>
          <w:b/>
          <w:bCs/>
          <w:sz w:val="24"/>
          <w:szCs w:val="24"/>
        </w:rPr>
        <w:t xml:space="preserve"> </w:t>
      </w:r>
      <w:r w:rsidRPr="00777D7D">
        <w:rPr>
          <w:b/>
          <w:bCs/>
          <w:sz w:val="24"/>
          <w:szCs w:val="24"/>
        </w:rPr>
        <w:t>1984 = creation of the federal guidelines (implemented in 1987)</w:t>
      </w:r>
      <w:r>
        <w:rPr>
          <w:b/>
          <w:bCs/>
          <w:sz w:val="24"/>
          <w:szCs w:val="24"/>
        </w:rPr>
        <w:t xml:space="preserve"> </w:t>
      </w:r>
      <w:r w:rsidRPr="00CC14CB">
        <w:rPr>
          <w:b/>
          <w:bCs/>
          <w:sz w:val="24"/>
          <w:szCs w:val="24"/>
        </w:rPr>
        <w:sym w:font="Wingdings" w:char="F0E0"/>
      </w:r>
      <w:r w:rsidRPr="00777D7D">
        <w:rPr>
          <w:b/>
          <w:bCs/>
          <w:sz w:val="24"/>
          <w:szCs w:val="24"/>
        </w:rPr>
        <w:t xml:space="preserve"> a bunch of cases defining the scope and how appellate review is supposed to work (1996 = </w:t>
      </w:r>
      <w:r w:rsidRPr="00777D7D">
        <w:rPr>
          <w:b/>
          <w:bCs/>
          <w:i/>
          <w:iCs/>
          <w:sz w:val="24"/>
          <w:szCs w:val="24"/>
        </w:rPr>
        <w:t>Koon v United States</w:t>
      </w:r>
      <w:r w:rsidRPr="00777D7D">
        <w:rPr>
          <w:b/>
          <w:bCs/>
          <w:sz w:val="24"/>
          <w:szCs w:val="24"/>
        </w:rPr>
        <w:t>)</w:t>
      </w:r>
      <w:r>
        <w:rPr>
          <w:b/>
          <w:bCs/>
          <w:sz w:val="24"/>
          <w:szCs w:val="24"/>
        </w:rPr>
        <w:t xml:space="preserve"> </w:t>
      </w:r>
      <w:r w:rsidRPr="00CC14CB">
        <w:rPr>
          <w:b/>
          <w:bCs/>
          <w:sz w:val="24"/>
          <w:szCs w:val="24"/>
        </w:rPr>
        <w:sym w:font="Wingdings" w:char="F0E0"/>
      </w:r>
      <w:r>
        <w:rPr>
          <w:b/>
          <w:bCs/>
          <w:sz w:val="24"/>
          <w:szCs w:val="24"/>
        </w:rPr>
        <w:t xml:space="preserve"> </w:t>
      </w:r>
      <w:r w:rsidRPr="00777D7D">
        <w:rPr>
          <w:b/>
          <w:bCs/>
          <w:sz w:val="24"/>
          <w:szCs w:val="24"/>
        </w:rPr>
        <w:t>2003-2004 passage of the PROTECT Act and Feeney Amendment</w:t>
      </w:r>
      <w:r>
        <w:rPr>
          <w:b/>
          <w:bCs/>
          <w:sz w:val="24"/>
          <w:szCs w:val="24"/>
        </w:rPr>
        <w:t xml:space="preserve"> </w:t>
      </w:r>
      <w:r w:rsidRPr="00CC14CB">
        <w:rPr>
          <w:b/>
          <w:bCs/>
          <w:sz w:val="24"/>
          <w:szCs w:val="24"/>
        </w:rPr>
        <w:sym w:font="Wingdings" w:char="F0E0"/>
      </w:r>
      <w:r w:rsidRPr="00777D7D">
        <w:rPr>
          <w:b/>
          <w:bCs/>
          <w:sz w:val="24"/>
          <w:szCs w:val="24"/>
        </w:rPr>
        <w:t xml:space="preserve"> more cases on whether these standards are fair and compromise 6</w:t>
      </w:r>
      <w:r w:rsidRPr="00777D7D">
        <w:rPr>
          <w:b/>
          <w:bCs/>
          <w:sz w:val="24"/>
          <w:szCs w:val="24"/>
          <w:vertAlign w:val="superscript"/>
        </w:rPr>
        <w:t>th</w:t>
      </w:r>
      <w:r w:rsidRPr="00777D7D">
        <w:rPr>
          <w:b/>
          <w:bCs/>
          <w:sz w:val="24"/>
          <w:szCs w:val="24"/>
        </w:rPr>
        <w:t xml:space="preserve"> Amendment rights</w:t>
      </w:r>
      <w:r>
        <w:rPr>
          <w:b/>
          <w:bCs/>
          <w:sz w:val="24"/>
          <w:szCs w:val="24"/>
        </w:rPr>
        <w:t xml:space="preserve"> </w:t>
      </w:r>
      <w:r w:rsidRPr="00CC14CB">
        <w:rPr>
          <w:b/>
          <w:bCs/>
          <w:sz w:val="24"/>
          <w:szCs w:val="24"/>
        </w:rPr>
        <w:sym w:font="Wingdings" w:char="F0E0"/>
      </w:r>
      <w:r>
        <w:rPr>
          <w:b/>
          <w:bCs/>
          <w:sz w:val="24"/>
          <w:szCs w:val="24"/>
        </w:rPr>
        <w:t xml:space="preserve"> </w:t>
      </w:r>
      <w:r w:rsidR="00B63B5B">
        <w:rPr>
          <w:b/>
          <w:bCs/>
          <w:sz w:val="24"/>
          <w:szCs w:val="24"/>
        </w:rPr>
        <w:t>2004/</w:t>
      </w:r>
      <w:r w:rsidRPr="00777D7D">
        <w:rPr>
          <w:b/>
          <w:bCs/>
          <w:sz w:val="24"/>
          <w:szCs w:val="24"/>
        </w:rPr>
        <w:t>2009 Booker and Blakey cases</w:t>
      </w:r>
      <w:r w:rsidR="00B63B5B">
        <w:rPr>
          <w:b/>
          <w:bCs/>
          <w:sz w:val="24"/>
          <w:szCs w:val="24"/>
        </w:rPr>
        <w:t xml:space="preserve"> (respectively)</w:t>
      </w:r>
      <w:r w:rsidRPr="00777D7D">
        <w:rPr>
          <w:b/>
          <w:bCs/>
          <w:sz w:val="24"/>
          <w:szCs w:val="24"/>
        </w:rPr>
        <w:t xml:space="preserve"> radically increase judicial discretion over sentencing and diminish the federal guidelines to advisory status (i.e. voluntary)</w:t>
      </w:r>
    </w:p>
    <w:p w14:paraId="5A51D099" w14:textId="32751282" w:rsidR="00CC14CB" w:rsidRPr="00777D7D" w:rsidRDefault="00CC14CB" w:rsidP="00CC14CB">
      <w:pPr>
        <w:rPr>
          <w:b/>
          <w:bCs/>
          <w:sz w:val="24"/>
          <w:szCs w:val="24"/>
        </w:rPr>
      </w:pPr>
      <w:r w:rsidRPr="00777D7D">
        <w:rPr>
          <w:b/>
          <w:bCs/>
          <w:sz w:val="24"/>
          <w:szCs w:val="24"/>
        </w:rPr>
        <w:t>The PROTECT Act was originally drafted to provide stronger protections for children in abduction and sexual exploitation cases along with other tools to protect children – the addition of the restrictions on judicial discretion over sentencing was a later addition by Representative Tom Feeney of Florida (passed 2004 on April 30</w:t>
      </w:r>
      <w:r w:rsidRPr="00777D7D">
        <w:rPr>
          <w:b/>
          <w:bCs/>
          <w:sz w:val="24"/>
          <w:szCs w:val="24"/>
          <w:vertAlign w:val="superscript"/>
        </w:rPr>
        <w:t>th</w:t>
      </w:r>
      <w:r w:rsidRPr="00777D7D">
        <w:rPr>
          <w:b/>
          <w:bCs/>
          <w:sz w:val="24"/>
          <w:szCs w:val="24"/>
        </w:rPr>
        <w:t xml:space="preserve">, drafted throughout 2003 and maybe earlier, not sure) – </w:t>
      </w:r>
      <w:r>
        <w:rPr>
          <w:b/>
          <w:bCs/>
          <w:sz w:val="24"/>
          <w:szCs w:val="24"/>
        </w:rPr>
        <w:t>acted as</w:t>
      </w:r>
      <w:r w:rsidRPr="00777D7D">
        <w:rPr>
          <w:b/>
          <w:bCs/>
          <w:sz w:val="24"/>
          <w:szCs w:val="24"/>
        </w:rPr>
        <w:t xml:space="preserve"> the </w:t>
      </w:r>
      <w:r>
        <w:rPr>
          <w:b/>
          <w:bCs/>
          <w:sz w:val="24"/>
          <w:szCs w:val="24"/>
        </w:rPr>
        <w:t>foundation</w:t>
      </w:r>
      <w:r w:rsidRPr="00777D7D">
        <w:rPr>
          <w:b/>
          <w:bCs/>
          <w:sz w:val="24"/>
          <w:szCs w:val="24"/>
        </w:rPr>
        <w:t xml:space="preserve"> for sentencing guidelines until 200</w:t>
      </w:r>
      <w:r w:rsidR="007B4967">
        <w:rPr>
          <w:b/>
          <w:bCs/>
          <w:sz w:val="24"/>
          <w:szCs w:val="24"/>
        </w:rPr>
        <w:t>4</w:t>
      </w:r>
      <w:r w:rsidRPr="00777D7D">
        <w:rPr>
          <w:b/>
          <w:bCs/>
          <w:sz w:val="24"/>
          <w:szCs w:val="24"/>
        </w:rPr>
        <w:t xml:space="preserve">/2009 with Booker and Blakely </w:t>
      </w:r>
    </w:p>
    <w:p w14:paraId="0FBC74CC" w14:textId="02C0994B" w:rsidR="00CC14CB" w:rsidRDefault="00CC14CB" w:rsidP="00CC14CB">
      <w:pPr>
        <w:rPr>
          <w:b/>
          <w:bCs/>
          <w:sz w:val="24"/>
          <w:szCs w:val="24"/>
        </w:rPr>
      </w:pPr>
      <w:r>
        <w:rPr>
          <w:b/>
          <w:bCs/>
          <w:sz w:val="24"/>
          <w:szCs w:val="24"/>
        </w:rPr>
        <w:t>The Feeney Amendment</w:t>
      </w:r>
      <w:r w:rsidRPr="00777D7D">
        <w:rPr>
          <w:b/>
          <w:bCs/>
          <w:sz w:val="24"/>
          <w:szCs w:val="24"/>
        </w:rPr>
        <w:t xml:space="preserve"> – paired with the PROTECT Act –</w:t>
      </w:r>
      <w:r>
        <w:rPr>
          <w:b/>
          <w:bCs/>
          <w:sz w:val="24"/>
          <w:szCs w:val="24"/>
        </w:rPr>
        <w:t xml:space="preserve"> </w:t>
      </w:r>
      <w:r w:rsidRPr="00777D7D">
        <w:rPr>
          <w:b/>
          <w:bCs/>
          <w:sz w:val="24"/>
          <w:szCs w:val="24"/>
        </w:rPr>
        <w:t xml:space="preserve">requires that appellate courts review departures </w:t>
      </w:r>
      <w:r w:rsidRPr="00777D7D">
        <w:rPr>
          <w:b/>
          <w:bCs/>
          <w:i/>
          <w:iCs/>
          <w:sz w:val="24"/>
          <w:szCs w:val="24"/>
        </w:rPr>
        <w:t>de novo</w:t>
      </w:r>
      <w:r w:rsidRPr="00777D7D">
        <w:rPr>
          <w:b/>
          <w:bCs/>
          <w:sz w:val="24"/>
          <w:szCs w:val="24"/>
        </w:rPr>
        <w:t xml:space="preserve"> in relation to the sentencing guidelines which overturned a prior decision in </w:t>
      </w:r>
      <w:r w:rsidRPr="00777D7D">
        <w:rPr>
          <w:b/>
          <w:bCs/>
          <w:i/>
          <w:iCs/>
          <w:sz w:val="24"/>
          <w:szCs w:val="24"/>
        </w:rPr>
        <w:t>Koon v United States</w:t>
      </w:r>
      <w:r w:rsidRPr="00777D7D">
        <w:rPr>
          <w:b/>
          <w:bCs/>
          <w:sz w:val="24"/>
          <w:szCs w:val="24"/>
        </w:rPr>
        <w:t xml:space="preserve"> that held review of departures should be reviewed for abuse of discretion which is the spirit of holding judges accountable for their departures (this amendment was passed in fear of too many downward departures occurring which doesn’t match with reality)</w:t>
      </w:r>
    </w:p>
    <w:p w14:paraId="31C58353" w14:textId="1E57BE86" w:rsidR="00CC14CB" w:rsidRDefault="00CC14CB" w:rsidP="00CC14CB">
      <w:pPr>
        <w:rPr>
          <w:b/>
          <w:bCs/>
          <w:sz w:val="24"/>
          <w:szCs w:val="24"/>
        </w:rPr>
      </w:pPr>
      <w:r>
        <w:rPr>
          <w:b/>
          <w:bCs/>
          <w:sz w:val="24"/>
          <w:szCs w:val="24"/>
        </w:rPr>
        <w:t>However the current era of sentencing (Post-Booker) is an attempt to use the federal guidelines as an advisory guide and then to basically analyze and compile decisions for all crimes and their sentences to create a sense of “common law” that creates a presumptive range for what an “appropriate” sentence would entail for a host of different crimes with different circumstances (we are still waiting to see whether this approach has been successful/followed up on to a degree).</w:t>
      </w:r>
    </w:p>
    <w:p w14:paraId="4DED36D6" w14:textId="43E48DD9" w:rsidR="00CC14CB" w:rsidRDefault="00CC14CB" w:rsidP="00CC14CB">
      <w:pPr>
        <w:rPr>
          <w:b/>
          <w:bCs/>
          <w:sz w:val="24"/>
          <w:szCs w:val="24"/>
        </w:rPr>
      </w:pPr>
      <w:r>
        <w:rPr>
          <w:b/>
          <w:bCs/>
          <w:sz w:val="24"/>
          <w:szCs w:val="24"/>
        </w:rPr>
        <w:t xml:space="preserve">And now some cards to help describe all of that in a less ranty/half-sentence form -- </w:t>
      </w:r>
    </w:p>
    <w:p w14:paraId="50CCFE28" w14:textId="3F7BC7EB" w:rsidR="00CC14CB" w:rsidRDefault="00C2751F" w:rsidP="00CC14CB">
      <w:pPr>
        <w:pStyle w:val="Heading4"/>
      </w:pPr>
      <w:r>
        <w:t>Prior to the creation of the federal sentencing guidelines, all sentences were indeterminate and operated (jokingly) according to the “breakfast” rule</w:t>
      </w:r>
    </w:p>
    <w:p w14:paraId="633F2EA1" w14:textId="77777777" w:rsidR="00CC14CB" w:rsidRPr="001118F0" w:rsidRDefault="00CC14CB" w:rsidP="00CC14CB">
      <w:pPr>
        <w:rPr>
          <w:rStyle w:val="Style13ptBold"/>
          <w:b w:val="0"/>
          <w:bCs w:val="0"/>
        </w:rPr>
      </w:pPr>
      <w:r w:rsidRPr="001118F0">
        <w:rPr>
          <w:rStyle w:val="Style13ptBold"/>
          <w:b w:val="0"/>
          <w:bCs w:val="0"/>
          <w:sz w:val="16"/>
          <w:szCs w:val="16"/>
        </w:rPr>
        <w:t>Erik</w:t>
      </w:r>
      <w:r>
        <w:rPr>
          <w:rStyle w:val="Style13ptBold"/>
          <w:b w:val="0"/>
          <w:bCs w:val="0"/>
        </w:rPr>
        <w:t xml:space="preserve"> </w:t>
      </w:r>
      <w:r>
        <w:rPr>
          <w:rStyle w:val="Style13ptBold"/>
        </w:rPr>
        <w:t>Luna ’05</w:t>
      </w:r>
      <w:r w:rsidRPr="001118F0">
        <w:rPr>
          <w:rStyle w:val="Style13ptBold"/>
          <w:b w:val="0"/>
          <w:bCs w:val="0"/>
          <w:sz w:val="16"/>
          <w:szCs w:val="16"/>
        </w:rPr>
        <w:t xml:space="preserve">, Hugh B. Brown Presidential Endowed Chair in Law and Professor of Law, University of Utah S.J. Quinney College of Law, “Gridland: An Allegorical Critique of Federal Sentencing”, Fall 2005, Northwestern University of Law Journal of Criminal Law and Criminology, Vol. 96, Issue 1 – </w:t>
      </w:r>
      <w:r w:rsidRPr="001118F0">
        <w:rPr>
          <w:rStyle w:val="Style13ptBold"/>
          <w:b w:val="0"/>
          <w:bCs w:val="0"/>
          <w:i/>
          <w:iCs/>
          <w:sz w:val="16"/>
          <w:szCs w:val="16"/>
        </w:rPr>
        <w:t>Fall</w:t>
      </w:r>
      <w:r w:rsidRPr="001118F0">
        <w:rPr>
          <w:rStyle w:val="Style13ptBold"/>
          <w:b w:val="0"/>
          <w:bCs w:val="0"/>
          <w:sz w:val="16"/>
          <w:szCs w:val="16"/>
        </w:rPr>
        <w:t>, Article 2, https://scholarlycommons.law.northwestern.edu/cgi/viewcontent.cgi?article=7216&amp;context=jclc</w:t>
      </w:r>
    </w:p>
    <w:p w14:paraId="59604ABD" w14:textId="1DA17B35" w:rsidR="00CC14CB" w:rsidRPr="00662EA6" w:rsidRDefault="00CC14CB" w:rsidP="00CC14CB">
      <w:pPr>
        <w:rPr>
          <w:sz w:val="16"/>
        </w:rPr>
      </w:pPr>
      <w:r w:rsidRPr="00384958">
        <w:rPr>
          <w:rStyle w:val="StyleUnderline"/>
          <w:b/>
          <w:bCs/>
        </w:rPr>
        <w:t>Judicial arbitrariness was so widespread, conventional wisdom scoffed, that punishment in any given case depended upon a sort of "breakfast" rule</w:t>
      </w:r>
      <w:r w:rsidRPr="00662EA6">
        <w:rPr>
          <w:sz w:val="16"/>
        </w:rPr>
        <w:t>--"</w:t>
      </w:r>
      <w:r w:rsidRPr="00384958">
        <w:rPr>
          <w:rStyle w:val="Emphasis"/>
        </w:rPr>
        <w:t>what the judge had for breakfast</w:t>
      </w:r>
      <w:r w:rsidRPr="00662EA6">
        <w:rPr>
          <w:sz w:val="16"/>
        </w:rPr>
        <w:t>." 98 As lampooned by former U.S. Sentencing Commissioner Michael Goldsmith:</w:t>
      </w:r>
      <w:r w:rsidR="00662EA6" w:rsidRPr="00662EA6">
        <w:rPr>
          <w:sz w:val="16"/>
        </w:rPr>
        <w:t xml:space="preserve"> </w:t>
      </w:r>
      <w:r w:rsidRPr="00662EA6">
        <w:rPr>
          <w:rStyle w:val="StyleUnderline"/>
        </w:rPr>
        <w:t>Certain culinary items suggested light sentences geared towards rehabilitation</w:t>
      </w:r>
      <w:r w:rsidRPr="00662EA6">
        <w:rPr>
          <w:sz w:val="16"/>
        </w:rPr>
        <w:t xml:space="preserve"> (eggs over easy, instant oatmeal, Sweet 'N Low, Lucky Charms, and Cheerios). </w:t>
      </w:r>
      <w:r w:rsidRPr="00662EA6">
        <w:rPr>
          <w:rStyle w:val="StyleUnderline"/>
        </w:rPr>
        <w:t>However, others evoked harsher images of retribution, deterrence, and incapacitation</w:t>
      </w:r>
      <w:r w:rsidRPr="00662EA6">
        <w:rPr>
          <w:sz w:val="16"/>
        </w:rPr>
        <w:t xml:space="preserve"> (hard boiled eggs, bacon extra crisp, and especially Total, Life, or any type of toast). </w:t>
      </w:r>
      <w:r w:rsidRPr="00662EA6">
        <w:rPr>
          <w:rStyle w:val="StyleUnderline"/>
          <w:b/>
          <w:bCs/>
        </w:rPr>
        <w:t>Of course, if the judge had dined on waffles or Fruit Loops</w:t>
      </w:r>
      <w:r w:rsidRPr="00662EA6">
        <w:rPr>
          <w:sz w:val="16"/>
        </w:rPr>
        <w:t xml:space="preserve"> (as often seemed to be the case), </w:t>
      </w:r>
      <w:r w:rsidRPr="00662EA6">
        <w:rPr>
          <w:rStyle w:val="Emphasis"/>
        </w:rPr>
        <w:t>all bets were off</w:t>
      </w:r>
      <w:r w:rsidRPr="00662EA6">
        <w:rPr>
          <w:sz w:val="16"/>
        </w:rPr>
        <w:t>.99</w:t>
      </w:r>
    </w:p>
    <w:p w14:paraId="1DD7E8CA" w14:textId="41E71D03" w:rsidR="00CC14CB" w:rsidRDefault="00CC14CB" w:rsidP="00CC14CB">
      <w:pPr>
        <w:pStyle w:val="Heading4"/>
      </w:pPr>
      <w:r>
        <w:t>1984 is when Congress created the federal sentencing guidelines and implemented the first phase of federal determinate sentencing</w:t>
      </w:r>
    </w:p>
    <w:p w14:paraId="7F0A5456" w14:textId="77777777" w:rsidR="00CC14CB" w:rsidRPr="00C04E19" w:rsidRDefault="00CC14CB" w:rsidP="00CC14CB">
      <w:pPr>
        <w:rPr>
          <w:rStyle w:val="Style13ptBold"/>
          <w:b w:val="0"/>
          <w:bCs w:val="0"/>
        </w:rPr>
      </w:pPr>
      <w:r w:rsidRPr="006F29EF">
        <w:rPr>
          <w:rStyle w:val="Style13ptBold"/>
          <w:b w:val="0"/>
          <w:bCs w:val="0"/>
          <w:sz w:val="16"/>
          <w:szCs w:val="16"/>
        </w:rPr>
        <w:t>Congressional Research Service</w:t>
      </w:r>
      <w:r>
        <w:rPr>
          <w:rStyle w:val="Style13ptBold"/>
          <w:b w:val="0"/>
          <w:bCs w:val="0"/>
        </w:rPr>
        <w:t xml:space="preserve"> </w:t>
      </w:r>
      <w:r>
        <w:rPr>
          <w:rStyle w:val="Style13ptBold"/>
        </w:rPr>
        <w:t>CRS ’09</w:t>
      </w:r>
      <w:r w:rsidRPr="006F29EF">
        <w:rPr>
          <w:rStyle w:val="Style13ptBold"/>
          <w:b w:val="0"/>
          <w:bCs w:val="0"/>
          <w:sz w:val="16"/>
          <w:szCs w:val="16"/>
        </w:rPr>
        <w:t>, known as Congress's think tank, is a public policy research institute of the United States Congress, “Federal Sentencing Guidelines: Background, Legal Analysis, and Policy Options”, February 9 2005-March 16 2009, EveryCRSReport.com, https://www.everycrsreport.com/reports/RL32766.html</w:t>
      </w:r>
    </w:p>
    <w:p w14:paraId="40628011" w14:textId="566B7154" w:rsidR="00CC14CB" w:rsidRPr="00CC14CB" w:rsidRDefault="00CC14CB" w:rsidP="00CC14CB">
      <w:pPr>
        <w:rPr>
          <w:sz w:val="16"/>
        </w:rPr>
      </w:pPr>
      <w:r w:rsidRPr="00CC14CB">
        <w:rPr>
          <w:rStyle w:val="StyleUnderline"/>
        </w:rPr>
        <w:t>In 1984, Congress passed legislation that led to the creation of federal sentencing guidelines</w:t>
      </w:r>
      <w:r w:rsidRPr="00CC14CB">
        <w:rPr>
          <w:sz w:val="16"/>
        </w:rPr>
        <w:t xml:space="preserve">. </w:t>
      </w:r>
      <w:r w:rsidRPr="00CC14CB">
        <w:rPr>
          <w:rStyle w:val="StyleUnderline"/>
        </w:rPr>
        <w:t>The Sentencing Reform Act of 1984</w:t>
      </w:r>
      <w:r w:rsidRPr="00CC14CB">
        <w:rPr>
          <w:sz w:val="16"/>
        </w:rPr>
        <w:t xml:space="preserve"> (Chapter II of the Comprehensive Crime Control Act of 1984; P.L. 98-473), in essence, </w:t>
      </w:r>
      <w:r w:rsidRPr="00CC14CB">
        <w:rPr>
          <w:rStyle w:val="Emphasis"/>
        </w:rPr>
        <w:t>eliminated</w:t>
      </w:r>
      <w:r w:rsidRPr="00CC14CB">
        <w:rPr>
          <w:rStyle w:val="StyleUnderline"/>
          <w:b/>
          <w:bCs/>
        </w:rPr>
        <w:t xml:space="preserve"> indeterminate sentencing at the federal level</w:t>
      </w:r>
      <w:r w:rsidRPr="00CC14CB">
        <w:rPr>
          <w:sz w:val="16"/>
        </w:rPr>
        <w:t xml:space="preserve">. </w:t>
      </w:r>
      <w:r w:rsidRPr="00CC14CB">
        <w:rPr>
          <w:rStyle w:val="StyleUnderline"/>
        </w:rPr>
        <w:t>The act created the United States Sentencing Commission, an independent body within the judicial branch of the federal government and charged it with promulgating guidelines for federal sentencing</w:t>
      </w:r>
      <w:r w:rsidRPr="00CC14CB">
        <w:rPr>
          <w:sz w:val="16"/>
        </w:rPr>
        <w:t xml:space="preserve">. The purpose of the Commission was to examine unwarranted disparity in federal sentencing policy, among other things.14 In establishing sentencing guidelines for federal judges, </w:t>
      </w:r>
      <w:r w:rsidRPr="00CC14CB">
        <w:rPr>
          <w:rStyle w:val="StyleUnderline"/>
        </w:rPr>
        <w:t>the Commission took into consideration factors such as (1) the nature and degree of harm caused by the offense; (2) the offender's prior record; (3) public views of the gravity of the offense; (4) the deterrent effect of a particular sentence; and (5) aggravating or mitigating circumstances</w:t>
      </w:r>
      <w:r w:rsidRPr="00CC14CB">
        <w:rPr>
          <w:sz w:val="16"/>
        </w:rPr>
        <w:t>.15 In addition to these factors, the Commission also considered characteristics of the offender, such as age, education, vocational skills, and mental or emotional state, among other things.16 Prior to the Booker decision (discussed below), the guidelines were binding.17 In summary</w:t>
      </w:r>
      <w:r w:rsidRPr="00CC14CB">
        <w:rPr>
          <w:rStyle w:val="StyleUnderline"/>
          <w:b/>
          <w:bCs/>
        </w:rPr>
        <w:t>, the Sentencing Reform Act reformed the federal sentencing system in the following ways</w:t>
      </w:r>
      <w:r w:rsidRPr="00CC14CB">
        <w:rPr>
          <w:sz w:val="16"/>
        </w:rPr>
        <w:t xml:space="preserve">: It </w:t>
      </w:r>
      <w:r w:rsidRPr="00CC14CB">
        <w:rPr>
          <w:rStyle w:val="StyleUnderline"/>
        </w:rPr>
        <w:t>abandoned one of the traditional goals of punishment, rehabilitation, and asserted the following goals: retribution, education, deterrence and incapacitation</w:t>
      </w:r>
      <w:r w:rsidRPr="00CC14CB">
        <w:rPr>
          <w:sz w:val="16"/>
        </w:rPr>
        <w:t xml:space="preserve">.18 It </w:t>
      </w:r>
      <w:r w:rsidRPr="00CC14CB">
        <w:rPr>
          <w:rStyle w:val="StyleUnderline"/>
        </w:rPr>
        <w:t>consolidated the power that had been exercised by judges and the U.S. Parole Board to decide the type of punishment and its length by abolishing paroles and creating the U.S. Sentencing Commission and charging it with establishing sentencing guidelines</w:t>
      </w:r>
      <w:r w:rsidRPr="00CC14CB">
        <w:rPr>
          <w:sz w:val="16"/>
        </w:rPr>
        <w:t xml:space="preserve">.19 It </w:t>
      </w:r>
      <w:r w:rsidRPr="00CC14CB">
        <w:rPr>
          <w:rStyle w:val="StyleUnderline"/>
        </w:rPr>
        <w:t>made all federal sentences determinate</w:t>
      </w:r>
      <w:r w:rsidRPr="00CC14CB">
        <w:rPr>
          <w:sz w:val="16"/>
        </w:rPr>
        <w:t xml:space="preserve">.20 It </w:t>
      </w:r>
      <w:r w:rsidRPr="00CC14CB">
        <w:rPr>
          <w:rStyle w:val="StyleUnderline"/>
        </w:rPr>
        <w:t>authorized appellate review of sentences in which the judge departed from the guidelines</w:t>
      </w:r>
      <w:r w:rsidRPr="00CC14CB">
        <w:rPr>
          <w:sz w:val="16"/>
        </w:rPr>
        <w:t xml:space="preserve">21 </w:t>
      </w:r>
      <w:r w:rsidRPr="00CC14CB">
        <w:rPr>
          <w:rStyle w:val="StyleUnderline"/>
        </w:rPr>
        <w:t>and review of other sentences under certain circumstances</w:t>
      </w:r>
      <w:r w:rsidRPr="00CC14CB">
        <w:rPr>
          <w:sz w:val="16"/>
        </w:rPr>
        <w:t>. 22</w:t>
      </w:r>
    </w:p>
    <w:p w14:paraId="11C58185" w14:textId="77777777" w:rsidR="00CC14CB" w:rsidRDefault="00CC14CB" w:rsidP="00CC14CB">
      <w:pPr>
        <w:pStyle w:val="Heading4"/>
      </w:pPr>
      <w:r>
        <w:t xml:space="preserve">Congressional reform started with the intent on eliminating disparities in sentencing for a variety of reasons – mostly just that the indeterminate, ad hoc system wasn’t effective – from my read, it seems we have started to come full circle in the legal language back to this period so CP mechs could focus on making this more of a legislative thing to be controlled which would circumvent a lot of the solvency deficit debate – think about how to write the 2NC overviews for this </w:t>
      </w:r>
    </w:p>
    <w:p w14:paraId="6106732D" w14:textId="77777777" w:rsidR="00CC14CB" w:rsidRPr="00D94901" w:rsidRDefault="00CC14CB" w:rsidP="00CC14CB">
      <w:pPr>
        <w:rPr>
          <w:rStyle w:val="Style13ptBold"/>
          <w:b w:val="0"/>
          <w:bCs w:val="0"/>
        </w:rPr>
      </w:pPr>
      <w:r w:rsidRPr="00D94901">
        <w:rPr>
          <w:rStyle w:val="Style13ptBold"/>
          <w:b w:val="0"/>
          <w:bCs w:val="0"/>
          <w:sz w:val="16"/>
          <w:szCs w:val="16"/>
        </w:rPr>
        <w:t>Mark T.</w:t>
      </w:r>
      <w:r>
        <w:rPr>
          <w:rStyle w:val="Style13ptBold"/>
          <w:b w:val="0"/>
          <w:bCs w:val="0"/>
        </w:rPr>
        <w:t xml:space="preserve"> </w:t>
      </w:r>
      <w:r>
        <w:rPr>
          <w:rStyle w:val="Style13ptBold"/>
        </w:rPr>
        <w:t>Bailey ’04</w:t>
      </w:r>
      <w:r w:rsidRPr="00D94901">
        <w:rPr>
          <w:rStyle w:val="Style13ptBold"/>
          <w:b w:val="0"/>
          <w:bCs w:val="0"/>
          <w:sz w:val="16"/>
          <w:szCs w:val="16"/>
        </w:rPr>
        <w:t>, J.D. Candidate, The University of Iowa College of Law 2005, “Feeney's Folly: Why Appellate Courts Should Review Departures from the Federal Sentencing Guidelines with Deference”, 2004, 90 Iowa Law Review, accessed via HeinOnline</w:t>
      </w:r>
    </w:p>
    <w:p w14:paraId="3723193C" w14:textId="2F3D9C8A" w:rsidR="00CC14CB" w:rsidRPr="00483DC6" w:rsidRDefault="00CC14CB" w:rsidP="00CC14CB">
      <w:pPr>
        <w:rPr>
          <w:rStyle w:val="StyleUnderline"/>
        </w:rPr>
      </w:pPr>
      <w:r w:rsidRPr="00483DC6">
        <w:rPr>
          <w:rStyle w:val="StyleUnderline"/>
        </w:rPr>
        <w:t>Broad judicial discretion was a hallmark of the first 200 years of federal sentencing</w:t>
      </w:r>
      <w:r w:rsidRPr="00483DC6">
        <w:rPr>
          <w:sz w:val="16"/>
        </w:rPr>
        <w:t xml:space="preserve">.'9 </w:t>
      </w:r>
      <w:r w:rsidRPr="00483DC6">
        <w:rPr>
          <w:rStyle w:val="StyleUnderline"/>
          <w:b/>
          <w:bCs/>
        </w:rPr>
        <w:t>Before the implementation of the Guidelines, federal judges enjoyed an almost unfettered freedom to impose any sentence</w:t>
      </w:r>
      <w:r w:rsidRPr="00483DC6">
        <w:rPr>
          <w:sz w:val="16"/>
        </w:rPr>
        <w:t xml:space="preserve"> S 20</w:t>
      </w:r>
      <w:r w:rsidRPr="00483DC6">
        <w:rPr>
          <w:rStyle w:val="StyleUnderline"/>
          <w:b/>
          <w:bCs/>
        </w:rPr>
        <w:t>they found just, so long as the sentence was below the statutory maximum</w:t>
      </w:r>
      <w:r w:rsidRPr="00483DC6">
        <w:rPr>
          <w:sz w:val="16"/>
        </w:rPr>
        <w:t xml:space="preserve">. </w:t>
      </w:r>
      <w:r w:rsidRPr="00483DC6">
        <w:rPr>
          <w:rStyle w:val="StyleUnderline"/>
        </w:rPr>
        <w:t>There was no requirement that judges state reasons for their sentences</w:t>
      </w:r>
      <w:r w:rsidRPr="00483DC6">
        <w:rPr>
          <w:sz w:val="16"/>
        </w:rPr>
        <w:t xml:space="preserve">, 21 </w:t>
      </w:r>
      <w:r w:rsidRPr="00483DC6">
        <w:rPr>
          <w:rStyle w:val="StyleUnderline"/>
        </w:rPr>
        <w:t xml:space="preserve">and there was </w:t>
      </w:r>
      <w:r w:rsidRPr="00483DC6">
        <w:rPr>
          <w:sz w:val="16"/>
        </w:rPr>
        <w:t xml:space="preserve">22 </w:t>
      </w:r>
      <w:r w:rsidRPr="00483DC6">
        <w:rPr>
          <w:rStyle w:val="StyleUnderline"/>
        </w:rPr>
        <w:t>very little appellate review of sentences</w:t>
      </w:r>
      <w:r w:rsidRPr="00483DC6">
        <w:rPr>
          <w:sz w:val="16"/>
        </w:rPr>
        <w:t>.</w:t>
      </w:r>
      <w:r w:rsidR="00483DC6" w:rsidRPr="00483DC6">
        <w:rPr>
          <w:sz w:val="16"/>
        </w:rPr>
        <w:t xml:space="preserve"> </w:t>
      </w:r>
      <w:r w:rsidRPr="00483DC6">
        <w:rPr>
          <w:rStyle w:val="StyleUnderline"/>
        </w:rPr>
        <w:t>In the 1960s and 1970s, academics began to criticize this almost</w:t>
      </w:r>
      <w:r w:rsidRPr="00483DC6">
        <w:rPr>
          <w:sz w:val="16"/>
        </w:rPr>
        <w:t xml:space="preserve"> 23 </w:t>
      </w:r>
      <w:r w:rsidRPr="00483DC6">
        <w:rPr>
          <w:rStyle w:val="StyleUnderline"/>
        </w:rPr>
        <w:t>complete judicial discretion</w:t>
      </w:r>
      <w:r w:rsidRPr="00483DC6">
        <w:rPr>
          <w:sz w:val="16"/>
        </w:rPr>
        <w:t xml:space="preserve">. The critics noted that the system allowed two offenders with similar criminal histories to receive vasty different sentences for the same crime, depending upon whom they "drew" as a judge.2 4 </w:t>
      </w:r>
      <w:r w:rsidRPr="00483DC6">
        <w:rPr>
          <w:rStyle w:val="StyleUnderline"/>
          <w:b/>
          <w:bCs/>
        </w:rPr>
        <w:t>This criticism burgeoned into a strong, bipartisan sentencing reform movement</w:t>
      </w:r>
      <w:r w:rsidRPr="00483DC6">
        <w:rPr>
          <w:sz w:val="16"/>
        </w:rPr>
        <w:t>.</w:t>
      </w:r>
      <w:r w:rsidR="00483DC6" w:rsidRPr="00483DC6">
        <w:rPr>
          <w:sz w:val="16"/>
        </w:rPr>
        <w:t xml:space="preserve"> </w:t>
      </w:r>
      <w:r w:rsidRPr="00483DC6">
        <w:rPr>
          <w:sz w:val="16"/>
        </w:rPr>
        <w:t>Conservatives decried the sentencing system as too lenient on criminals who did not deserve leniency; liberals feared that unrestricted discretion allowed racial and other inappropriate biases to influence a judge's sentencing decisions; and conservatives and liberals alike were appalled by statistical studies that purported to demonstrate wide disparities in the sentences of similarly situated offenders.2 5</w:t>
      </w:r>
      <w:r w:rsidR="00483DC6" w:rsidRPr="00483DC6">
        <w:rPr>
          <w:sz w:val="16"/>
        </w:rPr>
        <w:t xml:space="preserve"> </w:t>
      </w:r>
      <w:r w:rsidRPr="00483DC6">
        <w:rPr>
          <w:sz w:val="16"/>
        </w:rPr>
        <w:t xml:space="preserve">Thus, </w:t>
      </w:r>
      <w:r w:rsidRPr="00483DC6">
        <w:rPr>
          <w:rStyle w:val="StyleUnderline"/>
          <w:b/>
          <w:bCs/>
        </w:rPr>
        <w:t>the overarching goal of the sentencing reform movement was to eliminate unwarranted sentencing disparities between similarly situated offenders</w:t>
      </w:r>
      <w:r w:rsidRPr="00483DC6">
        <w:rPr>
          <w:sz w:val="16"/>
        </w:rPr>
        <w:t xml:space="preserve">.2c </w:t>
      </w:r>
      <w:r w:rsidRPr="00483DC6">
        <w:rPr>
          <w:rStyle w:val="StyleUnderline"/>
        </w:rPr>
        <w:t>The reformers understood these disparities to result from two infirmities in traditional sentencing practice: the almost unfettered discretion assumed by sentencing judges, and a parole system that created</w:t>
      </w:r>
      <w:r w:rsidRPr="00483DC6">
        <w:rPr>
          <w:sz w:val="16"/>
        </w:rPr>
        <w:t xml:space="preserve"> 27 </w:t>
      </w:r>
      <w:r w:rsidRPr="00483DC6">
        <w:rPr>
          <w:rStyle w:val="StyleUnderline"/>
        </w:rPr>
        <w:t>further sentencing indeterminacy.</w:t>
      </w:r>
    </w:p>
    <w:p w14:paraId="588BE870" w14:textId="77777777" w:rsidR="00CC14CB" w:rsidRDefault="00CC14CB" w:rsidP="00CC14CB">
      <w:pPr>
        <w:pStyle w:val="Heading4"/>
      </w:pPr>
      <w:r>
        <w:t>How the sentencing guidelines are used (assuming mandatory status)</w:t>
      </w:r>
    </w:p>
    <w:p w14:paraId="0A610222" w14:textId="77777777" w:rsidR="00CC14CB" w:rsidRPr="00D94901" w:rsidRDefault="00CC14CB" w:rsidP="00CC14CB">
      <w:pPr>
        <w:rPr>
          <w:rStyle w:val="Style13ptBold"/>
          <w:b w:val="0"/>
          <w:bCs w:val="0"/>
        </w:rPr>
      </w:pPr>
      <w:r w:rsidRPr="00D94901">
        <w:rPr>
          <w:rStyle w:val="Style13ptBold"/>
          <w:b w:val="0"/>
          <w:bCs w:val="0"/>
          <w:sz w:val="16"/>
          <w:szCs w:val="16"/>
        </w:rPr>
        <w:t>Mark T.</w:t>
      </w:r>
      <w:r>
        <w:rPr>
          <w:rStyle w:val="Style13ptBold"/>
          <w:b w:val="0"/>
          <w:bCs w:val="0"/>
        </w:rPr>
        <w:t xml:space="preserve"> </w:t>
      </w:r>
      <w:r>
        <w:rPr>
          <w:rStyle w:val="Style13ptBold"/>
        </w:rPr>
        <w:t>Bailey ’04</w:t>
      </w:r>
      <w:r w:rsidRPr="00D94901">
        <w:rPr>
          <w:rStyle w:val="Style13ptBold"/>
          <w:b w:val="0"/>
          <w:bCs w:val="0"/>
          <w:sz w:val="16"/>
          <w:szCs w:val="16"/>
        </w:rPr>
        <w:t>, J.D. Candidate, The University of Iowa College of Law 2005, “Feeney's Folly: Why Appellate Courts Should Review Departures from the Federal Sentencing Guidelines with Deference”, 2004, 90 Iowa Law Review, accessed via HeinOnline</w:t>
      </w:r>
    </w:p>
    <w:p w14:paraId="4C88CFE6" w14:textId="3E1EC9F9" w:rsidR="00CC14CB" w:rsidRPr="006211CF" w:rsidRDefault="00CC14CB" w:rsidP="00CC14CB">
      <w:pPr>
        <w:rPr>
          <w:sz w:val="16"/>
        </w:rPr>
      </w:pPr>
      <w:r w:rsidRPr="006211CF">
        <w:rPr>
          <w:rStyle w:val="StyleUnderline"/>
        </w:rPr>
        <w:t>Sentencing under the Guidelines operates as follows</w:t>
      </w:r>
      <w:r w:rsidRPr="006211CF">
        <w:rPr>
          <w:sz w:val="16"/>
        </w:rPr>
        <w:t xml:space="preserve">. </w:t>
      </w:r>
      <w:r w:rsidRPr="006211CF">
        <w:rPr>
          <w:rStyle w:val="StyleUnderline"/>
        </w:rPr>
        <w:t>First, the judge, with the assistance of a probation officer, uses detailed instructions contained in the Guidelines to determine a numerical "criminal history category" and "offense level" for the offender." Next</w:t>
      </w:r>
      <w:r w:rsidRPr="006211CF">
        <w:rPr>
          <w:sz w:val="16"/>
        </w:rPr>
        <w:t xml:space="preserve">, as directed by the Guidelines, </w:t>
      </w:r>
      <w:r w:rsidRPr="006211CF">
        <w:rPr>
          <w:rStyle w:val="StyleUnderline"/>
        </w:rPr>
        <w:t>the judge applies certain upward or downward adjustments to the offense level and criminal history category</w:t>
      </w:r>
      <w:r w:rsidRPr="006211CF">
        <w:rPr>
          <w:sz w:val="16"/>
        </w:rPr>
        <w:t xml:space="preserve">.4' These </w:t>
      </w:r>
      <w:r w:rsidRPr="006211CF">
        <w:rPr>
          <w:rStyle w:val="StyleUnderline"/>
        </w:rPr>
        <w:t>adjustments pertain to</w:t>
      </w:r>
      <w:r w:rsidRPr="006211CF">
        <w:rPr>
          <w:sz w:val="16"/>
        </w:rPr>
        <w:t xml:space="preserve">, for example, </w:t>
      </w:r>
      <w:r w:rsidRPr="006211CF">
        <w:rPr>
          <w:rStyle w:val="StyleUnderline"/>
        </w:rPr>
        <w:t>special traits or behaviors of the victim or offender</w:t>
      </w:r>
      <w:r w:rsidRPr="006211CF">
        <w:rPr>
          <w:sz w:val="16"/>
        </w:rPr>
        <w:t xml:space="preserve">.2 </w:t>
      </w:r>
      <w:r w:rsidRPr="006211CF">
        <w:rPr>
          <w:rStyle w:val="StyleUnderline"/>
        </w:rPr>
        <w:t>Finally, the judge plots these numbers on the Federal Sentencing Grid</w:t>
      </w:r>
      <w:r w:rsidRPr="006211CF">
        <w:rPr>
          <w:sz w:val="16"/>
        </w:rPr>
        <w:t xml:space="preserve">, 4' </w:t>
      </w:r>
      <w:r w:rsidRPr="006211CF">
        <w:rPr>
          <w:rStyle w:val="StyleUnderline"/>
        </w:rPr>
        <w:t>which gives the judge a mandatory sentencing range</w:t>
      </w:r>
      <w:r w:rsidRPr="006211CF">
        <w:rPr>
          <w:sz w:val="16"/>
        </w:rPr>
        <w:t>. r The mandatory range consists of a minimum sentence and a maximum sentence that can exceed the minimum sentence by up to twenty-five percent.44</w:t>
      </w:r>
      <w:r w:rsidR="006211CF" w:rsidRPr="006211CF">
        <w:rPr>
          <w:sz w:val="16"/>
        </w:rPr>
        <w:t xml:space="preserve"> </w:t>
      </w:r>
      <w:r w:rsidRPr="006211CF">
        <w:rPr>
          <w:sz w:val="16"/>
        </w:rPr>
        <w:t xml:space="preserve">Because the goal of the Guidelines was to eliminate "unwarranted sentencing disparities,"45 </w:t>
      </w:r>
      <w:r w:rsidRPr="006211CF">
        <w:rPr>
          <w:rStyle w:val="StyleUnderline"/>
        </w:rPr>
        <w:t>Congress intended the Guidelines to allow departure from the mandatory range in certain circumstances</w:t>
      </w:r>
      <w:r w:rsidRPr="006211CF">
        <w:rPr>
          <w:sz w:val="16"/>
        </w:rPr>
        <w:t xml:space="preserve">. 6 </w:t>
      </w:r>
      <w:r w:rsidRPr="006211CF">
        <w:rPr>
          <w:rStyle w:val="StyleUnderline"/>
          <w:b/>
          <w:bCs/>
        </w:rPr>
        <w:t>To this end, the Sentencing Reform Act provides that a judge must impose a sentence within the range provided by the grid "unless the court finds that there exists an aggravating or mitigating circumstance of a kind, or to a degree, not adequately taken into consideration by the Sentencing Commission in formulating the guidelines that should result in a sentence different from that described.</w:t>
      </w:r>
      <w:r w:rsidRPr="006211CF">
        <w:rPr>
          <w:sz w:val="16"/>
        </w:rPr>
        <w:t xml:space="preserve">, 7 The Guidelines give substance to these words by directing judges to "treat each guideline as carving out a 'heartland,' a set of typical cases embodying the conduct that each guideline describes." 8 </w:t>
      </w:r>
      <w:r w:rsidRPr="006211CF">
        <w:rPr>
          <w:rStyle w:val="StyleUnderline"/>
        </w:rPr>
        <w:t>The Guidelines continue, "when a court finds an atypical case, one to which a particular guideline linguistically applies but where conduct significantly differs from the norm, the court may consider whether a departure is warranted."</w:t>
      </w:r>
      <w:r w:rsidRPr="006211CF">
        <w:rPr>
          <w:sz w:val="16"/>
        </w:rPr>
        <w:t xml:space="preserve"> 49</w:t>
      </w:r>
      <w:r w:rsidR="006211CF" w:rsidRPr="006211CF">
        <w:rPr>
          <w:sz w:val="16"/>
        </w:rPr>
        <w:t xml:space="preserve"> </w:t>
      </w:r>
      <w:r w:rsidRPr="006211CF">
        <w:rPr>
          <w:sz w:val="16"/>
        </w:rPr>
        <w:t xml:space="preserve">The Guidelines provide substantial guidance to courts attempting to decide whether an offender's conduct "significantly differs from the norm." 0 As a general matter, </w:t>
      </w:r>
      <w:r w:rsidRPr="006211CF">
        <w:rPr>
          <w:rStyle w:val="Emphasis"/>
        </w:rPr>
        <w:t>the Guidelines discourage departure</w:t>
      </w:r>
      <w:r w:rsidRPr="006211CF">
        <w:rPr>
          <w:sz w:val="16"/>
        </w:rPr>
        <w:t xml:space="preserve">."' </w:t>
      </w:r>
      <w:r w:rsidRPr="006211CF">
        <w:rPr>
          <w:rStyle w:val="StyleUnderline"/>
        </w:rPr>
        <w:t>Judges are categorically prohibited from considering some factors when making departure decisions</w:t>
      </w:r>
      <w:r w:rsidRPr="006211CF">
        <w:rPr>
          <w:sz w:val="16"/>
        </w:rPr>
        <w:t>. T</w:t>
      </w:r>
      <w:r w:rsidRPr="006211CF">
        <w:rPr>
          <w:rStyle w:val="StyleUnderline"/>
          <w:b/>
          <w:bCs/>
        </w:rPr>
        <w:t>hese factors include the race, sex, national origin, creed, religion, and socio-economic status of the offender</w:t>
      </w:r>
      <w:r w:rsidRPr="006211CF">
        <w:rPr>
          <w:sz w:val="16"/>
        </w:rPr>
        <w:t xml:space="preserve">. 2 </w:t>
      </w:r>
      <w:r w:rsidRPr="006211CF">
        <w:rPr>
          <w:rStyle w:val="StyleUnderline"/>
          <w:b/>
          <w:bCs/>
        </w:rPr>
        <w:t xml:space="preserve">Also absolutely excluded from the court's consideration are such factors as the offender's </w:t>
      </w:r>
      <w:r w:rsidRPr="006211CF">
        <w:rPr>
          <w:sz w:val="16"/>
        </w:rPr>
        <w:t xml:space="preserve">54 </w:t>
      </w:r>
      <w:r w:rsidRPr="006211CF">
        <w:rPr>
          <w:rStyle w:val="StyleUnderline"/>
          <w:b/>
          <w:bCs/>
        </w:rPr>
        <w:t>lack of guidance as a youth," physical condition or appearance, drug or alcohol dependence,</w:t>
      </w:r>
      <w:r w:rsidRPr="006211CF">
        <w:rPr>
          <w:sz w:val="16"/>
        </w:rPr>
        <w:t xml:space="preserve"> 5 </w:t>
      </w:r>
      <w:r w:rsidRPr="006211CF">
        <w:rPr>
          <w:rStyle w:val="StyleUnderline"/>
          <w:b/>
          <w:bCs/>
        </w:rPr>
        <w:t>and economic hardship</w:t>
      </w:r>
      <w:r w:rsidRPr="006211CF">
        <w:rPr>
          <w:sz w:val="16"/>
        </w:rPr>
        <w:t>. 6</w:t>
      </w:r>
      <w:r w:rsidR="006211CF" w:rsidRPr="006211CF">
        <w:rPr>
          <w:sz w:val="16"/>
        </w:rPr>
        <w:t xml:space="preserve"> </w:t>
      </w:r>
      <w:r w:rsidRPr="006211CF">
        <w:rPr>
          <w:rStyle w:val="StyleUnderline"/>
        </w:rPr>
        <w:t>The Guidelines divide the world of permitted departures into two 57 groups: guided and unguided departures</w:t>
      </w:r>
      <w:r w:rsidRPr="006211CF">
        <w:rPr>
          <w:sz w:val="16"/>
        </w:rPr>
        <w:t xml:space="preserve">. The first group, </w:t>
      </w:r>
      <w:r w:rsidRPr="006211CF">
        <w:rPr>
          <w:rStyle w:val="StyleUnderline"/>
        </w:rPr>
        <w:t>guided departures, consists of departures based on factors that the Guidelines either encourage or discourage as grounds for departure</w:t>
      </w:r>
      <w:r w:rsidRPr="006211CF">
        <w:rPr>
          <w:sz w:val="16"/>
        </w:rPr>
        <w:t xml:space="preserve">.5 8 </w:t>
      </w:r>
      <w:r w:rsidRPr="006211CF">
        <w:rPr>
          <w:rStyle w:val="StyleUnderline"/>
        </w:rPr>
        <w:t>Encouraged departures are those that the Commission recognizes may not adequately be taken into account by the Guidelines' criminal history and offense categories and adjustments</w:t>
      </w:r>
      <w:r w:rsidRPr="006211CF">
        <w:rPr>
          <w:sz w:val="16"/>
        </w:rPr>
        <w:t xml:space="preserve">. 59 The </w:t>
      </w:r>
      <w:r w:rsidRPr="006211CF">
        <w:rPr>
          <w:rStyle w:val="StyleUnderline"/>
        </w:rPr>
        <w:t>Guidelines list twelve encouraged factors for upward</w:t>
      </w:r>
      <w:r w:rsidRPr="006211CF">
        <w:rPr>
          <w:sz w:val="16"/>
        </w:rPr>
        <w:t xml:space="preserve"> departures </w:t>
      </w:r>
      <w:r w:rsidRPr="006211CF">
        <w:rPr>
          <w:rStyle w:val="StyleUnderline"/>
        </w:rPr>
        <w:t>and five encouraged factors for downward</w:t>
      </w:r>
      <w:r w:rsidRPr="006211CF">
        <w:rPr>
          <w:sz w:val="16"/>
        </w:rPr>
        <w:t xml:space="preserve"> departures. 0 In the event that the encouraged factor is taken into account by another applicable Guideline section, "departure [from the applicable guideline range] is warranted only if the factor is present to a degree substantially in excess of that which ordinarily is involved in the offense.”61</w:t>
      </w:r>
      <w:r w:rsidR="006211CF" w:rsidRPr="006211CF">
        <w:rPr>
          <w:sz w:val="16"/>
        </w:rPr>
        <w:t xml:space="preserve"> </w:t>
      </w:r>
      <w:r w:rsidRPr="006211CF">
        <w:rPr>
          <w:rStyle w:val="StyleUnderline"/>
        </w:rPr>
        <w:t>Discouraged factors are those factors that the Commission has decided will not ordinarily be appropriate grounds for departure. Examples of discouraged factors include physical condition, including illness and drug</w:t>
      </w:r>
      <w:r w:rsidRPr="006211CF">
        <w:rPr>
          <w:sz w:val="16"/>
        </w:rPr>
        <w:t xml:space="preserve"> 62 63 </w:t>
      </w:r>
      <w:r w:rsidRPr="006211CF">
        <w:rPr>
          <w:rStyle w:val="StyleUnderline"/>
        </w:rPr>
        <w:t>and alcohol dependence, and family ties and responsibilitie</w:t>
      </w:r>
      <w:r w:rsidRPr="006211CF">
        <w:rPr>
          <w:sz w:val="16"/>
        </w:rPr>
        <w:t>s. These factors warrant departure "only if the factor is present to an exceptional degree or in some other way makes the case different from the ordinary case where the factor is present. 64</w:t>
      </w:r>
      <w:r w:rsidR="006211CF" w:rsidRPr="006211CF">
        <w:rPr>
          <w:sz w:val="16"/>
        </w:rPr>
        <w:t xml:space="preserve"> </w:t>
      </w:r>
      <w:r w:rsidRPr="006211CF">
        <w:rPr>
          <w:sz w:val="16"/>
        </w:rPr>
        <w:t xml:space="preserve">The second group of departures, </w:t>
      </w:r>
      <w:r w:rsidRPr="006211CF">
        <w:rPr>
          <w:rStyle w:val="StyleUnderline"/>
        </w:rPr>
        <w:t>unguided departures, are neither encouraged nor discouraged by the Guidelines</w:t>
      </w:r>
      <w:r w:rsidRPr="006211CF">
        <w:rPr>
          <w:sz w:val="16"/>
        </w:rPr>
        <w:t xml:space="preserve">. They are covered by Guideline 5K2.0, which provides for departure if the court finds "that there exists an aggravating or mitigating circumstance... of a kind, or to a degree, not adequately taken into consideration by the Sentencing Commission in formulating the guidelines that.., should result in a sentence different from that described."65 </w:t>
      </w:r>
      <w:r w:rsidRPr="006211CF">
        <w:rPr>
          <w:rStyle w:val="StyleUnderline"/>
        </w:rPr>
        <w:t>The Guidelines provide that unguided departures "will occur rarely and only in exceptional cases.</w:t>
      </w:r>
      <w:r w:rsidRPr="006211CF">
        <w:rPr>
          <w:sz w:val="16"/>
        </w:rPr>
        <w:t xml:space="preserve"> "66</w:t>
      </w:r>
    </w:p>
    <w:p w14:paraId="36663C06" w14:textId="19BB891E" w:rsidR="00CC14CB" w:rsidRDefault="00CC14CB" w:rsidP="00CC14CB">
      <w:pPr>
        <w:pStyle w:val="Heading4"/>
      </w:pPr>
      <w:r>
        <w:t xml:space="preserve">The sentencing commission massively </w:t>
      </w:r>
      <w:r w:rsidR="006211CF">
        <w:t>messed up</w:t>
      </w:r>
      <w:r>
        <w:t xml:space="preserve"> the creation of the guidelines due to the insistence on “not trusting judges”, disagreements about what “theory of punishment to follow”, and no agreement on how to take into account context but balance uniformity – they just seemed to arbitrarily increase sentences across the board with rapid escalation for certain crimes (white collar, drug, violent)</w:t>
      </w:r>
    </w:p>
    <w:p w14:paraId="0B197C10" w14:textId="77777777" w:rsidR="00CC14CB" w:rsidRPr="001118F0" w:rsidRDefault="00CC14CB" w:rsidP="00CC14CB">
      <w:pPr>
        <w:rPr>
          <w:rStyle w:val="Style13ptBold"/>
          <w:b w:val="0"/>
          <w:bCs w:val="0"/>
        </w:rPr>
      </w:pPr>
      <w:r w:rsidRPr="001118F0">
        <w:rPr>
          <w:rStyle w:val="Style13ptBold"/>
          <w:b w:val="0"/>
          <w:bCs w:val="0"/>
          <w:sz w:val="16"/>
          <w:szCs w:val="16"/>
        </w:rPr>
        <w:t>Erik</w:t>
      </w:r>
      <w:r>
        <w:rPr>
          <w:rStyle w:val="Style13ptBold"/>
          <w:b w:val="0"/>
          <w:bCs w:val="0"/>
        </w:rPr>
        <w:t xml:space="preserve"> </w:t>
      </w:r>
      <w:r>
        <w:rPr>
          <w:rStyle w:val="Style13ptBold"/>
        </w:rPr>
        <w:t>Luna ’05</w:t>
      </w:r>
      <w:r w:rsidRPr="001118F0">
        <w:rPr>
          <w:rStyle w:val="Style13ptBold"/>
          <w:b w:val="0"/>
          <w:bCs w:val="0"/>
          <w:sz w:val="16"/>
          <w:szCs w:val="16"/>
        </w:rPr>
        <w:t xml:space="preserve">, Hugh B. Brown Presidential Endowed Chair in Law and Professor of Law, University of Utah S.J. Quinney College of Law, “Gridland: An Allegorical Critique of Federal Sentencing”, Fall 2005, Northwestern University of Law Journal of Criminal Law and Criminology, Vol. 96, Issue 1 – </w:t>
      </w:r>
      <w:r w:rsidRPr="001118F0">
        <w:rPr>
          <w:rStyle w:val="Style13ptBold"/>
          <w:b w:val="0"/>
          <w:bCs w:val="0"/>
          <w:i/>
          <w:iCs/>
          <w:sz w:val="16"/>
          <w:szCs w:val="16"/>
        </w:rPr>
        <w:t>Fall</w:t>
      </w:r>
      <w:r w:rsidRPr="001118F0">
        <w:rPr>
          <w:rStyle w:val="Style13ptBold"/>
          <w:b w:val="0"/>
          <w:bCs w:val="0"/>
          <w:sz w:val="16"/>
          <w:szCs w:val="16"/>
        </w:rPr>
        <w:t>, Article 2, https://scholarlycommons.law.northwestern.edu/cgi/viewcontent.cgi?article=7216&amp;context=jclc</w:t>
      </w:r>
    </w:p>
    <w:p w14:paraId="39681317" w14:textId="5CF631E0" w:rsidR="00CC14CB" w:rsidRPr="006211CF" w:rsidRDefault="00CC14CB" w:rsidP="00CC14CB">
      <w:pPr>
        <w:rPr>
          <w:sz w:val="16"/>
        </w:rPr>
      </w:pPr>
      <w:r w:rsidRPr="006211CF">
        <w:rPr>
          <w:sz w:val="16"/>
        </w:rPr>
        <w:t xml:space="preserve">Some two decades ago, </w:t>
      </w:r>
      <w:r w:rsidRPr="006211CF">
        <w:rPr>
          <w:rStyle w:val="StyleUnderline"/>
        </w:rPr>
        <w:t>this vision became a reality with the passage of the Sentencing Reform Act of 1984</w:t>
      </w:r>
      <w:r w:rsidRPr="006211CF">
        <w:rPr>
          <w:sz w:val="16"/>
        </w:rPr>
        <w:t xml:space="preserve">.08 Echoing the statements of Frankel and others, </w:t>
      </w:r>
      <w:r w:rsidRPr="006211CF">
        <w:rPr>
          <w:rStyle w:val="StyleUnderline"/>
        </w:rPr>
        <w:t>Congress demonstrated a supreme suspicion and even fear of judges. "The present problem with disparity in sentencing," argued one senator, "stems precisely from the failure of federal judges</w:t>
      </w:r>
      <w:r w:rsidRPr="006211CF">
        <w:rPr>
          <w:sz w:val="16"/>
        </w:rPr>
        <w:t xml:space="preserve"> .... </w:t>
      </w:r>
      <w:r w:rsidRPr="006211CF">
        <w:rPr>
          <w:rStyle w:val="StyleUnderline"/>
        </w:rPr>
        <w:t>There is little reason to believe that judges will now begin to do what they have failed to do in the past</w:t>
      </w:r>
      <w:r w:rsidRPr="006211CF">
        <w:rPr>
          <w:sz w:val="16"/>
        </w:rPr>
        <w:t xml:space="preserve">."' 0 9 A dissenting senator paraphrased the debate as "judges cannot be trusted. You cannot trust a judge.., you must not trust a judge." 0 </w:t>
      </w:r>
      <w:r w:rsidRPr="006211CF">
        <w:rPr>
          <w:rStyle w:val="StyleUnderline"/>
        </w:rPr>
        <w:t>The legislative history materialized in parts as a calumnious rant against the courts, that judges were the problem and needed to be severely disciplined."</w:t>
      </w:r>
      <w:r w:rsidRPr="006211CF">
        <w:rPr>
          <w:sz w:val="16"/>
        </w:rPr>
        <w:t xml:space="preserve">' (All that seemed to be missing was a floor tirade from Rep. Elmer Fudd about those "wascawwy wabbits.") </w:t>
      </w:r>
      <w:r w:rsidRPr="006211CF">
        <w:rPr>
          <w:rStyle w:val="StyleUnderline"/>
        </w:rPr>
        <w:t>Given the dubious premise of the Sentencing Reform Act, it is not altogether surprising that the legislation introduced a lengthy, potentially conflicting list of targets and constraints</w:t>
      </w:r>
      <w:r w:rsidRPr="006211CF">
        <w:rPr>
          <w:sz w:val="16"/>
        </w:rPr>
        <w:t xml:space="preserve">, 1 2 </w:t>
      </w:r>
      <w:r w:rsidRPr="006211CF">
        <w:rPr>
          <w:rStyle w:val="StyleUnderline"/>
        </w:rPr>
        <w:t>with the "first and foremost goal" of eliminating disparity by requiring uniformity in punishment."</w:t>
      </w:r>
      <w:r w:rsidRPr="006211CF">
        <w:rPr>
          <w:sz w:val="16"/>
        </w:rPr>
        <w:t>3 Toward this objective, indeterminate sentencing in the federal system was brought to an end, eliminating parole and compelling judges to fix an exact sentence (less a small discount for good behavior in prison) that could be reviewed on appeal. The Act also fulfilled Judge Frankel's dream of an agency on punishment, launching an "independent commission in the judicial branch," the U.S. Sentencing Commission, to create and disseminate guidelines that reined in judicial discretion through relatively tight ranges of punishment. 14</w:t>
      </w:r>
      <w:r w:rsidR="006211CF" w:rsidRPr="006211CF">
        <w:rPr>
          <w:sz w:val="16"/>
        </w:rPr>
        <w:t xml:space="preserve"> </w:t>
      </w:r>
      <w:r w:rsidRPr="006211CF">
        <w:rPr>
          <w:rStyle w:val="StyleUnderline"/>
          <w:b/>
          <w:bCs/>
        </w:rPr>
        <w:t>The Commission had only eighteen months to complete its assignment, one that was hindered by the sometimes muddled legislative directives, as well as internal disagreement over the importance and function of punishment theory-all while outside detractors were berating the project as foolhardy and unconstitutional</w:t>
      </w:r>
      <w:r w:rsidRPr="006211CF">
        <w:rPr>
          <w:sz w:val="16"/>
        </w:rPr>
        <w:t xml:space="preserve">. </w:t>
      </w:r>
      <w:r w:rsidRPr="006211CF">
        <w:rPr>
          <w:rStyle w:val="Emphasis"/>
        </w:rPr>
        <w:t>The resulting work product, the U.S. Sentencing Guidelines, could not help but be warped by the time limit, uncertainties of language, disagreement over philosophy, and an illconceived institutional process</w:t>
      </w:r>
      <w:r w:rsidRPr="006211CF">
        <w:rPr>
          <w:sz w:val="16"/>
        </w:rPr>
        <w:t xml:space="preserve">. For instance, the commissioners clashed over the appropriate model-one focused on utilitarian "crime control" or another linked to retributive assessments of harm-and with time running out, the Commission decided not to decide, resolving that the Guidelines would not adopt any theory of punishment but instead would rely upon a statistical review of past sentences. Yet for whatever reason, 1 5 </w:t>
      </w:r>
      <w:r w:rsidRPr="006211CF">
        <w:rPr>
          <w:rStyle w:val="StyleUnderline"/>
          <w:b/>
          <w:bCs/>
        </w:rPr>
        <w:t>the Guidelines adopted a hyperdeterministic, incremental-harm approach that no sane theory demands-generating significant swings in punishment with seemingly trivial changes in fact'</w:t>
      </w:r>
      <w:r w:rsidRPr="006211CF">
        <w:rPr>
          <w:sz w:val="16"/>
        </w:rPr>
        <w:t xml:space="preserve"> 1 6 -- </w:t>
      </w:r>
      <w:r w:rsidRPr="006211CF">
        <w:rPr>
          <w:rStyle w:val="StyleUnderline"/>
          <w:b/>
          <w:bCs/>
        </w:rPr>
        <w:t>and in so doing, the system discarded the historical wisdom of theoretically eclectic, context-sensitive punishment</w:t>
      </w:r>
      <w:r w:rsidRPr="006211CF">
        <w:rPr>
          <w:sz w:val="16"/>
        </w:rPr>
        <w:t xml:space="preserve">. As for the empirically guided assessment of punishment, </w:t>
      </w:r>
      <w:r w:rsidRPr="006211CF">
        <w:rPr>
          <w:rStyle w:val="Emphasis"/>
        </w:rPr>
        <w:t>the Guidelines simply increased the average sentences across-the-board, with a sizeable escalation for white-collar and drug crimes</w:t>
      </w:r>
      <w:r w:rsidRPr="006211CF">
        <w:rPr>
          <w:sz w:val="16"/>
        </w:rPr>
        <w:t xml:space="preserve">. 1 7 </w:t>
      </w:r>
      <w:r w:rsidRPr="006211CF">
        <w:rPr>
          <w:rStyle w:val="StyleUnderline"/>
          <w:b/>
          <w:bCs/>
        </w:rPr>
        <w:t>Likewise, violent offenses received boosts in punishment "where the Commission was convinced that they were inadequate," although it failed to detail exactly what made a sentence "inadequate" and why the Commission was "convinced" of such deficiency for a given crime</w:t>
      </w:r>
      <w:r w:rsidRPr="006211CF">
        <w:rPr>
          <w:sz w:val="16"/>
        </w:rPr>
        <w:t>. 18</w:t>
      </w:r>
    </w:p>
    <w:p w14:paraId="736EF815" w14:textId="2F6C35D6" w:rsidR="00CC14CB" w:rsidRDefault="00CC14CB" w:rsidP="00CC14CB">
      <w:pPr>
        <w:pStyle w:val="Heading4"/>
      </w:pPr>
      <w:r>
        <w:t>Some think that problem with federal sentencing guidelines is that it transforms humans into numbers which takes out the human element and leads to crueler understandings of criminality and that Congress should just stop trying to create standards for incarceration</w:t>
      </w:r>
    </w:p>
    <w:p w14:paraId="03303EBC" w14:textId="77777777" w:rsidR="00CC14CB" w:rsidRPr="001118F0" w:rsidRDefault="00CC14CB" w:rsidP="00CC14CB">
      <w:pPr>
        <w:rPr>
          <w:rStyle w:val="Style13ptBold"/>
          <w:b w:val="0"/>
          <w:bCs w:val="0"/>
        </w:rPr>
      </w:pPr>
      <w:r w:rsidRPr="001118F0">
        <w:rPr>
          <w:rStyle w:val="Style13ptBold"/>
          <w:b w:val="0"/>
          <w:bCs w:val="0"/>
          <w:sz w:val="16"/>
          <w:szCs w:val="16"/>
        </w:rPr>
        <w:t>Erik</w:t>
      </w:r>
      <w:r>
        <w:rPr>
          <w:rStyle w:val="Style13ptBold"/>
          <w:b w:val="0"/>
          <w:bCs w:val="0"/>
        </w:rPr>
        <w:t xml:space="preserve"> </w:t>
      </w:r>
      <w:r>
        <w:rPr>
          <w:rStyle w:val="Style13ptBold"/>
        </w:rPr>
        <w:t>Luna ’05</w:t>
      </w:r>
      <w:r w:rsidRPr="001118F0">
        <w:rPr>
          <w:rStyle w:val="Style13ptBold"/>
          <w:b w:val="0"/>
          <w:bCs w:val="0"/>
          <w:sz w:val="16"/>
          <w:szCs w:val="16"/>
        </w:rPr>
        <w:t xml:space="preserve">, Hugh B. Brown Presidential Endowed Chair in Law and Professor of Law, University of Utah S.J. Quinney College of Law, “Gridland: An Allegorical Critique of Federal Sentencing”, Fall 2005, Northwestern University of Law Journal of Criminal Law and Criminology, Vol. 96, Issue 1 – </w:t>
      </w:r>
      <w:r w:rsidRPr="001118F0">
        <w:rPr>
          <w:rStyle w:val="Style13ptBold"/>
          <w:b w:val="0"/>
          <w:bCs w:val="0"/>
          <w:i/>
          <w:iCs/>
          <w:sz w:val="16"/>
          <w:szCs w:val="16"/>
        </w:rPr>
        <w:t>Fall</w:t>
      </w:r>
      <w:r w:rsidRPr="001118F0">
        <w:rPr>
          <w:rStyle w:val="Style13ptBold"/>
          <w:b w:val="0"/>
          <w:bCs w:val="0"/>
          <w:sz w:val="16"/>
          <w:szCs w:val="16"/>
        </w:rPr>
        <w:t>, Article 2, https://scholarlycommons.law.northwestern.edu/cgi/viewcontent.cgi?article=7216&amp;context=jclc</w:t>
      </w:r>
    </w:p>
    <w:p w14:paraId="7256FFC4" w14:textId="5546E55D" w:rsidR="00CC14CB" w:rsidRPr="008D22FB" w:rsidRDefault="00CC14CB" w:rsidP="00CC14CB">
      <w:pPr>
        <w:rPr>
          <w:sz w:val="16"/>
        </w:rPr>
      </w:pPr>
      <w:r w:rsidRPr="006211CF">
        <w:rPr>
          <w:rStyle w:val="StyleUnderline"/>
        </w:rPr>
        <w:t>Under the Guidelines, judges thus confront defendants as numbers rather than as human beings</w:t>
      </w:r>
      <w:r w:rsidRPr="008D22FB">
        <w:rPr>
          <w:sz w:val="16"/>
        </w:rPr>
        <w:t xml:space="preserve">. </w:t>
      </w:r>
      <w:r w:rsidRPr="006211CF">
        <w:rPr>
          <w:rStyle w:val="StyleUnderline"/>
        </w:rPr>
        <w:t>The Guidelines sought "a fully rationalized algebra of criminology and penology" that eliminates discretion in sentencing,</w:t>
      </w:r>
      <w:r w:rsidRPr="008D22FB">
        <w:rPr>
          <w:sz w:val="16"/>
        </w:rPr>
        <w:t xml:space="preserve"> 77 a </w:t>
      </w:r>
      <w:r w:rsidRPr="006211CF">
        <w:rPr>
          <w:rStyle w:val="StyleUnderline"/>
        </w:rPr>
        <w:t>sort of "sentencing machine," where the court inserts the necessary figures to calculate a set punishment</w:t>
      </w:r>
      <w:r w:rsidRPr="008D22FB">
        <w:rPr>
          <w:sz w:val="16"/>
        </w:rPr>
        <w:t xml:space="preserve">.7 8 </w:t>
      </w:r>
      <w:r w:rsidRPr="006211CF">
        <w:rPr>
          <w:rStyle w:val="StyleUnderline"/>
        </w:rPr>
        <w:t>The result is "sentencing by the numbers," converting a trial judge into an "automaton," "rubberstamp bureaucrat," "notary public," or "accountant,</w:t>
      </w:r>
      <w:r w:rsidRPr="008D22FB">
        <w:rPr>
          <w:sz w:val="16"/>
        </w:rPr>
        <w:t xml:space="preserve"> ' 79 </w:t>
      </w:r>
      <w:r w:rsidRPr="006211CF">
        <w:rPr>
          <w:rStyle w:val="StyleUnderline"/>
        </w:rPr>
        <w:t>whose role is reduced to "filling in the blanks and applying a rigid, mechanical formula</w:t>
      </w:r>
      <w:r w:rsidRPr="008D22FB">
        <w:rPr>
          <w:sz w:val="16"/>
        </w:rPr>
        <w:t xml:space="preserve">., 80 As such, </w:t>
      </w:r>
      <w:r w:rsidRPr="006211CF">
        <w:rPr>
          <w:rStyle w:val="StyleUnderline"/>
          <w:b/>
          <w:bCs/>
        </w:rPr>
        <w:t>federal sentencing purges much of the human element in order to make defendants fit within the limited dimensions of Gridland</w:t>
      </w:r>
      <w:r w:rsidRPr="008D22FB">
        <w:rPr>
          <w:sz w:val="16"/>
        </w:rPr>
        <w:t xml:space="preserve">. </w:t>
      </w:r>
      <w:r w:rsidRPr="006211CF">
        <w:rPr>
          <w:rStyle w:val="StyleUnderline"/>
          <w:b/>
          <w:bCs/>
        </w:rPr>
        <w:t>The</w:t>
      </w:r>
      <w:r w:rsidRPr="008D22FB">
        <w:rPr>
          <w:sz w:val="16"/>
        </w:rPr>
        <w:t xml:space="preserve"> </w:t>
      </w:r>
      <w:r w:rsidRPr="006211CF">
        <w:rPr>
          <w:rStyle w:val="StyleUnderline"/>
          <w:b/>
          <w:bCs/>
        </w:rPr>
        <w:t>cookie-cutter approach of the Guidelines creates all-purpose categories of crimes and criminals, privileging certain factors and ignoring all others, thereby transforming specific cases involving unique individuals into uniform patterns amenable to the grid</w:t>
      </w:r>
      <w:r w:rsidRPr="008D22FB">
        <w:rPr>
          <w:sz w:val="16"/>
        </w:rPr>
        <w:t>.</w:t>
      </w:r>
      <w:r w:rsidR="008D22FB" w:rsidRPr="008D22FB">
        <w:rPr>
          <w:sz w:val="16"/>
        </w:rPr>
        <w:t xml:space="preserve"> </w:t>
      </w:r>
      <w:r w:rsidRPr="008D22FB">
        <w:rPr>
          <w:sz w:val="16"/>
        </w:rPr>
        <w:t>It is hard not to sense a "certain Kafkaesque aura"8' about the entire process, lopping off the defendant's individuating traits and mechanically evaluating the remainder-clumps of data, plugged into the sentencing equation and then charted on a two-dimensional matrix. In Gridland, you might expect that one federal inmate would say to another, "I'm an offense level 17, criminal history category 3, with a range of 30-37 months-what are you?" Or maybe you might overhear a federal judge lamenting to a colleague, "It was one § 5Kl.1 after another,82 then hearings filled with § 1B1.3 evidence,83 plus an irate category VI in the afternoon. But at least a couple showed heartfelt § 3El.1,14 and there were no § 2Al's today.' 85</w:t>
      </w:r>
      <w:r w:rsidR="008D22FB" w:rsidRPr="008D22FB">
        <w:rPr>
          <w:sz w:val="16"/>
        </w:rPr>
        <w:t xml:space="preserve"> </w:t>
      </w:r>
      <w:r w:rsidRPr="008D22FB">
        <w:rPr>
          <w:sz w:val="16"/>
        </w:rPr>
        <w:t xml:space="preserve">Such exchanges do not occur (as far as I know), although possibly due to the inscrutable nature of the Guidelines rather than the stilted character of this dialogue alone. </w:t>
      </w:r>
      <w:r w:rsidRPr="006211CF">
        <w:rPr>
          <w:rStyle w:val="StyleUnderline"/>
        </w:rPr>
        <w:t>The rules are at best puzzling in their hypertechnical variations and at worst a foreign dialect to lay participants, particularly the individual most directly affected by this cryptic language</w:t>
      </w:r>
      <w:r w:rsidRPr="008D22FB">
        <w:rPr>
          <w:sz w:val="16"/>
        </w:rPr>
        <w:t xml:space="preserve">--Gridland's newest resident, </w:t>
      </w:r>
      <w:r w:rsidRPr="006211CF">
        <w:rPr>
          <w:rStyle w:val="StyleUnderline"/>
        </w:rPr>
        <w:t>the defendant at sentencing</w:t>
      </w:r>
      <w:r w:rsidRPr="008D22FB">
        <w:rPr>
          <w:sz w:val="16"/>
        </w:rPr>
        <w:t xml:space="preserve">. Court hearings on punishment are "nearly unintelligible to victims, defendants, and observers, and even to the very lawyers and judges involved in the proceeding., 86 </w:t>
      </w:r>
      <w:r w:rsidRPr="006211CF">
        <w:rPr>
          <w:rStyle w:val="StyleUnderline"/>
        </w:rPr>
        <w:t>Widespread difficulties were encountered in implementing the hypertechnical sentencing system-one that is under constant amendment and subject to a vast body of jurisprudence-spurring publications, conferences, courses, and the like, all to steer otherwise perfectly competent people through the puzzling rules of federal sentencing</w:t>
      </w:r>
      <w:r w:rsidRPr="008D22FB">
        <w:rPr>
          <w:sz w:val="16"/>
        </w:rPr>
        <w:t>.87 Among other things, the Commission established an "Office of Education and Sentencing Practice" to tutor the many baffled professionals, and it even created a series of punishment calculation worksheets (bearing a vague resemblance to an I.R.S. form).88</w:t>
      </w:r>
      <w:r w:rsidR="008D22FB" w:rsidRPr="008D22FB">
        <w:rPr>
          <w:sz w:val="16"/>
        </w:rPr>
        <w:t xml:space="preserve"> </w:t>
      </w:r>
      <w:r w:rsidRPr="008D22FB">
        <w:rPr>
          <w:sz w:val="16"/>
        </w:rPr>
        <w:t xml:space="preserve">At the outset, </w:t>
      </w:r>
      <w:r w:rsidRPr="006211CF">
        <w:rPr>
          <w:rStyle w:val="StyleUnderline"/>
        </w:rPr>
        <w:t>Gridland's maniacal rules virtually guaranteed errors in sentencing, from simple mathematical mistakes to using incorrect editions of the Guidelines Manual, at times producing multi-year punishment blunders</w:t>
      </w:r>
      <w:r w:rsidRPr="008D22FB">
        <w:rPr>
          <w:sz w:val="16"/>
        </w:rPr>
        <w:t xml:space="preserve">.89 But </w:t>
      </w:r>
      <w:r w:rsidRPr="006211CF">
        <w:rPr>
          <w:rStyle w:val="StyleUnderline"/>
          <w:b/>
          <w:bCs/>
        </w:rPr>
        <w:t>even when a sentence was arithmetically correct, the people immediately impacted by the punishment-particularly the newly gridded defendant-would exit the hearing mystified by the process and rationale for the ultimate judgment. Guidelines sentences can vary widely based on seemingly trivial distinctions with marginal cognitive impact, distinguishing between "minor" and "minimal" participation in the offense, for instance, and between "leadership" and "managerial" roles</w:t>
      </w:r>
      <w:r w:rsidRPr="008D22FB">
        <w:rPr>
          <w:sz w:val="16"/>
        </w:rPr>
        <w:t>.90 Likewise, rel</w:t>
      </w:r>
      <w:r w:rsidRPr="006211CF">
        <w:rPr>
          <w:rStyle w:val="StyleUnderline"/>
        </w:rPr>
        <w:t>atively small variations in the amount of money in question or the quantity (and even form) of a given contraband can produce astounding discrepancies in punishment</w:t>
      </w:r>
      <w:r w:rsidRPr="008D22FB">
        <w:rPr>
          <w:sz w:val="16"/>
        </w:rPr>
        <w:t xml:space="preserve">.91 As is now infamous, </w:t>
      </w:r>
      <w:r w:rsidRPr="006211CF">
        <w:rPr>
          <w:rStyle w:val="StyleUnderline"/>
          <w:b/>
          <w:bCs/>
        </w:rPr>
        <w:t>convert cocaine for sniffing (powder) to cocaine for smoking (crack) and the punishment increases 100 fold, despite the lack of any significant pharmacological or penological distinction</w:t>
      </w:r>
      <w:r w:rsidRPr="008D22FB">
        <w:rPr>
          <w:sz w:val="16"/>
        </w:rPr>
        <w:t>.92 But in Gridland, at least, differences need not be intellectually meaningful to have enormous significance.s</w:t>
      </w:r>
      <w:r w:rsidR="008D22FB" w:rsidRPr="008D22FB">
        <w:rPr>
          <w:sz w:val="16"/>
        </w:rPr>
        <w:t xml:space="preserve"> </w:t>
      </w:r>
      <w:r w:rsidRPr="008D22FB">
        <w:rPr>
          <w:sz w:val="16"/>
        </w:rPr>
        <w:t xml:space="preserve">So unlike judges drawn from the highest class of circles in Flatland, those who work in the grid seem comparable to the middle class equilateral or possibly a professional square, but certainly not the polygonal nobility. Criminal defendants, in turn, would rank no higher than the lowly isosceles or even the (presumably) mindless lines, although flat fodder for the sentencing machine might be more fitting. But like the centuries of color in Flatland, there was a time when federal sentencing was an art, not a pseudoscience, when the specifics of an offense and offender mattered, when context and perspective were taken into account rather than expressly ignored. </w:t>
      </w:r>
      <w:r w:rsidRPr="008D22FB">
        <w:rPr>
          <w:rStyle w:val="StyleUnderline"/>
        </w:rPr>
        <w:t>Throughout most of American history, punishment was "indeterminate" in nature, with lawmakers broadly defining criminal offenses and potential punishments while judges deliberated on the comparative seriousness of a specific crime and an appropriate sentence for the offender. "Traditionally,"</w:t>
      </w:r>
      <w:r w:rsidRPr="008D22FB">
        <w:rPr>
          <w:sz w:val="16"/>
        </w:rPr>
        <w:t xml:space="preserve"> noted the U.S. Supreme Court in 1993</w:t>
      </w:r>
      <w:r w:rsidRPr="008D22FB">
        <w:rPr>
          <w:rStyle w:val="StyleUnderline"/>
        </w:rPr>
        <w:t>, "sentencing judges have considered a wide variety of factors in addition to evidence bearing on guilt in determining what sentence to impose on a convicted defendant."</w:t>
      </w:r>
      <w:r w:rsidRPr="008D22FB">
        <w:rPr>
          <w:sz w:val="16"/>
        </w:rPr>
        <w:t xml:space="preserve"> 93 </w:t>
      </w:r>
      <w:r w:rsidRPr="008D22FB">
        <w:rPr>
          <w:rStyle w:val="StyleUnderline"/>
        </w:rPr>
        <w:t>This eclectic approach attempted to accommodate the diverse rationales for punishment, from retributive principles of "just deserts" to consequential considerations of deterrence, rehabilitation, and incapacitation, thus allowing trial judges to craft a proper sentence based on an array of factors and legitimate conceptions of justice.</w:t>
      </w:r>
      <w:r w:rsidRPr="008D22FB">
        <w:rPr>
          <w:sz w:val="16"/>
        </w:rPr>
        <w:t>94</w:t>
      </w:r>
    </w:p>
    <w:p w14:paraId="5B5FE9EC" w14:textId="1EB96ECF" w:rsidR="00CC14CB" w:rsidRDefault="00CC14CB" w:rsidP="00CC14CB">
      <w:pPr>
        <w:pStyle w:val="Heading4"/>
      </w:pPr>
      <w:r>
        <w:t>The later 6</w:t>
      </w:r>
      <w:r w:rsidRPr="00FE538A">
        <w:rPr>
          <w:vertAlign w:val="superscript"/>
        </w:rPr>
        <w:t>th</w:t>
      </w:r>
      <w:r>
        <w:t xml:space="preserve"> Amendment cases (Booker/Blakley) further complicate this debate a bit more than normal Congress CPs, but they seem flexible enough that Congress can still impose direction on the court for sentencing</w:t>
      </w:r>
    </w:p>
    <w:p w14:paraId="099DD7DB" w14:textId="77777777" w:rsidR="00CC14CB" w:rsidRPr="00C04E19" w:rsidRDefault="00CC14CB" w:rsidP="00CC14CB">
      <w:pPr>
        <w:rPr>
          <w:rStyle w:val="Style13ptBold"/>
          <w:b w:val="0"/>
          <w:bCs w:val="0"/>
        </w:rPr>
      </w:pPr>
      <w:r w:rsidRPr="006F29EF">
        <w:rPr>
          <w:rStyle w:val="Style13ptBold"/>
          <w:b w:val="0"/>
          <w:bCs w:val="0"/>
          <w:sz w:val="16"/>
          <w:szCs w:val="16"/>
        </w:rPr>
        <w:t>Congressional Research Service</w:t>
      </w:r>
      <w:r>
        <w:rPr>
          <w:rStyle w:val="Style13ptBold"/>
          <w:b w:val="0"/>
          <w:bCs w:val="0"/>
        </w:rPr>
        <w:t xml:space="preserve"> </w:t>
      </w:r>
      <w:r>
        <w:rPr>
          <w:rStyle w:val="Style13ptBold"/>
        </w:rPr>
        <w:t>CRS ’09</w:t>
      </w:r>
      <w:r w:rsidRPr="006F29EF">
        <w:rPr>
          <w:rStyle w:val="Style13ptBold"/>
          <w:b w:val="0"/>
          <w:bCs w:val="0"/>
          <w:sz w:val="16"/>
          <w:szCs w:val="16"/>
        </w:rPr>
        <w:t>, known as Congress's think tank, is a public policy research institute of the United States Congress, “Federal Sentencing Guidelines: Background, Legal Analysis, and Policy Options”, February 9 2005-March 16 2009, EveryCRSReport.com, https://www.everycrsreport.com/reports/RL32766.html</w:t>
      </w:r>
    </w:p>
    <w:p w14:paraId="3BF8342E" w14:textId="56614CFE" w:rsidR="00CC14CB" w:rsidRPr="008D22FB" w:rsidRDefault="00CC14CB" w:rsidP="00CC14CB">
      <w:pPr>
        <w:rPr>
          <w:sz w:val="16"/>
        </w:rPr>
      </w:pPr>
      <w:r w:rsidRPr="008D22FB">
        <w:rPr>
          <w:rStyle w:val="StyleUnderline"/>
        </w:rPr>
        <w:t>In a series of cases, the U.S. Supreme Court has held that given the Sixth Amendment right to trial by jury, judges cannot impose sentences beyond the prescribed statutory maximum unless the facts supporting such an increase are found by a jury beyond a reasonable doubt</w:t>
      </w:r>
      <w:r w:rsidRPr="008D22FB">
        <w:rPr>
          <w:sz w:val="16"/>
        </w:rPr>
        <w:t xml:space="preserve">.23 </w:t>
      </w:r>
      <w:r w:rsidRPr="008D22FB">
        <w:rPr>
          <w:rStyle w:val="StyleUnderline"/>
        </w:rPr>
        <w:t>In Apprendi v. New Jersey</w:t>
      </w:r>
      <w:r w:rsidRPr="008D22FB">
        <w:rPr>
          <w:sz w:val="16"/>
        </w:rPr>
        <w:t xml:space="preserve"> (Apprendi),24 </w:t>
      </w:r>
      <w:r w:rsidRPr="008D22FB">
        <w:rPr>
          <w:rStyle w:val="StyleUnderline"/>
        </w:rPr>
        <w:t>the Court struck down New Jersey's hate crime law, which allowed a judge to increase a sentence to double the statutory maximum if he or she found, by a preponderance of the evidence, that the defendant acted with a purpose to intimidate an individual or group of individuals because of race</w:t>
      </w:r>
      <w:r w:rsidRPr="008D22FB">
        <w:rPr>
          <w:sz w:val="16"/>
        </w:rPr>
        <w:t xml:space="preserve">. In reversing the lower court's decision, </w:t>
      </w:r>
      <w:r w:rsidRPr="008D22FB">
        <w:rPr>
          <w:rStyle w:val="StyleUnderline"/>
        </w:rPr>
        <w:t>the Court declared that the jury trial and notification clauses of the Sixth Amendment and Due Process Clauses of the Fifth and Fourteenth Amendments embody a principle that insists that, except in the case of recidivists,</w:t>
      </w:r>
      <w:r w:rsidRPr="008D22FB">
        <w:rPr>
          <w:sz w:val="16"/>
        </w:rPr>
        <w:t xml:space="preserve"> 25 </w:t>
      </w:r>
      <w:r w:rsidRPr="008D22FB">
        <w:rPr>
          <w:rStyle w:val="StyleUnderline"/>
        </w:rPr>
        <w:t>a judge could not on his own findings sentence a criminal defendant to a term of imprisonment greater than the statutory maximum assigned for the crime for which he had been convicted by the jury</w:t>
      </w:r>
      <w:r w:rsidRPr="008D22FB">
        <w:rPr>
          <w:sz w:val="16"/>
        </w:rPr>
        <w:t>. 26</w:t>
      </w:r>
      <w:r w:rsidR="008D22FB" w:rsidRPr="008D22FB">
        <w:rPr>
          <w:sz w:val="16"/>
        </w:rPr>
        <w:t xml:space="preserve"> </w:t>
      </w:r>
      <w:r w:rsidRPr="008D22FB">
        <w:rPr>
          <w:rStyle w:val="StyleUnderline"/>
        </w:rPr>
        <w:t>In Blakely v. Washington</w:t>
      </w:r>
      <w:r w:rsidRPr="008D22FB">
        <w:rPr>
          <w:sz w:val="16"/>
        </w:rPr>
        <w:t xml:space="preserve"> (Blakely),27 </w:t>
      </w:r>
      <w:r w:rsidRPr="008D22FB">
        <w:rPr>
          <w:rStyle w:val="StyleUnderline"/>
        </w:rPr>
        <w:t>the Court held that Washington State's sentencing guidelines violated the Sixth Amendment's guarantee of a trial by jury in criminal cases</w:t>
      </w:r>
      <w:r w:rsidRPr="008D22FB">
        <w:rPr>
          <w:sz w:val="16"/>
        </w:rPr>
        <w:t xml:space="preserve">. Washington State guidelines allowed judges, rather than juries, to make certain findings of fact that increased an offender's sentence. </w:t>
      </w:r>
      <w:r w:rsidRPr="008D22FB">
        <w:rPr>
          <w:rStyle w:val="StyleUnderline"/>
        </w:rPr>
        <w:t>The Court found that the "statutory maximum" for Apprendi purposes is the maximum sentence a judge may impose solely on the basis of the facts reflected in the jury verdict or admitted by the defendant</w:t>
      </w:r>
      <w:r w:rsidRPr="008D22FB">
        <w:rPr>
          <w:sz w:val="16"/>
        </w:rPr>
        <w:t xml:space="preserve">. In other words, </w:t>
      </w:r>
      <w:r w:rsidRPr="008D22FB">
        <w:rPr>
          <w:rStyle w:val="StyleUnderline"/>
        </w:rPr>
        <w:t>the relevant statutory maximum is not the maximum sentence a judge may impose after finding additional facts, but the maximum he may impose without any additional facts</w:t>
      </w:r>
      <w:r w:rsidRPr="008D22FB">
        <w:rPr>
          <w:sz w:val="16"/>
        </w:rPr>
        <w:t xml:space="preserve">.28 </w:t>
      </w:r>
      <w:r w:rsidRPr="008D22FB">
        <w:rPr>
          <w:rStyle w:val="StyleUnderline"/>
          <w:b/>
          <w:bCs/>
        </w:rPr>
        <w:t>After Blakely, federal courts were immediately faced with arguments that the USSG also violated the Sixth Amendment. The courts were divided sharply on this issue</w:t>
      </w:r>
      <w:r w:rsidRPr="008D22FB">
        <w:rPr>
          <w:sz w:val="16"/>
        </w:rPr>
        <w:t>.29</w:t>
      </w:r>
    </w:p>
    <w:p w14:paraId="3BF6A5B3" w14:textId="77777777" w:rsidR="00CC14CB" w:rsidRDefault="00CC14CB" w:rsidP="00CC14CB">
      <w:pPr>
        <w:pStyle w:val="Heading4"/>
      </w:pPr>
      <w:r>
        <w:t>It seems that while the Supreme Court held that 6</w:t>
      </w:r>
      <w:r w:rsidRPr="00FE538A">
        <w:rPr>
          <w:vertAlign w:val="superscript"/>
        </w:rPr>
        <w:t>th</w:t>
      </w:r>
      <w:r>
        <w:t xml:space="preserve"> Amendment rights may never be trumped by “mandatory” guidelines, that “mandatory guidelines” themselves are not unconstitutional but rather have to be more carefully worded to deal with the issue of “judicial discretion” not just implementation of the guidelines (I could be reading this completely wrong though so I should revisit with a close eye)</w:t>
      </w:r>
    </w:p>
    <w:p w14:paraId="003F8778" w14:textId="77777777" w:rsidR="00CC14CB" w:rsidRPr="00C04E19" w:rsidRDefault="00CC14CB" w:rsidP="00CC14CB">
      <w:pPr>
        <w:rPr>
          <w:rStyle w:val="Style13ptBold"/>
          <w:b w:val="0"/>
          <w:bCs w:val="0"/>
        </w:rPr>
      </w:pPr>
      <w:r w:rsidRPr="006F29EF">
        <w:rPr>
          <w:rStyle w:val="Style13ptBold"/>
          <w:b w:val="0"/>
          <w:bCs w:val="0"/>
          <w:sz w:val="16"/>
          <w:szCs w:val="16"/>
        </w:rPr>
        <w:t>Congressional Research Service</w:t>
      </w:r>
      <w:r>
        <w:rPr>
          <w:rStyle w:val="Style13ptBold"/>
          <w:b w:val="0"/>
          <w:bCs w:val="0"/>
        </w:rPr>
        <w:t xml:space="preserve"> </w:t>
      </w:r>
      <w:r>
        <w:rPr>
          <w:rStyle w:val="Style13ptBold"/>
        </w:rPr>
        <w:t>CRS ’09</w:t>
      </w:r>
      <w:r w:rsidRPr="006F29EF">
        <w:rPr>
          <w:rStyle w:val="Style13ptBold"/>
          <w:b w:val="0"/>
          <w:bCs w:val="0"/>
          <w:sz w:val="16"/>
          <w:szCs w:val="16"/>
        </w:rPr>
        <w:t>, known as Congress's think tank, is a public policy research institute of the United States Congress, “Federal Sentencing Guidelines: Background, Legal Analysis, and Policy Options”, February 9 2005-March 16 2009, EveryCRSReport.com, https://www.everycrsreport.com/reports/RL32766.html</w:t>
      </w:r>
    </w:p>
    <w:p w14:paraId="2BD4DEC8" w14:textId="1029E237" w:rsidR="00CC14CB" w:rsidRDefault="00CC14CB" w:rsidP="00CC14CB">
      <w:pPr>
        <w:rPr>
          <w:sz w:val="16"/>
        </w:rPr>
      </w:pPr>
      <w:r w:rsidRPr="008D22FB">
        <w:rPr>
          <w:rStyle w:val="StyleUnderline"/>
          <w:b/>
          <w:bCs/>
        </w:rPr>
        <w:t>The Court unanimously agreed that discretionary sentencing guidelines would not implicate a defendant's Sixth Amendment right</w:t>
      </w:r>
      <w:r w:rsidRPr="00A00310">
        <w:rPr>
          <w:sz w:val="16"/>
        </w:rPr>
        <w:t xml:space="preserve">.41 Applying its decisions in Apprendi and Blakely, </w:t>
      </w:r>
      <w:r w:rsidRPr="008D22FB">
        <w:rPr>
          <w:rStyle w:val="StyleUnderline"/>
        </w:rPr>
        <w:t>the Court42 held that "[a]ny fact (other than a prior conviction) which is necessary to support a sentence exceeding the maximum authorized by the facts established by a plea of guilty or a jury verdict must be admitted by the defendant or proved to a jury beyond a reasonable doubt."</w:t>
      </w:r>
      <w:r w:rsidRPr="00A00310">
        <w:rPr>
          <w:sz w:val="16"/>
        </w:rPr>
        <w:t xml:space="preserve"> </w:t>
      </w:r>
      <w:r w:rsidRPr="008D22FB">
        <w:rPr>
          <w:rStyle w:val="StyleUnderline"/>
          <w:b/>
          <w:bCs/>
        </w:rPr>
        <w:t xml:space="preserve">The Court reasoned that the sentencing guidelines direct a judge in </w:t>
      </w:r>
      <w:r w:rsidRPr="008D22FB">
        <w:rPr>
          <w:rStyle w:val="Emphasis"/>
        </w:rPr>
        <w:t>some instances</w:t>
      </w:r>
      <w:r w:rsidRPr="008D22FB">
        <w:rPr>
          <w:rStyle w:val="StyleUnderline"/>
          <w:b/>
          <w:bCs/>
        </w:rPr>
        <w:t xml:space="preserve"> to enhance sentences in a manner which violates this principle</w:t>
      </w:r>
      <w:r w:rsidRPr="00A00310">
        <w:rPr>
          <w:sz w:val="16"/>
        </w:rPr>
        <w:t>. This violation occurs when a judge makes certain factual findings supported by a preponderance of the evidence43 to enhance a sentence beyond the range otherwise authorized by the jury's verdict or the defendant's admissions.</w:t>
      </w:r>
      <w:r w:rsidR="00A00310" w:rsidRPr="00A00310">
        <w:rPr>
          <w:sz w:val="16"/>
        </w:rPr>
        <w:t xml:space="preserve"> </w:t>
      </w:r>
      <w:r w:rsidRPr="008D22FB">
        <w:rPr>
          <w:rStyle w:val="StyleUnderline"/>
        </w:rPr>
        <w:t>In rejecting the government's arguments against Blakely's applicability to the federal sentencing guidelines</w:t>
      </w:r>
      <w:r w:rsidRPr="00A00310">
        <w:rPr>
          <w:sz w:val="16"/>
        </w:rPr>
        <w:t xml:space="preserve"> (guidelines), </w:t>
      </w:r>
      <w:r w:rsidRPr="008D22FB">
        <w:rPr>
          <w:rStyle w:val="StyleUnderline"/>
        </w:rPr>
        <w:t>the Court found the fact that the guidelines were developed by the United States Sentencing Commission rather than by Congress was constitutionally insignificant</w:t>
      </w:r>
      <w:r w:rsidRPr="00A00310">
        <w:rPr>
          <w:sz w:val="16"/>
        </w:rPr>
        <w:t xml:space="preserve">.44 Moreover, </w:t>
      </w:r>
      <w:r w:rsidRPr="008D22FB">
        <w:rPr>
          <w:rStyle w:val="StyleUnderline"/>
        </w:rPr>
        <w:t>the Court found that Blakely's application to the guidelines was not precluded or contradicted by recent cases dealing with other issues including perjury</w:t>
      </w:r>
      <w:r w:rsidRPr="00A00310">
        <w:rPr>
          <w:sz w:val="16"/>
        </w:rPr>
        <w:t xml:space="preserve">45 </w:t>
      </w:r>
      <w:r w:rsidRPr="008D22FB">
        <w:rPr>
          <w:rStyle w:val="StyleUnderline"/>
        </w:rPr>
        <w:t>and the Double Jeopardy clause</w:t>
      </w:r>
      <w:r w:rsidRPr="00A00310">
        <w:rPr>
          <w:sz w:val="16"/>
        </w:rPr>
        <w:t xml:space="preserve">.46 Finally, </w:t>
      </w:r>
      <w:r w:rsidRPr="008D22FB">
        <w:rPr>
          <w:rStyle w:val="StyleUnderline"/>
        </w:rPr>
        <w:t>the Court noted that a separation of powers argument was precluded by its decision in Mistretta v. United States</w:t>
      </w:r>
      <w:r w:rsidRPr="00A00310">
        <w:rPr>
          <w:sz w:val="16"/>
        </w:rPr>
        <w:t>.47</w:t>
      </w:r>
      <w:r w:rsidR="00A00310" w:rsidRPr="00A00310">
        <w:rPr>
          <w:sz w:val="16"/>
        </w:rPr>
        <w:t xml:space="preserve"> </w:t>
      </w:r>
      <w:r w:rsidRPr="008D22FB">
        <w:rPr>
          <w:rStyle w:val="StyleUnderline"/>
        </w:rPr>
        <w:t>In the first opinion, the Court sought to restore the jury's significance in its finding of the underlying crime</w:t>
      </w:r>
      <w:r w:rsidRPr="00A00310">
        <w:rPr>
          <w:sz w:val="16"/>
        </w:rPr>
        <w:t xml:space="preserve">.48 However, in the remedial portion of the decision, </w:t>
      </w:r>
      <w:r w:rsidRPr="008D22FB">
        <w:rPr>
          <w:rStyle w:val="StyleUnderline"/>
          <w:b/>
          <w:bCs/>
        </w:rPr>
        <w:t>the majority gave judges more discretion in sentencing</w:t>
      </w:r>
      <w:r w:rsidRPr="00A00310">
        <w:rPr>
          <w:sz w:val="16"/>
        </w:rPr>
        <w:t xml:space="preserve">. With Justice Ginsburg joining the four dissenting judges from the first part (Justices Breyer, O'Connor, Kennedy and Chief Justice Rehnquist), </w:t>
      </w:r>
      <w:r w:rsidRPr="008D22FB">
        <w:rPr>
          <w:rStyle w:val="StyleUnderline"/>
          <w:b/>
          <w:bCs/>
        </w:rPr>
        <w:t>the Court held unconstitutional two provisions of the Sentencing Reform Act (SRA): 18 U.S.C. §3553(b)(1), which makes the guidelines mandatory, and 18 U.S.C. §3742(e), which sets forth standards of review for appeals of departures from the mandatory guidelines.</w:t>
      </w:r>
      <w:r w:rsidRPr="00A00310">
        <w:rPr>
          <w:sz w:val="16"/>
        </w:rPr>
        <w:t>49</w:t>
      </w:r>
      <w:r w:rsidR="00A00310" w:rsidRPr="00A00310">
        <w:rPr>
          <w:sz w:val="16"/>
        </w:rPr>
        <w:t xml:space="preserve"> </w:t>
      </w:r>
      <w:r w:rsidRPr="00A00310">
        <w:rPr>
          <w:sz w:val="16"/>
        </w:rPr>
        <w:t xml:space="preserve">To reach this conclusion, </w:t>
      </w:r>
      <w:r w:rsidRPr="00A00310">
        <w:rPr>
          <w:rStyle w:val="StyleUnderline"/>
        </w:rPr>
        <w:t>the majority evaluated the likely effect of the constitutional requirement on the SRA's language, history and basic purpose. In other words, the Court answered the question of what "Congress would have intended" in light of the Court's constitutional holding</w:t>
      </w:r>
      <w:r w:rsidRPr="00A00310">
        <w:rPr>
          <w:sz w:val="16"/>
        </w:rPr>
        <w:t xml:space="preserve">. </w:t>
      </w:r>
      <w:r w:rsidRPr="00A00310">
        <w:rPr>
          <w:rStyle w:val="StyleUnderline"/>
          <w:b/>
          <w:bCs/>
        </w:rPr>
        <w:t>The Supreme Court based its decision to delete the mandatory requirement of the guidelines on the supposition that, given the choice, Congress would not have enacted a mandatory system modified to accommodate Blakely</w:t>
      </w:r>
      <w:r w:rsidRPr="00A00310">
        <w:rPr>
          <w:sz w:val="16"/>
        </w:rPr>
        <w:t xml:space="preserve">.50 </w:t>
      </w:r>
      <w:r w:rsidRPr="00A00310">
        <w:rPr>
          <w:rStyle w:val="StyleUnderline"/>
        </w:rPr>
        <w:t>This majority considered three options: (1) invalidating the act in its entirety; (2) engrafting the Sixth Amendment "jury trial" requirement; and (3) severance and excision of the offending parts of the SRA</w:t>
      </w:r>
      <w:r w:rsidRPr="00A00310">
        <w:rPr>
          <w:sz w:val="16"/>
        </w:rPr>
        <w:t xml:space="preserve">. </w:t>
      </w:r>
      <w:r w:rsidRPr="00A00310">
        <w:rPr>
          <w:rStyle w:val="StyleUnderline"/>
          <w:b/>
          <w:bCs/>
        </w:rPr>
        <w:t>The Breyer majority opined that Congress would have preferred "the total invalidation of the Act to an Act with the Court's Sixth Amendment requirement engrafted onto it."</w:t>
      </w:r>
      <w:r w:rsidRPr="00A00310">
        <w:rPr>
          <w:sz w:val="16"/>
        </w:rPr>
        <w:t xml:space="preserve">51 In addition, </w:t>
      </w:r>
      <w:r w:rsidRPr="00A00310">
        <w:rPr>
          <w:rStyle w:val="StyleUnderline"/>
          <w:b/>
          <w:bCs/>
        </w:rPr>
        <w:t>it concluded that Congress would have preferred the "excision of some of the Act, namely the Act's mandatory language to the invalidation of the entire Act."</w:t>
      </w:r>
      <w:r w:rsidRPr="00A00310">
        <w:rPr>
          <w:sz w:val="16"/>
        </w:rPr>
        <w:t xml:space="preserve">52 The Breyer majority noted that severance and excision was closer to Congress' intended system by "maintaining a strong connection between the sentence imposed and the offender's real conduct...."53 As such, the Court concluded that 18 U.S.C. §3553(b)(1) and 18 U.S.C. §3742(e) should be severed and excised to match Congress' intent of increased uniformity of sentencing. </w:t>
      </w:r>
      <w:r w:rsidRPr="00A00310">
        <w:rPr>
          <w:rStyle w:val="StyleUnderline"/>
          <w:b/>
          <w:bCs/>
        </w:rPr>
        <w:t xml:space="preserve">The Court called upon Congress to decide whether its declaration of judicial discretion </w:t>
      </w:r>
      <w:r w:rsidRPr="00A00310">
        <w:rPr>
          <w:rStyle w:val="Emphasis"/>
        </w:rPr>
        <w:t>merits legislative action</w:t>
      </w:r>
      <w:r w:rsidRPr="00A00310">
        <w:rPr>
          <w:rStyle w:val="StyleUnderline"/>
          <w:b/>
          <w:bCs/>
        </w:rPr>
        <w:t>.</w:t>
      </w:r>
      <w:r w:rsidRPr="00A00310">
        <w:rPr>
          <w:sz w:val="16"/>
        </w:rPr>
        <w:t>54</w:t>
      </w:r>
    </w:p>
    <w:p w14:paraId="4986EA4E" w14:textId="77777777" w:rsidR="00DF5C9C" w:rsidRDefault="00DF5C9C" w:rsidP="00DF5C9C">
      <w:pPr>
        <w:pStyle w:val="Heading4"/>
      </w:pPr>
      <w:r>
        <w:t>Congress has plenty of options to force courts to alter sentencing practices</w:t>
      </w:r>
    </w:p>
    <w:p w14:paraId="57D77E2A" w14:textId="77777777" w:rsidR="00DF5C9C" w:rsidRPr="00C04E19" w:rsidRDefault="00DF5C9C" w:rsidP="00DF5C9C">
      <w:pPr>
        <w:rPr>
          <w:rStyle w:val="Style13ptBold"/>
          <w:b w:val="0"/>
          <w:bCs w:val="0"/>
        </w:rPr>
      </w:pPr>
      <w:r w:rsidRPr="006F29EF">
        <w:rPr>
          <w:rStyle w:val="Style13ptBold"/>
          <w:b w:val="0"/>
          <w:bCs w:val="0"/>
          <w:sz w:val="16"/>
          <w:szCs w:val="16"/>
        </w:rPr>
        <w:t>Congressional Research Service</w:t>
      </w:r>
      <w:r>
        <w:rPr>
          <w:rStyle w:val="Style13ptBold"/>
          <w:b w:val="0"/>
          <w:bCs w:val="0"/>
        </w:rPr>
        <w:t xml:space="preserve"> </w:t>
      </w:r>
      <w:r>
        <w:rPr>
          <w:rStyle w:val="Style13ptBold"/>
        </w:rPr>
        <w:t>CRS ’09</w:t>
      </w:r>
      <w:r w:rsidRPr="006F29EF">
        <w:rPr>
          <w:rStyle w:val="Style13ptBold"/>
          <w:b w:val="0"/>
          <w:bCs w:val="0"/>
          <w:sz w:val="16"/>
          <w:szCs w:val="16"/>
        </w:rPr>
        <w:t>, known as Congress's think tank, is a public policy research institute of the United States Congress, “Federal Sentencing Guidelines: Background, Legal Analysis, and Policy Options”, February 9 2005-March 16 2009, EveryCRSReport.com, https://www.everycrsreport.com/reports/RL32766.html</w:t>
      </w:r>
    </w:p>
    <w:p w14:paraId="010FE435" w14:textId="77777777" w:rsidR="00DF5C9C" w:rsidRPr="00DF5C9C" w:rsidRDefault="00DF5C9C" w:rsidP="00DF5C9C">
      <w:pPr>
        <w:rPr>
          <w:sz w:val="16"/>
        </w:rPr>
      </w:pPr>
      <w:r w:rsidRPr="00DF5C9C">
        <w:rPr>
          <w:sz w:val="16"/>
        </w:rPr>
        <w:t xml:space="preserve">Historically, </w:t>
      </w:r>
      <w:r w:rsidRPr="00DF5C9C">
        <w:rPr>
          <w:rStyle w:val="StyleUnderline"/>
        </w:rPr>
        <w:t>the way in which convicted offenders are sentenced falls under one of two penal policies</w:t>
      </w:r>
      <w:r w:rsidRPr="00DF5C9C">
        <w:rPr>
          <w:sz w:val="16"/>
        </w:rPr>
        <w:t>—</w:t>
      </w:r>
      <w:r w:rsidRPr="00DF5C9C">
        <w:rPr>
          <w:rStyle w:val="StyleUnderline"/>
        </w:rPr>
        <w:t>indeterminate and determinate sentences</w:t>
      </w:r>
      <w:r w:rsidRPr="00DF5C9C">
        <w:rPr>
          <w:sz w:val="16"/>
        </w:rPr>
        <w:t xml:space="preserve">. </w:t>
      </w:r>
      <w:r w:rsidRPr="00DF5C9C">
        <w:rPr>
          <w:rStyle w:val="StyleUnderline"/>
        </w:rPr>
        <w:t>Indeterminate sentencing practices were predominant for several decades, leading up to the major reform efforts undertaken by many states and the federal government in the mid- to-late 1970s and early 1980s</w:t>
      </w:r>
      <w:r w:rsidRPr="00DF5C9C">
        <w:rPr>
          <w:sz w:val="16"/>
        </w:rPr>
        <w:t xml:space="preserve">. The perceived failure of the indeterminate system to “cure” the criminal, coupled with renewed concern about the rising crime rate throughout the nation in the mid-1970s, resulted in wide experimentation with sentencing systems by many states and the creation of sentencing guidelines at the federal level. </w:t>
      </w:r>
      <w:r w:rsidRPr="00DF5C9C">
        <w:rPr>
          <w:rStyle w:val="StyleUnderline"/>
        </w:rPr>
        <w:t>In 1984, Congress passed a sentencing reform measure, which abolished indeterminate sentencing at the federal level and created a determinate sentencing structure through the federal sentencing guidelines</w:t>
      </w:r>
      <w:r w:rsidRPr="00DF5C9C">
        <w:rPr>
          <w:sz w:val="16"/>
        </w:rPr>
        <w:t xml:space="preserve">. The Sentencing Reform Act of 1984 reformed the federal sentencing system by (1) dropping rehabilitation as one of the goals of punishment; (2) creating the U.S. Sentencing Commission and charging it with establishing sentencing guidelines; (3) making all federal sentences determinate; and (4) authorizing appellate review of sentences. </w:t>
      </w:r>
      <w:r w:rsidRPr="00DF5C9C">
        <w:rPr>
          <w:rStyle w:val="StyleUnderline"/>
        </w:rPr>
        <w:t>In</w:t>
      </w:r>
      <w:r w:rsidRPr="00DF5C9C">
        <w:rPr>
          <w:sz w:val="16"/>
        </w:rPr>
        <w:t xml:space="preserve"> United States v. Booker (</w:t>
      </w:r>
      <w:r w:rsidRPr="00DF5C9C">
        <w:rPr>
          <w:rStyle w:val="StyleUnderline"/>
        </w:rPr>
        <w:t>Booker</w:t>
      </w:r>
      <w:r w:rsidRPr="00DF5C9C">
        <w:rPr>
          <w:sz w:val="16"/>
        </w:rPr>
        <w:t xml:space="preserve">), </w:t>
      </w:r>
      <w:r w:rsidRPr="00DF5C9C">
        <w:rPr>
          <w:rStyle w:val="StyleUnderline"/>
        </w:rPr>
        <w:t>an unusual two-part opinion transformed federal criminal sentencing by restoring to judges much of the discretion that Congress took away when it put mandatory sentencing guidelines in place. In the first</w:t>
      </w:r>
      <w:r w:rsidRPr="00DF5C9C">
        <w:rPr>
          <w:sz w:val="16"/>
        </w:rPr>
        <w:t xml:space="preserve"> opinion, </w:t>
      </w:r>
      <w:r w:rsidRPr="00DF5C9C">
        <w:rPr>
          <w:rStyle w:val="StyleUnderline"/>
        </w:rPr>
        <w:t>the United States Supreme Court held that the mandatory sentencing guidelines violated defendants’ Sixth Amendment right to a trial by jury by giving judges the power to make factual findings that increased sentences beyond the maximum that the jury’s finding alone would support</w:t>
      </w:r>
      <w:r w:rsidRPr="00DF5C9C">
        <w:rPr>
          <w:sz w:val="16"/>
        </w:rPr>
        <w:t xml:space="preserve">. </w:t>
      </w:r>
      <w:r w:rsidRPr="00DF5C9C">
        <w:rPr>
          <w:rStyle w:val="StyleUnderline"/>
        </w:rPr>
        <w:t>In the second</w:t>
      </w:r>
      <w:r w:rsidRPr="00DF5C9C">
        <w:rPr>
          <w:sz w:val="16"/>
        </w:rPr>
        <w:t xml:space="preserve"> part, </w:t>
      </w:r>
      <w:r w:rsidRPr="00DF5C9C">
        <w:rPr>
          <w:rStyle w:val="StyleUnderline"/>
        </w:rPr>
        <w:t>a different majority concluded that the constitutional deficiency could be remedied if the guidelines were treated as discretionary or advisory rather than mandatory</w:t>
      </w:r>
      <w:r w:rsidRPr="00DF5C9C">
        <w:rPr>
          <w:sz w:val="16"/>
        </w:rPr>
        <w:t xml:space="preserve">. As a result of the decisions, </w:t>
      </w:r>
      <w:r w:rsidRPr="00DF5C9C">
        <w:rPr>
          <w:rStyle w:val="StyleUnderline"/>
        </w:rPr>
        <w:t>the Court struck down a provision in law that made the federal sentencing guidelines mandatory as well as a provision that permitted appellate review of departures from the guidelines</w:t>
      </w:r>
      <w:r w:rsidRPr="00DF5C9C">
        <w:rPr>
          <w:sz w:val="16"/>
        </w:rPr>
        <w:t xml:space="preserve">. In essence, the high Court’s ruling gives federal judges discretion in sentencing offenders by not requiring them to adhere to the guidelines; rather, the guidelines can be used by judges on an advisory basis. </w:t>
      </w:r>
      <w:r w:rsidRPr="00DF5C9C">
        <w:rPr>
          <w:rStyle w:val="StyleUnderline"/>
        </w:rPr>
        <w:t>In light of the Court ruling in Booker and subsequent cases, the issue for Congress is whether to amend current law to require federal judges to follow guided sentences, or permit federal judges to use their discretion in sentencing under certain circumstances</w:t>
      </w:r>
      <w:r w:rsidRPr="00DF5C9C">
        <w:rPr>
          <w:sz w:val="16"/>
        </w:rPr>
        <w:t xml:space="preserve">. </w:t>
      </w:r>
      <w:r w:rsidRPr="00DF5C9C">
        <w:rPr>
          <w:rStyle w:val="StyleUnderline"/>
          <w:b/>
          <w:bCs/>
        </w:rPr>
        <w:t>Congressional options include</w:t>
      </w:r>
      <w:r w:rsidRPr="00DF5C9C">
        <w:rPr>
          <w:sz w:val="16"/>
        </w:rPr>
        <w:t xml:space="preserve"> (1) </w:t>
      </w:r>
      <w:r w:rsidRPr="00DF5C9C">
        <w:rPr>
          <w:rStyle w:val="StyleUnderline"/>
          <w:b/>
          <w:bCs/>
        </w:rPr>
        <w:t>maintain the sentencing guidelines</w:t>
      </w:r>
      <w:r w:rsidRPr="00DF5C9C">
        <w:rPr>
          <w:sz w:val="16"/>
        </w:rPr>
        <w:t xml:space="preserve"> by specifying mandatory minimum sentences and increasing the top of each guideline range to a statutory maximum for specified offenses (hence, codify specified sentencing ranges that are in the guidelines); (2) </w:t>
      </w:r>
      <w:r w:rsidRPr="00DF5C9C">
        <w:rPr>
          <w:rStyle w:val="StyleUnderline"/>
          <w:b/>
          <w:bCs/>
        </w:rPr>
        <w:t>require jury trials for any enhancement factor that would increase the sentence for which the defendant did not waive his or her rights</w:t>
      </w:r>
      <w:r w:rsidRPr="00DF5C9C">
        <w:rPr>
          <w:sz w:val="16"/>
        </w:rPr>
        <w:t xml:space="preserve">; </w:t>
      </w:r>
      <w:r w:rsidRPr="00DF5C9C">
        <w:rPr>
          <w:rStyle w:val="StyleUnderline"/>
          <w:b/>
          <w:bCs/>
        </w:rPr>
        <w:t>or</w:t>
      </w:r>
      <w:r w:rsidRPr="00DF5C9C">
        <w:rPr>
          <w:sz w:val="16"/>
        </w:rPr>
        <w:t xml:space="preserve"> (3) </w:t>
      </w:r>
      <w:r w:rsidRPr="00DF5C9C">
        <w:rPr>
          <w:rStyle w:val="StyleUnderline"/>
          <w:b/>
          <w:bCs/>
        </w:rPr>
        <w:t>take no action, thus permitting judicial discretion in sentencing in cases where Congress has not specified mandatory sentences</w:t>
      </w:r>
      <w:r w:rsidRPr="00DF5C9C">
        <w:rPr>
          <w:sz w:val="16"/>
        </w:rPr>
        <w:t>.</w:t>
      </w:r>
    </w:p>
    <w:p w14:paraId="59B27BA7" w14:textId="77777777" w:rsidR="00DF5C9C" w:rsidRDefault="00DF5C9C" w:rsidP="00DF5C9C">
      <w:pPr>
        <w:pStyle w:val="Heading4"/>
      </w:pPr>
      <w:r w:rsidRPr="005D71BA">
        <w:t>A no</w:t>
      </w:r>
      <w:r>
        <w:t>n-comprehensive list of actions Congress can take to deal with sentencing disparities – the provide jury trials plank might be nice in combo with other changes to the system to help deal with the 6</w:t>
      </w:r>
      <w:r w:rsidRPr="005D71BA">
        <w:rPr>
          <w:vertAlign w:val="superscript"/>
        </w:rPr>
        <w:t>th</w:t>
      </w:r>
      <w:r>
        <w:t xml:space="preserve"> Amendment solvency deficits that are sure to pop up – also helps enforce appellate review which gives the CP a court solvency mech to a degree </w:t>
      </w:r>
    </w:p>
    <w:p w14:paraId="2F3E8A90" w14:textId="77777777" w:rsidR="00DF5C9C" w:rsidRPr="00C04E19" w:rsidRDefault="00DF5C9C" w:rsidP="00DF5C9C">
      <w:pPr>
        <w:rPr>
          <w:rStyle w:val="Style13ptBold"/>
          <w:b w:val="0"/>
          <w:bCs w:val="0"/>
        </w:rPr>
      </w:pPr>
      <w:r w:rsidRPr="006F29EF">
        <w:rPr>
          <w:rStyle w:val="Style13ptBold"/>
          <w:b w:val="0"/>
          <w:bCs w:val="0"/>
          <w:sz w:val="16"/>
          <w:szCs w:val="16"/>
        </w:rPr>
        <w:t>Congressional Research Service</w:t>
      </w:r>
      <w:r>
        <w:rPr>
          <w:rStyle w:val="Style13ptBold"/>
          <w:b w:val="0"/>
          <w:bCs w:val="0"/>
        </w:rPr>
        <w:t xml:space="preserve"> </w:t>
      </w:r>
      <w:r>
        <w:rPr>
          <w:rStyle w:val="Style13ptBold"/>
        </w:rPr>
        <w:t>CRS ’09</w:t>
      </w:r>
      <w:r w:rsidRPr="006F29EF">
        <w:rPr>
          <w:rStyle w:val="Style13ptBold"/>
          <w:b w:val="0"/>
          <w:bCs w:val="0"/>
          <w:sz w:val="16"/>
          <w:szCs w:val="16"/>
        </w:rPr>
        <w:t>, known as Congress's think tank, is a public policy research institute of the United States Congress, “Federal Sentencing Guidelines: Background, Legal Analysis, and Policy Options”, February 9 2005-March 16 2009, EveryCRSReport.com, https://www.everycrsreport.com/reports/RL32766.html</w:t>
      </w:r>
    </w:p>
    <w:p w14:paraId="31D81413" w14:textId="4D74B35F" w:rsidR="00DF5C9C" w:rsidRPr="00A00310" w:rsidRDefault="00DF5C9C" w:rsidP="00CC14CB">
      <w:pPr>
        <w:rPr>
          <w:sz w:val="16"/>
        </w:rPr>
      </w:pPr>
      <w:r w:rsidRPr="00DF5C9C">
        <w:rPr>
          <w:sz w:val="16"/>
        </w:rPr>
        <w:t xml:space="preserve">In light of the Court's ruling in Booker and its subsequent rulings in Gall and Kimrough, </w:t>
      </w:r>
      <w:r w:rsidRPr="00DF5C9C">
        <w:rPr>
          <w:rStyle w:val="StyleUnderline"/>
        </w:rPr>
        <w:t>the issue for Congress is whether to amend current law to require federal judges to follow guided sentences, or continue to permit federal judges to use their discretion in sentencing, under certain circumstances</w:t>
      </w:r>
      <w:r w:rsidRPr="00DF5C9C">
        <w:rPr>
          <w:sz w:val="16"/>
        </w:rPr>
        <w:t xml:space="preserve">. </w:t>
      </w:r>
      <w:r w:rsidRPr="00DF5C9C">
        <w:rPr>
          <w:rStyle w:val="StyleUnderline"/>
        </w:rPr>
        <w:t>Following is a</w:t>
      </w:r>
      <w:r w:rsidRPr="00DF5C9C">
        <w:rPr>
          <w:sz w:val="16"/>
        </w:rPr>
        <w:t xml:space="preserve"> discussion and </w:t>
      </w:r>
      <w:r w:rsidRPr="00DF5C9C">
        <w:rPr>
          <w:rStyle w:val="StyleUnderline"/>
        </w:rPr>
        <w:t>analysis of several selected options Congress could consider</w:t>
      </w:r>
      <w:r w:rsidRPr="00DF5C9C">
        <w:rPr>
          <w:sz w:val="16"/>
        </w:rPr>
        <w:t xml:space="preserve">. </w:t>
      </w:r>
      <w:r w:rsidRPr="00DF5C9C">
        <w:rPr>
          <w:rStyle w:val="StyleUnderline"/>
          <w:b/>
          <w:bCs/>
        </w:rPr>
        <w:t>Maintain the Sentencing Guidelines</w:t>
      </w:r>
      <w:r>
        <w:rPr>
          <w:rStyle w:val="StyleUnderline"/>
          <w:b/>
          <w:bCs/>
        </w:rPr>
        <w:t xml:space="preserve"> </w:t>
      </w:r>
      <w:r w:rsidRPr="00DF5C9C">
        <w:rPr>
          <w:sz w:val="16"/>
        </w:rPr>
        <w:t xml:space="preserve">One option Congress may wish to consider could be to maintain the sentencing guidelines by specifying mandatory minimum sentences and increasing the top of each guideline range to a statutory maximum for specified offenses (hence, codify specified sentencing ranges that are in the guidelines). In essence, </w:t>
      </w:r>
      <w:r w:rsidRPr="00DF5C9C">
        <w:rPr>
          <w:rStyle w:val="StyleUnderline"/>
        </w:rPr>
        <w:t>this option would require any upward departures to coincide with the statutory maximum for the offense in question, in which case a statutory maximum would have to be specified</w:t>
      </w:r>
      <w:r w:rsidRPr="00DF5C9C">
        <w:rPr>
          <w:sz w:val="16"/>
        </w:rPr>
        <w:t xml:space="preserve">. </w:t>
      </w:r>
      <w:r w:rsidRPr="00DF5C9C">
        <w:rPr>
          <w:rStyle w:val="StyleUnderline"/>
        </w:rPr>
        <w:t>This option was first presented to the U.S. Sentencing Commission shortly after the U.S. Supreme Court decision in Blakely by Frank Bowman, who concluded with respect to such an option:</w:t>
      </w:r>
      <w:r w:rsidRPr="00DF5C9C">
        <w:rPr>
          <w:sz w:val="16"/>
        </w:rPr>
        <w:t xml:space="preserve"> </w:t>
      </w:r>
      <w:r w:rsidRPr="00DF5C9C">
        <w:rPr>
          <w:rStyle w:val="StyleUnderline"/>
          <w:b/>
          <w:bCs/>
        </w:rPr>
        <w:t>The practical effect of such an amendment would be to preserve current federal practice almost unchanged</w:t>
      </w:r>
      <w:r w:rsidRPr="00DF5C9C">
        <w:rPr>
          <w:sz w:val="16"/>
        </w:rPr>
        <w:t xml:space="preserve">. Guidelines factors would not be elements. They could still constitutionally be determined by post-conviction judicial findings of fact.... </w:t>
      </w:r>
      <w:r w:rsidRPr="00DF5C9C">
        <w:rPr>
          <w:rStyle w:val="StyleUnderline"/>
          <w:b/>
          <w:bCs/>
        </w:rPr>
        <w:t>The only theoretical difference would be that judges could sentence defendants above the top of the current guideline ranges without the formality of an upward departure</w:t>
      </w:r>
      <w:r w:rsidRPr="00DF5C9C">
        <w:rPr>
          <w:sz w:val="16"/>
        </w:rPr>
        <w:t xml:space="preserve">....111 </w:t>
      </w:r>
      <w:r w:rsidRPr="00DF5C9C">
        <w:rPr>
          <w:rStyle w:val="StyleUnderline"/>
          <w:b/>
          <w:bCs/>
        </w:rPr>
        <w:t>Provide Jury Trials</w:t>
      </w:r>
      <w:r>
        <w:rPr>
          <w:rStyle w:val="StyleUnderline"/>
          <w:b/>
          <w:bCs/>
        </w:rPr>
        <w:t xml:space="preserve"> </w:t>
      </w:r>
      <w:r w:rsidRPr="00DF5C9C">
        <w:rPr>
          <w:rStyle w:val="StyleUnderline"/>
        </w:rPr>
        <w:t>Congress could consider a measure that has been implemented in Kansas</w:t>
      </w:r>
      <w:r w:rsidRPr="00DF5C9C">
        <w:rPr>
          <w:sz w:val="16"/>
        </w:rPr>
        <w:t xml:space="preserve">. Kansas had presumptive sentencing guidelines that were invalidated by the state's supreme court.112 </w:t>
      </w:r>
      <w:r w:rsidRPr="00DF5C9C">
        <w:rPr>
          <w:rStyle w:val="StyleUnderline"/>
        </w:rPr>
        <w:t>In response to the court ruling, the state's legislature chose to retain the sentencing structure by incorporating jury fact-finding as the basis for enhanced sentences</w:t>
      </w:r>
      <w:r w:rsidRPr="00DF5C9C">
        <w:rPr>
          <w:sz w:val="16"/>
        </w:rPr>
        <w:t xml:space="preserve">.113 </w:t>
      </w:r>
      <w:r w:rsidRPr="00DF5C9C">
        <w:rPr>
          <w:rStyle w:val="StyleUnderline"/>
        </w:rPr>
        <w:t>Under this scheme, for each enhancement that would increase the sentence beyond the guideline maximum for which the defendant did not waive his or her rights, the judge has the option of trying aggravating factors before the jury, either during the main trial or in a separate, bifurcated proceeding</w:t>
      </w:r>
      <w:r w:rsidRPr="00DF5C9C">
        <w:rPr>
          <w:sz w:val="16"/>
        </w:rPr>
        <w:t xml:space="preserve">. The jury would have to find that the enhanced factors exist beyond a reasonable doubt in order for the enhanced sentence to be applicable. </w:t>
      </w:r>
      <w:r w:rsidRPr="00DF5C9C">
        <w:rPr>
          <w:rStyle w:val="StyleUnderline"/>
          <w:b/>
          <w:bCs/>
        </w:rPr>
        <w:t>While this option may satisfy constitutional questions, it may prove to be an expensive and time-consuming.</w:t>
      </w:r>
      <w:r>
        <w:rPr>
          <w:rStyle w:val="StyleUnderline"/>
          <w:b/>
          <w:bCs/>
        </w:rPr>
        <w:t xml:space="preserve"> </w:t>
      </w:r>
      <w:r w:rsidRPr="00DF5C9C">
        <w:rPr>
          <w:rStyle w:val="StyleUnderline"/>
          <w:b/>
          <w:bCs/>
        </w:rPr>
        <w:t>Permit Judicial Discretion in Sentencing</w:t>
      </w:r>
      <w:r>
        <w:rPr>
          <w:rStyle w:val="StyleUnderline"/>
          <w:b/>
          <w:bCs/>
        </w:rPr>
        <w:t xml:space="preserve"> </w:t>
      </w:r>
      <w:r w:rsidRPr="00DF5C9C">
        <w:rPr>
          <w:rStyle w:val="StyleUnderline"/>
        </w:rPr>
        <w:t>Congress may also allow federal judges to exercise their discretion in sentencing in cases where Congress has not specified a mandatory term of sentence</w:t>
      </w:r>
      <w:r w:rsidRPr="00DF5C9C">
        <w:rPr>
          <w:sz w:val="16"/>
        </w:rPr>
        <w:t xml:space="preserve">. </w:t>
      </w:r>
      <w:r w:rsidRPr="00DF5C9C">
        <w:rPr>
          <w:rStyle w:val="StyleUnderline"/>
        </w:rPr>
        <w:t>This option could possibly mirror the indeterminate sentencing scheme that was in place prior to the sentencing reform effort in 1984</w:t>
      </w:r>
      <w:r w:rsidRPr="00DF5C9C">
        <w:rPr>
          <w:sz w:val="16"/>
        </w:rPr>
        <w:t xml:space="preserve">. While such an option would allow judges to individualize sentences to the extent that Congress has not established a mandatory sentence for the offense, </w:t>
      </w:r>
      <w:r w:rsidRPr="00DF5C9C">
        <w:rPr>
          <w:rStyle w:val="StyleUnderline"/>
        </w:rPr>
        <w:t>it could also result in a lack of uniformity due to judges applying different sentences across jurisdictions</w:t>
      </w:r>
      <w:r w:rsidRPr="00DF5C9C">
        <w:rPr>
          <w:sz w:val="16"/>
        </w:rPr>
        <w:t>.</w:t>
      </w:r>
    </w:p>
    <w:p w14:paraId="2189E3F5" w14:textId="47F4EB23" w:rsidR="00A167AA" w:rsidRDefault="00A167AA" w:rsidP="00A167AA">
      <w:pPr>
        <w:pStyle w:val="Heading2"/>
      </w:pPr>
      <w:r>
        <w:t>Congress CP – Neg</w:t>
      </w:r>
    </w:p>
    <w:p w14:paraId="0EE0AF6D" w14:textId="50F9FDC9" w:rsidR="00CC14CB" w:rsidRDefault="00CC14CB" w:rsidP="00CC14CB">
      <w:pPr>
        <w:pStyle w:val="Heading3"/>
      </w:pPr>
      <w:r>
        <w:t xml:space="preserve">1NC – Congress CP – </w:t>
      </w:r>
      <w:r w:rsidR="00384958">
        <w:t>General CJR</w:t>
      </w:r>
    </w:p>
    <w:p w14:paraId="5CB6957A" w14:textId="77777777" w:rsidR="00CC14CB" w:rsidRPr="00A71D7B" w:rsidRDefault="00CC14CB" w:rsidP="00CC14CB">
      <w:pPr>
        <w:pStyle w:val="Heading4"/>
      </w:pPr>
      <w:r>
        <w:t>The United States Congress should enact [PLAN].</w:t>
      </w:r>
    </w:p>
    <w:p w14:paraId="639161F4" w14:textId="77777777" w:rsidR="00CC14CB" w:rsidRDefault="00CC14CB" w:rsidP="00CC14CB">
      <w:pPr>
        <w:pStyle w:val="Heading4"/>
      </w:pPr>
      <w:r>
        <w:t>Congress solves – builds on current legislative momentum and results in state follow-on</w:t>
      </w:r>
    </w:p>
    <w:p w14:paraId="5B67B869" w14:textId="77777777" w:rsidR="00CC14CB" w:rsidRPr="00A71D7B" w:rsidRDefault="00CC14CB" w:rsidP="00CC14CB">
      <w:pPr>
        <w:rPr>
          <w:rStyle w:val="Style13ptBold"/>
          <w:b w:val="0"/>
          <w:bCs w:val="0"/>
        </w:rPr>
      </w:pPr>
      <w:r w:rsidRPr="00A71D7B">
        <w:rPr>
          <w:rStyle w:val="Style13ptBold"/>
          <w:b w:val="0"/>
          <w:bCs w:val="0"/>
          <w:sz w:val="16"/>
          <w:szCs w:val="16"/>
        </w:rPr>
        <w:t>Timothy</w:t>
      </w:r>
      <w:r>
        <w:rPr>
          <w:rStyle w:val="Style13ptBold"/>
          <w:b w:val="0"/>
          <w:bCs w:val="0"/>
        </w:rPr>
        <w:t xml:space="preserve"> </w:t>
      </w:r>
      <w:r>
        <w:rPr>
          <w:rStyle w:val="Style13ptBold"/>
        </w:rPr>
        <w:t xml:space="preserve">Head and </w:t>
      </w:r>
      <w:r w:rsidRPr="00A71D7B">
        <w:rPr>
          <w:rStyle w:val="Style13ptBold"/>
          <w:b w:val="0"/>
          <w:bCs w:val="0"/>
          <w:sz w:val="16"/>
          <w:szCs w:val="16"/>
        </w:rPr>
        <w:t>Gil</w:t>
      </w:r>
      <w:r>
        <w:rPr>
          <w:rStyle w:val="Style13ptBold"/>
          <w:b w:val="0"/>
          <w:bCs w:val="0"/>
        </w:rPr>
        <w:t xml:space="preserve"> </w:t>
      </w:r>
      <w:r>
        <w:rPr>
          <w:rStyle w:val="Style13ptBold"/>
        </w:rPr>
        <w:t>Kerlikowske ’19</w:t>
      </w:r>
      <w:r w:rsidRPr="00A71D7B">
        <w:rPr>
          <w:rStyle w:val="Style13ptBold"/>
          <w:b w:val="0"/>
          <w:bCs w:val="0"/>
          <w:sz w:val="16"/>
          <w:szCs w:val="16"/>
        </w:rPr>
        <w:t>, *is the executive director of the Faith &amp; Freedom Coalition, **is the former Director of the White House Office of National Drug Control Policy and police chief in Buffalo and Seattle, “Let's maintain our bipartisan momentum with criminal justice reform”, 10/30/19, The Hill, https://thehill.com/opinion/criminal-justice/468196-lets-maintain-our-bipartisan-momentum-with-criminal-justice-reform</w:t>
      </w:r>
    </w:p>
    <w:p w14:paraId="351A8E21" w14:textId="77777777" w:rsidR="00CC14CB" w:rsidRDefault="00CC14CB" w:rsidP="00CC14CB">
      <w:pPr>
        <w:rPr>
          <w:rStyle w:val="StyleUnderline"/>
          <w:b/>
          <w:bCs/>
        </w:rPr>
      </w:pPr>
      <w:r w:rsidRPr="0061729D">
        <w:rPr>
          <w:sz w:val="14"/>
        </w:rPr>
        <w:t xml:space="preserve">Ten months ago, </w:t>
      </w:r>
      <w:r w:rsidRPr="0061729D">
        <w:rPr>
          <w:rStyle w:val="StyleUnderline"/>
        </w:rPr>
        <w:t>Congress passed the FIRST STEP Act, signaling the arrival of bipartisan criminal justice reform at the federal level</w:t>
      </w:r>
      <w:r w:rsidRPr="0061729D">
        <w:rPr>
          <w:sz w:val="14"/>
        </w:rPr>
        <w:t xml:space="preserve">. </w:t>
      </w:r>
      <w:r w:rsidRPr="0061729D">
        <w:rPr>
          <w:rStyle w:val="StyleUnderline"/>
        </w:rPr>
        <w:t>The question for Washington now is: What’s next?</w:t>
      </w:r>
      <w:r w:rsidRPr="0061729D">
        <w:rPr>
          <w:sz w:val="14"/>
        </w:rPr>
        <w:t xml:space="preserve"> </w:t>
      </w:r>
      <w:r w:rsidRPr="0061729D">
        <w:rPr>
          <w:rStyle w:val="StyleUnderline"/>
        </w:rPr>
        <w:t>Individuals and organizations across the political spectrum have united around common themes like justice, fairness, equality, and second chances</w:t>
      </w:r>
      <w:r w:rsidRPr="0061729D">
        <w:rPr>
          <w:sz w:val="14"/>
        </w:rPr>
        <w:t xml:space="preserve">. </w:t>
      </w:r>
      <w:r w:rsidRPr="0061729D">
        <w:rPr>
          <w:rStyle w:val="StyleUnderline"/>
          <w:b/>
          <w:bCs/>
        </w:rPr>
        <w:t>They agree that America’s high incarceration and recidivism rates take a toll on families and communities, and that we need to balance personal responsibility with forgiveness and rehabilitation</w:t>
      </w:r>
      <w:r w:rsidRPr="0061729D">
        <w:rPr>
          <w:sz w:val="14"/>
        </w:rPr>
        <w:t xml:space="preserve">. Solutions to these problems will increase public safety, save taxpayer dollars and restore the lives of both offenders and victims. </w:t>
      </w:r>
      <w:r w:rsidRPr="0061729D">
        <w:rPr>
          <w:rStyle w:val="StyleUnderline"/>
        </w:rPr>
        <w:t>The Council on Criminal Justice has begun the hard work of identifying top priorities for future federal reforms</w:t>
      </w:r>
      <w:r w:rsidRPr="0061729D">
        <w:rPr>
          <w:sz w:val="14"/>
        </w:rPr>
        <w:t xml:space="preserve">. The council convened its inaugural policy summit in the nation’s capital and circulated draft proposals from its first task force, highlighting the next steps the federal government should take. Unveiled by council leaders and the co-chairs of the task force, </w:t>
      </w:r>
      <w:r w:rsidRPr="0061729D">
        <w:rPr>
          <w:rStyle w:val="StyleUnderline"/>
        </w:rPr>
        <w:t>the preliminary recommendations range from restoring Pell grants for justice-involved individuals to fully constituting the U.S. Sentencing Commission</w:t>
      </w:r>
      <w:r w:rsidRPr="0061729D">
        <w:rPr>
          <w:sz w:val="14"/>
        </w:rPr>
        <w:t xml:space="preserve">. </w:t>
      </w:r>
      <w:r w:rsidRPr="0061729D">
        <w:rPr>
          <w:rStyle w:val="StyleUnderline"/>
        </w:rPr>
        <w:t>This is so it can fulfill its duty to make necessary adjustments regarding sentencing standards and conduct a comprehensive review of the U.S. criminal code</w:t>
      </w:r>
      <w:r w:rsidRPr="0061729D">
        <w:rPr>
          <w:sz w:val="14"/>
        </w:rPr>
        <w:t xml:space="preserve">. </w:t>
      </w:r>
      <w:r w:rsidRPr="0061729D">
        <w:rPr>
          <w:rStyle w:val="StyleUnderline"/>
        </w:rPr>
        <w:t>The council task force also is considering proposals to expand the use of drug, veterans, mental health, and other problem solving and accountability courts, as well as strengthening oversight of the Federal Bureau of Prisons to improve conditions of confinement.</w:t>
      </w:r>
      <w:r>
        <w:rPr>
          <w:rStyle w:val="StyleUnderline"/>
        </w:rPr>
        <w:t xml:space="preserve"> </w:t>
      </w:r>
      <w:r w:rsidRPr="0061729D">
        <w:rPr>
          <w:sz w:val="14"/>
        </w:rPr>
        <w:t>The past half-century is littered with criminal justice policies and programs that initially seemed like good ideas, but ultimately fell short or even caused harm to individuals and communities. Fortunately</w:t>
      </w:r>
      <w:r w:rsidRPr="0061729D">
        <w:rPr>
          <w:rStyle w:val="StyleUnderline"/>
          <w:b/>
          <w:bCs/>
        </w:rPr>
        <w:t>, a growing body of research on what works to improve criminal justice outcomes is now available to policymakers as they develop reforms at the federal level.</w:t>
      </w:r>
      <w:r>
        <w:rPr>
          <w:rStyle w:val="StyleUnderline"/>
          <w:b/>
          <w:bCs/>
        </w:rPr>
        <w:t xml:space="preserve"> </w:t>
      </w:r>
      <w:r w:rsidRPr="0061729D">
        <w:rPr>
          <w:sz w:val="14"/>
        </w:rPr>
        <w:t xml:space="preserve">The states are already well on their way, with Texas, Georgia, Oregon, Louisiana and others adopting comprehensive bipartisan reform packages in recent years. </w:t>
      </w:r>
      <w:r w:rsidRPr="0061729D">
        <w:rPr>
          <w:rStyle w:val="Emphasis"/>
        </w:rPr>
        <w:t>Continued reform at the federal level, if successfully implemented, will encourage states to deepen their efforts and may spark movement in the few remaining states that have been reluctant to act</w:t>
      </w:r>
      <w:r w:rsidRPr="0061729D">
        <w:rPr>
          <w:sz w:val="14"/>
        </w:rPr>
        <w:t xml:space="preserve">. We know that 97 percent of people in prison will eventually go home. Recidivism — when former inmates commit a new crime and return to prison — has a significant effect on public safety and the viability of our communities. Research has demonstrated that there are proven steps that can reduce recidivism, making all of us safer while increasing the odds that people who return to our communities come back as contributing members of society, working in stable jobs and taking care of their families. </w:t>
      </w:r>
      <w:r w:rsidRPr="0061729D">
        <w:rPr>
          <w:rStyle w:val="StyleUnderline"/>
        </w:rPr>
        <w:t>The passage of the FIRST STEP Act marked a critical milestone in our journey toward a more fair and effective criminal justice system</w:t>
      </w:r>
      <w:r w:rsidRPr="0061729D">
        <w:rPr>
          <w:sz w:val="14"/>
        </w:rPr>
        <w:t xml:space="preserve">. </w:t>
      </w:r>
      <w:r w:rsidRPr="0061729D">
        <w:rPr>
          <w:rStyle w:val="StyleUnderline"/>
          <w:b/>
          <w:bCs/>
        </w:rPr>
        <w:t>Let’s maintain our bipartisan momentum — the future of our criminal justice system and our democracy depends on it.</w:t>
      </w:r>
    </w:p>
    <w:p w14:paraId="77C829BC" w14:textId="77777777" w:rsidR="00D75FDD" w:rsidRDefault="00D75FDD" w:rsidP="00D75FDD">
      <w:pPr>
        <w:pStyle w:val="Heading3"/>
      </w:pPr>
      <w:r>
        <w:t>1NC – Congress CP – Abolish Mandatory Minimums</w:t>
      </w:r>
    </w:p>
    <w:p w14:paraId="54F5F6F9" w14:textId="77777777" w:rsidR="00D75FDD" w:rsidRDefault="00D75FDD" w:rsidP="00D75FDD">
      <w:pPr>
        <w:pStyle w:val="Heading4"/>
      </w:pPr>
      <w:r>
        <w:t>The United States Congress should pass legislation abolishing federal mandatory minimums from the United States Federal Sentencing Guidelines.</w:t>
      </w:r>
    </w:p>
    <w:p w14:paraId="7B109B06" w14:textId="77777777" w:rsidR="00D75FDD" w:rsidRDefault="00D75FDD" w:rsidP="00D75FDD"/>
    <w:p w14:paraId="47183CF3" w14:textId="77777777" w:rsidR="00D75FDD" w:rsidRDefault="00D75FDD" w:rsidP="00D75FDD">
      <w:pPr>
        <w:pStyle w:val="Heading4"/>
      </w:pPr>
      <w:r>
        <w:t>That solves without Court involvement</w:t>
      </w:r>
    </w:p>
    <w:p w14:paraId="07E71537" w14:textId="77777777" w:rsidR="00D75FDD" w:rsidRPr="001118F0" w:rsidRDefault="00D75FDD" w:rsidP="00D75FDD">
      <w:pPr>
        <w:rPr>
          <w:rStyle w:val="Style13ptBold"/>
          <w:b w:val="0"/>
          <w:bCs w:val="0"/>
        </w:rPr>
      </w:pPr>
      <w:r w:rsidRPr="001118F0">
        <w:rPr>
          <w:rStyle w:val="Style13ptBold"/>
          <w:b w:val="0"/>
          <w:bCs w:val="0"/>
          <w:sz w:val="16"/>
          <w:szCs w:val="16"/>
        </w:rPr>
        <w:t>Erik</w:t>
      </w:r>
      <w:r>
        <w:rPr>
          <w:rStyle w:val="Style13ptBold"/>
          <w:b w:val="0"/>
          <w:bCs w:val="0"/>
        </w:rPr>
        <w:t xml:space="preserve"> </w:t>
      </w:r>
      <w:r>
        <w:rPr>
          <w:rStyle w:val="Style13ptBold"/>
        </w:rPr>
        <w:t>Luna ’05</w:t>
      </w:r>
      <w:r w:rsidRPr="001118F0">
        <w:rPr>
          <w:rStyle w:val="Style13ptBold"/>
          <w:b w:val="0"/>
          <w:bCs w:val="0"/>
          <w:sz w:val="16"/>
          <w:szCs w:val="16"/>
        </w:rPr>
        <w:t xml:space="preserve">, Hugh B. Brown Presidential Endowed Chair in Law and Professor of Law, University of Utah S.J. Quinney College of Law, “Gridland: An Allegorical Critique of Federal Sentencing”, Fall 2005, Northwestern University of Law Journal of Criminal Law and Criminology, Vol. 96, Issue 1 – </w:t>
      </w:r>
      <w:r w:rsidRPr="001118F0">
        <w:rPr>
          <w:rStyle w:val="Style13ptBold"/>
          <w:b w:val="0"/>
          <w:bCs w:val="0"/>
          <w:i/>
          <w:iCs/>
          <w:sz w:val="16"/>
          <w:szCs w:val="16"/>
        </w:rPr>
        <w:t>Fall</w:t>
      </w:r>
      <w:r w:rsidRPr="001118F0">
        <w:rPr>
          <w:rStyle w:val="Style13ptBold"/>
          <w:b w:val="0"/>
          <w:bCs w:val="0"/>
          <w:sz w:val="16"/>
          <w:szCs w:val="16"/>
        </w:rPr>
        <w:t>, Article 2, https://scholarlycommons.law.northwestern.edu/cgi/viewcontent.cgi?article=7216&amp;context=jclc</w:t>
      </w:r>
    </w:p>
    <w:p w14:paraId="472597C7" w14:textId="77777777" w:rsidR="00D75FDD" w:rsidRPr="00D345EC" w:rsidRDefault="00D75FDD" w:rsidP="00D75FDD">
      <w:pPr>
        <w:rPr>
          <w:sz w:val="16"/>
        </w:rPr>
      </w:pPr>
      <w:r w:rsidRPr="00D345EC">
        <w:rPr>
          <w:sz w:val="16"/>
        </w:rPr>
        <w:t xml:space="preserve">Since their advent, </w:t>
      </w:r>
      <w:r w:rsidRPr="00D345EC">
        <w:rPr>
          <w:rStyle w:val="StyleUnderline"/>
        </w:rPr>
        <w:t>mandatory minimums have been assailed by 257 members of the judiciary as thoroughly unjust and unwise, including Justices of the U.S. Supreme Court</w:t>
      </w:r>
      <w:r w:rsidRPr="00D345EC">
        <w:rPr>
          <w:sz w:val="16"/>
        </w:rPr>
        <w:t xml:space="preserve">.258 At various times in their careers, </w:t>
      </w:r>
      <w:r w:rsidRPr="00D345EC">
        <w:rPr>
          <w:rStyle w:val="StyleUnderline"/>
        </w:rPr>
        <w:t>the past three U.S. Presidents have also doubted the wisdom of long mandatory sentences</w:t>
      </w:r>
      <w:r w:rsidRPr="00D345EC">
        <w:rPr>
          <w:sz w:val="16"/>
        </w:rPr>
        <w:t xml:space="preserve">, 59 </w:t>
      </w:r>
      <w:r w:rsidRPr="00D345EC">
        <w:rPr>
          <w:rStyle w:val="StyleUnderline"/>
        </w:rPr>
        <w:t>while prominent federal lawmakers and even a former U.S. Drug Czar and a former U.S. Attorney General have disputed the efficacy and justice of mandatory minimums</w:t>
      </w:r>
      <w:r w:rsidRPr="00D345EC">
        <w:rPr>
          <w:sz w:val="16"/>
        </w:rPr>
        <w:t xml:space="preserve">. 260 Likewise, </w:t>
      </w:r>
      <w:r w:rsidRPr="00D345EC">
        <w:rPr>
          <w:rStyle w:val="StyleUnderline"/>
        </w:rPr>
        <w:t>numerous organizations have expressed opposition to mandatory minimums, with</w:t>
      </w:r>
      <w:r w:rsidRPr="00D345EC">
        <w:rPr>
          <w:sz w:val="16"/>
        </w:rPr>
        <w:t xml:space="preserve">, for instance, </w:t>
      </w:r>
      <w:r w:rsidRPr="00D345EC">
        <w:rPr>
          <w:rStyle w:val="StyleUnderline"/>
        </w:rPr>
        <w:t>a 2004 American Bar Association report calling for the repeal of mandatory minimum sentencing laws</w:t>
      </w:r>
      <w:r w:rsidRPr="00D345EC">
        <w:rPr>
          <w:sz w:val="16"/>
        </w:rPr>
        <w:t xml:space="preserve">. 26 1 Among other things, </w:t>
      </w:r>
      <w:r w:rsidRPr="00D345EC">
        <w:rPr>
          <w:rStyle w:val="StyleUnderline"/>
        </w:rPr>
        <w:t>the critics have pointed out that the mechanical nature of mandatory minimums can produce "cliff' effects in punishment, whereby an individual who possesses 5.01 grams of crack cocaine must serve the five-year mandatory prison term, for instance, but someone who has, say, 4.99 grams of the same drug can be incarcerated for no more than one year</w:t>
      </w:r>
      <w:r w:rsidRPr="00D345EC">
        <w:rPr>
          <w:sz w:val="16"/>
        </w:rPr>
        <w:t xml:space="preserve">.262 In addition, </w:t>
      </w:r>
      <w:r w:rsidRPr="00D345EC">
        <w:rPr>
          <w:rStyle w:val="StyleUnderline"/>
          <w:b/>
          <w:bCs/>
        </w:rPr>
        <w:t>mandatory minimums</w:t>
      </w:r>
      <w:r w:rsidRPr="00D345EC">
        <w:rPr>
          <w:sz w:val="16"/>
        </w:rPr>
        <w:t xml:space="preserve"> (sometimes coupled with liability expanding doctrines like attempt and conspiracy) </w:t>
      </w:r>
      <w:r w:rsidRPr="00D345EC">
        <w:rPr>
          <w:rStyle w:val="StyleUnderline"/>
          <w:b/>
          <w:bCs/>
        </w:rPr>
        <w:t>permit low-level offenders to receive the same (or disturbingly similar) punishment as drug kingpins and violent criminals</w:t>
      </w:r>
      <w:r w:rsidRPr="00D345EC">
        <w:rPr>
          <w:sz w:val="16"/>
        </w:rPr>
        <w:t xml:space="preserve">.2 63 </w:t>
      </w:r>
      <w:r w:rsidRPr="00D345EC">
        <w:rPr>
          <w:rStyle w:val="StyleUnderline"/>
          <w:b/>
          <w:bCs/>
        </w:rPr>
        <w:t>Worse yet, because the bit players in a criminal scheme may have no one to "rat out," they may be subject to severe punishment while major operators avoid hard time by providing information to federal prosecutors</w:t>
      </w:r>
      <w:r w:rsidRPr="00D345EC">
        <w:rPr>
          <w:sz w:val="16"/>
        </w:rPr>
        <w:t xml:space="preserve">.264 Given these and other flaws, </w:t>
      </w:r>
      <w:r w:rsidRPr="00D345EC">
        <w:rPr>
          <w:rStyle w:val="StyleUnderline"/>
          <w:b/>
          <w:bCs/>
        </w:rPr>
        <w:t>former U.S. District Court Judge John Martin offered this terse but accurate assessment of mandatory minimums: "They are cruel, unfair, a waste of resources, and bad law enforcement policy</w:t>
      </w:r>
      <w:r w:rsidRPr="00D345EC">
        <w:rPr>
          <w:sz w:val="16"/>
        </w:rPr>
        <w:t xml:space="preserve">. Other than that they are a great idea., 265 </w:t>
      </w:r>
      <w:r w:rsidRPr="00D345EC">
        <w:rPr>
          <w:rStyle w:val="StyleUnderline"/>
        </w:rPr>
        <w:t>Yet mandatory minimum sentences remain on the books, due in large part to the "pathological politics,</w:t>
      </w:r>
      <w:r w:rsidRPr="00D345EC">
        <w:rPr>
          <w:sz w:val="16"/>
        </w:rPr>
        <w:t xml:space="preserve">, 266 </w:t>
      </w:r>
      <w:r w:rsidRPr="00D345EC">
        <w:rPr>
          <w:rStyle w:val="StyleUnderline"/>
        </w:rPr>
        <w:t>of federal sentencing law</w:t>
      </w:r>
      <w:r w:rsidRPr="00D345EC">
        <w:rPr>
          <w:sz w:val="16"/>
        </w:rPr>
        <w:t xml:space="preserve">. </w:t>
      </w:r>
      <w:r w:rsidRPr="00D345EC">
        <w:rPr>
          <w:rStyle w:val="StyleUnderline"/>
          <w:b/>
          <w:bCs/>
        </w:rPr>
        <w:t>Lawmakers in Congress have every motivation to support ruthless punishment in the form of new mandatory minimums, which have a "tough on crime," bumper-sticker quality that makes them easy to understand by the voting public, thus providing terrific campaign material for the next election cycle</w:t>
      </w:r>
      <w:r w:rsidRPr="00D345EC">
        <w:rPr>
          <w:sz w:val="16"/>
        </w:rPr>
        <w:t>.267 Federal law enforcement also has every incentive to support draconian sentencing laws; by raising the potential punishment to astronomical levels, prosecutors are provided a sledgehammer that often leaves the accused little choice but to accept a plea bargain, thereby leading to more and easier convictions.268 "</w:t>
      </w:r>
      <w:r w:rsidRPr="00D345EC">
        <w:rPr>
          <w:rStyle w:val="StyleUnderline"/>
        </w:rPr>
        <w:t>This is the essential key to an understanding of federal sentencing policy today</w:t>
      </w:r>
      <w:r w:rsidRPr="00D345EC">
        <w:rPr>
          <w:sz w:val="16"/>
        </w:rPr>
        <w:t xml:space="preserve">," one district court opined with brilliant honesty, the Department [of Justice] is so addicted to plea bargaining to leverage its law enforcement resources to an overwhelming conviction rate that the focus of our entire criminal justice system has shifted far away from trials and juries and adjudication to a massive system of sentence bargaining that is heavily rigged against the accused citizen.2 69 </w:t>
      </w:r>
      <w:r w:rsidRPr="00D345EC">
        <w:rPr>
          <w:rStyle w:val="StyleUnderline"/>
          <w:b/>
          <w:bCs/>
        </w:rPr>
        <w:t>When individuals demand their day in court or plea negotiations fail, "the govemment routinely imposes a stiff penalty upon defendants who exercise their constitutional right to trial by jury.'</w:t>
      </w:r>
      <w:r w:rsidRPr="00D345EC">
        <w:rPr>
          <w:sz w:val="16"/>
        </w:rPr>
        <w:t xml:space="preserve"> ,270 </w:t>
      </w:r>
      <w:r w:rsidRPr="00D345EC">
        <w:rPr>
          <w:rStyle w:val="StyleUnderline"/>
        </w:rPr>
        <w:t>The end result can be the mechanical imposition of a long obligatory sentence on an individual whose crime and personal history call for more lenient treatment</w:t>
      </w:r>
      <w:r w:rsidRPr="00D345EC">
        <w:rPr>
          <w:sz w:val="16"/>
        </w:rPr>
        <w:t xml:space="preserve">. Some lawmakers have claimed that truly shocking sentences are the exception, with mandatory minimums producing only a few "horror stories."271 But those with real experience in federal courthouses know otherwise; in responding to such congressional pooh-poohs, Judge Vincent Broderick "respectfully submit[ted] that </w:t>
      </w:r>
      <w:r w:rsidRPr="00D345EC">
        <w:rPr>
          <w:rStyle w:val="StyleUnderline"/>
          <w:b/>
          <w:bCs/>
        </w:rPr>
        <w:t xml:space="preserve">the mandatory minimum system in place is itself the 'horror' story </w:t>
      </w:r>
      <w:r w:rsidRPr="00D345EC">
        <w:rPr>
          <w:sz w:val="16"/>
        </w:rPr>
        <w:t>....</w:t>
      </w:r>
      <w:r w:rsidRPr="00D345EC">
        <w:rPr>
          <w:rStyle w:val="StyleUnderline"/>
          <w:b/>
          <w:bCs/>
        </w:rPr>
        <w:t xml:space="preserve"> [M]andatory minimums are the major obstacle to the development of a fair, rational, honest, and proportional federal criminal justice sentencing system</w:t>
      </w:r>
      <w:r w:rsidRPr="00D345EC">
        <w:rPr>
          <w:sz w:val="16"/>
        </w:rPr>
        <w:t>.' '272 In fact,</w:t>
      </w:r>
      <w:r w:rsidRPr="00D345EC">
        <w:rPr>
          <w:rStyle w:val="StyleUnderline"/>
        </w:rPr>
        <w:t xml:space="preserve"> instances of excessive punishment via federal mandatory minimums abound, from lowlevel street dealers lacking information or more serious offenders to snitch on, to girlfriends tangentially involved in their significant others' drug schemes, to defendants hammered with brutal sentence enhancements because they possessed a firearm somewhere in their home.</w:t>
      </w:r>
      <w:r w:rsidRPr="00D345EC">
        <w:rPr>
          <w:sz w:val="16"/>
        </w:rPr>
        <w:t xml:space="preserve">273 In the words of one U.S. Attorney, </w:t>
      </w:r>
      <w:r w:rsidRPr="00D345EC">
        <w:rPr>
          <w:rStyle w:val="StyleUnderline"/>
        </w:rPr>
        <w:t>cooperating with law enforcement is "the only ticket to freedom'</w:t>
      </w:r>
      <w:r w:rsidRPr="00D345EC">
        <w:rPr>
          <w:sz w:val="16"/>
        </w:rPr>
        <w:t xml:space="preserve"> 274 </w:t>
      </w:r>
      <w:r w:rsidRPr="00D345EC">
        <w:rPr>
          <w:rStyle w:val="StyleUnderline"/>
        </w:rPr>
        <w:t>in a mandatory minimum case</w:t>
      </w:r>
      <w:r w:rsidRPr="00D345EC">
        <w:rPr>
          <w:rStyle w:val="StyleUnderline"/>
          <w:b/>
          <w:bCs/>
        </w:rPr>
        <w:t>. If a defendant refuses to play ball with prosecutors and asks for his day at trial, or if he simply has no information to provide federal agents, his fate is all but sealed by a predetermined statutory formula-a five-year, ten-year, or even longer term of imprisonment-irrespective of all else, including the best judgment of the sentencing court</w:t>
      </w:r>
      <w:r w:rsidRPr="00D345EC">
        <w:rPr>
          <w:sz w:val="16"/>
        </w:rPr>
        <w:t>. So whatever the benefits of Booker, the very worst rules of Gridland remain in effect.</w:t>
      </w:r>
    </w:p>
    <w:p w14:paraId="083C7AFF" w14:textId="77777777" w:rsidR="00D75FDD" w:rsidRPr="00D345EC" w:rsidRDefault="00D75FDD" w:rsidP="00D75FDD"/>
    <w:p w14:paraId="7BBB9BCC" w14:textId="77777777" w:rsidR="00D75FDD" w:rsidRDefault="00D75FDD" w:rsidP="00D75FDD">
      <w:pPr>
        <w:pStyle w:val="Heading3"/>
      </w:pPr>
      <w:r>
        <w:t>1NC – Congress CP – Death Penalty</w:t>
      </w:r>
    </w:p>
    <w:p w14:paraId="6754DF36" w14:textId="77777777" w:rsidR="00D75FDD" w:rsidRDefault="00D75FDD" w:rsidP="00D75FDD">
      <w:pPr>
        <w:pStyle w:val="Heading4"/>
      </w:pPr>
      <w:r>
        <w:t xml:space="preserve">The United States Congress should pass legislation abolishing the death penalty in the United States. </w:t>
      </w:r>
    </w:p>
    <w:p w14:paraId="3E040F6E" w14:textId="77777777" w:rsidR="00D75FDD" w:rsidRDefault="00D75FDD" w:rsidP="00D75FDD"/>
    <w:p w14:paraId="3CD0CF9E" w14:textId="77777777" w:rsidR="00D75FDD" w:rsidRDefault="00D75FDD" w:rsidP="00D75FDD">
      <w:pPr>
        <w:pStyle w:val="Heading4"/>
      </w:pPr>
      <w:r>
        <w:t>Congress solves and is more effective than the aff</w:t>
      </w:r>
    </w:p>
    <w:p w14:paraId="31B9C661" w14:textId="77777777" w:rsidR="00D75FDD" w:rsidRPr="008C0D8B" w:rsidRDefault="00D75FDD" w:rsidP="00D75FDD">
      <w:pPr>
        <w:rPr>
          <w:rStyle w:val="Style13ptBold"/>
          <w:b w:val="0"/>
          <w:bCs w:val="0"/>
        </w:rPr>
      </w:pPr>
      <w:r w:rsidRPr="008C0D8B">
        <w:rPr>
          <w:rStyle w:val="Style13ptBold"/>
          <w:b w:val="0"/>
          <w:bCs w:val="0"/>
          <w:sz w:val="16"/>
          <w:szCs w:val="16"/>
        </w:rPr>
        <w:t>John</w:t>
      </w:r>
      <w:r>
        <w:rPr>
          <w:rStyle w:val="Style13ptBold"/>
          <w:b w:val="0"/>
          <w:bCs w:val="0"/>
        </w:rPr>
        <w:t xml:space="preserve"> </w:t>
      </w:r>
      <w:r>
        <w:rPr>
          <w:rStyle w:val="Style13ptBold"/>
        </w:rPr>
        <w:t>Nichols ’19</w:t>
      </w:r>
      <w:r w:rsidRPr="008C0D8B">
        <w:rPr>
          <w:rStyle w:val="Style13ptBold"/>
          <w:b w:val="0"/>
          <w:bCs w:val="0"/>
          <w:sz w:val="16"/>
          <w:szCs w:val="16"/>
        </w:rPr>
        <w:t>, is The Nation’s national-affairs correspondent, “Democrats Can Become the Party of Death Penalty Abolitionism”, 9/12/19, The Nation, https://www.thenation.com/article/archive/2020-democrats-death-penalty/</w:t>
      </w:r>
    </w:p>
    <w:p w14:paraId="3EFC32E2" w14:textId="77777777" w:rsidR="00D75FDD" w:rsidRPr="00A77104" w:rsidRDefault="00D75FDD" w:rsidP="00D75FDD">
      <w:pPr>
        <w:rPr>
          <w:sz w:val="16"/>
        </w:rPr>
      </w:pPr>
      <w:r w:rsidRPr="00A77104">
        <w:rPr>
          <w:sz w:val="16"/>
        </w:rPr>
        <w:t xml:space="preserve">EXPLOITING THE DEATH PENALTY FOR POLITICAL GAIN To some extent, this is a required response to Donald Trump, whose attorney general moved in July to begin scheduling federal executions, after a 16-year moratorium. William </w:t>
      </w:r>
      <w:r w:rsidRPr="00A77104">
        <w:rPr>
          <w:rStyle w:val="StyleUnderline"/>
        </w:rPr>
        <w:t>Barr’s action sent a signal to Democrats that they could well face a 2020 campaign in which the Republican nominee sounds a cynical cry for vengeance that makes capital punishment central to the domestic debate</w:t>
      </w:r>
      <w:r w:rsidRPr="00A77104">
        <w:rPr>
          <w:sz w:val="16"/>
        </w:rPr>
        <w:t xml:space="preserve">. To counter that cry, Democratic presidential contenders must recognize Barr’s announcement for what it is: a political gambit that is rooted in the past but that need not frame the future. That’s one of the reasons it makes political—as well as moral—sense to use the debate in Texas to push back. </w:t>
      </w:r>
      <w:r w:rsidRPr="00A77104">
        <w:rPr>
          <w:rStyle w:val="StyleUnderline"/>
        </w:rPr>
        <w:t>A unified show of opposition to capital punishment in a state that executes so many would signal that the Democratic Party will not be derailed and distracted by an issue where it can stand, finally, on the right side of history</w:t>
      </w:r>
      <w:r w:rsidRPr="00A77104">
        <w:rPr>
          <w:sz w:val="16"/>
        </w:rPr>
        <w:t xml:space="preserve">. </w:t>
      </w:r>
      <w:r w:rsidRPr="00A77104">
        <w:rPr>
          <w:rStyle w:val="StyleUnderline"/>
        </w:rPr>
        <w:t>Exploitation of the death penalty for political purposes is nothing new. Republicans and Democrats have</w:t>
      </w:r>
      <w:r w:rsidRPr="00A77104">
        <w:rPr>
          <w:sz w:val="16"/>
        </w:rPr>
        <w:t xml:space="preserve">, for generations, </w:t>
      </w:r>
      <w:r w:rsidRPr="00A77104">
        <w:rPr>
          <w:rStyle w:val="StyleUnderline"/>
        </w:rPr>
        <w:t>engaged in the crudest of political calculations by arguing at election time that there was an “urgent” need to haul prisoners out of cells where they are securely incarcerated</w:t>
      </w:r>
      <w:r w:rsidRPr="00A77104">
        <w:rPr>
          <w:sz w:val="16"/>
        </w:rPr>
        <w:t>—and serving long sentences—</w:t>
      </w:r>
      <w:r w:rsidRPr="00A77104">
        <w:rPr>
          <w:rStyle w:val="StyleUnderline"/>
        </w:rPr>
        <w:t>so that they could be killed</w:t>
      </w:r>
      <w:r w:rsidRPr="00A77104">
        <w:rPr>
          <w:sz w:val="16"/>
        </w:rPr>
        <w:t xml:space="preserve">. </w:t>
      </w:r>
      <w:r w:rsidRPr="00A77104">
        <w:rPr>
          <w:rStyle w:val="StyleUnderline"/>
          <w:b/>
          <w:bCs/>
        </w:rPr>
        <w:t>That’s what Trump is doing now</w:t>
      </w:r>
      <w:r w:rsidRPr="00A77104">
        <w:rPr>
          <w:sz w:val="16"/>
        </w:rPr>
        <w:t xml:space="preserve">. </w:t>
      </w:r>
      <w:r w:rsidRPr="00A77104">
        <w:rPr>
          <w:rStyle w:val="StyleUnderline"/>
          <w:b/>
          <w:bCs/>
        </w:rPr>
        <w:t xml:space="preserve">There is a good chance that the </w:t>
      </w:r>
      <w:r w:rsidRPr="00A77104">
        <w:rPr>
          <w:rStyle w:val="Emphasis"/>
        </w:rPr>
        <w:t>courts</w:t>
      </w:r>
      <w:r w:rsidRPr="00A77104">
        <w:rPr>
          <w:rStyle w:val="StyleUnderline"/>
          <w:b/>
          <w:bCs/>
        </w:rPr>
        <w:t xml:space="preserve"> </w:t>
      </w:r>
      <w:r w:rsidRPr="00A77104">
        <w:rPr>
          <w:sz w:val="16"/>
        </w:rPr>
        <w:t xml:space="preserve">and common sense </w:t>
      </w:r>
      <w:r w:rsidRPr="00A77104">
        <w:rPr>
          <w:rStyle w:val="Emphasis"/>
        </w:rPr>
        <w:t>will delay</w:t>
      </w:r>
      <w:r w:rsidRPr="00A77104">
        <w:rPr>
          <w:rStyle w:val="StyleUnderline"/>
          <w:b/>
          <w:bCs/>
        </w:rPr>
        <w:t>, and perhaps prevent, the deaths by lethal injection that Barr proposes</w:t>
      </w:r>
      <w:r w:rsidRPr="00A77104">
        <w:rPr>
          <w:sz w:val="16"/>
        </w:rPr>
        <w:t xml:space="preserve">. </w:t>
      </w:r>
      <w:r w:rsidRPr="00A77104">
        <w:rPr>
          <w:rStyle w:val="Emphasis"/>
        </w:rPr>
        <w:t>But that won’t be the end of it</w:t>
      </w:r>
      <w:r w:rsidRPr="00A77104">
        <w:rPr>
          <w:sz w:val="16"/>
        </w:rPr>
        <w:t>. Rest assured that, whether or not executions occur, Trump will turn up the volume of the cry for vengeance just in time for the 2020 election season. “The only surprising part of the Trump administration’s choice to restart federal executions is that it took the president this long to make it. As a matter of pure politics, Donald Trump would probably like nothing more than to have a national debate over the next year about what sort of justice ought to be meted out to convicted murderers,” explains Brennan Center for Justice fellow Andrew Cohen. “Such a dialogue during the primary season will likely rile his base, track [with] his ‘American carnage’ motif, and distract reporters away from coverage of the administration’s malfeasance and the president’s own legal troubles.” That’s not speculation. Trump has a record. Few figures in public life have been so consistently vile in their exploitation of capital punishment for the purpose of dividing Americans against one another. His 1989 agitation to “bring back the death penalty” in the aftermath of the rape and assault of a woman who had been jogging in Central Park has been well documented. Trump did everything he could to whip up outrage against five African American and Hispanic teenagers who were wrongly charged and then convicted in 1990. “All five were exonerated in 2002 after Matias Reyes confessed to raping the woman, which was backed up by DNA evidence,” USA Today reminds us. Yet, instead of recognizing the injustice, Trump refuses to apologize. And he refuses to recognize the evolution of the criminal justice debate in recent years. “</w:t>
      </w:r>
      <w:r w:rsidRPr="00A77104">
        <w:rPr>
          <w:rStyle w:val="StyleUnderline"/>
        </w:rPr>
        <w:t>It doesn’t matter to Trump, or to Barr, that violent crime rates are down in America and at generational lows in many jurisdictions</w:t>
      </w:r>
      <w:r w:rsidRPr="00A77104">
        <w:rPr>
          <w:sz w:val="16"/>
        </w:rPr>
        <w:t>,” argues Cohen. “</w:t>
      </w:r>
      <w:r w:rsidRPr="00A77104">
        <w:rPr>
          <w:rStyle w:val="StyleUnderline"/>
        </w:rPr>
        <w:t>It doesn’t matter that, as more states abolish the death penalty, executions are down across the country and that the imposition of death sentences in murder cases also is waning for good and practical reasons</w:t>
      </w:r>
      <w:r w:rsidRPr="00A77104">
        <w:rPr>
          <w:sz w:val="16"/>
        </w:rPr>
        <w:t xml:space="preserve">. It does not matter to this administration that conservative opposition to capital punishment has grown significantly over the past decade or so. Or that the American people, slowly but surely, are turning away from it as well, with less than half of Americans saying that the death penalty is applied fairly.” DEMOCRATS ARE RESPONDING </w:t>
      </w:r>
      <w:r w:rsidRPr="00A77104">
        <w:rPr>
          <w:rStyle w:val="StyleUnderline"/>
          <w:b/>
          <w:bCs/>
        </w:rPr>
        <w:t>But the shift in the debate should matter to those who oppose what Trump and Barr are now doing</w:t>
      </w:r>
      <w:r w:rsidRPr="00A77104">
        <w:rPr>
          <w:sz w:val="16"/>
        </w:rPr>
        <w:t xml:space="preserve">. </w:t>
      </w:r>
      <w:r w:rsidRPr="00A77104">
        <w:rPr>
          <w:rStyle w:val="Emphasis"/>
        </w:rPr>
        <w:t>It is not enough to wait for the courts</w:t>
      </w:r>
      <w:r w:rsidRPr="00A77104">
        <w:rPr>
          <w:sz w:val="16"/>
        </w:rPr>
        <w:t xml:space="preserve">. Every Democratic presidential contender should speak up boldly—as some already have. Senator Elizabeth Warren was appropriately blunt when she said, “Our criminal justice system has a long history of mistakes when it comes to capital punishment—especially when it comes to Black and Brown people. We cannot let a broken system decide the fate of incarcerated Americans. I oppose the death penalty.” So was Senator Cory Booker, when he pointed out that Throughout our nation’s history we have seen how the death penalty is not only ineffective and immoral, but also fraught with biases against people of color, low-income individuals, and those with mental illness. It is a waste of taxpayer dollars and does nothing to improve public safety. Instead, capital punishment seeks to satisfy a desire for vengeance and retribution. Our government must represent the best of who we are, not the worst. We can, and should, do better. Even former vice president Joe Biden, a former supporter of capital punishment, now says “we must eliminate the death penalty.” </w:t>
      </w:r>
      <w:r w:rsidRPr="00A77104">
        <w:rPr>
          <w:rStyle w:val="StyleUnderline"/>
        </w:rPr>
        <w:t xml:space="preserve">Polls suggest that the nation remains divided on the issue. But as Trump seeks to exploit this division, responsible leaders must address it with information and clear statements of moral conviction. </w:t>
      </w:r>
      <w:r w:rsidRPr="00A77104">
        <w:rPr>
          <w:rStyle w:val="StyleUnderline"/>
          <w:b/>
          <w:bCs/>
        </w:rPr>
        <w:t>That’s what</w:t>
      </w:r>
      <w:r w:rsidRPr="00A77104">
        <w:rPr>
          <w:sz w:val="16"/>
        </w:rPr>
        <w:t xml:space="preserve"> Massachusetts </w:t>
      </w:r>
      <w:r w:rsidRPr="00A77104">
        <w:rPr>
          <w:rStyle w:val="StyleUnderline"/>
          <w:b/>
          <w:bCs/>
        </w:rPr>
        <w:t>Representative</w:t>
      </w:r>
      <w:r w:rsidRPr="00A77104">
        <w:rPr>
          <w:sz w:val="16"/>
        </w:rPr>
        <w:t xml:space="preserve"> Ayanna </w:t>
      </w:r>
      <w:r w:rsidRPr="00A77104">
        <w:rPr>
          <w:rStyle w:val="StyleUnderline"/>
          <w:b/>
          <w:bCs/>
        </w:rPr>
        <w:t>Pressley has done</w:t>
      </w:r>
      <w:r w:rsidRPr="00A77104">
        <w:rPr>
          <w:sz w:val="16"/>
        </w:rPr>
        <w:t xml:space="preserve">, in a move that defines a way forward for her party. </w:t>
      </w:r>
      <w:r w:rsidRPr="00A77104">
        <w:rPr>
          <w:rStyle w:val="StyleUnderline"/>
          <w:b/>
          <w:bCs/>
        </w:rPr>
        <w:t>With significant support from Democratic House members</w:t>
      </w:r>
      <w:r w:rsidRPr="00A77104">
        <w:rPr>
          <w:sz w:val="16"/>
        </w:rPr>
        <w:t>—and Michigan independent Justin Amash, a former Republican—</w:t>
      </w:r>
      <w:r w:rsidRPr="00A77104">
        <w:rPr>
          <w:rStyle w:val="StyleUnderline"/>
          <w:b/>
          <w:bCs/>
        </w:rPr>
        <w:t>Pressley has introduced legislation “to prohibit the imposition of the death penalty for any violation of federal laws, and for any purposes.”</w:t>
      </w:r>
    </w:p>
    <w:p w14:paraId="6C38D20E" w14:textId="77777777" w:rsidR="00D75FDD" w:rsidRDefault="00D75FDD" w:rsidP="00D75FDD"/>
    <w:p w14:paraId="292351BF" w14:textId="37E72AA0" w:rsidR="00D75FDD" w:rsidRDefault="00D75FDD" w:rsidP="00D75FDD">
      <w:pPr>
        <w:pStyle w:val="Heading3"/>
      </w:pPr>
      <w:r>
        <w:t>1NC – Congress CP – Forensic Science (General)</w:t>
      </w:r>
    </w:p>
    <w:p w14:paraId="4B03C5B5" w14:textId="77777777" w:rsidR="00D75FDD" w:rsidRDefault="00D75FDD" w:rsidP="00D75FDD">
      <w:pPr>
        <w:pStyle w:val="Heading4"/>
      </w:pPr>
      <w:r>
        <w:t xml:space="preserve">The United States Congress should [PLAN] and strengthen all sanctions for accredited laboratories who fail to comply with [PLAN STANDARD]. </w:t>
      </w:r>
    </w:p>
    <w:p w14:paraId="6AC488DE" w14:textId="77777777" w:rsidR="00D75FDD" w:rsidRDefault="00D75FDD" w:rsidP="00D75FDD"/>
    <w:p w14:paraId="10C39DDE" w14:textId="77777777" w:rsidR="00D75FDD" w:rsidRDefault="00D75FDD" w:rsidP="00D75FDD">
      <w:pPr>
        <w:pStyle w:val="Heading4"/>
      </w:pPr>
      <w:r>
        <w:t>That solves – federal accreditation and funding ensures compliance</w:t>
      </w:r>
    </w:p>
    <w:p w14:paraId="3B8C12CF" w14:textId="77777777" w:rsidR="00D75FDD" w:rsidRPr="0028524B" w:rsidRDefault="00D75FDD" w:rsidP="00D75FDD">
      <w:pPr>
        <w:rPr>
          <w:rStyle w:val="Style13ptBold"/>
          <w:b w:val="0"/>
          <w:bCs w:val="0"/>
        </w:rPr>
      </w:pPr>
      <w:r w:rsidRPr="0028524B">
        <w:rPr>
          <w:rStyle w:val="Style13ptBold"/>
          <w:b w:val="0"/>
          <w:bCs w:val="0"/>
          <w:sz w:val="16"/>
          <w:szCs w:val="16"/>
        </w:rPr>
        <w:t>Eric</w:t>
      </w:r>
      <w:r>
        <w:rPr>
          <w:rStyle w:val="Style13ptBold"/>
          <w:b w:val="0"/>
          <w:bCs w:val="0"/>
        </w:rPr>
        <w:t xml:space="preserve"> </w:t>
      </w:r>
      <w:r>
        <w:rPr>
          <w:rStyle w:val="Style13ptBold"/>
        </w:rPr>
        <w:t>Maloney ’13</w:t>
      </w:r>
      <w:r w:rsidRPr="0028524B">
        <w:rPr>
          <w:rStyle w:val="Style13ptBold"/>
          <w:b w:val="0"/>
          <w:bCs w:val="0"/>
          <w:sz w:val="16"/>
          <w:szCs w:val="16"/>
        </w:rPr>
        <w:t>,  J.D. Candidate (2014), University of Minnesota Law School, “Two More Problems and Too Little Money: Can Congress Truly Reform Forensic Science?”, 2013, Minnesota Journal of Law, Science &amp; Technology, Vol. 14, Issue 2, Article 11, https://scholarship.law.umn.edu/cgi/viewcontent.cgi?article=1047&amp;context=mjlst</w:t>
      </w:r>
    </w:p>
    <w:p w14:paraId="135FAD33" w14:textId="4A303ED4" w:rsidR="00D75FDD" w:rsidRPr="006473D0" w:rsidRDefault="00D75FDD" w:rsidP="00D75FDD">
      <w:pPr>
        <w:rPr>
          <w:sz w:val="16"/>
        </w:rPr>
      </w:pPr>
      <w:r w:rsidRPr="006473D0">
        <w:rPr>
          <w:rStyle w:val="StyleUnderline"/>
        </w:rPr>
        <w:t>A key component of any effective federal legislation on this issue must include mandatory accreditation and certification standards enforced through a federal mechanism</w:t>
      </w:r>
      <w:r w:rsidRPr="006473D0">
        <w:rPr>
          <w:sz w:val="16"/>
        </w:rPr>
        <w:t xml:space="preserve">. By only carrying the threat of monetary sanctions if laboratories are not in compliance, </w:t>
      </w:r>
      <w:r w:rsidRPr="006473D0">
        <w:rPr>
          <w:rStyle w:val="StyleUnderline"/>
          <w:b/>
          <w:bCs/>
        </w:rPr>
        <w:t>current and proposed federal regulations lack sufficient means to motivate states into compliance</w:t>
      </w:r>
      <w:r w:rsidRPr="006473D0">
        <w:rPr>
          <w:sz w:val="16"/>
        </w:rPr>
        <w:t xml:space="preserve">.168 </w:t>
      </w:r>
      <w:r w:rsidRPr="006473D0">
        <w:rPr>
          <w:rStyle w:val="StyleUnderline"/>
          <w:b/>
          <w:bCs/>
        </w:rPr>
        <w:t>Congress should take a cue from its previous regulation of clinical service laboratories and apply similar measures to forensic science providers</w:t>
      </w:r>
      <w:r w:rsidRPr="006473D0">
        <w:rPr>
          <w:sz w:val="16"/>
        </w:rPr>
        <w:t xml:space="preserve">. This is not a new idea—it was proposed as far back as 1991169—long before the most recent lab scandals. </w:t>
      </w:r>
      <w:r w:rsidRPr="006473D0">
        <w:rPr>
          <w:rStyle w:val="StyleUnderline"/>
        </w:rPr>
        <w:t>The 1988</w:t>
      </w:r>
      <w:r w:rsidRPr="006473D0">
        <w:rPr>
          <w:sz w:val="16"/>
        </w:rPr>
        <w:t xml:space="preserve"> Clinical Laboratory Improvement Amendments (</w:t>
      </w:r>
      <w:r w:rsidRPr="006473D0">
        <w:rPr>
          <w:rStyle w:val="StyleUnderline"/>
        </w:rPr>
        <w:t>CLIA</w:t>
      </w:r>
      <w:r w:rsidRPr="006473D0">
        <w:rPr>
          <w:sz w:val="16"/>
        </w:rPr>
        <w:t xml:space="preserve">)170 </w:t>
      </w:r>
      <w:r w:rsidRPr="006473D0">
        <w:rPr>
          <w:rStyle w:val="StyleUnderline"/>
        </w:rPr>
        <w:t>ensured quality clinical laboratory testing in labs receiving Medicare or Medicaid payments, primarily by requiring laboratory accreditation through either the government or a certified outside agency</w:t>
      </w:r>
      <w:r w:rsidRPr="006473D0">
        <w:rPr>
          <w:sz w:val="16"/>
        </w:rPr>
        <w:t xml:space="preserve">.171 </w:t>
      </w:r>
      <w:r w:rsidRPr="006473D0">
        <w:rPr>
          <w:rStyle w:val="StyleUnderline"/>
          <w:b/>
          <w:bCs/>
        </w:rPr>
        <w:t>The difference between CLIA and regulations of forensic laboratories are the available sanctions: labs found in non-compliance with CLIA may be subject to a much wider range of sanctions by the government, including suspension of accreditation, a civil suit, imprisonment, or fines, for those found guilty of intentionally violating CLIA</w:t>
      </w:r>
      <w:r w:rsidRPr="006473D0">
        <w:rPr>
          <w:sz w:val="16"/>
        </w:rPr>
        <w:t>.172</w:t>
      </w:r>
      <w:r w:rsidR="006473D0" w:rsidRPr="006473D0">
        <w:rPr>
          <w:sz w:val="16"/>
        </w:rPr>
        <w:t xml:space="preserve"> </w:t>
      </w:r>
      <w:r w:rsidRPr="006473D0">
        <w:rPr>
          <w:rStyle w:val="StyleUnderline"/>
          <w:b/>
          <w:bCs/>
        </w:rPr>
        <w:t xml:space="preserve">If strong sanctions such as these were coupled with the accreditation and certification requirements already present in the Act, </w:t>
      </w:r>
      <w:r w:rsidRPr="006473D0">
        <w:rPr>
          <w:rStyle w:val="Emphasis"/>
        </w:rPr>
        <w:t>it would likely increase the compliance of forensic labs</w:t>
      </w:r>
      <w:r w:rsidRPr="006473D0">
        <w:rPr>
          <w:sz w:val="16"/>
        </w:rPr>
        <w:t xml:space="preserve">. At the time of CLIA’s passage, similar legislation for forensic labs was unworkable due to a lack of standard operating procedures and certification for forensic professionals.173 With the creation of ASCLD/LAB accreditation and other types of standards, this is no longer the case. </w:t>
      </w:r>
      <w:r w:rsidRPr="006473D0">
        <w:rPr>
          <w:rStyle w:val="StyleUnderline"/>
          <w:b/>
          <w:bCs/>
        </w:rPr>
        <w:t>Guidelines exist for laboratory procedure and proper education of forensic scientists in the Act, and sanctions would then ensure that these guidelines are followed, minimizing both poor quality lab work and potential misconduct by bad actors</w:t>
      </w:r>
      <w:r w:rsidRPr="006473D0">
        <w:rPr>
          <w:sz w:val="16"/>
        </w:rPr>
        <w:t>. Nonetheless, these strict sanctions may ultimately be politically unpopular because actors in the criminal justice system are unwilling to have labs completely shut down or have fines taken from public coffers for violations of these regulations.174</w:t>
      </w:r>
    </w:p>
    <w:p w14:paraId="233DCBDF" w14:textId="77777777" w:rsidR="00D75FDD" w:rsidRDefault="00D75FDD" w:rsidP="00D75FDD">
      <w:pPr>
        <w:pStyle w:val="Heading3"/>
      </w:pPr>
      <w:r>
        <w:t>1NC – Congress CP – Sentencing Reform (General)</w:t>
      </w:r>
    </w:p>
    <w:p w14:paraId="14C2DE64" w14:textId="77777777" w:rsidR="00D75FDD" w:rsidRDefault="00D75FDD" w:rsidP="00D75FDD">
      <w:pPr>
        <w:pStyle w:val="Heading4"/>
      </w:pPr>
      <w:r>
        <w:t>The United States Congress should instruct the federal judiciary to create a “sentencing information system” accessible to all relevant decisionmakers to supplement current federal sentencing guidelines. The United States Congress should require appellate review of cases of lower courts to ensure effective integration of new federal guidelines and to review cases with statistically significant departures from national sentencing averages, respective to type of crime.</w:t>
      </w:r>
    </w:p>
    <w:p w14:paraId="12DA5488" w14:textId="77777777" w:rsidR="00D75FDD" w:rsidRPr="00482302" w:rsidRDefault="00D75FDD" w:rsidP="00D75FDD"/>
    <w:p w14:paraId="5CE9B3B4" w14:textId="77777777" w:rsidR="00D75FDD" w:rsidRPr="00482302" w:rsidRDefault="00D75FDD" w:rsidP="00D75FDD">
      <w:pPr>
        <w:pStyle w:val="Heading4"/>
      </w:pPr>
      <w:r>
        <w:t>That solves ad-hoc sentencing without Congressional overreach – avoids the court clog DA</w:t>
      </w:r>
    </w:p>
    <w:p w14:paraId="0C9FF97A" w14:textId="77777777" w:rsidR="00D75FDD" w:rsidRPr="001118F0" w:rsidRDefault="00D75FDD" w:rsidP="00D75FDD">
      <w:pPr>
        <w:rPr>
          <w:rStyle w:val="Style13ptBold"/>
          <w:b w:val="0"/>
          <w:bCs w:val="0"/>
        </w:rPr>
      </w:pPr>
      <w:r w:rsidRPr="001118F0">
        <w:rPr>
          <w:rStyle w:val="Style13ptBold"/>
          <w:b w:val="0"/>
          <w:bCs w:val="0"/>
          <w:sz w:val="16"/>
          <w:szCs w:val="16"/>
        </w:rPr>
        <w:t>Erik</w:t>
      </w:r>
      <w:r>
        <w:rPr>
          <w:rStyle w:val="Style13ptBold"/>
          <w:b w:val="0"/>
          <w:bCs w:val="0"/>
        </w:rPr>
        <w:t xml:space="preserve"> </w:t>
      </w:r>
      <w:r>
        <w:rPr>
          <w:rStyle w:val="Style13ptBold"/>
        </w:rPr>
        <w:t>Luna ’05</w:t>
      </w:r>
      <w:r w:rsidRPr="001118F0">
        <w:rPr>
          <w:rStyle w:val="Style13ptBold"/>
          <w:b w:val="0"/>
          <w:bCs w:val="0"/>
          <w:sz w:val="16"/>
          <w:szCs w:val="16"/>
        </w:rPr>
        <w:t xml:space="preserve">, Hugh B. Brown Presidential Endowed Chair in Law and Professor of Law, University of Utah S.J. Quinney College of Law, “Gridland: An Allegorical Critique of Federal Sentencing”, Fall 2005, Northwestern University of Law Journal of Criminal Law and Criminology, Vol. 96, Issue 1 – </w:t>
      </w:r>
      <w:r w:rsidRPr="001118F0">
        <w:rPr>
          <w:rStyle w:val="Style13ptBold"/>
          <w:b w:val="0"/>
          <w:bCs w:val="0"/>
          <w:i/>
          <w:iCs/>
          <w:sz w:val="16"/>
          <w:szCs w:val="16"/>
        </w:rPr>
        <w:t>Fall</w:t>
      </w:r>
      <w:r w:rsidRPr="001118F0">
        <w:rPr>
          <w:rStyle w:val="Style13ptBold"/>
          <w:b w:val="0"/>
          <w:bCs w:val="0"/>
          <w:sz w:val="16"/>
          <w:szCs w:val="16"/>
        </w:rPr>
        <w:t>, Article 2, https://scholarlycommons.law.northwestern.edu/cgi/viewcontent.cgi?article=7216&amp;context=jclc</w:t>
      </w:r>
    </w:p>
    <w:p w14:paraId="7032852D" w14:textId="77777777" w:rsidR="00D75FDD" w:rsidRPr="000915D9" w:rsidRDefault="00D75FDD" w:rsidP="00D75FDD">
      <w:pPr>
        <w:rPr>
          <w:sz w:val="16"/>
        </w:rPr>
      </w:pPr>
      <w:r w:rsidRPr="000915D9">
        <w:rPr>
          <w:rStyle w:val="StyleUnderline"/>
        </w:rPr>
        <w:t>Real guidelines and sufficiently wide statutory ranges could be part of the common law of federal sentencing advocated by many scholars and jurists, with today's courts drawing upon the analysis and conclusions of prior judicial opinions</w:t>
      </w:r>
      <w:r w:rsidRPr="000915D9">
        <w:rPr>
          <w:sz w:val="16"/>
        </w:rPr>
        <w:t xml:space="preserve">. </w:t>
      </w:r>
      <w:r w:rsidRPr="000915D9">
        <w:rPr>
          <w:rStyle w:val="StyleUnderline"/>
        </w:rPr>
        <w:t>The common law model would seem to entail at least three elements, two of which are already in effect</w:t>
      </w:r>
      <w:r w:rsidRPr="000915D9">
        <w:rPr>
          <w:sz w:val="16"/>
        </w:rPr>
        <w:t xml:space="preserve">. To begin with, </w:t>
      </w:r>
      <w:r w:rsidRPr="000915D9">
        <w:rPr>
          <w:rStyle w:val="StyleUnderline"/>
        </w:rPr>
        <w:t>trial courts would need to give written reasons for their sentences, describing the precise rationale for the given punishment in a manner accessible to both professionals and lay participants</w:t>
      </w:r>
      <w:r w:rsidRPr="000915D9">
        <w:rPr>
          <w:sz w:val="16"/>
        </w:rPr>
        <w:t xml:space="preserve">. In turn, </w:t>
      </w:r>
      <w:r w:rsidRPr="000915D9">
        <w:rPr>
          <w:rStyle w:val="StyleUnderline"/>
        </w:rPr>
        <w:t>appellate judges would review the lower court judgment to guarantee the fair application of real guidelines or a warranted variation from these benchmarks, free of racial or classbased bias toward the defendant</w:t>
      </w:r>
      <w:r w:rsidRPr="000915D9">
        <w:rPr>
          <w:sz w:val="16"/>
        </w:rPr>
        <w:t xml:space="preserve">. The evolving post-Booker jurisprudence necessitates both written sentencing opinions and appellate review for reasonableness,414 although still employing the formulaic language of the Guidelines. Presumably, however, both district and appellate courts could continue these valuable practices under a system of real guidelines. Moreover, </w:t>
      </w:r>
      <w:r w:rsidRPr="000915D9">
        <w:rPr>
          <w:rStyle w:val="StyleUnderline"/>
        </w:rPr>
        <w:t>the written reasons of trial judges and the opinions of appellate courts could contribute to a third element of common law sentencing-the creation of a type of institutional memory for the federal system, where judges can extract relevant information from a database of prior sentences</w:t>
      </w:r>
      <w:r w:rsidRPr="000915D9">
        <w:rPr>
          <w:sz w:val="16"/>
        </w:rPr>
        <w:t xml:space="preserve">. Just recently, </w:t>
      </w:r>
      <w:r w:rsidRPr="000915D9">
        <w:rPr>
          <w:rStyle w:val="StyleUnderline"/>
        </w:rPr>
        <w:t>Professor</w:t>
      </w:r>
      <w:r w:rsidRPr="000915D9">
        <w:rPr>
          <w:sz w:val="16"/>
        </w:rPr>
        <w:t xml:space="preserve"> Marc </w:t>
      </w:r>
      <w:r w:rsidRPr="000915D9">
        <w:rPr>
          <w:rStyle w:val="StyleUnderline"/>
        </w:rPr>
        <w:t>Miller described the concept of a "</w:t>
      </w:r>
      <w:r w:rsidRPr="000915D9">
        <w:rPr>
          <w:rStyle w:val="StyleUnderline"/>
          <w:b/>
          <w:bCs/>
        </w:rPr>
        <w:t>sentencing information system</w:t>
      </w:r>
      <w:r w:rsidRPr="000915D9">
        <w:rPr>
          <w:rStyle w:val="StyleUnderline"/>
        </w:rPr>
        <w:t>"</w:t>
      </w:r>
      <w:r w:rsidRPr="000915D9">
        <w:rPr>
          <w:sz w:val="16"/>
        </w:rPr>
        <w:t xml:space="preserve"> (SIS): </w:t>
      </w:r>
      <w:r w:rsidRPr="000915D9">
        <w:rPr>
          <w:rStyle w:val="StyleUnderline"/>
          <w:b/>
          <w:bCs/>
        </w:rPr>
        <w:t>Judges are provided with sufficient information to determine how other offenders like the offender in front of the judge have been sentenced before</w:t>
      </w:r>
      <w:r w:rsidRPr="000915D9">
        <w:rPr>
          <w:sz w:val="16"/>
        </w:rPr>
        <w:t xml:space="preserve">. </w:t>
      </w:r>
      <w:r w:rsidRPr="000915D9">
        <w:rPr>
          <w:rStyle w:val="StyleUnderline"/>
        </w:rPr>
        <w:t>Judges can ask a series of "what if' questions by varying each of the relevant factors to see how each variation changes the sentences others have imposed</w:t>
      </w:r>
      <w:r w:rsidRPr="000915D9">
        <w:rPr>
          <w:sz w:val="16"/>
        </w:rPr>
        <w:t xml:space="preserve">. </w:t>
      </w:r>
      <w:r w:rsidRPr="000915D9">
        <w:rPr>
          <w:rStyle w:val="StyleUnderline"/>
          <w:b/>
          <w:bCs/>
        </w:rPr>
        <w:t>More complex systems can allow the "what ifs" to vary over specified time periods (or to show trends) and over different political units or groups</w:t>
      </w:r>
      <w:r w:rsidRPr="000915D9">
        <w:rPr>
          <w:sz w:val="16"/>
        </w:rPr>
        <w:t xml:space="preserve">, such as sentences by the same judge, by other judges in the same courthouse, or by other judges in the same state or country. </w:t>
      </w:r>
      <w:r w:rsidRPr="000915D9">
        <w:rPr>
          <w:rStyle w:val="StyleUnderline"/>
          <w:b/>
          <w:bCs/>
        </w:rPr>
        <w:t xml:space="preserve">Unlike sentencing guidelines, an SIS does not tell judges what they </w:t>
      </w:r>
      <w:r w:rsidRPr="000915D9">
        <w:rPr>
          <w:rStyle w:val="Emphasis"/>
        </w:rPr>
        <w:t>must do or should do</w:t>
      </w:r>
      <w:r w:rsidRPr="000915D9">
        <w:rPr>
          <w:rStyle w:val="StyleUnderline"/>
          <w:b/>
          <w:bCs/>
        </w:rPr>
        <w:t xml:space="preserve">; it tells judges </w:t>
      </w:r>
      <w:r w:rsidRPr="000915D9">
        <w:rPr>
          <w:rStyle w:val="Emphasis"/>
        </w:rPr>
        <w:t>what others have done</w:t>
      </w:r>
      <w:r w:rsidRPr="000915D9">
        <w:rPr>
          <w:rStyle w:val="StyleUnderline"/>
          <w:b/>
          <w:bCs/>
        </w:rPr>
        <w:t xml:space="preserve">, thus allowing a </w:t>
      </w:r>
      <w:r w:rsidRPr="000915D9">
        <w:rPr>
          <w:rStyle w:val="Emphasis"/>
        </w:rPr>
        <w:t>better-informed judgment</w:t>
      </w:r>
      <w:r w:rsidRPr="000915D9">
        <w:rPr>
          <w:rStyle w:val="StyleUnderline"/>
          <w:b/>
          <w:bCs/>
        </w:rPr>
        <w:t xml:space="preserve"> in each case</w:t>
      </w:r>
      <w:r w:rsidRPr="000915D9">
        <w:rPr>
          <w:sz w:val="16"/>
        </w:rPr>
        <w:t xml:space="preserve">. An SIS allows for the development and expression of social norms in ways akin to traditional common law reasoning by analogy. 415 Professor </w:t>
      </w:r>
      <w:r w:rsidRPr="000915D9">
        <w:rPr>
          <w:rStyle w:val="StyleUnderline"/>
        </w:rPr>
        <w:t>Miller notes that this type of sentencing technology has been adopted in a number of foreign jurisdictions, including Canada, Scotland, and part of Australia</w:t>
      </w:r>
      <w:r w:rsidRPr="000915D9">
        <w:rPr>
          <w:sz w:val="16"/>
        </w:rPr>
        <w:t xml:space="preserve">.41 6 To me, at least, it is rather shocking that techsavvy Americans have failed to employ such techniques. </w:t>
      </w:r>
      <w:r w:rsidRPr="000915D9">
        <w:rPr>
          <w:rStyle w:val="StyleUnderline"/>
          <w:b/>
          <w:bCs/>
        </w:rPr>
        <w:t>Unlike the formulaic, pseudo-scientific results under the Guidelines</w:t>
      </w:r>
      <w:r w:rsidRPr="000915D9">
        <w:rPr>
          <w:sz w:val="16"/>
        </w:rPr>
        <w:t>-rightly deplored by Judge Jenkins as a substitute for human judgment-</w:t>
      </w:r>
      <w:r w:rsidRPr="000915D9">
        <w:rPr>
          <w:rStyle w:val="StyleUnderline"/>
          <w:b/>
          <w:bCs/>
        </w:rPr>
        <w:t>a sentencing information system would aid the district court in reaching the best possible punishment by providing constructive information rather than demanding a predetermined outcome</w:t>
      </w:r>
      <w:r w:rsidRPr="000915D9">
        <w:rPr>
          <w:sz w:val="16"/>
        </w:rPr>
        <w:t xml:space="preserve">. Thoughtful opposition to mechanical law does not resist the use of technology by the courts, so long as the resulting tools support rather than replace the moral decisionmaking of judges.4 I7 </w:t>
      </w:r>
      <w:r w:rsidRPr="000915D9">
        <w:rPr>
          <w:rStyle w:val="StyleUnderline"/>
        </w:rPr>
        <w:t>Considerate reforms would also be mindful of the discretionary decisions existing throughout the criminal justice system, not merely those made by the judiciary</w:t>
      </w:r>
      <w:r w:rsidRPr="000915D9">
        <w:rPr>
          <w:sz w:val="16"/>
        </w:rPr>
        <w:t xml:space="preserve">. </w:t>
      </w:r>
      <w:r w:rsidRPr="000915D9">
        <w:rPr>
          <w:rStyle w:val="StyleUnderline"/>
          <w:b/>
          <w:bCs/>
        </w:rPr>
        <w:t>Legislators, investigators, prosecutors, jurors, and various other actors play crucial, highly discretionary roles in the punishment process, and any meaningful changes in federal sentencing would have to consider</w:t>
      </w:r>
      <w:r w:rsidRPr="000915D9">
        <w:rPr>
          <w:sz w:val="16"/>
        </w:rPr>
        <w:t xml:space="preserve">, for instance, </w:t>
      </w:r>
      <w:r w:rsidRPr="000915D9">
        <w:rPr>
          <w:rStyle w:val="StyleUnderline"/>
          <w:b/>
          <w:bCs/>
        </w:rPr>
        <w:t>the system-wide impact of prosecutorial discretion in charging</w:t>
      </w:r>
      <w:r w:rsidRPr="000915D9">
        <w:rPr>
          <w:sz w:val="16"/>
        </w:rPr>
        <w:t xml:space="preserve">. Conversely, </w:t>
      </w:r>
      <w:r w:rsidRPr="000915D9">
        <w:rPr>
          <w:rStyle w:val="StyleUnderline"/>
          <w:b/>
          <w:bCs/>
        </w:rPr>
        <w:t xml:space="preserve">it seems possible that the sharing of advice or even discretion among decisionmakers might have a </w:t>
      </w:r>
      <w:r w:rsidRPr="000915D9">
        <w:rPr>
          <w:rStyle w:val="Emphasis"/>
        </w:rPr>
        <w:t>positive synergistic effect</w:t>
      </w:r>
      <w:r w:rsidRPr="000915D9">
        <w:rPr>
          <w:rStyle w:val="StyleUnderline"/>
          <w:b/>
          <w:bCs/>
        </w:rPr>
        <w:t xml:space="preserve"> on the overall quality of case judgments</w:t>
      </w:r>
      <w:r w:rsidRPr="000915D9">
        <w:rPr>
          <w:sz w:val="16"/>
        </w:rPr>
        <w:t>. Although many reasons exist to empower federal judges with the ultimate decision at sentencing</w:t>
      </w:r>
      <w:r w:rsidRPr="000915D9">
        <w:rPr>
          <w:rStyle w:val="StyleUnderline"/>
        </w:rPr>
        <w:t>, there would be nothing untoward about having a jury remain impaneled after conviction to consider the evidence and arguments regarding punishment and then offer an advisory opinion on a proper sentence</w:t>
      </w:r>
      <w:r w:rsidRPr="000915D9">
        <w:rPr>
          <w:sz w:val="16"/>
        </w:rPr>
        <w:t xml:space="preserve">. Such an approach would be consistent with the letter of Booker and the spirit of the Sixth Amendment right to trial by jury.4 18 </w:t>
      </w:r>
      <w:r w:rsidRPr="000915D9">
        <w:rPr>
          <w:rStyle w:val="StyleUnderline"/>
        </w:rPr>
        <w:t>The federal system might also incorporate "restorative justice" programs which allow victims, offenders, their families, and all other stakeholders in a particular case to enter into "a process of group decisionmaking on how to handle the effects of the crime and its significance for the future.,</w:t>
      </w:r>
      <w:r w:rsidRPr="000915D9">
        <w:rPr>
          <w:sz w:val="16"/>
        </w:rPr>
        <w:t xml:space="preserve"> 41 9 Through mediated dialogue, these parties would attempt to reach agreement on a suitable punishment, which could then be taken into consideration by the sentencing judge. </w:t>
      </w:r>
      <w:r w:rsidRPr="000915D9">
        <w:rPr>
          <w:rStyle w:val="Emphasis"/>
        </w:rPr>
        <w:t>Another possibility</w:t>
      </w:r>
      <w:r w:rsidRPr="000915D9">
        <w:rPr>
          <w:sz w:val="16"/>
        </w:rPr>
        <w:t xml:space="preserve"> </w:t>
      </w:r>
      <w:r w:rsidRPr="000915D9">
        <w:rPr>
          <w:rStyle w:val="StyleUnderline"/>
          <w:b/>
          <w:bCs/>
        </w:rPr>
        <w:t>for the federal system would be the creation of a "drug court,"</w:t>
      </w:r>
      <w:r w:rsidRPr="000915D9">
        <w:rPr>
          <w:sz w:val="16"/>
        </w:rPr>
        <w:t xml:space="preserve"> a relatively recent innovation highlighted in a series of concurrences by Judge Donald Lay: </w:t>
      </w:r>
      <w:r w:rsidRPr="000915D9">
        <w:rPr>
          <w:rStyle w:val="StyleUnderline"/>
        </w:rPr>
        <w:t>In most drug courts, nonviolent, substance-abusing offenders charged with drugrelated crimes are channeled into judicially supervised substance abuse treatment, mandatory drugs testing, and other rehabilitative services in an effort to reduce recidivism</w:t>
      </w:r>
      <w:r w:rsidRPr="000915D9">
        <w:rPr>
          <w:sz w:val="16"/>
        </w:rPr>
        <w:t>. Eligible offenders typically have the charges against them stayed and dropped if treatment is successful, or plead guilty with prosecution deferred and criminal punishment withheld if treatment is successful. 420</w:t>
      </w:r>
    </w:p>
    <w:p w14:paraId="137AA30F" w14:textId="694F5184" w:rsidR="00E076B9" w:rsidRDefault="00E076B9" w:rsidP="00384958">
      <w:pPr>
        <w:pStyle w:val="Heading3"/>
      </w:pPr>
      <w:r>
        <w:t>2NC – Congress CP – CJR Solvency (General)</w:t>
      </w:r>
    </w:p>
    <w:p w14:paraId="5A2F0597" w14:textId="3F1595A5" w:rsidR="00E076B9" w:rsidRDefault="00E076B9" w:rsidP="00E076B9">
      <w:pPr>
        <w:pStyle w:val="Heading4"/>
      </w:pPr>
      <w:r>
        <w:t xml:space="preserve">Congress is </w:t>
      </w:r>
      <w:r>
        <w:rPr>
          <w:u w:val="single"/>
        </w:rPr>
        <w:t>key</w:t>
      </w:r>
      <w:r>
        <w:t xml:space="preserve"> to shifting all of the criminal justice system away from flaws in the system – k2 signaling reform efforts</w:t>
      </w:r>
    </w:p>
    <w:p w14:paraId="7134D48F" w14:textId="77777777" w:rsidR="002B0AAF" w:rsidRPr="0059531F" w:rsidRDefault="002B0AAF" w:rsidP="002B0AAF">
      <w:pPr>
        <w:rPr>
          <w:rStyle w:val="Style13ptBold"/>
          <w:b w:val="0"/>
          <w:bCs w:val="0"/>
        </w:rPr>
      </w:pPr>
      <w:r w:rsidRPr="0059531F">
        <w:rPr>
          <w:rStyle w:val="Style13ptBold"/>
          <w:b w:val="0"/>
          <w:bCs w:val="0"/>
          <w:sz w:val="16"/>
          <w:szCs w:val="16"/>
        </w:rPr>
        <w:t>Ed</w:t>
      </w:r>
      <w:r>
        <w:rPr>
          <w:rStyle w:val="Style13ptBold"/>
          <w:b w:val="0"/>
          <w:bCs w:val="0"/>
        </w:rPr>
        <w:t xml:space="preserve"> </w:t>
      </w:r>
      <w:r>
        <w:rPr>
          <w:rStyle w:val="Style13ptBold"/>
        </w:rPr>
        <w:t>Chung et. al ’19</w:t>
      </w:r>
      <w:r w:rsidRPr="0059531F">
        <w:rPr>
          <w:rStyle w:val="Style13ptBold"/>
          <w:b w:val="0"/>
          <w:bCs w:val="0"/>
          <w:sz w:val="16"/>
          <w:szCs w:val="16"/>
        </w:rPr>
        <w:t>, *is the vice president for Criminal Justice Reform at the Center for American Progress., **Betsy Pearl is a senior policy analyst for Criminal Justice Reform at the Center., **Lea Hunter is a research assistant for Criminal Justice Reform at the Center., “The 1994 Crime Bill Continues to Undercut Justice Reform—Here’s How to Stop It”, 3/26/19, Center for American Progress, https://www.americanprogress.org/issues/criminal-justice/reports/2019/03/26/467486/1994-crime-bill-continues-undercut-justice-reform-heres-stop/</w:t>
      </w:r>
    </w:p>
    <w:p w14:paraId="4176F7A0" w14:textId="589A92B9" w:rsidR="00E076B9" w:rsidRPr="00F30D28" w:rsidRDefault="00E076B9" w:rsidP="00E076B9">
      <w:pPr>
        <w:rPr>
          <w:sz w:val="16"/>
        </w:rPr>
      </w:pPr>
      <w:r w:rsidRPr="00F30D28">
        <w:rPr>
          <w:rStyle w:val="StyleUnderline"/>
        </w:rPr>
        <w:t>Before considering what additional reforms are needed to fix a severely broken criminal justice system, U.S. elected leaders must first stop supporting the very mechanisms that caused the failure in the first place</w:t>
      </w:r>
      <w:r w:rsidRPr="00F30D28">
        <w:rPr>
          <w:sz w:val="16"/>
        </w:rPr>
        <w:t xml:space="preserve">. Borrowing from the field of medicine, lawmakers must embrace the notion of “first, do no harm”—or more accurately, “do no more harm.”9 This issue brief spotlights four problematic tough-on-crime policies exacerbated by the crime bill that remain in place and continue to undermine reform efforts. </w:t>
      </w:r>
      <w:r w:rsidRPr="00F30D28">
        <w:rPr>
          <w:rStyle w:val="StyleUnderline"/>
          <w:b/>
          <w:bCs/>
        </w:rPr>
        <w:t>Only when these destructive policies are reversed can the rebuilding of the criminal justice system truly take root to prevent harm in the future.</w:t>
      </w:r>
      <w:r w:rsidR="00F30D28">
        <w:rPr>
          <w:rStyle w:val="StyleUnderline"/>
          <w:b/>
          <w:bCs/>
        </w:rPr>
        <w:t xml:space="preserve"> </w:t>
      </w:r>
      <w:r w:rsidRPr="00F30D28">
        <w:rPr>
          <w:sz w:val="16"/>
        </w:rPr>
        <w:t>Moving from punishment to preventive care</w:t>
      </w:r>
      <w:r w:rsidR="00F30D28" w:rsidRPr="00F30D28">
        <w:rPr>
          <w:sz w:val="16"/>
        </w:rPr>
        <w:t xml:space="preserve"> </w:t>
      </w:r>
      <w:r w:rsidRPr="00F30D28">
        <w:rPr>
          <w:rStyle w:val="StyleUnderline"/>
          <w:b/>
          <w:bCs/>
        </w:rPr>
        <w:t>Shifting away from the infrastructure created by the crime bill is not easy, especially because much of the American public equates public safety with policing, prosecutors, and prisons and jails.</w:t>
      </w:r>
      <w:r w:rsidRPr="00F30D28">
        <w:rPr>
          <w:sz w:val="16"/>
        </w:rPr>
        <w:t xml:space="preserve"> </w:t>
      </w:r>
      <w:r w:rsidRPr="00F30D28">
        <w:rPr>
          <w:rStyle w:val="StyleUnderline"/>
        </w:rPr>
        <w:t>Polling shows that despite significant drops in the crime rate, the majority of the general public believes that crime has gotten worse</w:t>
      </w:r>
      <w:r w:rsidRPr="00F30D28">
        <w:rPr>
          <w:sz w:val="16"/>
        </w:rPr>
        <w:t>.10 When the public feels tense about their safety, the solution they seek is often more police officers, more convictions, and longer sentences. When tensions diminish or crime rates decrease, mayors or governors proudly stand at a podium with law enforcement to boast of the achievement.</w:t>
      </w:r>
      <w:r w:rsidR="00F30D28" w:rsidRPr="00F30D28">
        <w:rPr>
          <w:sz w:val="16"/>
        </w:rPr>
        <w:t xml:space="preserve"> </w:t>
      </w:r>
      <w:r w:rsidRPr="00F30D28">
        <w:rPr>
          <w:rStyle w:val="StyleUnderline"/>
        </w:rPr>
        <w:t>Not surprisingly, the footprint of policing has expanded dramatically in recent years</w:t>
      </w:r>
      <w:r w:rsidRPr="00F30D28">
        <w:rPr>
          <w:sz w:val="16"/>
        </w:rPr>
        <w:t xml:space="preserve">. </w:t>
      </w:r>
      <w:r w:rsidRPr="00F30D28">
        <w:rPr>
          <w:rStyle w:val="StyleUnderline"/>
        </w:rPr>
        <w:t>The default solution is to call on law enforcement to respond to any issue that has the potential to affect a community’s safety—whether it is substance misuse and addiction, mental health issues, truancy, or homelessness</w:t>
      </w:r>
      <w:r w:rsidRPr="00F30D28">
        <w:rPr>
          <w:sz w:val="16"/>
        </w:rPr>
        <w:t xml:space="preserve">. In almost every situation, law enforcement’s main tool is the power to arrest and incarcerate, thereby unnecessarily enlarging the criminal justice system simply because other solutions or responses are unavailable. </w:t>
      </w:r>
      <w:r w:rsidRPr="00F30D28">
        <w:rPr>
          <w:rStyle w:val="StyleUnderline"/>
        </w:rPr>
        <w:t>Requiring the law enforcement apparatus to solve societal issues that it is neither trained nor equipped to handle overburdens the justice system and prevents it from properly executing its limited core responsibilities</w:t>
      </w:r>
      <w:r w:rsidRPr="00F30D28">
        <w:rPr>
          <w:sz w:val="16"/>
        </w:rPr>
        <w:t>.</w:t>
      </w:r>
      <w:r w:rsidR="00F30D28" w:rsidRPr="00F30D28">
        <w:rPr>
          <w:sz w:val="16"/>
        </w:rPr>
        <w:t xml:space="preserve"> </w:t>
      </w:r>
      <w:r w:rsidRPr="00F30D28">
        <w:rPr>
          <w:rStyle w:val="StyleUnderline"/>
        </w:rPr>
        <w:t>The transition to a paradigm where public safety does not depend exclusively or primarily on the police and the criminal justice system may be difficult. But a lesson can be taken from the transformation of the practice of medicine, which in recent years has come to emphasize holistic and preventive care</w:t>
      </w:r>
      <w:r w:rsidRPr="00F30D28">
        <w:rPr>
          <w:sz w:val="16"/>
        </w:rPr>
        <w:t xml:space="preserve">. Instead of relying on surgical or other invasive interventions to treat illnesses and diseases, medicine now invests heavily in preventing illnesses by encouraging healthy lifestyles and addressing health issues early with noninvasive treatments.12 As </w:t>
      </w:r>
      <w:r w:rsidRPr="00F30D28">
        <w:rPr>
          <w:rStyle w:val="StyleUnderline"/>
          <w:b/>
          <w:bCs/>
        </w:rPr>
        <w:t>former Sen. Tom Harkin</w:t>
      </w:r>
      <w:r w:rsidRPr="00F30D28">
        <w:rPr>
          <w:sz w:val="16"/>
        </w:rPr>
        <w:t xml:space="preserve"> (D-IA) </w:t>
      </w:r>
      <w:r w:rsidRPr="00F30D28">
        <w:rPr>
          <w:rStyle w:val="StyleUnderline"/>
          <w:b/>
          <w:bCs/>
        </w:rPr>
        <w:t>noted when Congress was considering the Affordable Care Act, a “truly transformational element” of the health care law was to “jump-start America’s transition from our current sick care system into a genuine health care system</w:t>
      </w:r>
      <w:r w:rsidRPr="00F30D28">
        <w:rPr>
          <w:sz w:val="16"/>
        </w:rPr>
        <w:t>, one that is focused on keeping us healthy and out of the hospital in the first place.”13</w:t>
      </w:r>
      <w:r w:rsidR="00F30D28" w:rsidRPr="00F30D28">
        <w:rPr>
          <w:sz w:val="16"/>
        </w:rPr>
        <w:t xml:space="preserve"> </w:t>
      </w:r>
      <w:r w:rsidRPr="00F30D28">
        <w:rPr>
          <w:rStyle w:val="Emphasis"/>
        </w:rPr>
        <w:t>That same type of transformation must happen with America’s approach to public safety</w:t>
      </w:r>
      <w:r w:rsidRPr="00F30D28">
        <w:rPr>
          <w:sz w:val="16"/>
        </w:rPr>
        <w:t xml:space="preserve">. </w:t>
      </w:r>
      <w:r w:rsidRPr="00F30D28">
        <w:rPr>
          <w:rStyle w:val="StyleUnderline"/>
          <w:b/>
          <w:bCs/>
        </w:rPr>
        <w:t>The criminal justice system can be likened to hospitalization or a surgical intervention, which is never removed as an option but is reserved for the most serious situations</w:t>
      </w:r>
      <w:r w:rsidRPr="00F30D28">
        <w:rPr>
          <w:sz w:val="16"/>
        </w:rPr>
        <w:t>. Unnecessary arrests and incarcerations, like surgeries, run the risk of serious complications.14 Even when invasive interventions are necessary, care must always be taken during the procedure to minimize trauma and promote a quick recovery. But the overall goal and the bulk of resources should be devoted to keeping people out of the operating room or, in this case, out of the criminal justice system in the first place.</w:t>
      </w:r>
      <w:r w:rsidR="00F30D28" w:rsidRPr="00F30D28">
        <w:rPr>
          <w:sz w:val="16"/>
        </w:rPr>
        <w:t xml:space="preserve"> </w:t>
      </w:r>
      <w:r w:rsidRPr="00F30D28">
        <w:rPr>
          <w:sz w:val="16"/>
        </w:rPr>
        <w:t>First, do no more harm</w:t>
      </w:r>
      <w:r w:rsidR="00F30D28" w:rsidRPr="00F30D28">
        <w:rPr>
          <w:sz w:val="16"/>
        </w:rPr>
        <w:t xml:space="preserve"> </w:t>
      </w:r>
      <w:r w:rsidRPr="00F30D28">
        <w:rPr>
          <w:rStyle w:val="StyleUnderline"/>
          <w:b/>
          <w:bCs/>
        </w:rPr>
        <w:t>Unfortunately, the United States’ investments in public safety continue to overwhelmingly prioritize arrests and incarceration over measures that prevent crime from occurring</w:t>
      </w:r>
      <w:r w:rsidRPr="00F30D28">
        <w:rPr>
          <w:sz w:val="16"/>
        </w:rPr>
        <w:t xml:space="preserve">. As elected leaders reflect on the 1994 crime bill, </w:t>
      </w:r>
      <w:r w:rsidRPr="00F30D28">
        <w:rPr>
          <w:rStyle w:val="Emphasis"/>
        </w:rPr>
        <w:t>it is not enough to state that the country is learning lessons from the bill’s failings</w:t>
      </w:r>
      <w:r w:rsidRPr="00F30D28">
        <w:rPr>
          <w:sz w:val="16"/>
        </w:rPr>
        <w:t xml:space="preserve">. </w:t>
      </w:r>
      <w:r w:rsidRPr="00F30D28">
        <w:rPr>
          <w:rStyle w:val="StyleUnderline"/>
          <w:b/>
          <w:bCs/>
        </w:rPr>
        <w:t>Instead, elected leaders must take concrete action to halt the very mechanisms that the legislation created</w:t>
      </w:r>
      <w:r w:rsidRPr="00F30D28">
        <w:rPr>
          <w:sz w:val="16"/>
        </w:rPr>
        <w:t>—</w:t>
      </w:r>
      <w:r w:rsidRPr="00F30D28">
        <w:rPr>
          <w:rStyle w:val="StyleUnderline"/>
          <w:b/>
          <w:bCs/>
        </w:rPr>
        <w:t>and that continue to undercut meaningful criminal justice reform</w:t>
      </w:r>
      <w:r w:rsidRPr="00F30D28">
        <w:rPr>
          <w:sz w:val="16"/>
        </w:rPr>
        <w:t xml:space="preserve">. Even the 1994 crime bill included a section devoted to crime prevention activities.15 But in the end, many of these programs were either repealed or never received any funding in the first place.16 </w:t>
      </w:r>
      <w:r w:rsidRPr="00F30D28">
        <w:rPr>
          <w:rStyle w:val="Emphasis"/>
        </w:rPr>
        <w:t>Going forward, leaders must make the following commitments to stopping the ongoing harm inflicted by the 1994 crime bill</w:t>
      </w:r>
      <w:r w:rsidRPr="00F30D28">
        <w:rPr>
          <w:sz w:val="16"/>
        </w:rPr>
        <w:t>.</w:t>
      </w:r>
    </w:p>
    <w:p w14:paraId="0340DB6B" w14:textId="77777777" w:rsidR="00D75FDD" w:rsidRDefault="00D75FDD" w:rsidP="00D75FDD">
      <w:pPr>
        <w:pStyle w:val="Heading3"/>
      </w:pPr>
      <w:r>
        <w:t>2NC – Congress CP – Death Penalty Solvency</w:t>
      </w:r>
    </w:p>
    <w:p w14:paraId="6A2E4846" w14:textId="77777777" w:rsidR="00D75FDD" w:rsidRDefault="00D75FDD" w:rsidP="00D75FDD">
      <w:pPr>
        <w:pStyle w:val="Heading4"/>
      </w:pPr>
      <w:r>
        <w:t>Courts have no teeth to abolish the death penalty</w:t>
      </w:r>
    </w:p>
    <w:p w14:paraId="0C9797CF" w14:textId="77777777" w:rsidR="00D75FDD" w:rsidRPr="00F13E1A" w:rsidRDefault="00D75FDD" w:rsidP="00D75FDD">
      <w:pPr>
        <w:rPr>
          <w:rStyle w:val="Style13ptBold"/>
          <w:b w:val="0"/>
          <w:bCs w:val="0"/>
        </w:rPr>
      </w:pPr>
      <w:r w:rsidRPr="00F13E1A">
        <w:rPr>
          <w:rStyle w:val="Style13ptBold"/>
          <w:b w:val="0"/>
          <w:bCs w:val="0"/>
          <w:sz w:val="16"/>
          <w:szCs w:val="16"/>
        </w:rPr>
        <w:t>Matt</w:t>
      </w:r>
      <w:r>
        <w:rPr>
          <w:rStyle w:val="Style13ptBold"/>
          <w:b w:val="0"/>
          <w:bCs w:val="0"/>
        </w:rPr>
        <w:t xml:space="preserve"> </w:t>
      </w:r>
      <w:r>
        <w:rPr>
          <w:rStyle w:val="Style13ptBold"/>
        </w:rPr>
        <w:t>Ford ’19</w:t>
      </w:r>
      <w:r w:rsidRPr="00F13E1A">
        <w:rPr>
          <w:rStyle w:val="Style13ptBold"/>
          <w:b w:val="0"/>
          <w:bCs w:val="0"/>
          <w:sz w:val="16"/>
          <w:szCs w:val="16"/>
        </w:rPr>
        <w:t>, is a staff writer at The New Republic., “We Are All Executioners Now”, 7/25/19, The New Republic, https://newrepublic.com/article/154551/attorney-general-barr-announce-department-justice-resume-death-penalty</w:t>
      </w:r>
    </w:p>
    <w:p w14:paraId="2EA79A6B" w14:textId="77777777" w:rsidR="00D75FDD" w:rsidRPr="00BD2C82" w:rsidRDefault="00D75FDD" w:rsidP="00D75FDD">
      <w:pPr>
        <w:rPr>
          <w:sz w:val="16"/>
        </w:rPr>
      </w:pPr>
      <w:r w:rsidRPr="00BD2C82">
        <w:rPr>
          <w:rStyle w:val="StyleUnderline"/>
          <w:b/>
          <w:bCs/>
        </w:rPr>
        <w:t>The federal courts have long acted as a check on capital punishment’s worst excesses, but that role is fading fast</w:t>
      </w:r>
      <w:r w:rsidRPr="00BD2C82">
        <w:rPr>
          <w:sz w:val="16"/>
        </w:rPr>
        <w:t xml:space="preserve">. </w:t>
      </w:r>
      <w:r w:rsidRPr="00BD2C82">
        <w:rPr>
          <w:rStyle w:val="StyleUnderline"/>
          <w:b/>
          <w:bCs/>
        </w:rPr>
        <w:t xml:space="preserve">The Supreme Court made it </w:t>
      </w:r>
      <w:r w:rsidRPr="00BD2C82">
        <w:rPr>
          <w:rStyle w:val="Emphasis"/>
        </w:rPr>
        <w:t>virtually impossible to challenge the constitutionality of execution methods</w:t>
      </w:r>
      <w:r w:rsidRPr="00BD2C82">
        <w:rPr>
          <w:rStyle w:val="StyleUnderline"/>
          <w:b/>
          <w:bCs/>
        </w:rPr>
        <w:t xml:space="preserve"> when it heard the midazolam case in 2015</w:t>
      </w:r>
      <w:r w:rsidRPr="00BD2C82">
        <w:rPr>
          <w:sz w:val="16"/>
        </w:rPr>
        <w:t xml:space="preserve">. </w:t>
      </w:r>
      <w:r w:rsidRPr="00BD2C82">
        <w:rPr>
          <w:rStyle w:val="StyleUnderline"/>
        </w:rPr>
        <w:t>Even the high court’s highest values now come second to keeping the machinery of death running</w:t>
      </w:r>
      <w:r w:rsidRPr="00BD2C82">
        <w:rPr>
          <w:sz w:val="16"/>
        </w:rPr>
        <w:t xml:space="preserve">. In February, </w:t>
      </w:r>
      <w:r w:rsidRPr="00BD2C82">
        <w:rPr>
          <w:rStyle w:val="StyleUnderline"/>
        </w:rPr>
        <w:t>a federal appeals court blocked Alabama from executing a Muslim prisoner while he challenged a state policy that required a Christian pastor to be present when he died</w:t>
      </w:r>
      <w:r w:rsidRPr="00BD2C82">
        <w:rPr>
          <w:sz w:val="16"/>
        </w:rPr>
        <w:t xml:space="preserve">. Instead of protecting the prisoner’s religious freedom, </w:t>
      </w:r>
      <w:r w:rsidRPr="00BD2C82">
        <w:rPr>
          <w:rStyle w:val="StyleUnderline"/>
          <w:b/>
          <w:bCs/>
        </w:rPr>
        <w:t>the Supreme Court’s conservative majority allowed the execution to go forward, drawing near-universal criticism from the left and right</w:t>
      </w:r>
      <w:r w:rsidRPr="00BD2C82">
        <w:rPr>
          <w:sz w:val="16"/>
        </w:rPr>
        <w:t>.</w:t>
      </w:r>
    </w:p>
    <w:p w14:paraId="2024EB96" w14:textId="3A5B18BD" w:rsidR="00D75FDD" w:rsidRDefault="00D75FDD" w:rsidP="00D75FDD">
      <w:pPr>
        <w:pStyle w:val="Heading3"/>
      </w:pPr>
      <w:r>
        <w:t>2NC – Congress CP – Forensic Science Solvency (General)</w:t>
      </w:r>
    </w:p>
    <w:p w14:paraId="436E931D" w14:textId="77777777" w:rsidR="00D75FDD" w:rsidRDefault="00D75FDD" w:rsidP="00D75FDD">
      <w:pPr>
        <w:pStyle w:val="Heading4"/>
      </w:pPr>
      <w:r>
        <w:t xml:space="preserve">Courts follow legislative precedent – CP is a </w:t>
      </w:r>
      <w:r>
        <w:rPr>
          <w:u w:val="single"/>
        </w:rPr>
        <w:t>necessary</w:t>
      </w:r>
      <w:r>
        <w:t xml:space="preserve"> first step</w:t>
      </w:r>
    </w:p>
    <w:p w14:paraId="040E8D2A" w14:textId="77777777" w:rsidR="00D75FDD" w:rsidRPr="00736167" w:rsidRDefault="00D75FDD" w:rsidP="00D75FDD">
      <w:pPr>
        <w:rPr>
          <w:rStyle w:val="Style13ptBold"/>
          <w:b w:val="0"/>
          <w:bCs w:val="0"/>
        </w:rPr>
      </w:pPr>
      <w:r w:rsidRPr="00736167">
        <w:rPr>
          <w:rStyle w:val="Style13ptBold"/>
          <w:b w:val="0"/>
          <w:bCs w:val="0"/>
          <w:sz w:val="16"/>
          <w:szCs w:val="16"/>
        </w:rPr>
        <w:t>Jennifer E.</w:t>
      </w:r>
      <w:r>
        <w:rPr>
          <w:rStyle w:val="Style13ptBold"/>
          <w:b w:val="0"/>
          <w:bCs w:val="0"/>
        </w:rPr>
        <w:t xml:space="preserve"> </w:t>
      </w:r>
      <w:r>
        <w:rPr>
          <w:rStyle w:val="Style13ptBold"/>
        </w:rPr>
        <w:t>Laurin ’13</w:t>
      </w:r>
      <w:r w:rsidRPr="00736167">
        <w:rPr>
          <w:rStyle w:val="Style13ptBold"/>
          <w:b w:val="0"/>
          <w:bCs w:val="0"/>
          <w:sz w:val="16"/>
          <w:szCs w:val="16"/>
        </w:rPr>
        <w:t>, Assistant Professor, The University of Texas School of Law, “Remapping the Path Forward: Toward a Systemic View of Forensic Science Reform and Oversight”, 2013, Texas Law Review, Vol. 91, http://texaslawreview.org/wp-content/uploads/2015/08/Laurin.pdf</w:t>
      </w:r>
    </w:p>
    <w:p w14:paraId="22D2296D" w14:textId="4226BF01" w:rsidR="00D75FDD" w:rsidRPr="006473D0" w:rsidRDefault="00D75FDD" w:rsidP="00D75FDD">
      <w:pPr>
        <w:rPr>
          <w:sz w:val="16"/>
        </w:rPr>
      </w:pPr>
      <w:r w:rsidRPr="006473D0">
        <w:rPr>
          <w:sz w:val="16"/>
        </w:rPr>
        <w:t xml:space="preserve">For the time being, </w:t>
      </w:r>
      <w:r w:rsidRPr="006473D0">
        <w:rPr>
          <w:rStyle w:val="StyleUnderline"/>
          <w:b/>
          <w:bCs/>
        </w:rPr>
        <w:t>the Supreme Court has registered its resistance to rethinking any fundamental features of criminal procedure doctrine in light of the influence of forensic science, although its posture has been more “wait and see” than “nevermore.”</w:t>
      </w:r>
      <w:r w:rsidRPr="006473D0">
        <w:rPr>
          <w:sz w:val="16"/>
        </w:rPr>
        <w:t xml:space="preserve">302 Thinking outside existing criminal procedure boxes is therefore more than a proverbial academic exercise. </w:t>
      </w:r>
      <w:r w:rsidRPr="006473D0">
        <w:rPr>
          <w:rStyle w:val="StyleUnderline"/>
          <w:b/>
          <w:bCs/>
        </w:rPr>
        <w:t>As the Supreme Court watches</w:t>
      </w:r>
      <w:r w:rsidRPr="006473D0">
        <w:rPr>
          <w:rStyle w:val="StyleUnderline"/>
        </w:rPr>
        <w:t xml:space="preserve"> </w:t>
      </w:r>
      <w:r w:rsidRPr="006473D0">
        <w:rPr>
          <w:sz w:val="16"/>
        </w:rPr>
        <w:t>and state</w:t>
      </w:r>
      <w:r w:rsidRPr="006473D0">
        <w:rPr>
          <w:rStyle w:val="StyleUnderline"/>
        </w:rPr>
        <w:t xml:space="preserve"> </w:t>
      </w:r>
      <w:r w:rsidRPr="006473D0">
        <w:rPr>
          <w:rStyle w:val="StyleUnderline"/>
          <w:b/>
          <w:bCs/>
        </w:rPr>
        <w:t>legislatures</w:t>
      </w:r>
      <w:r w:rsidRPr="006473D0">
        <w:rPr>
          <w:rStyle w:val="StyleUnderline"/>
        </w:rPr>
        <w:t xml:space="preserve"> </w:t>
      </w:r>
      <w:r w:rsidRPr="006473D0">
        <w:rPr>
          <w:rStyle w:val="StyleUnderline"/>
          <w:b/>
          <w:bCs/>
        </w:rPr>
        <w:t>and courts pursue more innovative responses to the pressures of forensic science on our settled understandings of competence, deference, and oversight in criminal investigation and adjudication, it becomes all the more important to develop a principled approach to reconciling these accommodations within existing criminal procedure theory and doctrine</w:t>
      </w:r>
      <w:r w:rsidRPr="006473D0">
        <w:rPr>
          <w:sz w:val="16"/>
        </w:rPr>
        <w:t>.</w:t>
      </w:r>
      <w:r w:rsidR="006473D0" w:rsidRPr="006473D0">
        <w:rPr>
          <w:sz w:val="16"/>
        </w:rPr>
        <w:t xml:space="preserve"> </w:t>
      </w:r>
      <w:r w:rsidRPr="006473D0">
        <w:rPr>
          <w:sz w:val="16"/>
        </w:rPr>
        <w:t>Conclusion</w:t>
      </w:r>
      <w:r w:rsidR="006473D0" w:rsidRPr="006473D0">
        <w:rPr>
          <w:sz w:val="16"/>
        </w:rPr>
        <w:t xml:space="preserve"> </w:t>
      </w:r>
      <w:r w:rsidRPr="006473D0">
        <w:rPr>
          <w:sz w:val="16"/>
        </w:rPr>
        <w:t xml:space="preserve">The NAS Report has fundamentally altered the landscape for forensic science in the criminal justice system. This is to be celebrated. But the accomplishments of the Report must not obscure the vast terrain that remains untouched by the path of reform that it charts. </w:t>
      </w:r>
      <w:r w:rsidRPr="006473D0">
        <w:rPr>
          <w:rStyle w:val="StyleUnderline"/>
        </w:rPr>
        <w:t>This Article has aimed to illuminate one important aspect of that currently neglected territory: namely, the manner in which upstream users of forensic science</w:t>
      </w:r>
      <w:r w:rsidRPr="006473D0">
        <w:rPr>
          <w:sz w:val="16"/>
        </w:rPr>
        <w:t>—police and prosecutors—</w:t>
      </w:r>
      <w:r w:rsidRPr="006473D0">
        <w:rPr>
          <w:rStyle w:val="StyleUnderline"/>
        </w:rPr>
        <w:t>will select priorities, initiate investigations, collect and submit evidence, choose investigative techniques, and charge and plead cases in ways that have critical and systematic, though poorly understood, influences on the accuracy of forensic analysis and the integrity of its application in criminal cases</w:t>
      </w:r>
      <w:r w:rsidRPr="006473D0">
        <w:rPr>
          <w:sz w:val="16"/>
        </w:rPr>
        <w:t>. By broadening our understanding of how forensic science is created and used in criminal cases—by adopting a systemic perspective—</w:t>
      </w:r>
      <w:r w:rsidRPr="006473D0">
        <w:rPr>
          <w:rStyle w:val="StyleUnderline"/>
        </w:rPr>
        <w:t>we begin to see a raft of yet unaddressed issues concerning the meaning of scientific integrity and reliability in the context of investigative decisions that are by and large committed to the discretion of decidedly unscientific actors.</w:t>
      </w:r>
      <w:r w:rsidRPr="006473D0">
        <w:rPr>
          <w:sz w:val="16"/>
        </w:rPr>
        <w:t xml:space="preserve"> Moreover, </w:t>
      </w:r>
      <w:r w:rsidRPr="006473D0">
        <w:rPr>
          <w:rStyle w:val="StyleUnderline"/>
        </w:rPr>
        <w:t>we see that decisions with respect to oversight of one corner of the system—the laboratory, in the case of the NAS Report—cannot be made in isolation, lest responses from other corners render that oversight ineffective or counterproductive</w:t>
      </w:r>
      <w:r w:rsidRPr="006473D0">
        <w:rPr>
          <w:sz w:val="16"/>
        </w:rPr>
        <w:t xml:space="preserve">. Undoubtedly, this Article has raised at least as many questions as it has answered. This is for the best. </w:t>
      </w:r>
      <w:r w:rsidRPr="006473D0">
        <w:rPr>
          <w:rStyle w:val="StyleUnderline"/>
        </w:rPr>
        <w:t>The account here only scratches the surface of the sorts of systemic concerns that we might reflect upon, and that hopefully the active reform conversations will take up, as we commit our criminal justice system to more and more institutionally entrenched forensic science</w:t>
      </w:r>
      <w:r w:rsidRPr="006473D0">
        <w:rPr>
          <w:sz w:val="16"/>
        </w:rPr>
        <w:t>.</w:t>
      </w:r>
    </w:p>
    <w:p w14:paraId="5E33D202" w14:textId="5BB6EBA3" w:rsidR="00384958" w:rsidRDefault="00384958" w:rsidP="00384958">
      <w:pPr>
        <w:pStyle w:val="Heading3"/>
      </w:pPr>
      <w:r>
        <w:t>2NC – Congress CP – Sentencing Solvency (General)</w:t>
      </w:r>
    </w:p>
    <w:p w14:paraId="64098376" w14:textId="77777777" w:rsidR="00384958" w:rsidRDefault="00384958" w:rsidP="00384958">
      <w:pPr>
        <w:pStyle w:val="Heading4"/>
      </w:pPr>
      <w:r>
        <w:t>Congressional re-evalution of federal sentencing guidelines is crucial to enacting lasting change</w:t>
      </w:r>
    </w:p>
    <w:p w14:paraId="5C052267" w14:textId="77777777" w:rsidR="00384958" w:rsidRPr="001118F0" w:rsidRDefault="00384958" w:rsidP="00384958">
      <w:pPr>
        <w:rPr>
          <w:rStyle w:val="Style13ptBold"/>
          <w:b w:val="0"/>
          <w:bCs w:val="0"/>
        </w:rPr>
      </w:pPr>
      <w:r w:rsidRPr="001118F0">
        <w:rPr>
          <w:rStyle w:val="Style13ptBold"/>
          <w:b w:val="0"/>
          <w:bCs w:val="0"/>
          <w:sz w:val="16"/>
          <w:szCs w:val="16"/>
        </w:rPr>
        <w:t>Erik</w:t>
      </w:r>
      <w:r>
        <w:rPr>
          <w:rStyle w:val="Style13ptBold"/>
          <w:b w:val="0"/>
          <w:bCs w:val="0"/>
        </w:rPr>
        <w:t xml:space="preserve"> </w:t>
      </w:r>
      <w:r>
        <w:rPr>
          <w:rStyle w:val="Style13ptBold"/>
        </w:rPr>
        <w:t>Luna ’05</w:t>
      </w:r>
      <w:r w:rsidRPr="001118F0">
        <w:rPr>
          <w:rStyle w:val="Style13ptBold"/>
          <w:b w:val="0"/>
          <w:bCs w:val="0"/>
          <w:sz w:val="16"/>
          <w:szCs w:val="16"/>
        </w:rPr>
        <w:t xml:space="preserve">, Hugh B. Brown Presidential Endowed Chair in Law and Professor of Law, University of Utah S.J. Quinney College of Law, “Gridland: An Allegorical Critique of Federal Sentencing”, Fall 2005, Northwestern University of Law Journal of Criminal Law and Criminology, Vol. 96, Issue 1 – </w:t>
      </w:r>
      <w:r w:rsidRPr="001118F0">
        <w:rPr>
          <w:rStyle w:val="Style13ptBold"/>
          <w:b w:val="0"/>
          <w:bCs w:val="0"/>
          <w:i/>
          <w:iCs/>
          <w:sz w:val="16"/>
          <w:szCs w:val="16"/>
        </w:rPr>
        <w:t>Fall</w:t>
      </w:r>
      <w:r w:rsidRPr="001118F0">
        <w:rPr>
          <w:rStyle w:val="Style13ptBold"/>
          <w:b w:val="0"/>
          <w:bCs w:val="0"/>
          <w:sz w:val="16"/>
          <w:szCs w:val="16"/>
        </w:rPr>
        <w:t>, Article 2, https://scholarlycommons.law.northwestern.edu/cgi/viewcontent.cgi?article=7216&amp;context=jclc</w:t>
      </w:r>
    </w:p>
    <w:p w14:paraId="4C05AFC5" w14:textId="77777777" w:rsidR="00384958" w:rsidRPr="00C84DD6" w:rsidRDefault="00384958" w:rsidP="00C84DD6">
      <w:pPr>
        <w:rPr>
          <w:sz w:val="16"/>
        </w:rPr>
      </w:pPr>
      <w:r w:rsidRPr="00C84DD6">
        <w:rPr>
          <w:sz w:val="16"/>
        </w:rPr>
        <w:t xml:space="preserve">But as was true of the decisions by Judges Cassell and Adelman, it is impossible for me to fault Judge Gertner for her Jaber opinion. </w:t>
      </w:r>
      <w:r w:rsidRPr="00C84DD6">
        <w:rPr>
          <w:rStyle w:val="StyleUnderline"/>
          <w:b/>
          <w:bCs/>
        </w:rPr>
        <w:t>Until Congress readdresses federal sentencing, district court judges have no other option but to play the game of Gridland-lite: apply the Commission's formula, place the defendant on the grid, and then use your considered judgment to determine a just punishment</w:t>
      </w:r>
      <w:r w:rsidRPr="00C84DD6">
        <w:rPr>
          <w:sz w:val="16"/>
        </w:rPr>
        <w:t xml:space="preserve">. Certainly, </w:t>
      </w:r>
      <w:r w:rsidRPr="00C84DD6">
        <w:rPr>
          <w:rStyle w:val="StyleUnderline"/>
        </w:rPr>
        <w:t xml:space="preserve">conscientious judges will do their best in a post-Booker world to explain a sentence and its justification in terms that are comprehendible to the defendant, victims and other concerned parties, and the public </w:t>
      </w:r>
      <w:r w:rsidRPr="00C84DD6">
        <w:rPr>
          <w:sz w:val="16"/>
        </w:rPr>
        <w:t>235</w:t>
      </w:r>
      <w:r w:rsidRPr="00C84DD6">
        <w:rPr>
          <w:rStyle w:val="StyleUnderline"/>
        </w:rPr>
        <w:t xml:space="preserve"> -but any success in this endeavor will be due to the acumen of the jurist, not the sensibility of the Guidelines</w:t>
      </w:r>
      <w:r w:rsidRPr="00C84DD6">
        <w:rPr>
          <w:sz w:val="16"/>
        </w:rPr>
        <w:t>. 36</w:t>
      </w:r>
    </w:p>
    <w:p w14:paraId="27548178" w14:textId="304469DD" w:rsidR="00384958" w:rsidRDefault="00384958" w:rsidP="00384958">
      <w:pPr>
        <w:pStyle w:val="Heading4"/>
      </w:pPr>
      <w:r>
        <w:t xml:space="preserve">Congress has massive sway over the court – </w:t>
      </w:r>
      <w:r w:rsidR="00400A58">
        <w:t>multiple ways to enforce compliance</w:t>
      </w:r>
    </w:p>
    <w:p w14:paraId="6FF79BCD" w14:textId="77777777" w:rsidR="00384958" w:rsidRPr="001118F0" w:rsidRDefault="00384958" w:rsidP="00384958">
      <w:pPr>
        <w:rPr>
          <w:rStyle w:val="Style13ptBold"/>
          <w:b w:val="0"/>
          <w:bCs w:val="0"/>
        </w:rPr>
      </w:pPr>
      <w:r w:rsidRPr="001118F0">
        <w:rPr>
          <w:rStyle w:val="Style13ptBold"/>
          <w:b w:val="0"/>
          <w:bCs w:val="0"/>
          <w:sz w:val="16"/>
          <w:szCs w:val="16"/>
        </w:rPr>
        <w:t>Erik</w:t>
      </w:r>
      <w:r>
        <w:rPr>
          <w:rStyle w:val="Style13ptBold"/>
          <w:b w:val="0"/>
          <w:bCs w:val="0"/>
        </w:rPr>
        <w:t xml:space="preserve"> </w:t>
      </w:r>
      <w:r>
        <w:rPr>
          <w:rStyle w:val="Style13ptBold"/>
        </w:rPr>
        <w:t>Luna ’05</w:t>
      </w:r>
      <w:r w:rsidRPr="001118F0">
        <w:rPr>
          <w:rStyle w:val="Style13ptBold"/>
          <w:b w:val="0"/>
          <w:bCs w:val="0"/>
          <w:sz w:val="16"/>
          <w:szCs w:val="16"/>
        </w:rPr>
        <w:t xml:space="preserve">, Hugh B. Brown Presidential Endowed Chair in Law and Professor of Law, University of Utah S.J. Quinney College of Law, “Gridland: An Allegorical Critique of Federal Sentencing”, Fall 2005, Northwestern University of Law Journal of Criminal Law and Criminology, Vol. 96, Issue 1 – </w:t>
      </w:r>
      <w:r w:rsidRPr="001118F0">
        <w:rPr>
          <w:rStyle w:val="Style13ptBold"/>
          <w:b w:val="0"/>
          <w:bCs w:val="0"/>
          <w:i/>
          <w:iCs/>
          <w:sz w:val="16"/>
          <w:szCs w:val="16"/>
        </w:rPr>
        <w:t>Fall</w:t>
      </w:r>
      <w:r w:rsidRPr="001118F0">
        <w:rPr>
          <w:rStyle w:val="Style13ptBold"/>
          <w:b w:val="0"/>
          <w:bCs w:val="0"/>
          <w:sz w:val="16"/>
          <w:szCs w:val="16"/>
        </w:rPr>
        <w:t>, Article 2, https://scholarlycommons.law.northwestern.edu/cgi/viewcontent.cgi?article=7216&amp;context=jclc</w:t>
      </w:r>
    </w:p>
    <w:p w14:paraId="52CBAE0C" w14:textId="1234D707" w:rsidR="00384958" w:rsidRPr="00C84DD6" w:rsidRDefault="00384958" w:rsidP="00384958">
      <w:pPr>
        <w:rPr>
          <w:sz w:val="16"/>
        </w:rPr>
      </w:pPr>
      <w:r w:rsidRPr="00C84DD6">
        <w:rPr>
          <w:sz w:val="16"/>
        </w:rPr>
        <w:t>With the foregoing in mind, I fully appreciate the concerns that animated Judge Cassell's thoughtful decision in Wilson. "</w:t>
      </w:r>
      <w:r w:rsidRPr="00C84DD6">
        <w:rPr>
          <w:rStyle w:val="StyleUnderline"/>
        </w:rPr>
        <w:t>Should the courts fail to carry out congressional will, there should be little doubt what will follow,</w:t>
      </w:r>
      <w:r w:rsidRPr="00C84DD6">
        <w:rPr>
          <w:sz w:val="16"/>
        </w:rPr>
        <w:t>" Cassell wrote. "</w:t>
      </w:r>
      <w:r w:rsidRPr="00C84DD6">
        <w:rPr>
          <w:rStyle w:val="StyleUnderline"/>
          <w:b/>
          <w:bCs/>
        </w:rPr>
        <w:t>Congress can easily implement its desired level of punitiveness in the criminal justice system, through such blunderbuss devices as mandatory minimum sentences</w:t>
      </w:r>
      <w:r w:rsidRPr="00C84DD6">
        <w:rPr>
          <w:sz w:val="16"/>
        </w:rPr>
        <w:t xml:space="preserve">. '7v </w:t>
      </w:r>
      <w:r w:rsidRPr="00C84DD6">
        <w:rPr>
          <w:rStyle w:val="StyleUnderline"/>
          <w:b/>
          <w:bCs/>
        </w:rPr>
        <w:t>Such threats have already been leveled</w:t>
      </w:r>
      <w:r w:rsidRPr="00C84DD6">
        <w:rPr>
          <w:sz w:val="16"/>
        </w:rPr>
        <w:t xml:space="preserve">,276 </w:t>
      </w:r>
      <w:r w:rsidRPr="00C84DD6">
        <w:rPr>
          <w:rStyle w:val="StyleUnderline"/>
          <w:b/>
          <w:bCs/>
        </w:rPr>
        <w:t>and in recent times judges who disputed the efficacy and justice of federal sentencing have been threatened with removal</w:t>
      </w:r>
      <w:r w:rsidRPr="00C84DD6">
        <w:rPr>
          <w:sz w:val="16"/>
        </w:rPr>
        <w:t xml:space="preserve">.2 77 "The judges need to be intimidated," Rep. Tom DeLay once said, "If they don't behave, 'we're going to go after them in a big way.' 278 </w:t>
      </w:r>
      <w:r w:rsidRPr="00C84DD6">
        <w:rPr>
          <w:rStyle w:val="StyleUnderline"/>
        </w:rPr>
        <w:t>A House taskforce was even set up to examine legal opinions for examples of "judicial abuse."</w:t>
      </w:r>
      <w:r w:rsidRPr="00C84DD6">
        <w:rPr>
          <w:sz w:val="16"/>
        </w:rPr>
        <w:t xml:space="preserve"> According to Rep. DeLay, </w:t>
      </w:r>
      <w:r w:rsidRPr="00C84DD6">
        <w:rPr>
          <w:rStyle w:val="StyleUnderline"/>
          <w:b/>
          <w:bCs/>
        </w:rPr>
        <w:t xml:space="preserve">Congress was "putting America's judges on alert: We are watching you.' </w:t>
      </w:r>
      <w:r w:rsidRPr="00C84DD6">
        <w:rPr>
          <w:sz w:val="16"/>
        </w:rPr>
        <w:t xml:space="preserve">279 With the likes of DeLay, Feeney, and others on the prowl, a broad swath of Congress stands ready to protect the American people from those sneaky judges. After all, what does the judiciary think it is-an independent branch of government or something? H.L. Mencken once quipped that the goal of the political class is "to keep the populace alarmed (and hence clamorous to be led to safety) by menacing it with an endless series of hobgoblins, all of them imaginary. 280 </w:t>
      </w:r>
      <w:r w:rsidRPr="00C84DD6">
        <w:rPr>
          <w:rStyle w:val="StyleUnderline"/>
        </w:rPr>
        <w:t>Along these lines, we can rest assured that certain officials will never cower from an opportunity to score easy points against a group lacking access to the bully pulpit like the federal judiciary</w:t>
      </w:r>
      <w:r w:rsidRPr="00C84DD6">
        <w:rPr>
          <w:sz w:val="16"/>
        </w:rPr>
        <w:t>. Such diatribes only damage the reputation of the "least dangerous" 28 I branch-least dangerous, that is, to the politician, whose harangue is unlikely to be countered by the typical media-reticent jurist.</w:t>
      </w:r>
    </w:p>
    <w:p w14:paraId="5642F6DA" w14:textId="77777777" w:rsidR="00D345EC" w:rsidRDefault="00D345EC" w:rsidP="00D345EC">
      <w:pPr>
        <w:pStyle w:val="Heading4"/>
      </w:pPr>
      <w:r>
        <w:t>Congress exerts massive influence over how Courts sentence – creation of the sentencing guidelines and PROTECT Act/Feeney Amendment</w:t>
      </w:r>
    </w:p>
    <w:p w14:paraId="6204F04B" w14:textId="77777777" w:rsidR="00D345EC" w:rsidRPr="00872131" w:rsidRDefault="00D345EC" w:rsidP="00D345EC">
      <w:pPr>
        <w:rPr>
          <w:rStyle w:val="Style13ptBold"/>
          <w:b w:val="0"/>
          <w:bCs w:val="0"/>
        </w:rPr>
      </w:pPr>
      <w:r w:rsidRPr="00872131">
        <w:rPr>
          <w:rStyle w:val="Style13ptBold"/>
          <w:b w:val="0"/>
          <w:bCs w:val="0"/>
          <w:sz w:val="16"/>
          <w:szCs w:val="16"/>
        </w:rPr>
        <w:t>Lydia Brashear</w:t>
      </w:r>
      <w:r>
        <w:rPr>
          <w:rStyle w:val="Style13ptBold"/>
          <w:b w:val="0"/>
          <w:bCs w:val="0"/>
        </w:rPr>
        <w:t xml:space="preserve"> </w:t>
      </w:r>
      <w:r>
        <w:rPr>
          <w:rStyle w:val="Style13ptBold"/>
        </w:rPr>
        <w:t>Tiede ’09</w:t>
      </w:r>
      <w:r w:rsidRPr="00872131">
        <w:rPr>
          <w:rStyle w:val="Style13ptBold"/>
          <w:b w:val="0"/>
          <w:bCs w:val="0"/>
          <w:sz w:val="16"/>
          <w:szCs w:val="16"/>
        </w:rPr>
        <w:t>, Assistant Professor in Political Science at the University of Houston, “THE IMPACT OF THE FEDERAL SENTENCING GUIDELINES AND REFORM: A COMPARATIVE ANALYSIS”, 6/16/09, The Justice System Journal, Vol. 30, Number 1, https://www.ncsc.org/~/media/Files/PDF/Publications/Justice%20System%20Journal/The%20Impact%20of%20the%20Federal%20Sentencing.ashx</w:t>
      </w:r>
    </w:p>
    <w:p w14:paraId="72836B0C" w14:textId="77777777" w:rsidR="00D345EC" w:rsidRPr="00D345EC" w:rsidRDefault="00D345EC" w:rsidP="00D345EC">
      <w:pPr>
        <w:rPr>
          <w:sz w:val="16"/>
        </w:rPr>
      </w:pPr>
      <w:r w:rsidRPr="00D345EC">
        <w:rPr>
          <w:rStyle w:val="StyleUnderline"/>
        </w:rPr>
        <w:t>The first major change to the Guideline system occurred in 2003 when Congress passed the PROTECT Act and its Feeney Amendment out of a growing concern that judges and prosecutors had increasingly been using departures from sentencing-table ranges to avoid the Guidelines’ sentencing mandates</w:t>
      </w:r>
      <w:r w:rsidRPr="00D345EC">
        <w:rPr>
          <w:sz w:val="16"/>
        </w:rPr>
        <w:t xml:space="preserve">, especially in cases along the southwestern border and in cases involving child exploitation (USSC, 2003; see Schantzenbach, 2005). </w:t>
      </w:r>
      <w:r w:rsidRPr="00D345EC">
        <w:rPr>
          <w:rStyle w:val="StyleUnderline"/>
        </w:rPr>
        <w:t xml:space="preserve">Further, in enacting this law, Congress also voiced concern that prosecutors were using departures and case facts as bargaining chips to get the sentences that they wanted in blatant disregard of Congress’s intent in enacting the Sentencing Guidelines </w:t>
      </w:r>
      <w:r w:rsidRPr="00D345EC">
        <w:rPr>
          <w:sz w:val="16"/>
        </w:rPr>
        <w:t xml:space="preserve">(USSC, 2003). In general terms, </w:t>
      </w:r>
      <w:r w:rsidRPr="00D345EC">
        <w:rPr>
          <w:rStyle w:val="StyleUnderline"/>
        </w:rPr>
        <w:t>the PROTECT Act, along with the Feeney Amendment, limited judicial discretion in two main ways</w:t>
      </w:r>
      <w:r w:rsidRPr="00D345EC">
        <w:rPr>
          <w:sz w:val="16"/>
        </w:rPr>
        <w:t>—</w:t>
      </w:r>
      <w:r w:rsidRPr="00D345EC">
        <w:rPr>
          <w:rStyle w:val="StyleUnderline"/>
        </w:rPr>
        <w:t>by reducing the number of statutory reasons that judges could depart from Guideline ranges and by establishing more-rigorous monitoring mechanisms for overseeing district courts’ decisions by changing the appellate standard of review for district court judges’ decisions from reasonableness and due deference to de novo</w:t>
      </w:r>
      <w:r w:rsidRPr="00D345EC">
        <w:rPr>
          <w:sz w:val="16"/>
        </w:rPr>
        <w:t xml:space="preserve">. Further, </w:t>
      </w:r>
      <w:r w:rsidRPr="00D345EC">
        <w:rPr>
          <w:rStyle w:val="StyleUnderline"/>
        </w:rPr>
        <w:t>the PROTECT Act required that the then attorney general</w:t>
      </w:r>
      <w:r w:rsidRPr="00D345EC">
        <w:rPr>
          <w:sz w:val="16"/>
        </w:rPr>
        <w:t xml:space="preserve">, John Ashcroft, </w:t>
      </w:r>
      <w:r w:rsidRPr="00D345EC">
        <w:rPr>
          <w:rStyle w:val="StyleUnderline"/>
        </w:rPr>
        <w:t xml:space="preserve">direct assistant U.S. attorneys affirmatively to oppose sentencing adjustments and downward departures and to establish a system whereby attorneys would report to Congress on individual federal judges whose sentences were not within the spirit of the Guidelines </w:t>
      </w:r>
      <w:r w:rsidRPr="00D345EC">
        <w:rPr>
          <w:sz w:val="16"/>
        </w:rPr>
        <w:t>(Ashcroft 2003a, b).</w:t>
      </w:r>
    </w:p>
    <w:p w14:paraId="66BB67B6" w14:textId="77777777" w:rsidR="00D75FDD" w:rsidRDefault="00D75FDD" w:rsidP="00D75FDD">
      <w:pPr>
        <w:pStyle w:val="Heading3"/>
      </w:pPr>
      <w:r>
        <w:t>2NC – Congress CP – AT: Court Signal (General)</w:t>
      </w:r>
    </w:p>
    <w:p w14:paraId="3E869DD7" w14:textId="77777777" w:rsidR="00D75FDD" w:rsidRDefault="00D75FDD" w:rsidP="00D75FDD">
      <w:pPr>
        <w:pStyle w:val="Heading4"/>
      </w:pPr>
      <w:r>
        <w:t>The CP eliminates ambiguity in current statutory interpretation by providing explicit guidelines for judicial interpretation</w:t>
      </w:r>
    </w:p>
    <w:p w14:paraId="4D620A16" w14:textId="77777777" w:rsidR="00D75FDD" w:rsidRDefault="00D75FDD" w:rsidP="00D75FDD">
      <w:r>
        <w:rPr>
          <w:b/>
        </w:rPr>
        <w:t xml:space="preserve">Harvard Law Review, 11 </w:t>
      </w:r>
      <w:r>
        <w:t>(“A CHEVRON FOR THE HOUSE AND SENATE: DEFERRING TO POST-ENACTMENT CONGRESSIONAL RESOLUTIONS THAT INTERPRET AMBIGUOUS STATUTES” 124 Harv. L. Rev. 1507, April, lexis)</w:t>
      </w:r>
    </w:p>
    <w:p w14:paraId="4529C4AF" w14:textId="77777777" w:rsidR="00D75FDD" w:rsidRPr="008D22FB" w:rsidRDefault="00D75FDD" w:rsidP="00D75FDD">
      <w:pPr>
        <w:rPr>
          <w:sz w:val="16"/>
        </w:rPr>
      </w:pPr>
      <w:r w:rsidRPr="00D214C2">
        <w:rPr>
          <w:rStyle w:val="StyleUnderline"/>
        </w:rPr>
        <w:t>Deference to a House or Senate resolution that interprets an ambiguous statute is more legitimate than reliance on legislative history because a resolution is a formal, collective decision of the entire legislative</w:t>
      </w:r>
      <w:r w:rsidRPr="008D22FB">
        <w:rPr>
          <w:sz w:val="16"/>
        </w:rPr>
        <w:t xml:space="preserve">  [*1513]  </w:t>
      </w:r>
      <w:r w:rsidRPr="00D214C2">
        <w:rPr>
          <w:rStyle w:val="StyleUnderline"/>
        </w:rPr>
        <w:t>chamber</w:t>
      </w:r>
      <w:r w:rsidRPr="008D22FB">
        <w:rPr>
          <w:sz w:val="16"/>
        </w:rPr>
        <w:t xml:space="preserve">. Use of legislative history has declined over the past two decades, n30 partially in response to the critique voiced pithily by Judge Leventhal that using legislative history is akin to "looking over a crowd and picking out your friends." n31 </w:t>
      </w:r>
      <w:r w:rsidRPr="00D214C2">
        <w:rPr>
          <w:rStyle w:val="StyleUnderline"/>
        </w:rPr>
        <w:t>Congressional "resolutions express the views of a majority</w:t>
      </w:r>
      <w:r w:rsidRPr="008D22FB">
        <w:rPr>
          <w:sz w:val="16"/>
        </w:rPr>
        <w:t xml:space="preserve">, while other legislative history does not." n32 Moreover, </w:t>
      </w:r>
      <w:r w:rsidRPr="00D214C2">
        <w:rPr>
          <w:rStyle w:val="StyleUnderline"/>
        </w:rPr>
        <w:t>a court's use of the text of a resolution adopted through majority vote to resolve an ambiguity obviates the need to seek out any "intent" or "purpose" underlying the statutory text - concepts that may be incoherent when applied to a collective decision</w:t>
      </w:r>
      <w:r w:rsidRPr="008D22FB">
        <w:rPr>
          <w:sz w:val="16"/>
        </w:rPr>
        <w:t xml:space="preserve">. n33 Courts also occasionally look to post-enactment legislative history and related policy decisions to determine the meaning of an ambiguous statute. n34 These sources may be helpful when ambiguity arises due to [*1514] changing circumstances, n35 but like legislative history at the time of enactment, these post-enactment sources rarely speak directly to the ambiguity at issue and therefore are unreliable guides. n36 </w:t>
      </w:r>
      <w:r w:rsidRPr="00D214C2">
        <w:rPr>
          <w:rStyle w:val="StyleUnderline"/>
        </w:rPr>
        <w:t>A congressional resolution that explicitly and directly interprets an ambiguous statute</w:t>
      </w:r>
      <w:r w:rsidRPr="008D22FB">
        <w:rPr>
          <w:sz w:val="16"/>
        </w:rPr>
        <w:t xml:space="preserve">, by contrast, </w:t>
      </w:r>
      <w:r w:rsidRPr="00D214C2">
        <w:rPr>
          <w:rStyle w:val="StyleUnderline"/>
        </w:rPr>
        <w:t>does not require judges to engage in a difficult (perhaps impossible) inquiry into congressional policies and purposes</w:t>
      </w:r>
      <w:r w:rsidRPr="008D22FB">
        <w:rPr>
          <w:sz w:val="16"/>
        </w:rPr>
        <w:t>.</w:t>
      </w:r>
    </w:p>
    <w:p w14:paraId="6E6B4D7B" w14:textId="77777777" w:rsidR="00D75FDD" w:rsidRDefault="00D75FDD" w:rsidP="00D75FDD">
      <w:pPr>
        <w:pStyle w:val="Heading4"/>
      </w:pPr>
      <w:r>
        <w:t>The CP provides guidance to courts about how to interpret prior statutes</w:t>
      </w:r>
    </w:p>
    <w:p w14:paraId="258854B5" w14:textId="77777777" w:rsidR="00D75FDD" w:rsidRPr="008D22FB" w:rsidRDefault="00D75FDD" w:rsidP="00D75FDD">
      <w:pPr>
        <w:rPr>
          <w:b/>
        </w:rPr>
      </w:pPr>
      <w:r>
        <w:rPr>
          <w:b/>
        </w:rPr>
        <w:t xml:space="preserve">Gersen and Posner, 8 - </w:t>
      </w:r>
      <w:r>
        <w:t>Kirkland and Ellis Professor of Law, The University of Chicago (Jacob and Eric, “Soft Law: Lessons from Congressional Practice” 61 Stan. L. Rev. 573, lexis)</w:t>
      </w:r>
    </w:p>
    <w:p w14:paraId="7A266251" w14:textId="77777777" w:rsidR="00D75FDD" w:rsidRPr="008D22FB" w:rsidRDefault="00D75FDD" w:rsidP="00D75FDD">
      <w:pPr>
        <w:rPr>
          <w:sz w:val="16"/>
        </w:rPr>
      </w:pPr>
      <w:r w:rsidRPr="008D22FB">
        <w:rPr>
          <w:sz w:val="16"/>
        </w:rPr>
        <w:t xml:space="preserve">[*611]  The second argument rests on a more controversial premise, but if the premise is accepted, then the case for relying on postenactment soft statutes to interpret previously enacted hard statutes is even stronger. The premise is that </w:t>
      </w:r>
      <w:r w:rsidRPr="000B52C7">
        <w:rPr>
          <w:rStyle w:val="StyleUnderline"/>
        </w:rPr>
        <w:t>when a court interprets a statute that was enacted by a past Congress, it should allow itself to be influenced by the views of the current Congress</w:t>
      </w:r>
      <w:r w:rsidRPr="008D22FB">
        <w:rPr>
          <w:sz w:val="16"/>
        </w:rPr>
        <w:t xml:space="preserve">. n158 Others have argued that, whether </w:t>
      </w:r>
      <w:r w:rsidRPr="000B52C7">
        <w:rPr>
          <w:rStyle w:val="StyleUnderline"/>
        </w:rPr>
        <w:t xml:space="preserve">courts </w:t>
      </w:r>
      <w:r w:rsidRPr="008D22FB">
        <w:rPr>
          <w:sz w:val="16"/>
        </w:rPr>
        <w:t xml:space="preserve">should be influenced in theory by the current Congress, they </w:t>
      </w:r>
      <w:r w:rsidRPr="000B52C7">
        <w:rPr>
          <w:rStyle w:val="StyleUnderline"/>
        </w:rPr>
        <w:t>will be influenced in practice, because the current (or future) legislature could overturn the court's decision and judges dislike seeing their holdings overturned.</w:t>
      </w:r>
      <w:r w:rsidRPr="008D22FB">
        <w:rPr>
          <w:sz w:val="16"/>
        </w:rPr>
        <w:t xml:space="preserve"> n159 For these scholars, </w:t>
      </w:r>
      <w:r w:rsidRPr="000B52C7">
        <w:rPr>
          <w:rStyle w:val="StyleUnderline"/>
        </w:rPr>
        <w:t>congressional resolutions should be reasonable devices for Congress to reveal its evolving policy views to judges</w:t>
      </w:r>
      <w:r w:rsidRPr="008D22FB">
        <w:rPr>
          <w:sz w:val="16"/>
        </w:rPr>
        <w:t>. As a possible illustration of this view, consider the dissent by Justice Souter in Garcetti v. Ceballos. n160 Justice Souter relied, in part, on Congress's endorsement, via concurrent resolution, of the view that citizens should expose corruption in government to inform his view on the scope of First Amendment protection for government employees. n161</w:t>
      </w:r>
    </w:p>
    <w:p w14:paraId="2D96B0F7" w14:textId="77777777" w:rsidR="00D75FDD" w:rsidRPr="008D22FB" w:rsidRDefault="00D75FDD" w:rsidP="00D75FDD"/>
    <w:p w14:paraId="779AAC05" w14:textId="06610186" w:rsidR="00E076B9" w:rsidRDefault="00E076B9" w:rsidP="00CC14CB">
      <w:pPr>
        <w:pStyle w:val="Heading3"/>
      </w:pPr>
      <w:r>
        <w:t>2NC – Congress CP – AT: No Enforcement (General)</w:t>
      </w:r>
    </w:p>
    <w:p w14:paraId="3B7B076F" w14:textId="66FA3745" w:rsidR="00E076B9" w:rsidRDefault="00E076B9" w:rsidP="00E076B9">
      <w:pPr>
        <w:pStyle w:val="Heading4"/>
      </w:pPr>
      <w:r>
        <w:t>JAG fun</w:t>
      </w:r>
      <w:r w:rsidR="002B0AAF">
        <w:t>d alterations or sanctions solve enforcement</w:t>
      </w:r>
    </w:p>
    <w:p w14:paraId="552E6DBD" w14:textId="77777777" w:rsidR="002B0AAF" w:rsidRPr="0059531F" w:rsidRDefault="002B0AAF" w:rsidP="002B0AAF">
      <w:pPr>
        <w:rPr>
          <w:rStyle w:val="Style13ptBold"/>
          <w:b w:val="0"/>
          <w:bCs w:val="0"/>
        </w:rPr>
      </w:pPr>
      <w:r w:rsidRPr="0059531F">
        <w:rPr>
          <w:rStyle w:val="Style13ptBold"/>
          <w:b w:val="0"/>
          <w:bCs w:val="0"/>
          <w:sz w:val="16"/>
          <w:szCs w:val="16"/>
        </w:rPr>
        <w:t>Ed</w:t>
      </w:r>
      <w:r>
        <w:rPr>
          <w:rStyle w:val="Style13ptBold"/>
          <w:b w:val="0"/>
          <w:bCs w:val="0"/>
        </w:rPr>
        <w:t xml:space="preserve"> </w:t>
      </w:r>
      <w:r>
        <w:rPr>
          <w:rStyle w:val="Style13ptBold"/>
        </w:rPr>
        <w:t>Chung et. al ’19</w:t>
      </w:r>
      <w:r w:rsidRPr="0059531F">
        <w:rPr>
          <w:rStyle w:val="Style13ptBold"/>
          <w:b w:val="0"/>
          <w:bCs w:val="0"/>
          <w:sz w:val="16"/>
          <w:szCs w:val="16"/>
        </w:rPr>
        <w:t>, *is the vice president for Criminal Justice Reform at the Center for American Progress., **Betsy Pearl is a senior policy analyst for Criminal Justice Reform at the Center., **Lea Hunter is a research assistant for Criminal Justice Reform at the Center., “The 1994 Crime Bill Continues to Undercut Justice Reform—Here’s How to Stop It”, 3/26/19, Center for American Progress, https://www.americanprogress.org/issues/criminal-justice/reports/2019/03/26/467486/1994-crime-bill-continues-undercut-justice-reform-heres-stop/</w:t>
      </w:r>
    </w:p>
    <w:p w14:paraId="361F4177" w14:textId="7C0FD4BB" w:rsidR="002B0AAF" w:rsidRPr="005E3FC0" w:rsidRDefault="002B0AAF" w:rsidP="002B0AAF">
      <w:pPr>
        <w:rPr>
          <w:sz w:val="16"/>
        </w:rPr>
      </w:pPr>
      <w:r w:rsidRPr="005E3FC0">
        <w:rPr>
          <w:rStyle w:val="StyleUnderline"/>
        </w:rPr>
        <w:t>Any serious effort to halt the ongoing damage wrought by the crime bill must target the money</w:t>
      </w:r>
      <w:r w:rsidRPr="005E3FC0">
        <w:rPr>
          <w:sz w:val="16"/>
        </w:rPr>
        <w:t xml:space="preserve">—the law’s primary vehicle for influencing state and local policy. </w:t>
      </w:r>
      <w:r w:rsidRPr="005E3FC0">
        <w:rPr>
          <w:rStyle w:val="StyleUnderline"/>
        </w:rPr>
        <w:t>Every year, the</w:t>
      </w:r>
      <w:r w:rsidRPr="005E3FC0">
        <w:rPr>
          <w:sz w:val="16"/>
        </w:rPr>
        <w:t xml:space="preserve"> U.S. Department of Justice (</w:t>
      </w:r>
      <w:r w:rsidRPr="005E3FC0">
        <w:rPr>
          <w:rStyle w:val="StyleUnderline"/>
        </w:rPr>
        <w:t>DOJ</w:t>
      </w:r>
      <w:r w:rsidRPr="005E3FC0">
        <w:rPr>
          <w:sz w:val="16"/>
        </w:rPr>
        <w:t xml:space="preserve">) </w:t>
      </w:r>
      <w:r w:rsidRPr="005E3FC0">
        <w:rPr>
          <w:rStyle w:val="StyleUnderline"/>
        </w:rPr>
        <w:t>distributes millions of dollars to states and localities through funding grants started under the crime bill</w:t>
      </w:r>
      <w:r w:rsidRPr="005E3FC0">
        <w:rPr>
          <w:sz w:val="16"/>
        </w:rPr>
        <w:t>—</w:t>
      </w:r>
      <w:r w:rsidRPr="005E3FC0">
        <w:rPr>
          <w:rStyle w:val="StyleUnderline"/>
          <w:b/>
          <w:bCs/>
        </w:rPr>
        <w:t>the vast majority of which is funneled directly to law enforcement agencies with few strings attached</w:t>
      </w:r>
      <w:r w:rsidRPr="005E3FC0">
        <w:rPr>
          <w:sz w:val="16"/>
        </w:rPr>
        <w:t xml:space="preserve">.17 </w:t>
      </w:r>
      <w:r w:rsidRPr="005E3FC0">
        <w:rPr>
          <w:rStyle w:val="StyleUnderline"/>
          <w:b/>
          <w:bCs/>
        </w:rPr>
        <w:t>The single largest source of federal public safety funding today is the</w:t>
      </w:r>
      <w:r w:rsidRPr="005E3FC0">
        <w:rPr>
          <w:sz w:val="16"/>
        </w:rPr>
        <w:t xml:space="preserve"> Edward Byrne Memorial Justice Assistance Grant (</w:t>
      </w:r>
      <w:r w:rsidRPr="005E3FC0">
        <w:rPr>
          <w:rStyle w:val="StyleUnderline"/>
          <w:b/>
          <w:bCs/>
        </w:rPr>
        <w:t>JAG</w:t>
      </w:r>
      <w:r w:rsidRPr="005E3FC0">
        <w:rPr>
          <w:sz w:val="16"/>
        </w:rPr>
        <w:t xml:space="preserve">) </w:t>
      </w:r>
      <w:r w:rsidRPr="005E3FC0">
        <w:rPr>
          <w:rStyle w:val="StyleUnderline"/>
          <w:b/>
          <w:bCs/>
        </w:rPr>
        <w:t>Program</w:t>
      </w:r>
      <w:r w:rsidRPr="005E3FC0">
        <w:rPr>
          <w:sz w:val="16"/>
        </w:rPr>
        <w:t xml:space="preserve">, which has its roots in a massive mid-1990s block grant for local law enforcement agencies.18 </w:t>
      </w:r>
      <w:r w:rsidRPr="005E3FC0">
        <w:rPr>
          <w:rStyle w:val="StyleUnderline"/>
        </w:rPr>
        <w:t>Cities and states can use JAG to support a wide array of public safety functions—from violence prevention to indigent defense to mental health treatment.</w:t>
      </w:r>
      <w:r w:rsidRPr="005E3FC0">
        <w:rPr>
          <w:sz w:val="16"/>
        </w:rPr>
        <w:t xml:space="preserve">19 </w:t>
      </w:r>
      <w:r w:rsidRPr="005E3FC0">
        <w:rPr>
          <w:rStyle w:val="StyleUnderline"/>
          <w:b/>
          <w:bCs/>
        </w:rPr>
        <w:t>The reality, however, is that most JAG funds go directly to law enforcement</w:t>
      </w:r>
      <w:r w:rsidRPr="005E3FC0">
        <w:rPr>
          <w:sz w:val="16"/>
        </w:rPr>
        <w:t>.</w:t>
      </w:r>
      <w:r w:rsidR="005E3FC0" w:rsidRPr="005E3FC0">
        <w:rPr>
          <w:sz w:val="16"/>
        </w:rPr>
        <w:t xml:space="preserve"> </w:t>
      </w:r>
      <w:r w:rsidRPr="005E3FC0">
        <w:rPr>
          <w:sz w:val="16"/>
        </w:rPr>
        <w:t xml:space="preserve">Nationally, according to the latest detailed data from 2016, </w:t>
      </w:r>
      <w:r w:rsidRPr="005E3FC0">
        <w:rPr>
          <w:rStyle w:val="StyleUnderline"/>
        </w:rPr>
        <w:t>58 percent of JAG funds were used to support law enforcement and corrections functions, while only 6 percent went to crime prevention</w:t>
      </w:r>
      <w:r w:rsidRPr="005E3FC0">
        <w:rPr>
          <w:sz w:val="16"/>
        </w:rPr>
        <w:t xml:space="preserve">.20 </w:t>
      </w:r>
      <w:r w:rsidRPr="005E3FC0">
        <w:rPr>
          <w:rStyle w:val="StyleUnderline"/>
        </w:rPr>
        <w:t>And more than one-quarter of all JAG funds were used to operate drug taskforces</w:t>
      </w:r>
      <w:r w:rsidRPr="005E3FC0">
        <w:rPr>
          <w:sz w:val="16"/>
        </w:rPr>
        <w:t xml:space="preserve">,21 </w:t>
      </w:r>
      <w:r w:rsidRPr="005E3FC0">
        <w:rPr>
          <w:rStyle w:val="StyleUnderline"/>
          <w:b/>
          <w:bCs/>
        </w:rPr>
        <w:t>which have multiplied exponentially nationwide since the infusion of federal funds</w:t>
      </w:r>
      <w:r w:rsidRPr="005E3FC0">
        <w:rPr>
          <w:sz w:val="16"/>
        </w:rPr>
        <w:t>.22 These national averages hide an even starker contrast at the state level. A Center for American Progress analysis shows that in 14 states, more than $9 out of every $10 in JAG funds went to police departments and prosecutors’ offices.23 Four states—Maine, Montana, West Virginia, and Wyoming—devoted a full 100 percent of JAG funds to law enforcement.24 In 22 states, crime prevention efforts went completely unfunded.25</w:t>
      </w:r>
      <w:r w:rsidR="005E3FC0" w:rsidRPr="005E3FC0">
        <w:rPr>
          <w:sz w:val="16"/>
        </w:rPr>
        <w:t xml:space="preserve"> </w:t>
      </w:r>
      <w:r w:rsidRPr="005E3FC0">
        <w:rPr>
          <w:rStyle w:val="StyleUnderline"/>
          <w:b/>
          <w:bCs/>
        </w:rPr>
        <w:t>JAG and other public safety dollars from the federal government cannot continue to be structured in a way that results in the vast majority of the funds going to support law enforcement</w:t>
      </w:r>
      <w:r w:rsidRPr="005E3FC0">
        <w:rPr>
          <w:sz w:val="16"/>
        </w:rPr>
        <w:t xml:space="preserve">. </w:t>
      </w:r>
      <w:r w:rsidRPr="005E3FC0">
        <w:rPr>
          <w:rStyle w:val="StyleUnderline"/>
        </w:rPr>
        <w:t>The federal government must intentionally invest in a new vision for stronger, healthier communities and no longer simply distribute money to states with the hope that they spend it appropriately</w:t>
      </w:r>
      <w:r w:rsidRPr="005E3FC0">
        <w:rPr>
          <w:sz w:val="16"/>
        </w:rPr>
        <w:t xml:space="preserve">. </w:t>
      </w:r>
      <w:r w:rsidRPr="005E3FC0">
        <w:rPr>
          <w:rStyle w:val="StyleUnderline"/>
          <w:b/>
          <w:bCs/>
        </w:rPr>
        <w:t>This can be accomplished in part by requiring states to devote substantial percentages of JAG funds to areas besides law enforcement in order to ensure a comprehensive approach to public safety</w:t>
      </w:r>
      <w:r w:rsidRPr="005E3FC0">
        <w:rPr>
          <w:sz w:val="16"/>
        </w:rPr>
        <w:t xml:space="preserve">. Additionally, </w:t>
      </w:r>
      <w:r w:rsidRPr="005E3FC0">
        <w:rPr>
          <w:rStyle w:val="StyleUnderline"/>
          <w:b/>
          <w:bCs/>
        </w:rPr>
        <w:t>Congress could change the eligibility formula for receiving JAG funds so that it is based not only on population and annual crime rate data, but also on other indicators of community well-being such as measures of poverty, unemployment, and educational attainment rates</w:t>
      </w:r>
      <w:r w:rsidRPr="005E3FC0">
        <w:rPr>
          <w:sz w:val="16"/>
        </w:rPr>
        <w:t xml:space="preserve">. Congress </w:t>
      </w:r>
      <w:r w:rsidRPr="005E3FC0">
        <w:rPr>
          <w:rStyle w:val="StyleUnderline"/>
          <w:b/>
          <w:bCs/>
        </w:rPr>
        <w:t>could also substantially increase the amounts that it appropriates to JAG</w:t>
      </w:r>
      <w:r w:rsidRPr="005E3FC0">
        <w:rPr>
          <w:sz w:val="16"/>
        </w:rPr>
        <w:t>—</w:t>
      </w:r>
      <w:r w:rsidRPr="005E3FC0">
        <w:rPr>
          <w:rStyle w:val="StyleUnderline"/>
        </w:rPr>
        <w:t>but only if that escalation is set aside for purpose areas that are perpetually underfunded by public safety dollars such as crime prevention and mental health and substance abuse treatment</w:t>
      </w:r>
      <w:r w:rsidRPr="005E3FC0">
        <w:rPr>
          <w:sz w:val="16"/>
        </w:rPr>
        <w:t>. Through a radical realignment of DOJ’s investments, lawmakers can reinvest billions of dollars into communities and effectively reshape the way that jurisdictions think about and carry out public safety efforts.</w:t>
      </w:r>
    </w:p>
    <w:p w14:paraId="56CB56BD" w14:textId="58C423B5" w:rsidR="00CC14CB" w:rsidRDefault="00CC14CB" w:rsidP="00CC14CB">
      <w:pPr>
        <w:pStyle w:val="Heading3"/>
      </w:pPr>
      <w:r w:rsidRPr="0065081D">
        <w:t>2</w:t>
      </w:r>
      <w:r>
        <w:t>NC – Congress CP – AT: Trump</w:t>
      </w:r>
    </w:p>
    <w:p w14:paraId="51CB66D4" w14:textId="77777777" w:rsidR="00CC14CB" w:rsidRDefault="00CC14CB" w:rsidP="00CC14CB">
      <w:pPr>
        <w:pStyle w:val="Heading4"/>
      </w:pPr>
      <w:r>
        <w:t>CJR is distinct from other proposals – can garner enough support even without Trump</w:t>
      </w:r>
    </w:p>
    <w:p w14:paraId="0334A883" w14:textId="77777777" w:rsidR="00CC14CB" w:rsidRPr="0065081D" w:rsidRDefault="00CC14CB" w:rsidP="00CC14CB">
      <w:pPr>
        <w:rPr>
          <w:rStyle w:val="Style13ptBold"/>
          <w:b w:val="0"/>
          <w:bCs w:val="0"/>
          <w:sz w:val="16"/>
          <w:szCs w:val="16"/>
        </w:rPr>
      </w:pPr>
      <w:r w:rsidRPr="0065081D">
        <w:rPr>
          <w:rStyle w:val="Style13ptBold"/>
          <w:b w:val="0"/>
          <w:bCs w:val="0"/>
          <w:sz w:val="16"/>
          <w:szCs w:val="16"/>
        </w:rPr>
        <w:t>Katrina</w:t>
      </w:r>
      <w:r>
        <w:rPr>
          <w:rStyle w:val="Style13ptBold"/>
          <w:b w:val="0"/>
          <w:bCs w:val="0"/>
        </w:rPr>
        <w:t xml:space="preserve"> </w:t>
      </w:r>
      <w:r>
        <w:rPr>
          <w:rStyle w:val="Style13ptBold"/>
        </w:rPr>
        <w:t>vanden Heuvel ’19</w:t>
      </w:r>
      <w:r w:rsidRPr="0065081D">
        <w:rPr>
          <w:rStyle w:val="Style13ptBold"/>
          <w:b w:val="0"/>
          <w:bCs w:val="0"/>
          <w:sz w:val="16"/>
          <w:szCs w:val="16"/>
        </w:rPr>
        <w:t>, columnist for the Washington Post, “For criminal justice reform, the First Step Act is just the start”, 2/12/19, The Washington Post, https://www.washingtonpost.com/opinions/for-criminal-justice-reform-the-first-step-act-is-just-the-start/2019/02/12/2526e97e-2e24-11e9-8ad3-9a5b113ecd3c_story.html</w:t>
      </w:r>
    </w:p>
    <w:p w14:paraId="163166BC" w14:textId="2E3386EC" w:rsidR="00CC14CB" w:rsidRDefault="00CC14CB" w:rsidP="00CC14CB">
      <w:pPr>
        <w:rPr>
          <w:sz w:val="14"/>
        </w:rPr>
      </w:pPr>
      <w:r w:rsidRPr="00BF3F96">
        <w:rPr>
          <w:rStyle w:val="StyleUnderline"/>
        </w:rPr>
        <w:t>There was little for progressives to cheer in last week’s State of the Union address, but President Trump received a rare bit of bipartisan applause when he touted the First Step Act, the criminal justice reform bill that Congress approved in December</w:t>
      </w:r>
      <w:r w:rsidRPr="00884B67">
        <w:rPr>
          <w:sz w:val="14"/>
        </w:rPr>
        <w:t xml:space="preserve">. </w:t>
      </w:r>
      <w:r w:rsidRPr="00BF3F96">
        <w:rPr>
          <w:rStyle w:val="StyleUnderline"/>
        </w:rPr>
        <w:t>Backed by a broad coalition</w:t>
      </w:r>
      <w:r w:rsidRPr="00884B67">
        <w:rPr>
          <w:sz w:val="14"/>
        </w:rPr>
        <w:t xml:space="preserve"> ranging from the ACLU to the Koch network, </w:t>
      </w:r>
      <w:r w:rsidRPr="00BF3F96">
        <w:rPr>
          <w:rStyle w:val="StyleUnderline"/>
        </w:rPr>
        <w:t>the First Step Act includes provisions reducing some federal prison sentences and allowing incarcerated individuals to qualify for early release.</w:t>
      </w:r>
      <w:r w:rsidRPr="00884B67">
        <w:rPr>
          <w:sz w:val="14"/>
        </w:rPr>
        <w:t xml:space="preserve"> </w:t>
      </w:r>
      <w:r w:rsidRPr="00BF3F96">
        <w:rPr>
          <w:rStyle w:val="StyleUnderline"/>
          <w:b/>
          <w:bCs/>
        </w:rPr>
        <w:t>The law does mark real progress, but</w:t>
      </w:r>
      <w:r w:rsidRPr="00884B67">
        <w:rPr>
          <w:sz w:val="14"/>
        </w:rPr>
        <w:t xml:space="preserve"> as its name implies, </w:t>
      </w:r>
      <w:r w:rsidRPr="00BF3F96">
        <w:rPr>
          <w:rStyle w:val="Emphasis"/>
        </w:rPr>
        <w:t>it is only a step</w:t>
      </w:r>
      <w:r w:rsidRPr="00884B67">
        <w:rPr>
          <w:sz w:val="14"/>
        </w:rPr>
        <w:t xml:space="preserve">. Truly fixing America’s broken criminal system means addressing several major problems. </w:t>
      </w:r>
      <w:r w:rsidRPr="00BF3F96">
        <w:rPr>
          <w:rStyle w:val="StyleUnderline"/>
        </w:rPr>
        <w:t>Mass incarceration remains one of the greatest civil rights issues of our time</w:t>
      </w:r>
      <w:r w:rsidRPr="00884B67">
        <w:rPr>
          <w:sz w:val="14"/>
        </w:rPr>
        <w:t>. The United States has the highest rate of incarceration in the world, with more than 2.1 million people locked up in prisons and jails across the country, including a disproportionate number of black and brown Americans.</w:t>
      </w:r>
      <w:r w:rsidRPr="00BF3F96">
        <w:rPr>
          <w:rStyle w:val="StyleUnderline"/>
        </w:rPr>
        <w:t xml:space="preserve"> Since the First Step Act only applies to those held in federal prisons, it didn’t help the nearly 90 percent of the incarcerated population in state and local facilities.</w:t>
      </w:r>
      <w:r>
        <w:rPr>
          <w:rStyle w:val="StyleUnderline"/>
        </w:rPr>
        <w:t xml:space="preserve"> </w:t>
      </w:r>
      <w:r w:rsidRPr="00BF3F96">
        <w:rPr>
          <w:rStyle w:val="StyleUnderline"/>
        </w:rPr>
        <w:t>Many incarcerated Americans are forced to live in brutal, dehumanizing conditions</w:t>
      </w:r>
      <w:r w:rsidRPr="00884B67">
        <w:rPr>
          <w:sz w:val="14"/>
        </w:rPr>
        <w:t xml:space="preserve">. At the Brooklyn Metropolitan Detention Center, prisoners recently endured nearly a week of dangerously low temperatures without power or hot water. While the situation provoked national outrage, little public attention is paid to many more overcrowded and underfunded prisons where incarcerated people face physical violence, </w:t>
      </w:r>
      <w:r w:rsidRPr="00884B67">
        <w:rPr>
          <w:rStyle w:val="StyleUnderline"/>
        </w:rPr>
        <w:t>a lack of adequate health care and excessive isolation that can have lasting mental health effects</w:t>
      </w:r>
      <w:r w:rsidRPr="00884B67">
        <w:rPr>
          <w:sz w:val="14"/>
        </w:rPr>
        <w:t>. “</w:t>
      </w:r>
      <w:r w:rsidRPr="00884B67">
        <w:rPr>
          <w:rStyle w:val="StyleUnderline"/>
        </w:rPr>
        <w:t>Every day, people held in prisons and jails wake up to face systemic abuse and dehumanizing indifference</w:t>
      </w:r>
      <w:r w:rsidRPr="00884B67">
        <w:rPr>
          <w:sz w:val="14"/>
        </w:rPr>
        <w:t>,” write Cardozo Law School professors Betsy Ginsberg and Alexander Reinert. “</w:t>
      </w:r>
      <w:r w:rsidRPr="00884B67">
        <w:rPr>
          <w:rStyle w:val="StyleUnderline"/>
        </w:rPr>
        <w:t>No one should be fooled into thinking that what happened at the MDC is unique</w:t>
      </w:r>
      <w:r w:rsidRPr="00884B67">
        <w:rPr>
          <w:sz w:val="14"/>
        </w:rPr>
        <w:t xml:space="preserve">.” And though nobody should be subjected to systemic abuse and neglect, it’s important to acknowledge that, like many incarcerated people across the country, most of the people jailed at the MDC have not even been convicted of a crime. On an average day, hundreds of thousands of Americans are sitting behind bars simply because they are too poor to afford bail. In some cases, innocent people have spent years incarcerated awaiting their day in court. </w:t>
      </w:r>
      <w:r w:rsidRPr="00884B67">
        <w:rPr>
          <w:rStyle w:val="StyleUnderline"/>
        </w:rPr>
        <w:t>This unfair system needlessly deprives people of their freedom, devastates families and deepens inequality</w:t>
      </w:r>
      <w:r w:rsidRPr="00884B67">
        <w:rPr>
          <w:sz w:val="14"/>
        </w:rPr>
        <w:t>. As The Post’s editorial board wrote last year, “</w:t>
      </w:r>
      <w:r w:rsidRPr="00884B67">
        <w:rPr>
          <w:rStyle w:val="StyleUnderline"/>
        </w:rPr>
        <w:t>People can lose their jobs, homes and families. The temptation is strong to admit guilt simply to escape the misery of rotting in a lockup while the rest of one’s life crumbles. Charged with identical crimes, the wealthy need not face that choice</w:t>
      </w:r>
      <w:r w:rsidRPr="00884B67">
        <w:rPr>
          <w:sz w:val="14"/>
        </w:rPr>
        <w:t xml:space="preserve">.” </w:t>
      </w:r>
      <w:r w:rsidRPr="00884B67">
        <w:rPr>
          <w:rStyle w:val="StyleUnderline"/>
        </w:rPr>
        <w:t>True reform must also eliminate obstacles to reentering and participating fully in society</w:t>
      </w:r>
      <w:r w:rsidRPr="00884B67">
        <w:rPr>
          <w:sz w:val="14"/>
        </w:rPr>
        <w:t xml:space="preserve">. </w:t>
      </w:r>
      <w:r w:rsidRPr="00884B67">
        <w:rPr>
          <w:rStyle w:val="StyleUnderline"/>
        </w:rPr>
        <w:t>Supporting better educational and job training programs inside prisons can help incarcerated people become more productive citizens upon their release</w:t>
      </w:r>
      <w:r w:rsidRPr="00884B67">
        <w:rPr>
          <w:sz w:val="14"/>
        </w:rPr>
        <w:t xml:space="preserve">. </w:t>
      </w:r>
      <w:r w:rsidRPr="00884B67">
        <w:rPr>
          <w:rStyle w:val="StyleUnderline"/>
        </w:rPr>
        <w:t>Making it easier and less expensive for inmates to stay in contact with their families can help break the cycle of imprisonment and poverty</w:t>
      </w:r>
      <w:r w:rsidRPr="00884B67">
        <w:rPr>
          <w:sz w:val="14"/>
        </w:rPr>
        <w:t xml:space="preserve">. </w:t>
      </w:r>
      <w:r w:rsidRPr="00884B67">
        <w:rPr>
          <w:rStyle w:val="StyleUnderline"/>
        </w:rPr>
        <w:t>Restoring fundamental rights</w:t>
      </w:r>
      <w:r w:rsidRPr="00884B67">
        <w:rPr>
          <w:sz w:val="14"/>
        </w:rPr>
        <w:t xml:space="preserve"> that many formerly incarcerated people are still denied can empower them to have a voice in our democracy. In Florida, for example, voters approved a constitutional amendment in November to restore voting rights to 1.4 million people who were previously disenfranchised. But it will take vigilance to stop GOP opponents of the amendment from putting up road blocks to its full implementation. Th</w:t>
      </w:r>
      <w:r w:rsidRPr="00884B67">
        <w:rPr>
          <w:rStyle w:val="StyleUnderline"/>
        </w:rPr>
        <w:t>ese are just a few of the many issues that remain, from providing more resources for public defenders to cracking down on the insidious use of private prisons that put profit above all else</w:t>
      </w:r>
      <w:r w:rsidRPr="00884B67">
        <w:rPr>
          <w:sz w:val="14"/>
        </w:rPr>
        <w:t xml:space="preserve">. (Indeed, Trump may want to be seen as a reformer, but the private prison industry donated heavily to his campaign and has prospered greatly from his presidency.) Much of this work has to occur at the state and local level — and many states are already pursuing important reforms — but </w:t>
      </w:r>
      <w:r w:rsidRPr="00884B67">
        <w:rPr>
          <w:rStyle w:val="StyleUnderline"/>
          <w:b/>
          <w:bCs/>
        </w:rPr>
        <w:t xml:space="preserve">there is significant work to do at the federal level </w:t>
      </w:r>
      <w:r w:rsidRPr="00884B67">
        <w:rPr>
          <w:sz w:val="14"/>
        </w:rPr>
        <w:t xml:space="preserve">as well. The exit of former attorney general Jeff Sessions, who was committed to an extremely regressive vision of our criminal justice system, has presented some new opportunities. Yet there are obvious reasons to question how much progress is feasible under Trump. To that end, </w:t>
      </w:r>
      <w:r w:rsidRPr="00884B67">
        <w:rPr>
          <w:rStyle w:val="StyleUnderline"/>
        </w:rPr>
        <w:t>it’s encouraging that criminal justice reform is already emerging as a key issue in the Democratic presidential primary</w:t>
      </w:r>
      <w:r w:rsidRPr="00884B67">
        <w:rPr>
          <w:sz w:val="14"/>
        </w:rPr>
        <w:t xml:space="preserve">. Sen. Cory Booker’s (D-N.J.) agenda includes legalizing marijuana, increasing funding for public defenders and providing financial incentives for states to reduce their prison populations. Sen. Elizabeth Warren (D-Mass.) has described the criminal justice system as “racist” and called for reform in her official campaign announcement speech Saturday. Last year, presumed candidate Sen. Bernie Sanders (I-Vt.) introduced legislation that would abolish money bail at the federal level and encourage states to follow suit. Sen. Kamala D. Harris (D-Calif.) has called for bail reform, too, though she is also facing criticism over her record as a prosecutor that she will need to address as the campaign wears on. </w:t>
      </w:r>
      <w:r w:rsidRPr="00BF3F96">
        <w:rPr>
          <w:rStyle w:val="StyleUnderline"/>
        </w:rPr>
        <w:t>The passage of the First Step Act was certainly significant</w:t>
      </w:r>
      <w:r w:rsidRPr="00884B67">
        <w:rPr>
          <w:sz w:val="14"/>
        </w:rPr>
        <w:t xml:space="preserve">. But </w:t>
      </w:r>
      <w:r w:rsidRPr="00BF3F96">
        <w:rPr>
          <w:rStyle w:val="StyleUnderline"/>
          <w:b/>
          <w:bCs/>
        </w:rPr>
        <w:t>that is less because of what it specifically accomplished than because of what it showed</w:t>
      </w:r>
      <w:r w:rsidRPr="00884B67">
        <w:rPr>
          <w:sz w:val="14"/>
        </w:rPr>
        <w:t xml:space="preserve">. </w:t>
      </w:r>
      <w:r w:rsidRPr="00BF3F96">
        <w:rPr>
          <w:rStyle w:val="StyleUnderline"/>
          <w:b/>
          <w:bCs/>
        </w:rPr>
        <w:t xml:space="preserve">Across the ideological spectrum, there is </w:t>
      </w:r>
      <w:r w:rsidRPr="00BF3F96">
        <w:rPr>
          <w:rStyle w:val="Emphasis"/>
        </w:rPr>
        <w:t>real momentum</w:t>
      </w:r>
      <w:r w:rsidRPr="00BF3F96">
        <w:rPr>
          <w:rStyle w:val="StyleUnderline"/>
          <w:b/>
          <w:bCs/>
        </w:rPr>
        <w:t xml:space="preserve"> for </w:t>
      </w:r>
      <w:r w:rsidRPr="00BF3F96">
        <w:rPr>
          <w:rStyle w:val="Emphasis"/>
        </w:rPr>
        <w:t>more criminal justice reform</w:t>
      </w:r>
      <w:r w:rsidRPr="00BF3F96">
        <w:rPr>
          <w:rStyle w:val="StyleUnderline"/>
          <w:b/>
          <w:bCs/>
        </w:rPr>
        <w:t xml:space="preserve">, </w:t>
      </w:r>
      <w:r w:rsidRPr="00BF3F96">
        <w:rPr>
          <w:rStyle w:val="Emphasis"/>
        </w:rPr>
        <w:t>including bold ideas that Trump is unlikely to ever support</w:t>
      </w:r>
      <w:r w:rsidRPr="00884B67">
        <w:rPr>
          <w:sz w:val="14"/>
        </w:rPr>
        <w:t xml:space="preserve">. </w:t>
      </w:r>
      <w:r w:rsidRPr="00BF3F96">
        <w:rPr>
          <w:rStyle w:val="StyleUnderline"/>
          <w:b/>
          <w:bCs/>
        </w:rPr>
        <w:t>As they work to present a real alternative to Trumpism, progressives would be wise to seize on that momentum and help it grow</w:t>
      </w:r>
      <w:r w:rsidRPr="00884B67">
        <w:rPr>
          <w:sz w:val="14"/>
        </w:rPr>
        <w:t>. The first step was positive, but it shouldn’t be the last.</w:t>
      </w:r>
    </w:p>
    <w:sectPr w:rsidR="00CC1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7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CB"/>
    <w:rsid w:val="00076527"/>
    <w:rsid w:val="000915D9"/>
    <w:rsid w:val="00144814"/>
    <w:rsid w:val="00210BEC"/>
    <w:rsid w:val="002341BA"/>
    <w:rsid w:val="0028524B"/>
    <w:rsid w:val="002B0AAF"/>
    <w:rsid w:val="00384958"/>
    <w:rsid w:val="00400A58"/>
    <w:rsid w:val="00483DC6"/>
    <w:rsid w:val="004F5CEE"/>
    <w:rsid w:val="005C1E9D"/>
    <w:rsid w:val="005D3BE3"/>
    <w:rsid w:val="005E3FC0"/>
    <w:rsid w:val="006125DC"/>
    <w:rsid w:val="006211CF"/>
    <w:rsid w:val="006473D0"/>
    <w:rsid w:val="00662EA6"/>
    <w:rsid w:val="006D4006"/>
    <w:rsid w:val="00736167"/>
    <w:rsid w:val="007B4967"/>
    <w:rsid w:val="008074F0"/>
    <w:rsid w:val="00853216"/>
    <w:rsid w:val="008C0D8B"/>
    <w:rsid w:val="008D22FB"/>
    <w:rsid w:val="00972BA3"/>
    <w:rsid w:val="00A00310"/>
    <w:rsid w:val="00A167AA"/>
    <w:rsid w:val="00A77104"/>
    <w:rsid w:val="00B63B5B"/>
    <w:rsid w:val="00BB1800"/>
    <w:rsid w:val="00BD2C82"/>
    <w:rsid w:val="00C2751F"/>
    <w:rsid w:val="00C50495"/>
    <w:rsid w:val="00C84DD6"/>
    <w:rsid w:val="00C95736"/>
    <w:rsid w:val="00CC14CB"/>
    <w:rsid w:val="00D345EC"/>
    <w:rsid w:val="00D75FDD"/>
    <w:rsid w:val="00DF5C9C"/>
    <w:rsid w:val="00E076B9"/>
    <w:rsid w:val="00ED5D00"/>
    <w:rsid w:val="00F13E1A"/>
    <w:rsid w:val="00F30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98A5"/>
  <w15:chartTrackingRefBased/>
  <w15:docId w15:val="{2D6E6936-C21E-4DF5-BBCE-F253D321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63B5B"/>
    <w:rPr>
      <w:rFonts w:ascii="Calibri" w:hAnsi="Calibri" w:cs="Calibri"/>
    </w:rPr>
  </w:style>
  <w:style w:type="paragraph" w:styleId="Heading1">
    <w:name w:val="heading 1"/>
    <w:aliases w:val="Pocket"/>
    <w:basedOn w:val="Normal"/>
    <w:next w:val="Normal"/>
    <w:link w:val="Heading1Char"/>
    <w:qFormat/>
    <w:rsid w:val="00B63B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3B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 Char,Heading 3 Char Char Char Char Char Char Char Char Char Char,Heading 3 Char Char Char Char Char Char Char Char Char Char Char Char Char Char, Char Char Char Char Char Char Char Char, Char Char Char, Char Char Char Char Char"/>
    <w:basedOn w:val="Normal"/>
    <w:next w:val="Normal"/>
    <w:link w:val="Heading3Char"/>
    <w:uiPriority w:val="2"/>
    <w:unhideWhenUsed/>
    <w:qFormat/>
    <w:rsid w:val="00B63B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B63B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3B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B5B"/>
  </w:style>
  <w:style w:type="character" w:customStyle="1" w:styleId="Heading1Char">
    <w:name w:val="Heading 1 Char"/>
    <w:aliases w:val="Pocket Char"/>
    <w:basedOn w:val="DefaultParagraphFont"/>
    <w:link w:val="Heading1"/>
    <w:rsid w:val="00B63B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B5B"/>
    <w:rPr>
      <w:rFonts w:ascii="Calibri" w:eastAsiaTheme="majorEastAsia" w:hAnsi="Calibri" w:cstheme="majorBidi"/>
      <w:b/>
      <w:sz w:val="44"/>
      <w:szCs w:val="26"/>
      <w:u w:val="double"/>
    </w:rPr>
  </w:style>
  <w:style w:type="character" w:customStyle="1" w:styleId="Heading3Char">
    <w:name w:val="Heading 3 Char"/>
    <w:aliases w:val="Block Char, Char Char Char1,Heading 3 Char Char Char Char Char Char Char Char Char Char Char,Heading 3 Char Char Char Char Char Char Char Char Char Char Char Char Char Char Char, Char Char Char Char Char Char Char Char Char"/>
    <w:basedOn w:val="DefaultParagraphFont"/>
    <w:link w:val="Heading3"/>
    <w:uiPriority w:val="2"/>
    <w:rsid w:val="00B63B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63B5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B63B5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63B5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B63B5B"/>
    <w:rPr>
      <w:b w:val="0"/>
      <w:sz w:val="22"/>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F2 - Heading 1 Char1,AHeading 1 Char1,Block Char1"/>
    <w:basedOn w:val="DefaultParagraphFont"/>
    <w:uiPriority w:val="99"/>
    <w:unhideWhenUsed/>
    <w:rsid w:val="00B63B5B"/>
    <w:rPr>
      <w:color w:val="auto"/>
      <w:u w:val="none"/>
    </w:rPr>
  </w:style>
  <w:style w:type="character" w:styleId="FollowedHyperlink">
    <w:name w:val="FollowedHyperlink"/>
    <w:basedOn w:val="DefaultParagraphFont"/>
    <w:uiPriority w:val="99"/>
    <w:semiHidden/>
    <w:unhideWhenUsed/>
    <w:rsid w:val="00B63B5B"/>
    <w:rPr>
      <w:color w:val="auto"/>
      <w:u w:val="none"/>
    </w:rPr>
  </w:style>
  <w:style w:type="paragraph" w:customStyle="1" w:styleId="Emphasis1">
    <w:name w:val="Emphasis1"/>
    <w:basedOn w:val="Normal"/>
    <w:link w:val="Emphasis"/>
    <w:autoRedefine/>
    <w:uiPriority w:val="7"/>
    <w:qFormat/>
    <w:rsid w:val="00CC14C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Char1">
    <w:name w:val="Style1 Char1"/>
    <w:basedOn w:val="DefaultParagraphFont"/>
    <w:rsid w:val="00CC14CB"/>
    <w:rPr>
      <w:rFonts w:ascii="Georgia" w:eastAsia="SimSun" w:hAnsi="Georgia"/>
      <w:szCs w:val="24"/>
      <w:u w:val="single"/>
      <w:lang w:eastAsia="zh-CN"/>
    </w:rPr>
  </w:style>
  <w:style w:type="character" w:customStyle="1" w:styleId="pg">
    <w:name w:val="pg"/>
    <w:basedOn w:val="DefaultParagraphFont"/>
    <w:rsid w:val="00CC14CB"/>
  </w:style>
  <w:style w:type="character" w:customStyle="1" w:styleId="ital-inline">
    <w:name w:val="ital-inline"/>
    <w:basedOn w:val="DefaultParagraphFont"/>
    <w:rsid w:val="00CC1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it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213</TotalTime>
  <Pages>1</Pages>
  <Words>15486</Words>
  <Characters>88271</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walrath</dc:creator>
  <cp:keywords/>
  <dc:description/>
  <cp:lastModifiedBy>caitlin walrath</cp:lastModifiedBy>
  <cp:revision>39</cp:revision>
  <dcterms:created xsi:type="dcterms:W3CDTF">2020-05-04T16:20:00Z</dcterms:created>
  <dcterms:modified xsi:type="dcterms:W3CDTF">2020-05-04T21:02:00Z</dcterms:modified>
</cp:coreProperties>
</file>