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71A9F0" w14:textId="16D455F8" w:rsidR="00310545" w:rsidRPr="002D2A83" w:rsidRDefault="00CB657C" w:rsidP="00354A09">
      <w:pPr>
        <w:pStyle w:val="Heading1"/>
      </w:pPr>
      <w:r>
        <w:t>STATE COURTS COUNTERPLAN</w:t>
      </w:r>
    </w:p>
    <w:p w14:paraId="27086735" w14:textId="7350E40F" w:rsidR="003B7A7C" w:rsidRPr="002D2A83" w:rsidRDefault="00611957" w:rsidP="003B7A7C">
      <w:pPr>
        <w:pStyle w:val="Heading2"/>
      </w:pPr>
      <w:r>
        <w:t>NEG</w:t>
      </w:r>
    </w:p>
    <w:p w14:paraId="086C1AF9" w14:textId="77777777" w:rsidR="003B7A7C" w:rsidRDefault="003B7A7C" w:rsidP="003B7A7C">
      <w:pPr>
        <w:pStyle w:val="Heading3"/>
      </w:pPr>
      <w:r>
        <w:t>Solvency---State Courts---Generic</w:t>
      </w:r>
    </w:p>
    <w:p w14:paraId="36537735" w14:textId="77777777" w:rsidR="003B7A7C" w:rsidRDefault="003B7A7C" w:rsidP="003B7A7C">
      <w:pPr>
        <w:pStyle w:val="Heading4"/>
      </w:pPr>
      <w:r>
        <w:t xml:space="preserve">State courts solve---they can play a </w:t>
      </w:r>
      <w:r>
        <w:rPr>
          <w:u w:val="single"/>
        </w:rPr>
        <w:t>proactive role</w:t>
      </w:r>
      <w:r>
        <w:t xml:space="preserve"> in CJR and are </w:t>
      </w:r>
      <w:r>
        <w:rPr>
          <w:u w:val="single"/>
        </w:rPr>
        <w:t>net better</w:t>
      </w:r>
      <w:r>
        <w:t xml:space="preserve"> than federal courts for redress of abuses</w:t>
      </w:r>
    </w:p>
    <w:p w14:paraId="3B11014C" w14:textId="77777777" w:rsidR="003B7A7C" w:rsidRPr="00F00974" w:rsidRDefault="003B7A7C" w:rsidP="003B7A7C">
      <w:r w:rsidRPr="00F00974">
        <w:t xml:space="preserve">Susan </w:t>
      </w:r>
      <w:r w:rsidRPr="00F00974">
        <w:rPr>
          <w:b/>
          <w:bCs/>
          <w:sz w:val="26"/>
          <w:szCs w:val="26"/>
        </w:rPr>
        <w:t>Herman, 18</w:t>
      </w:r>
      <w:r>
        <w:t xml:space="preserve">, </w:t>
      </w:r>
      <w:r w:rsidRPr="00F00974">
        <w:t xml:space="preserve">Centennial Professor of Law, Brooklyn Law School; President, American Civil Liberties Union, “Getting There: On Strategies for Implementing Criminal Justice Reform,” 23 Berkeley J. Crim. L. 32 </w:t>
      </w:r>
      <w:r>
        <w:t>(2018)</w:t>
      </w:r>
      <w:r w:rsidRPr="00F00974">
        <w:t xml:space="preserve">, </w:t>
      </w:r>
      <w:hyperlink r:id="rId6" w:history="1">
        <w:r w:rsidRPr="00F00974">
          <w:rPr>
            <w:rStyle w:val="Hyperlink"/>
          </w:rPr>
          <w:t>https://brooklynworks.brooklaw.edu/cgi/viewcontent.cgi?article=1994&amp;context=faculty</w:t>
        </w:r>
      </w:hyperlink>
      <w:r>
        <w:t>)SEM</w:t>
      </w:r>
    </w:p>
    <w:p w14:paraId="166BA0AC" w14:textId="77777777" w:rsidR="003B7A7C" w:rsidRPr="00F00974" w:rsidRDefault="003B7A7C" w:rsidP="003B7A7C">
      <w:pPr>
        <w:rPr>
          <w:sz w:val="14"/>
        </w:rPr>
      </w:pPr>
      <w:r w:rsidRPr="00F00974">
        <w:rPr>
          <w:sz w:val="14"/>
        </w:rPr>
        <w:t xml:space="preserve">A. Judicial Review of Deprivations of Freedom </w:t>
      </w:r>
      <w:r w:rsidRPr="00F00974">
        <w:rPr>
          <w:rStyle w:val="StyleUnderline"/>
        </w:rPr>
        <w:t>The federal courts are unlikely to play any meaningful role in</w:t>
      </w:r>
      <w:r>
        <w:rPr>
          <w:rStyle w:val="StyleUnderline"/>
        </w:rPr>
        <w:t xml:space="preserve"> </w:t>
      </w:r>
      <w:r w:rsidRPr="00F00974">
        <w:rPr>
          <w:rStyle w:val="StyleUnderline"/>
        </w:rPr>
        <w:t>reviewing criminalization and sentencing policies</w:t>
      </w:r>
      <w:r w:rsidRPr="00F00974">
        <w:rPr>
          <w:sz w:val="14"/>
        </w:rPr>
        <w:t xml:space="preserve"> for fairness or rationality. </w:t>
      </w:r>
      <w:r w:rsidRPr="00F00974">
        <w:rPr>
          <w:rStyle w:val="StyleUnderline"/>
        </w:rPr>
        <w:t>The Supreme Court has applied</w:t>
      </w:r>
      <w:r w:rsidRPr="00F00974">
        <w:rPr>
          <w:sz w:val="14"/>
        </w:rPr>
        <w:t xml:space="preserve"> only the most </w:t>
      </w:r>
      <w:r w:rsidRPr="00F00974">
        <w:rPr>
          <w:rStyle w:val="StyleUnderline"/>
        </w:rPr>
        <w:t>deferential</w:t>
      </w:r>
      <w:r w:rsidRPr="00F00974">
        <w:rPr>
          <w:sz w:val="14"/>
        </w:rPr>
        <w:t xml:space="preserve"> level of judicial </w:t>
      </w:r>
      <w:r w:rsidRPr="00F00974">
        <w:rPr>
          <w:rStyle w:val="StyleUnderline"/>
        </w:rPr>
        <w:t>review to state or federal criminal justice policies</w:t>
      </w:r>
      <w:r w:rsidRPr="00F00974">
        <w:rPr>
          <w:sz w:val="14"/>
        </w:rPr>
        <w:t xml:space="preserve"> or practices that cost people years of freedom, regardless of how irrational, cruel, or counterproductive those policies might be. </w:t>
      </w:r>
      <w:r w:rsidRPr="00F00974">
        <w:rPr>
          <w:rStyle w:val="StyleUnderline"/>
        </w:rPr>
        <w:t>The Court has</w:t>
      </w:r>
      <w:r>
        <w:rPr>
          <w:rStyle w:val="StyleUnderline"/>
        </w:rPr>
        <w:t xml:space="preserve"> </w:t>
      </w:r>
      <w:r w:rsidRPr="00F00974">
        <w:rPr>
          <w:rStyle w:val="StyleUnderline"/>
        </w:rPr>
        <w:t>deferred to state sentencing policy in cases challenging mandatory</w:t>
      </w:r>
      <w:r w:rsidRPr="00F00974">
        <w:rPr>
          <w:sz w:val="14"/>
        </w:rPr>
        <w:t xml:space="preserve"> imposition of </w:t>
      </w:r>
      <w:r w:rsidRPr="00F00974">
        <w:rPr>
          <w:rStyle w:val="StyleUnderline"/>
        </w:rPr>
        <w:t>life imprisonment without</w:t>
      </w:r>
      <w:r w:rsidRPr="00F00974">
        <w:rPr>
          <w:sz w:val="14"/>
        </w:rPr>
        <w:t xml:space="preserve"> any possibility of </w:t>
      </w:r>
      <w:r w:rsidRPr="00F00974">
        <w:rPr>
          <w:rStyle w:val="StyleUnderline"/>
        </w:rPr>
        <w:t>parole for</w:t>
      </w:r>
      <w:r>
        <w:rPr>
          <w:rStyle w:val="StyleUnderline"/>
        </w:rPr>
        <w:t xml:space="preserve"> </w:t>
      </w:r>
      <w:r w:rsidRPr="00F00974">
        <w:rPr>
          <w:rStyle w:val="StyleUnderline"/>
        </w:rPr>
        <w:t xml:space="preserve">drug possession </w:t>
      </w:r>
      <w:r w:rsidRPr="00F00974">
        <w:rPr>
          <w:sz w:val="14"/>
        </w:rPr>
        <w:t xml:space="preserve">offenses108 </w:t>
      </w:r>
      <w:r w:rsidRPr="00F00974">
        <w:rPr>
          <w:rStyle w:val="StyleUnderline"/>
        </w:rPr>
        <w:t>or for minor theft offenses</w:t>
      </w:r>
      <w:r w:rsidRPr="00F00974">
        <w:rPr>
          <w:sz w:val="14"/>
        </w:rPr>
        <w:t xml:space="preserve"> (including sentences imposed under three-strikes laws),109 finding that even draconian deprivation of freedom for minor offenses does not constitute cruel and unusual punishment under the Eighth Amendment. Irrationality is not a basis for federal judicial review of sentencing policy. In Chapman v. United States, 110 for example, the Court upheld a federal sentencing guideline providing a penalty for possessing a quantity of LSD on a sugar cube that was many times greater than the penalty for possessing the same quantity of LSD on a piece of blotter paper.111 It was the combined weight of drug and carrier that mattered under the guidelines, not the weight of the controlled substance itself. The Court was interested only in whether the lawmakers had intended this bizarre result and not whether that sentencing scheme irrationally deprives some hapless individuals of extra years of freedom merely because they substituted a sugar cube for a piece of blotter paper. </w:t>
      </w:r>
      <w:r w:rsidRPr="00F00974">
        <w:rPr>
          <w:rStyle w:val="StyleUnderline"/>
        </w:rPr>
        <w:t>Although the federal courts have taken a hands-off approach</w:t>
      </w:r>
      <w:r w:rsidRPr="00F00974">
        <w:rPr>
          <w:sz w:val="14"/>
        </w:rPr>
        <w:t xml:space="preserve"> in this area, </w:t>
      </w:r>
      <w:r w:rsidRPr="00F00974">
        <w:rPr>
          <w:rStyle w:val="Emphasis"/>
        </w:rPr>
        <w:t>state courts could, and</w:t>
      </w:r>
      <w:r w:rsidRPr="00F00974">
        <w:rPr>
          <w:sz w:val="14"/>
        </w:rPr>
        <w:t xml:space="preserve"> perhaps </w:t>
      </w:r>
      <w:r w:rsidRPr="00F00974">
        <w:rPr>
          <w:rStyle w:val="Emphasis"/>
        </w:rPr>
        <w:t>should, take a more active role</w:t>
      </w:r>
      <w:r>
        <w:rPr>
          <w:rStyle w:val="Emphasis"/>
        </w:rPr>
        <w:t xml:space="preserve"> </w:t>
      </w:r>
      <w:r w:rsidRPr="00F00974">
        <w:rPr>
          <w:rStyle w:val="StyleUnderline"/>
        </w:rPr>
        <w:t>in reviewing whether state sentencing law needlessly deprives</w:t>
      </w:r>
      <w:r>
        <w:rPr>
          <w:rStyle w:val="StyleUnderline"/>
        </w:rPr>
        <w:t xml:space="preserve"> </w:t>
      </w:r>
      <w:r w:rsidRPr="00F00974">
        <w:rPr>
          <w:rStyle w:val="StyleUnderline"/>
        </w:rPr>
        <w:t>individuals of</w:t>
      </w:r>
      <w:r w:rsidRPr="00F00974">
        <w:rPr>
          <w:sz w:val="14"/>
        </w:rPr>
        <w:t xml:space="preserve"> years of </w:t>
      </w:r>
      <w:r w:rsidRPr="00F00974">
        <w:rPr>
          <w:rStyle w:val="StyleUnderline"/>
        </w:rPr>
        <w:t>freedom under policies that do not appreciably</w:t>
      </w:r>
      <w:r>
        <w:rPr>
          <w:rStyle w:val="StyleUnderline"/>
        </w:rPr>
        <w:t xml:space="preserve"> </w:t>
      </w:r>
      <w:r w:rsidRPr="00F00974">
        <w:rPr>
          <w:rStyle w:val="StyleUnderline"/>
        </w:rPr>
        <w:t>further any legitimate public interest.</w:t>
      </w:r>
      <w:r>
        <w:rPr>
          <w:rStyle w:val="StyleUnderline"/>
        </w:rPr>
        <w:t xml:space="preserve"> </w:t>
      </w:r>
      <w:r w:rsidRPr="00F00974">
        <w:rPr>
          <w:rStyle w:val="StyleUnderline"/>
        </w:rPr>
        <w:t>Neither</w:t>
      </w:r>
      <w:r w:rsidRPr="00F00974">
        <w:rPr>
          <w:sz w:val="14"/>
        </w:rPr>
        <w:t xml:space="preserve"> the </w:t>
      </w:r>
      <w:r w:rsidRPr="00F00974">
        <w:rPr>
          <w:rStyle w:val="StyleUnderline"/>
        </w:rPr>
        <w:t>federalism concerns</w:t>
      </w:r>
      <w:r w:rsidRPr="00F00974">
        <w:rPr>
          <w:sz w:val="14"/>
        </w:rPr>
        <w:t xml:space="preserve"> underpinning the Supreme Court’s reluctance to review state policy decisions </w:t>
      </w:r>
      <w:r w:rsidRPr="00F00974">
        <w:rPr>
          <w:rStyle w:val="StyleUnderline"/>
        </w:rPr>
        <w:t>nor the Court’s cramped interpretations of</w:t>
      </w:r>
      <w:r w:rsidRPr="00F00974">
        <w:rPr>
          <w:sz w:val="14"/>
        </w:rPr>
        <w:t xml:space="preserve"> the meaning of </w:t>
      </w:r>
      <w:r w:rsidRPr="00F00974">
        <w:rPr>
          <w:rStyle w:val="Emphasis"/>
        </w:rPr>
        <w:t>cruel and unusual punishment</w:t>
      </w:r>
      <w:r w:rsidRPr="00F00974">
        <w:rPr>
          <w:rStyle w:val="StyleUnderline"/>
        </w:rPr>
        <w:t xml:space="preserve">, denial of </w:t>
      </w:r>
      <w:r w:rsidRPr="00F00974">
        <w:rPr>
          <w:rStyle w:val="Emphasis"/>
        </w:rPr>
        <w:t>equal protection</w:t>
      </w:r>
      <w:r w:rsidRPr="00F00974">
        <w:rPr>
          <w:rStyle w:val="StyleUnderline"/>
        </w:rPr>
        <w:t xml:space="preserve">, and denial of </w:t>
      </w:r>
      <w:r w:rsidRPr="00F00974">
        <w:rPr>
          <w:rStyle w:val="Emphasis"/>
        </w:rPr>
        <w:t>due process</w:t>
      </w:r>
      <w:r w:rsidRPr="00F00974">
        <w:rPr>
          <w:rStyle w:val="StyleUnderline"/>
        </w:rPr>
        <w:t xml:space="preserve"> need constrain the state courts. Reformers should think creatively about the</w:t>
      </w:r>
      <w:r>
        <w:rPr>
          <w:rStyle w:val="StyleUnderline"/>
        </w:rPr>
        <w:t xml:space="preserve"> </w:t>
      </w:r>
      <w:r w:rsidRPr="00F00974">
        <w:rPr>
          <w:rStyle w:val="Emphasis"/>
        </w:rPr>
        <w:t>potential of state constitutional provisions</w:t>
      </w:r>
      <w:r w:rsidRPr="00F00974">
        <w:rPr>
          <w:rStyle w:val="StyleUnderline"/>
        </w:rPr>
        <w:t xml:space="preserve"> and invite state courts to play</w:t>
      </w:r>
      <w:r>
        <w:rPr>
          <w:rStyle w:val="StyleUnderline"/>
        </w:rPr>
        <w:t xml:space="preserve"> </w:t>
      </w:r>
      <w:r w:rsidRPr="00F00974">
        <w:rPr>
          <w:rStyle w:val="StyleUnderline"/>
        </w:rPr>
        <w:t xml:space="preserve">an </w:t>
      </w:r>
      <w:r w:rsidRPr="00F00974">
        <w:rPr>
          <w:rStyle w:val="Emphasis"/>
        </w:rPr>
        <w:t>active role in reviewing</w:t>
      </w:r>
      <w:r w:rsidRPr="00EA676A">
        <w:rPr>
          <w:rStyle w:val="StyleUnderline"/>
        </w:rPr>
        <w:t xml:space="preserve"> their states’ </w:t>
      </w:r>
      <w:r w:rsidRPr="00F00974">
        <w:rPr>
          <w:rStyle w:val="Emphasis"/>
        </w:rPr>
        <w:t>criminal</w:t>
      </w:r>
      <w:r w:rsidRPr="00F00974">
        <w:rPr>
          <w:rStyle w:val="StyleUnderline"/>
        </w:rPr>
        <w:t xml:space="preserve"> </w:t>
      </w:r>
      <w:r w:rsidRPr="00F00974">
        <w:rPr>
          <w:rStyle w:val="Emphasis"/>
        </w:rPr>
        <w:t>law</w:t>
      </w:r>
      <w:r w:rsidRPr="00F00974">
        <w:rPr>
          <w:rStyle w:val="StyleUnderline"/>
        </w:rPr>
        <w:t xml:space="preserve"> and </w:t>
      </w:r>
      <w:r w:rsidRPr="00F00974">
        <w:rPr>
          <w:rStyle w:val="Emphasis"/>
        </w:rPr>
        <w:t>sentencing</w:t>
      </w:r>
      <w:r>
        <w:rPr>
          <w:rStyle w:val="Emphasis"/>
        </w:rPr>
        <w:t xml:space="preserve"> </w:t>
      </w:r>
      <w:r w:rsidRPr="00F00974">
        <w:rPr>
          <w:rStyle w:val="Emphasis"/>
        </w:rPr>
        <w:t>policies</w:t>
      </w:r>
      <w:r w:rsidRPr="00F00974">
        <w:rPr>
          <w:rStyle w:val="StyleUnderline"/>
        </w:rPr>
        <w:t xml:space="preserve"> as well as </w:t>
      </w:r>
      <w:r w:rsidRPr="00F00974">
        <w:rPr>
          <w:rStyle w:val="Emphasis"/>
        </w:rPr>
        <w:t>criminal procedure</w:t>
      </w:r>
      <w:r w:rsidRPr="00F00974">
        <w:rPr>
          <w:sz w:val="14"/>
        </w:rPr>
        <w:t xml:space="preserve">. Sherry </w:t>
      </w:r>
      <w:proofErr w:type="spellStart"/>
      <w:r w:rsidRPr="00F00974">
        <w:rPr>
          <w:sz w:val="14"/>
        </w:rPr>
        <w:t>Colb</w:t>
      </w:r>
      <w:proofErr w:type="spellEnd"/>
      <w:r w:rsidRPr="00F00974">
        <w:rPr>
          <w:sz w:val="14"/>
        </w:rPr>
        <w:t xml:space="preserve">, for example, has argued that </w:t>
      </w:r>
      <w:r w:rsidRPr="00F00974">
        <w:rPr>
          <w:rStyle w:val="StyleUnderline"/>
        </w:rPr>
        <w:t xml:space="preserve">courts should regard </w:t>
      </w:r>
      <w:r w:rsidRPr="00F00974">
        <w:rPr>
          <w:rStyle w:val="Emphasis"/>
        </w:rPr>
        <w:t>freedom from incarceration</w:t>
      </w:r>
      <w:r w:rsidRPr="00F00974">
        <w:rPr>
          <w:rStyle w:val="StyleUnderline"/>
        </w:rPr>
        <w:t xml:space="preserve"> as a</w:t>
      </w:r>
      <w:r>
        <w:rPr>
          <w:rStyle w:val="StyleUnderline"/>
        </w:rPr>
        <w:t xml:space="preserve"> </w:t>
      </w:r>
      <w:r w:rsidRPr="00EA676A">
        <w:rPr>
          <w:rStyle w:val="StyleUnderline"/>
        </w:rPr>
        <w:t>fundamental right, worthy of more than minimal judicial solicitude.</w:t>
      </w:r>
      <w:r w:rsidRPr="00F00974">
        <w:rPr>
          <w:sz w:val="14"/>
        </w:rPr>
        <w:t xml:space="preserve">112 Recognizing the importance of the individual interest at stake, state courts could find that </w:t>
      </w:r>
      <w:r w:rsidRPr="00EA676A">
        <w:rPr>
          <w:rStyle w:val="StyleUnderline"/>
        </w:rPr>
        <w:t xml:space="preserve">excessive state sentences deprive individuals of the fundamental right to years of </w:t>
      </w:r>
      <w:r w:rsidRPr="00492868">
        <w:rPr>
          <w:rStyle w:val="StyleUnderline"/>
        </w:rPr>
        <w:t>freedom</w:t>
      </w:r>
      <w:r w:rsidRPr="00F00974">
        <w:rPr>
          <w:sz w:val="14"/>
        </w:rPr>
        <w:t xml:space="preserve"> without actually furthering the state’s interest in preserving public safety or other proper aims of criminal law. B. Unconstitutional Practices </w:t>
      </w:r>
      <w:r w:rsidRPr="00F00974">
        <w:rPr>
          <w:rStyle w:val="StyleUnderline"/>
        </w:rPr>
        <w:t>The Supreme Court has also led the federal courts to turn a blind</w:t>
      </w:r>
      <w:r>
        <w:rPr>
          <w:rStyle w:val="StyleUnderline"/>
        </w:rPr>
        <w:t xml:space="preserve"> </w:t>
      </w:r>
      <w:r w:rsidRPr="00F00974">
        <w:rPr>
          <w:rStyle w:val="StyleUnderline"/>
        </w:rPr>
        <w:t>eye to racially disproportionate practices in</w:t>
      </w:r>
      <w:r w:rsidRPr="00F00974">
        <w:rPr>
          <w:sz w:val="14"/>
        </w:rPr>
        <w:t xml:space="preserve"> the administration of </w:t>
      </w:r>
      <w:r w:rsidRPr="00F00974">
        <w:rPr>
          <w:rStyle w:val="StyleUnderline"/>
        </w:rPr>
        <w:t>criminal justice</w:t>
      </w:r>
      <w:r w:rsidRPr="00F00974">
        <w:rPr>
          <w:sz w:val="14"/>
        </w:rPr>
        <w:t xml:space="preserve">, including racial profiling and discriminatory sentencing.113 </w:t>
      </w:r>
      <w:r w:rsidRPr="00F00974">
        <w:rPr>
          <w:rStyle w:val="StyleUnderline"/>
        </w:rPr>
        <w:t xml:space="preserve">Here, too, </w:t>
      </w:r>
      <w:r w:rsidRPr="00F00974">
        <w:rPr>
          <w:rStyle w:val="Emphasis"/>
        </w:rPr>
        <w:t>state courts should accept the responsibility of</w:t>
      </w:r>
      <w:r>
        <w:rPr>
          <w:rStyle w:val="Emphasis"/>
        </w:rPr>
        <w:t xml:space="preserve"> </w:t>
      </w:r>
      <w:r w:rsidRPr="00F00974">
        <w:rPr>
          <w:rStyle w:val="Emphasis"/>
        </w:rPr>
        <w:t>addressing inequality in their states’ administration of criminal justice</w:t>
      </w:r>
      <w:r>
        <w:rPr>
          <w:rStyle w:val="StyleUnderline"/>
        </w:rPr>
        <w:t xml:space="preserve"> </w:t>
      </w:r>
      <w:r w:rsidRPr="00F00974">
        <w:rPr>
          <w:rStyle w:val="StyleUnderline"/>
        </w:rPr>
        <w:t>when legislatures and public opinion are inattentive</w:t>
      </w:r>
      <w:r w:rsidRPr="00F00974">
        <w:rPr>
          <w:sz w:val="14"/>
        </w:rPr>
        <w:t xml:space="preserve">. There have, of course, been important exceptions to the Supreme Court’s laissez-faire attitude to state criminal justice. Prior to the Supreme Court’s decision in Gideon v. Wainwright, 114 many states had undertaken to appoint counsel to indigent defendants facing a felony charge, but </w:t>
      </w:r>
      <w:proofErr w:type="gramStart"/>
      <w:r w:rsidRPr="00F00974">
        <w:rPr>
          <w:sz w:val="14"/>
        </w:rPr>
        <w:t>a number of</w:t>
      </w:r>
      <w:proofErr w:type="gramEnd"/>
      <w:r w:rsidRPr="00F00974">
        <w:rPr>
          <w:sz w:val="14"/>
        </w:rPr>
        <w:t xml:space="preserve"> other states, including Florida, had not. In Gideon, the Court found that the Sixth Amendment requires the state to provide an attorney for indigent felony defendants as a matter of fundamental fairness. Gideon’s mandate was subsequently expanded to apply to misdemeanor prosecutions resulting in incarceration.115 The rule in Gideon was clear and not at all unpopular.116 But </w:t>
      </w:r>
      <w:r w:rsidRPr="00F00974">
        <w:rPr>
          <w:rStyle w:val="StyleUnderline"/>
        </w:rPr>
        <w:t>in</w:t>
      </w:r>
      <w:r>
        <w:rPr>
          <w:rStyle w:val="StyleUnderline"/>
        </w:rPr>
        <w:t xml:space="preserve"> </w:t>
      </w:r>
      <w:r w:rsidRPr="00F00974">
        <w:rPr>
          <w:rStyle w:val="StyleUnderline"/>
        </w:rPr>
        <w:t>many states, the political will</w:t>
      </w:r>
      <w:r w:rsidRPr="00F00974">
        <w:rPr>
          <w:sz w:val="14"/>
        </w:rPr>
        <w:t xml:space="preserve"> still </w:t>
      </w:r>
      <w:r w:rsidRPr="00F00974">
        <w:rPr>
          <w:rStyle w:val="StyleUnderline"/>
        </w:rPr>
        <w:t>does not seem to exist</w:t>
      </w:r>
      <w:r w:rsidRPr="00F00974">
        <w:rPr>
          <w:sz w:val="14"/>
        </w:rPr>
        <w:t xml:space="preserve"> to allocate adequate funds for the criminal defense function. Inadequate support for defense counsel is a critical problem, as approximately eighty percent of criminal defendants cannot afford to hire defense attorneys.117 In the half century since Gideon, </w:t>
      </w:r>
      <w:r w:rsidRPr="00F00974">
        <w:rPr>
          <w:rStyle w:val="Emphasis"/>
        </w:rPr>
        <w:t>litigation has been necessary</w:t>
      </w:r>
      <w:r w:rsidRPr="00F00974">
        <w:rPr>
          <w:rStyle w:val="StyleUnderline"/>
        </w:rPr>
        <w:t xml:space="preserve"> in</w:t>
      </w:r>
      <w:r>
        <w:rPr>
          <w:rStyle w:val="StyleUnderline"/>
        </w:rPr>
        <w:t xml:space="preserve"> </w:t>
      </w:r>
      <w:r w:rsidRPr="00F00974">
        <w:rPr>
          <w:rStyle w:val="StyleUnderline"/>
        </w:rPr>
        <w:t>more than a dozen states to enforce the states’ obligation to provide</w:t>
      </w:r>
      <w:r>
        <w:rPr>
          <w:rStyle w:val="StyleUnderline"/>
        </w:rPr>
        <w:t xml:space="preserve"> </w:t>
      </w:r>
      <w:r w:rsidRPr="00F00974">
        <w:rPr>
          <w:rStyle w:val="StyleUnderline"/>
        </w:rPr>
        <w:t>minimally adequate counsel</w:t>
      </w:r>
      <w:r w:rsidRPr="00F00974">
        <w:rPr>
          <w:sz w:val="14"/>
        </w:rPr>
        <w:t xml:space="preserve"> to indigent defendants.118 Without adequate financial resources, public defenders and court-appointed attorneys stagger under unreasonable caseloads, cannot engage appropriate experts, and sometimes cannot make a living.119 State spending on prosecutions has frequently dramatically outpaced expenditures on required defense attorneys.120 Louisiana, for example, was forty-third in per capita defense funding while it was the number one incarcerator </w:t>
      </w:r>
      <w:proofErr w:type="spellStart"/>
      <w:r w:rsidRPr="00F00974">
        <w:rPr>
          <w:sz w:val="14"/>
        </w:rPr>
        <w:t>inthe</w:t>
      </w:r>
      <w:proofErr w:type="spellEnd"/>
      <w:r w:rsidRPr="00F00974">
        <w:rPr>
          <w:sz w:val="14"/>
        </w:rPr>
        <w:t xml:space="preserve"> country.121 Oklahoma, when it was the fourth highest incarcerator, was thirty-eighth in criminal defense expenditures.122 Some states have tried to fix the problem of lack of parity through legislation. For example, some statutes require that prosecutors and court-appointed defense attorneys be paid comparable salaries.123 But even these efforts have not always been successful in achieving parity. While </w:t>
      </w:r>
      <w:r w:rsidRPr="00F00974">
        <w:rPr>
          <w:rStyle w:val="StyleUnderline"/>
        </w:rPr>
        <w:t>incarceration policy is generally set at the state</w:t>
      </w:r>
      <w:r>
        <w:rPr>
          <w:rStyle w:val="StyleUnderline"/>
        </w:rPr>
        <w:t xml:space="preserve"> </w:t>
      </w:r>
      <w:r w:rsidRPr="00F00974">
        <w:rPr>
          <w:rStyle w:val="StyleUnderline"/>
        </w:rPr>
        <w:t>level</w:t>
      </w:r>
      <w:r w:rsidRPr="00F00974">
        <w:rPr>
          <w:sz w:val="14"/>
        </w:rPr>
        <w:t xml:space="preserve">, almost half the states require local governments to bear the responsibility of funding indigent defense.124 This causes spending disparities within states and sometimes leaves impoverished state subdivisions in a financially impossible situation. Congress was asked to address this multi-state problem through federal legislation in 2015, but nothing came of the proposed legislation.125 The ACLU and its affiliates have been involved in dozens of time-consuming, resource-draining lawsuits trying to compel states or their subdivisions to provide adequate levels of defense funding.126 In some cases litigation has led to a settlement; in others, federal courts have had to impose solutions. </w:t>
      </w:r>
      <w:r w:rsidRPr="00F00974">
        <w:rPr>
          <w:rStyle w:val="StyleUnderline"/>
        </w:rPr>
        <w:t>Only occasionally are state courts willing</w:t>
      </w:r>
      <w:r>
        <w:rPr>
          <w:rStyle w:val="StyleUnderline"/>
        </w:rPr>
        <w:t xml:space="preserve"> </w:t>
      </w:r>
      <w:r w:rsidRPr="00F00974">
        <w:rPr>
          <w:rStyle w:val="StyleUnderline"/>
        </w:rPr>
        <w:t>to play a role in ensuring that the state’s obligation is met</w:t>
      </w:r>
      <w:r w:rsidRPr="00F00974">
        <w:rPr>
          <w:sz w:val="14"/>
        </w:rPr>
        <w:t xml:space="preserve">. For example, in a groundbreaking 1993 case, the Louisiana Supreme Court found that the state’s indigent defense funding practices violated the Louisiana state constitution.127 Here too, </w:t>
      </w:r>
      <w:r w:rsidRPr="00F00974">
        <w:rPr>
          <w:rStyle w:val="StyleUnderline"/>
        </w:rPr>
        <w:t>it would be a welcome development for</w:t>
      </w:r>
      <w:r>
        <w:rPr>
          <w:rStyle w:val="StyleUnderline"/>
        </w:rPr>
        <w:t xml:space="preserve"> </w:t>
      </w:r>
      <w:r w:rsidRPr="00F00974">
        <w:rPr>
          <w:rStyle w:val="StyleUnderline"/>
        </w:rPr>
        <w:t>state courts to undertake greater responsibility and ensure that their</w:t>
      </w:r>
      <w:r>
        <w:rPr>
          <w:rStyle w:val="StyleUnderline"/>
        </w:rPr>
        <w:t xml:space="preserve"> </w:t>
      </w:r>
      <w:r w:rsidRPr="00F00974">
        <w:rPr>
          <w:rStyle w:val="StyleUnderline"/>
        </w:rPr>
        <w:t>states are complying with Gideon, as well as other elements of fair</w:t>
      </w:r>
      <w:r>
        <w:rPr>
          <w:rStyle w:val="StyleUnderline"/>
        </w:rPr>
        <w:t xml:space="preserve"> </w:t>
      </w:r>
      <w:r w:rsidRPr="00F00974">
        <w:rPr>
          <w:rStyle w:val="StyleUnderline"/>
        </w:rPr>
        <w:t xml:space="preserve">criminal procedure. The courts can be part of a dialogue </w:t>
      </w:r>
      <w:r w:rsidRPr="00F00974">
        <w:rPr>
          <w:rStyle w:val="Emphasis"/>
        </w:rPr>
        <w:t>inspiring</w:t>
      </w:r>
      <w:r>
        <w:rPr>
          <w:rStyle w:val="Emphasis"/>
        </w:rPr>
        <w:t xml:space="preserve"> </w:t>
      </w:r>
      <w:r w:rsidRPr="00F00974">
        <w:rPr>
          <w:rStyle w:val="Emphasis"/>
        </w:rPr>
        <w:t>policymakers to rethink their practices</w:t>
      </w:r>
      <w:r w:rsidRPr="00F00974">
        <w:rPr>
          <w:sz w:val="14"/>
        </w:rPr>
        <w:t>. As one litigator commented about an indigent defense funding lawsuit, “</w:t>
      </w:r>
      <w:r w:rsidRPr="00F00974">
        <w:rPr>
          <w:rStyle w:val="Emphasis"/>
        </w:rPr>
        <w:t>the constant pressure of the</w:t>
      </w:r>
      <w:r>
        <w:rPr>
          <w:rStyle w:val="Emphasis"/>
        </w:rPr>
        <w:t xml:space="preserve"> </w:t>
      </w:r>
      <w:r w:rsidRPr="00F00974">
        <w:rPr>
          <w:rStyle w:val="Emphasis"/>
        </w:rPr>
        <w:t>lawsuit</w:t>
      </w:r>
      <w:r w:rsidRPr="00F00974">
        <w:rPr>
          <w:rStyle w:val="StyleUnderline"/>
        </w:rPr>
        <w:t xml:space="preserve"> itself, as well as the chance that the </w:t>
      </w:r>
      <w:r w:rsidRPr="00F00974">
        <w:rPr>
          <w:rStyle w:val="Emphasis"/>
        </w:rPr>
        <w:t>judiciary might fashion a</w:t>
      </w:r>
      <w:r>
        <w:rPr>
          <w:rStyle w:val="Emphasis"/>
        </w:rPr>
        <w:t xml:space="preserve"> </w:t>
      </w:r>
      <w:r w:rsidRPr="00F00974">
        <w:rPr>
          <w:rStyle w:val="Emphasis"/>
        </w:rPr>
        <w:t>remedy</w:t>
      </w:r>
      <w:r w:rsidRPr="00F00974">
        <w:rPr>
          <w:rStyle w:val="StyleUnderline"/>
        </w:rPr>
        <w:t>, helped legislators understand the value of designing their own</w:t>
      </w:r>
      <w:r>
        <w:rPr>
          <w:rStyle w:val="StyleUnderline"/>
        </w:rPr>
        <w:t xml:space="preserve"> </w:t>
      </w:r>
      <w:r w:rsidRPr="00F00974">
        <w:rPr>
          <w:rStyle w:val="StyleUnderline"/>
        </w:rPr>
        <w:t>reform template</w:t>
      </w:r>
      <w:r w:rsidRPr="00F00974">
        <w:rPr>
          <w:sz w:val="14"/>
        </w:rPr>
        <w:t xml:space="preserve">.”128 </w:t>
      </w:r>
      <w:r w:rsidRPr="00F00974">
        <w:rPr>
          <w:rStyle w:val="StyleUnderline"/>
        </w:rPr>
        <w:t xml:space="preserve">Litigation can be an </w:t>
      </w:r>
      <w:r w:rsidRPr="00F00974">
        <w:rPr>
          <w:rStyle w:val="Emphasis"/>
        </w:rPr>
        <w:t>essential lever for affecting change</w:t>
      </w:r>
      <w:r w:rsidRPr="00F00974">
        <w:rPr>
          <w:rStyle w:val="StyleUnderline"/>
        </w:rPr>
        <w:t xml:space="preserve"> in other</w:t>
      </w:r>
      <w:r>
        <w:rPr>
          <w:rStyle w:val="StyleUnderline"/>
        </w:rPr>
        <w:t xml:space="preserve"> </w:t>
      </w:r>
      <w:r w:rsidRPr="00F00974">
        <w:rPr>
          <w:rStyle w:val="StyleUnderline"/>
        </w:rPr>
        <w:t>areas</w:t>
      </w:r>
      <w:r w:rsidRPr="00F00974">
        <w:rPr>
          <w:sz w:val="14"/>
        </w:rPr>
        <w:t xml:space="preserve">, as well. </w:t>
      </w:r>
      <w:r w:rsidRPr="00F00974">
        <w:rPr>
          <w:rStyle w:val="StyleUnderline"/>
        </w:rPr>
        <w:t>The new model practices in Biloxi, Mississippi</w:t>
      </w:r>
      <w:r w:rsidRPr="00F00974">
        <w:rPr>
          <w:sz w:val="14"/>
        </w:rPr>
        <w:t xml:space="preserve">, as one example,129 </w:t>
      </w:r>
      <w:r w:rsidRPr="00F00974">
        <w:rPr>
          <w:rStyle w:val="StyleUnderline"/>
        </w:rPr>
        <w:t>started with a lawsuit—which was then settled through</w:t>
      </w:r>
      <w:r>
        <w:rPr>
          <w:rStyle w:val="StyleUnderline"/>
        </w:rPr>
        <w:t xml:space="preserve"> </w:t>
      </w:r>
      <w:r w:rsidRPr="00F00974">
        <w:rPr>
          <w:rStyle w:val="StyleUnderline"/>
        </w:rPr>
        <w:t>institution of a set of reforms that might not have been politically</w:t>
      </w:r>
      <w:r>
        <w:rPr>
          <w:rStyle w:val="StyleUnderline"/>
        </w:rPr>
        <w:t xml:space="preserve"> </w:t>
      </w:r>
      <w:r w:rsidRPr="00F00974">
        <w:rPr>
          <w:rStyle w:val="StyleUnderline"/>
        </w:rPr>
        <w:t>feasible without the pendency of a lawsuit.</w:t>
      </w:r>
    </w:p>
    <w:p w14:paraId="39FF94B7" w14:textId="77777777" w:rsidR="003B7A7C" w:rsidRDefault="003B7A7C" w:rsidP="003B7A7C">
      <w:pPr>
        <w:pStyle w:val="Heading3"/>
      </w:pPr>
      <w:r>
        <w:t>Solvency---Death Penalty</w:t>
      </w:r>
    </w:p>
    <w:p w14:paraId="1CF90D18" w14:textId="77777777" w:rsidR="003B7A7C" w:rsidRDefault="003B7A7C" w:rsidP="003B7A7C">
      <w:pPr>
        <w:pStyle w:val="Heading4"/>
      </w:pPr>
      <w:r>
        <w:t>State courts can abolish the death penalty</w:t>
      </w:r>
    </w:p>
    <w:p w14:paraId="197818AE" w14:textId="77777777" w:rsidR="003B7A7C" w:rsidRDefault="003B7A7C" w:rsidP="003B7A7C">
      <w:r>
        <w:t xml:space="preserve">Terry </w:t>
      </w:r>
      <w:r w:rsidRPr="002D2A83">
        <w:rPr>
          <w:b/>
          <w:bCs/>
          <w:sz w:val="26"/>
          <w:szCs w:val="26"/>
        </w:rPr>
        <w:t>Moran, 18</w:t>
      </w:r>
      <w:r>
        <w:t>, 10-11-2018, co-anchor of ABC News' "Nightline" and covers the Supreme Court for the network from his base in Washington, DC, "Washington State Supreme Court declares death penalty unconstitutional: Analysis," ABC News, https://abcnews.go.com/Politics/washington-state-supreme-court-declares-death-penalty-unconstitutional/story?id=58442992)SEM</w:t>
      </w:r>
    </w:p>
    <w:p w14:paraId="2F577F36" w14:textId="77777777" w:rsidR="003B7A7C" w:rsidRPr="002D2A83" w:rsidRDefault="003B7A7C" w:rsidP="003B7A7C">
      <w:pPr>
        <w:rPr>
          <w:rStyle w:val="Emphasis"/>
        </w:rPr>
      </w:pPr>
      <w:r w:rsidRPr="002D2A83">
        <w:rPr>
          <w:rStyle w:val="Emphasis"/>
        </w:rPr>
        <w:t>The Supreme Court of the state</w:t>
      </w:r>
      <w:r w:rsidRPr="002D2A83">
        <w:rPr>
          <w:rStyle w:val="StyleUnderline"/>
        </w:rPr>
        <w:t xml:space="preserve"> of Washington has ruled that the death penalty violates the state’s constitution</w:t>
      </w:r>
      <w:r w:rsidRPr="002D2A83">
        <w:t xml:space="preserve">. With today's decision, </w:t>
      </w:r>
      <w:r w:rsidRPr="002D2A83">
        <w:rPr>
          <w:rStyle w:val="StyleUnderline"/>
        </w:rPr>
        <w:t>Washington becomes the 20th state to abolish capital punishment</w:t>
      </w:r>
      <w:r w:rsidRPr="002D2A83">
        <w:t xml:space="preserve">, and the eighth in the last 11 years. Three other states have governor-imposed moratoria in carrying out executions —- all also issued in the last decade. Thirty states and the federal government provide for the imposition of death as a sentence for some homicides. The case was brought by Allen Gregory, sentenced to death for the 1996 rape and murder of 43-year-old </w:t>
      </w:r>
      <w:proofErr w:type="spellStart"/>
      <w:r w:rsidRPr="002D2A83">
        <w:t>Geneine</w:t>
      </w:r>
      <w:proofErr w:type="spellEnd"/>
      <w:r w:rsidRPr="002D2A83">
        <w:t xml:space="preserve"> </w:t>
      </w:r>
      <w:proofErr w:type="spellStart"/>
      <w:r w:rsidRPr="002D2A83">
        <w:t>Harshfield</w:t>
      </w:r>
      <w:proofErr w:type="spellEnd"/>
      <w:r w:rsidRPr="002D2A83">
        <w:t xml:space="preserve"> in her home in Tacoma. There is no doubt of Allen’s guilt, or of the horrific brutality of his crime. What </w:t>
      </w:r>
      <w:r w:rsidRPr="002D2A83">
        <w:rPr>
          <w:rStyle w:val="StyleUnderline"/>
        </w:rPr>
        <w:t>the Washington court focused on</w:t>
      </w:r>
      <w:r w:rsidRPr="002D2A83">
        <w:t xml:space="preserve"> is what many states have come to see —- </w:t>
      </w:r>
      <w:r w:rsidRPr="002D2A83">
        <w:rPr>
          <w:rStyle w:val="StyleUnderline"/>
        </w:rPr>
        <w:t>the death penalty is administered so arbitrarily, and is laced with so much conscious and unconscious racial bias, that it cannot be seen as a just or even lawful act by the state.</w:t>
      </w:r>
      <w:r>
        <w:rPr>
          <w:rStyle w:val="StyleUnderline"/>
        </w:rPr>
        <w:t xml:space="preserve"> </w:t>
      </w:r>
      <w:r w:rsidRPr="002D2A83">
        <w:t xml:space="preserve">The key evidence for that fact was an exhaustive study by statisticians at the University of Washington of how the death penalty actually works in that state —- when prosecutors seek it, when juries impose it, who eventually gets the needle. The death penalty is invalid because it is imposed in an arbitrary and racially biased manner. The study found that black defendants were four-and-a-half times more likely to be sentenced to death than </w:t>
      </w:r>
      <w:proofErr w:type="gramStart"/>
      <w:r w:rsidRPr="002D2A83">
        <w:t>similarly-situated</w:t>
      </w:r>
      <w:proofErr w:type="gramEnd"/>
      <w:r w:rsidRPr="002D2A83">
        <w:t xml:space="preserve"> white defendants. Interestingly, prosecutors’ choices to seek the death penalty showed no signs of racial bias. It was the juries who introduced conscious/unconscious racism into their decisions. "We don't know what Allen Gregory's jury was thinking," said Lila Silverstein of the Washington Appellate Project, one of Gregory's attorneys. "But what we do know based on this study is that had Allen Gregory not been black, his chances of being sentenced to death would have been notably lower.” The state supreme court </w:t>
      </w:r>
      <w:proofErr w:type="gramStart"/>
      <w:r w:rsidRPr="002D2A83">
        <w:t>agreed, and</w:t>
      </w:r>
      <w:proofErr w:type="gramEnd"/>
      <w:r w:rsidRPr="002D2A83">
        <w:t xml:space="preserve"> went farther: “The death penalty is invalid because it is imposed in an arbitrary and racially biased manner," the decision reads. "While this particular case provides an opportunity to specifically address racial disproportionality, the underlying issues that underpin our holding are rooted in the arbitrary manner in which the death penalty is generally administered." As noted by appellant," the decision continues, "the use of the death penalty is unequally applied -— sometimes by where the crime took place, or the county of residence, or the available budgetary resources at any given point in time, or the race of the defendant." "</w:t>
      </w:r>
      <w:r w:rsidRPr="002D2A83">
        <w:rPr>
          <w:rStyle w:val="StyleUnderline"/>
        </w:rPr>
        <w:t xml:space="preserve">The death penalty, as administered in our state, fails to serve any legitimate penological goal; thus, it </w:t>
      </w:r>
      <w:r w:rsidRPr="002D2A83">
        <w:rPr>
          <w:rStyle w:val="Emphasis"/>
        </w:rPr>
        <w:t>violates</w:t>
      </w:r>
      <w:r w:rsidRPr="002D2A83">
        <w:rPr>
          <w:rStyle w:val="StyleUnderline"/>
        </w:rPr>
        <w:t xml:space="preserve"> article I, section 14 </w:t>
      </w:r>
      <w:r w:rsidRPr="002D2A83">
        <w:rPr>
          <w:rStyle w:val="Emphasis"/>
        </w:rPr>
        <w:t>of our state constitution</w:t>
      </w:r>
      <w:r w:rsidRPr="002D2A83">
        <w:t xml:space="preserve">.” </w:t>
      </w:r>
      <w:r w:rsidRPr="002D2A83">
        <w:rPr>
          <w:rStyle w:val="StyleUnderline"/>
        </w:rPr>
        <w:t>With the Supreme Court</w:t>
      </w:r>
      <w:r w:rsidRPr="002D2A83">
        <w:t xml:space="preserve"> of the United States </w:t>
      </w:r>
      <w:r w:rsidRPr="002D2A83">
        <w:rPr>
          <w:rStyle w:val="StyleUnderline"/>
        </w:rPr>
        <w:t xml:space="preserve">now firmly in conservative hands for many years, </w:t>
      </w:r>
      <w:r w:rsidRPr="002D2A83">
        <w:rPr>
          <w:rStyle w:val="Emphasis"/>
        </w:rPr>
        <w:t>state courts</w:t>
      </w:r>
      <w:r w:rsidRPr="002D2A83">
        <w:t xml:space="preserve"> and legislatures </w:t>
      </w:r>
      <w:r w:rsidRPr="002D2A83">
        <w:rPr>
          <w:rStyle w:val="Emphasis"/>
        </w:rPr>
        <w:t>are the only battleground over the future of the death penalty in America.</w:t>
      </w:r>
    </w:p>
    <w:p w14:paraId="4AB816B4" w14:textId="77777777" w:rsidR="003B7A7C" w:rsidRDefault="003B7A7C" w:rsidP="003B7A7C">
      <w:pPr>
        <w:pStyle w:val="Heading3"/>
      </w:pPr>
      <w:r>
        <w:t>Solvency---Enforcement</w:t>
      </w:r>
    </w:p>
    <w:p w14:paraId="134BDA4D" w14:textId="277D19D5" w:rsidR="003B7A7C" w:rsidRPr="00853040" w:rsidRDefault="003B7A7C" w:rsidP="003B7A7C">
      <w:pPr>
        <w:pStyle w:val="Heading4"/>
      </w:pPr>
      <w:r>
        <w:t xml:space="preserve">Court commissions </w:t>
      </w:r>
      <w:r w:rsidR="00611957">
        <w:t>ensure effective enforcement</w:t>
      </w:r>
    </w:p>
    <w:p w14:paraId="60026675" w14:textId="77777777" w:rsidR="003B7A7C" w:rsidRDefault="003B7A7C" w:rsidP="003B7A7C">
      <w:pPr>
        <w:rPr>
          <w:rStyle w:val="Hyperlink"/>
        </w:rPr>
      </w:pPr>
      <w:r>
        <w:t xml:space="preserve">Randall T. </w:t>
      </w:r>
      <w:r w:rsidRPr="00853040">
        <w:rPr>
          <w:b/>
          <w:bCs/>
          <w:sz w:val="26"/>
          <w:szCs w:val="26"/>
        </w:rPr>
        <w:t>Shepard, 6</w:t>
      </w:r>
      <w:r>
        <w:t xml:space="preserve">, Chief Justice of Indiana, “The New Role of State Supreme Courts as Engines of Court Reform,” NYU Law Review November 2006, </w:t>
      </w:r>
      <w:hyperlink r:id="rId7" w:history="1">
        <w:r>
          <w:rPr>
            <w:rStyle w:val="Hyperlink"/>
          </w:rPr>
          <w:t>https://www.nyulawreview.org/wp-content/uploads/2018/08/NYULawReview-81-5-Shepard.pdf</w:t>
        </w:r>
      </w:hyperlink>
      <w:r>
        <w:rPr>
          <w:rStyle w:val="Hyperlink"/>
        </w:rPr>
        <w:t>)SEM</w:t>
      </w:r>
    </w:p>
    <w:p w14:paraId="57216FF8" w14:textId="77777777" w:rsidR="003B7A7C" w:rsidRPr="001A2777" w:rsidRDefault="003B7A7C" w:rsidP="003B7A7C">
      <w:r w:rsidRPr="001A2777">
        <w:rPr>
          <w:rStyle w:val="Hyperlink"/>
        </w:rPr>
        <w:t xml:space="preserve">First, in state after state we have had the courage to examine our own operations. </w:t>
      </w:r>
      <w:r w:rsidRPr="00853040">
        <w:rPr>
          <w:rStyle w:val="StyleUnderline"/>
        </w:rPr>
        <w:t>The New Jersey Supreme Court created the first</w:t>
      </w:r>
      <w:r>
        <w:rPr>
          <w:rStyle w:val="StyleUnderline"/>
        </w:rPr>
        <w:t xml:space="preserve"> </w:t>
      </w:r>
      <w:r w:rsidRPr="00853040">
        <w:rPr>
          <w:rStyle w:val="StyleUnderline"/>
        </w:rPr>
        <w:t>commission on gender discrimination</w:t>
      </w:r>
      <w:r w:rsidRPr="001A2777">
        <w:rPr>
          <w:rStyle w:val="Hyperlink"/>
        </w:rPr>
        <w:t xml:space="preserve"> in 1982 and the first commission on racial and ethnic discrimination in 1984,48 and it has sustained that effort during the ensuing decades. 49 Since New Jersey acted, </w:t>
      </w:r>
      <w:r w:rsidRPr="00853040">
        <w:rPr>
          <w:rStyle w:val="StyleUnderline"/>
        </w:rPr>
        <w:t>supreme</w:t>
      </w:r>
      <w:r>
        <w:rPr>
          <w:rStyle w:val="StyleUnderline"/>
        </w:rPr>
        <w:t xml:space="preserve"> </w:t>
      </w:r>
      <w:r w:rsidRPr="00853040">
        <w:rPr>
          <w:rStyle w:val="StyleUnderline"/>
        </w:rPr>
        <w:t xml:space="preserve">courts in more than half the states have launched </w:t>
      </w:r>
      <w:r w:rsidRPr="00853040">
        <w:rPr>
          <w:rStyle w:val="Emphasis"/>
        </w:rPr>
        <w:t>formal projects to</w:t>
      </w:r>
      <w:r>
        <w:rPr>
          <w:rStyle w:val="Emphasis"/>
        </w:rPr>
        <w:t xml:space="preserve"> </w:t>
      </w:r>
      <w:r w:rsidRPr="00853040">
        <w:rPr>
          <w:rStyle w:val="Emphasis"/>
        </w:rPr>
        <w:t>address racial and ethnic bias in the courts</w:t>
      </w:r>
      <w:r w:rsidRPr="001A2777">
        <w:rPr>
          <w:rStyle w:val="Hyperlink"/>
        </w:rPr>
        <w:t xml:space="preserve">, and eighty percent have created bodies to examine gender bias. 50 </w:t>
      </w:r>
      <w:r w:rsidRPr="00853040">
        <w:rPr>
          <w:rStyle w:val="StyleUnderline"/>
        </w:rPr>
        <w:t>These commissions typically</w:t>
      </w:r>
      <w:r>
        <w:rPr>
          <w:rStyle w:val="StyleUnderline"/>
        </w:rPr>
        <w:t xml:space="preserve"> </w:t>
      </w:r>
      <w:r w:rsidRPr="00853040">
        <w:rPr>
          <w:rStyle w:val="StyleUnderline"/>
        </w:rPr>
        <w:t xml:space="preserve">become </w:t>
      </w:r>
      <w:r w:rsidRPr="00853040">
        <w:rPr>
          <w:rStyle w:val="Emphasis"/>
        </w:rPr>
        <w:t>permanent enterprises</w:t>
      </w:r>
      <w:r w:rsidRPr="00853040">
        <w:rPr>
          <w:rStyle w:val="StyleUnderline"/>
        </w:rPr>
        <w:t xml:space="preserve"> with the ongoing mission of </w:t>
      </w:r>
      <w:r w:rsidRPr="00853040">
        <w:rPr>
          <w:rStyle w:val="Emphasis"/>
        </w:rPr>
        <w:t>identifying</w:t>
      </w:r>
      <w:r>
        <w:rPr>
          <w:rStyle w:val="Emphasis"/>
        </w:rPr>
        <w:t xml:space="preserve"> </w:t>
      </w:r>
      <w:r w:rsidRPr="00853040">
        <w:rPr>
          <w:rStyle w:val="StyleUnderline"/>
        </w:rPr>
        <w:t>and</w:t>
      </w:r>
      <w:r w:rsidRPr="00853040">
        <w:rPr>
          <w:rStyle w:val="Emphasis"/>
        </w:rPr>
        <w:t xml:space="preserve"> rectifying</w:t>
      </w:r>
      <w:r w:rsidRPr="00853040">
        <w:rPr>
          <w:rStyle w:val="StyleUnderline"/>
        </w:rPr>
        <w:t xml:space="preserve"> aspects of court operations that discriminate or mistreat</w:t>
      </w:r>
      <w:r>
        <w:rPr>
          <w:rStyle w:val="StyleUnderline"/>
        </w:rPr>
        <w:t xml:space="preserve"> </w:t>
      </w:r>
      <w:r w:rsidRPr="00853040">
        <w:rPr>
          <w:rStyle w:val="StyleUnderline"/>
        </w:rPr>
        <w:t>the people who rely on us</w:t>
      </w:r>
      <w:r w:rsidRPr="001A2777">
        <w:rPr>
          <w:rStyle w:val="Hyperlink"/>
        </w:rPr>
        <w:t xml:space="preserve">. The National Center for State Courts created a consortium of these state commissions, and it provides staff support to their work. </w:t>
      </w:r>
      <w:r w:rsidRPr="00853040">
        <w:rPr>
          <w:rStyle w:val="StyleUnderline"/>
        </w:rPr>
        <w:t>The agenda</w:t>
      </w:r>
      <w:r w:rsidRPr="001A2777">
        <w:rPr>
          <w:rStyle w:val="Hyperlink"/>
        </w:rPr>
        <w:t xml:space="preserve"> for the eighteenth annual meeting of the leadership of these commissions </w:t>
      </w:r>
      <w:r w:rsidRPr="00853040">
        <w:rPr>
          <w:rStyle w:val="StyleUnderline"/>
        </w:rPr>
        <w:t>reflects the priorities of state</w:t>
      </w:r>
      <w:r>
        <w:rPr>
          <w:rStyle w:val="StyleUnderline"/>
        </w:rPr>
        <w:t xml:space="preserve"> </w:t>
      </w:r>
      <w:r w:rsidRPr="00853040">
        <w:rPr>
          <w:rStyle w:val="StyleUnderline"/>
        </w:rPr>
        <w:t>courts and their commissions</w:t>
      </w:r>
      <w:r w:rsidRPr="001A2777">
        <w:rPr>
          <w:rStyle w:val="Hyperlink"/>
        </w:rPr>
        <w:t xml:space="preserve"> in this field: </w:t>
      </w:r>
      <w:r w:rsidRPr="00853040">
        <w:rPr>
          <w:rStyle w:val="StyleUnderline"/>
        </w:rPr>
        <w:t>disparate treatment in the</w:t>
      </w:r>
      <w:r>
        <w:rPr>
          <w:rStyle w:val="StyleUnderline"/>
        </w:rPr>
        <w:t xml:space="preserve"> </w:t>
      </w:r>
      <w:r w:rsidRPr="00853040">
        <w:rPr>
          <w:rStyle w:val="StyleUnderline"/>
        </w:rPr>
        <w:t>criminal justice system, the legal problems of Native Americans, court</w:t>
      </w:r>
      <w:r>
        <w:rPr>
          <w:rStyle w:val="StyleUnderline"/>
        </w:rPr>
        <w:t xml:space="preserve"> </w:t>
      </w:r>
      <w:r w:rsidRPr="00853040">
        <w:rPr>
          <w:rStyle w:val="StyleUnderline"/>
        </w:rPr>
        <w:t>treatment of recent immigrants, and improving court language</w:t>
      </w:r>
      <w:r>
        <w:rPr>
          <w:rStyle w:val="StyleUnderline"/>
        </w:rPr>
        <w:t xml:space="preserve"> </w:t>
      </w:r>
      <w:r w:rsidRPr="00853040">
        <w:rPr>
          <w:rStyle w:val="StyleUnderline"/>
        </w:rPr>
        <w:t>programs</w:t>
      </w:r>
      <w:r w:rsidRPr="001A2777">
        <w:rPr>
          <w:rStyle w:val="Hyperlink"/>
        </w:rPr>
        <w:t xml:space="preserve">. 51 The breadth of initiatives addressing the challenge of language demonstrates the reach of these efforts. A group of state supreme courts under the leadership of the National Center created a separate consortium to improve court interpreter services by developing a series of valid and reliable tests for certifying interpreters and by creating a national capacity for technical assistance. 52 Thirty-three states have now joined this effort-which requires a substantial commitment </w:t>
      </w:r>
      <w:r w:rsidRPr="001A2777">
        <w:t>of money-prompted in many instances by the findings of their race and gender commissions.</w:t>
      </w:r>
    </w:p>
    <w:p w14:paraId="5741A7E0" w14:textId="0CD21565" w:rsidR="00DC6217" w:rsidRDefault="00DC6217" w:rsidP="00F3544C"/>
    <w:p w14:paraId="728B6F12" w14:textId="652F7703" w:rsidR="00DC6217" w:rsidRDefault="00DC6217" w:rsidP="00DC6217">
      <w:pPr>
        <w:pStyle w:val="Heading3"/>
      </w:pPr>
      <w:r>
        <w:t>Solvency---International Law</w:t>
      </w:r>
    </w:p>
    <w:p w14:paraId="68F5A6F2" w14:textId="514EB247" w:rsidR="00A4218E" w:rsidRDefault="00A4218E" w:rsidP="00A4218E">
      <w:pPr>
        <w:pStyle w:val="Heading4"/>
        <w:rPr>
          <w:u w:val="single"/>
        </w:rPr>
      </w:pPr>
      <w:r>
        <w:t xml:space="preserve">State incorporation of </w:t>
      </w:r>
      <w:proofErr w:type="spellStart"/>
      <w:r>
        <w:t>i</w:t>
      </w:r>
      <w:proofErr w:type="spellEnd"/>
      <w:r>
        <w:t xml:space="preserve">-law is both </w:t>
      </w:r>
      <w:r>
        <w:rPr>
          <w:u w:val="single"/>
        </w:rPr>
        <w:t>credible</w:t>
      </w:r>
      <w:r>
        <w:t xml:space="preserve"> and </w:t>
      </w:r>
      <w:r>
        <w:rPr>
          <w:u w:val="single"/>
        </w:rPr>
        <w:t>perceived internationally</w:t>
      </w:r>
    </w:p>
    <w:p w14:paraId="531A25D5" w14:textId="2E57AE0B" w:rsidR="00461C92" w:rsidRPr="00461C92" w:rsidRDefault="00461C92" w:rsidP="00461C92">
      <w:r>
        <w:t xml:space="preserve">Julian G. </w:t>
      </w:r>
      <w:r w:rsidRPr="00461C92">
        <w:rPr>
          <w:b/>
          <w:bCs/>
          <w:sz w:val="26"/>
          <w:szCs w:val="26"/>
        </w:rPr>
        <w:t>Ku, 4</w:t>
      </w:r>
      <w:r>
        <w:t>, Associate Professor of Law, Hofstra University School of Law, The State of New York Does Exist: How States Control Compliance with International Law, 82 N.C. L. Rev. 457 (2004). Available at: https://scholarlycommons.law.hofstra.edu/faculty_scholarship/143)SEM</w:t>
      </w:r>
    </w:p>
    <w:p w14:paraId="6928DEEF" w14:textId="7C39D288" w:rsidR="00A4218E" w:rsidRPr="00461C92" w:rsidRDefault="00461C92" w:rsidP="00A4218E">
      <w:pPr>
        <w:rPr>
          <w:rStyle w:val="Emphasis"/>
        </w:rPr>
      </w:pPr>
      <w:r w:rsidRPr="00461C92">
        <w:rPr>
          <w:sz w:val="14"/>
        </w:rPr>
        <w:t xml:space="preserve">B. Development of International Law Supporters of the nationalist conception have also suggested that leaving international law implementation to the states would complicate and even weaken adherence to international law.351 As an empirical matter, it is an open question whether the existing regime actually prevents the United States from adhering to international law. In fact, the </w:t>
      </w:r>
      <w:r w:rsidRPr="00461C92">
        <w:rPr>
          <w:rStyle w:val="StyleUnderline"/>
        </w:rPr>
        <w:t>leading work</w:t>
      </w:r>
      <w:r w:rsidRPr="00461C92">
        <w:rPr>
          <w:sz w:val="14"/>
        </w:rPr>
        <w:t xml:space="preserve"> in this vein </w:t>
      </w:r>
      <w:r w:rsidRPr="00461C92">
        <w:rPr>
          <w:rStyle w:val="StyleUnderline"/>
        </w:rPr>
        <w:t>has failed to reveal any</w:t>
      </w:r>
      <w:r>
        <w:rPr>
          <w:rStyle w:val="StyleUnderline"/>
        </w:rPr>
        <w:t xml:space="preserve"> </w:t>
      </w:r>
      <w:r w:rsidRPr="00461C92">
        <w:rPr>
          <w:rStyle w:val="StyleUnderline"/>
        </w:rPr>
        <w:t>meaningful difference between U.S. and European compliance with</w:t>
      </w:r>
      <w:r>
        <w:rPr>
          <w:rStyle w:val="StyleUnderline"/>
        </w:rPr>
        <w:t xml:space="preserve"> </w:t>
      </w:r>
      <w:r w:rsidRPr="00461C92">
        <w:rPr>
          <w:sz w:val="14"/>
        </w:rPr>
        <w:t xml:space="preserve">international </w:t>
      </w:r>
      <w:r w:rsidRPr="00461C92">
        <w:rPr>
          <w:rStyle w:val="StyleUnderline"/>
        </w:rPr>
        <w:t>human rights treaties</w:t>
      </w:r>
      <w:r w:rsidRPr="00461C92">
        <w:rPr>
          <w:sz w:val="14"/>
        </w:rPr>
        <w:t xml:space="preserve">.352 As this Article's account suggests, </w:t>
      </w:r>
      <w:r w:rsidRPr="00461C92">
        <w:rPr>
          <w:rStyle w:val="StyleUnderline"/>
        </w:rPr>
        <w:t>states have largely acted to implement international law</w:t>
      </w:r>
      <w:r>
        <w:rPr>
          <w:rStyle w:val="StyleUnderline"/>
        </w:rPr>
        <w:t xml:space="preserve"> </w:t>
      </w:r>
      <w:r w:rsidRPr="00461C92">
        <w:rPr>
          <w:rStyle w:val="StyleUnderline"/>
        </w:rPr>
        <w:t xml:space="preserve">obligations without the threat of federal intervention, and there is </w:t>
      </w:r>
      <w:r w:rsidRPr="00461C92">
        <w:rPr>
          <w:rStyle w:val="Emphasis"/>
        </w:rPr>
        <w:t>no</w:t>
      </w:r>
      <w:r>
        <w:rPr>
          <w:rStyle w:val="Emphasis"/>
        </w:rPr>
        <w:t xml:space="preserve"> </w:t>
      </w:r>
      <w:r w:rsidRPr="00461C92">
        <w:rPr>
          <w:rStyle w:val="Emphasis"/>
        </w:rPr>
        <w:t>evidence to suggest</w:t>
      </w:r>
      <w:r w:rsidRPr="00461C92">
        <w:rPr>
          <w:rStyle w:val="StyleUnderline"/>
        </w:rPr>
        <w:t xml:space="preserve"> the U</w:t>
      </w:r>
      <w:r w:rsidRPr="00461C92">
        <w:rPr>
          <w:sz w:val="14"/>
        </w:rPr>
        <w:t xml:space="preserve">nited </w:t>
      </w:r>
      <w:r w:rsidRPr="00461C92">
        <w:rPr>
          <w:rStyle w:val="StyleUnderline"/>
        </w:rPr>
        <w:t>S</w:t>
      </w:r>
      <w:r w:rsidRPr="00461C92">
        <w:rPr>
          <w:sz w:val="14"/>
        </w:rPr>
        <w:t xml:space="preserve">tates </w:t>
      </w:r>
      <w:r w:rsidRPr="00461C92">
        <w:rPr>
          <w:rStyle w:val="StyleUnderline"/>
        </w:rPr>
        <w:t>is more of an international law</w:t>
      </w:r>
      <w:r>
        <w:rPr>
          <w:rStyle w:val="StyleUnderline"/>
        </w:rPr>
        <w:t xml:space="preserve"> </w:t>
      </w:r>
      <w:r w:rsidRPr="00461C92">
        <w:rPr>
          <w:rStyle w:val="StyleUnderline"/>
        </w:rPr>
        <w:t xml:space="preserve">scofflaw than other nations due to its </w:t>
      </w:r>
      <w:r w:rsidRPr="00461C92">
        <w:rPr>
          <w:rStyle w:val="Emphasis"/>
        </w:rPr>
        <w:t>federal system</w:t>
      </w:r>
      <w:r w:rsidRPr="00461C92">
        <w:rPr>
          <w:sz w:val="14"/>
        </w:rPr>
        <w:t xml:space="preserve">. 3 Indeed, the </w:t>
      </w:r>
      <w:r w:rsidRPr="00461C92">
        <w:rPr>
          <w:rStyle w:val="StyleUnderline"/>
        </w:rPr>
        <w:t>usage of the uniform laws system to implement treaty obligations will</w:t>
      </w:r>
      <w:r>
        <w:rPr>
          <w:rStyle w:val="StyleUnderline"/>
        </w:rPr>
        <w:t xml:space="preserve"> </w:t>
      </w:r>
      <w:r w:rsidRPr="00461C92">
        <w:rPr>
          <w:rStyle w:val="StyleUnderline"/>
        </w:rPr>
        <w:t>likely ensure that adherence to international law obligations will be</w:t>
      </w:r>
      <w:r>
        <w:rPr>
          <w:rStyle w:val="StyleUnderline"/>
        </w:rPr>
        <w:t xml:space="preserve"> </w:t>
      </w:r>
      <w:r w:rsidRPr="00461C92">
        <w:rPr>
          <w:rStyle w:val="Emphasis"/>
        </w:rPr>
        <w:t>no less remarkable</w:t>
      </w:r>
      <w:r w:rsidRPr="00461C92">
        <w:rPr>
          <w:rStyle w:val="StyleUnderline"/>
        </w:rPr>
        <w:t xml:space="preserve"> than states' adherence to the Uniform</w:t>
      </w:r>
      <w:r>
        <w:rPr>
          <w:rStyle w:val="StyleUnderline"/>
        </w:rPr>
        <w:t xml:space="preserve"> </w:t>
      </w:r>
      <w:r w:rsidRPr="00461C92">
        <w:rPr>
          <w:rStyle w:val="StyleUnderline"/>
        </w:rPr>
        <w:t>Commercial Code.</w:t>
      </w:r>
      <w:r>
        <w:rPr>
          <w:rStyle w:val="StyleUnderline"/>
        </w:rPr>
        <w:t xml:space="preserve"> </w:t>
      </w:r>
      <w:r w:rsidRPr="00461C92">
        <w:rPr>
          <w:sz w:val="14"/>
        </w:rPr>
        <w:t xml:space="preserve">A system of </w:t>
      </w:r>
      <w:r w:rsidRPr="00461C92">
        <w:rPr>
          <w:rStyle w:val="StyleUnderline"/>
        </w:rPr>
        <w:t>state control over</w:t>
      </w:r>
      <w:r w:rsidRPr="00461C92">
        <w:rPr>
          <w:sz w:val="14"/>
        </w:rPr>
        <w:t xml:space="preserve"> the implementation of </w:t>
      </w:r>
      <w:r w:rsidRPr="00461C92">
        <w:rPr>
          <w:rStyle w:val="StyleUnderline"/>
        </w:rPr>
        <w:t>international law obligations strikes a balance</w:t>
      </w:r>
      <w:r w:rsidRPr="00461C92">
        <w:rPr>
          <w:sz w:val="14"/>
        </w:rPr>
        <w:t xml:space="preserve"> between the development of international law and our constitutional commitment to federalism. At least in the treaty-making context, the Senate's commitment to preserve </w:t>
      </w:r>
      <w:r w:rsidRPr="00461C92">
        <w:rPr>
          <w:rStyle w:val="StyleUnderline"/>
        </w:rPr>
        <w:t>a role for the states</w:t>
      </w:r>
      <w:r w:rsidRPr="00461C92">
        <w:rPr>
          <w:sz w:val="14"/>
        </w:rPr>
        <w:t xml:space="preserve"> in the implementation of treaties </w:t>
      </w:r>
      <w:r w:rsidRPr="00461C92">
        <w:rPr>
          <w:rStyle w:val="StyleUnderline"/>
        </w:rPr>
        <w:t xml:space="preserve">may be </w:t>
      </w:r>
      <w:r w:rsidRPr="00461C92">
        <w:rPr>
          <w:rStyle w:val="Emphasis"/>
        </w:rPr>
        <w:t>necessary for American adherence</w:t>
      </w:r>
      <w:r w:rsidRPr="00461C92">
        <w:rPr>
          <w:sz w:val="14"/>
        </w:rPr>
        <w:t xml:space="preserve">. 4 Given the substantial political influence of the </w:t>
      </w:r>
      <w:proofErr w:type="spellStart"/>
      <w:r w:rsidRPr="00461C92">
        <w:rPr>
          <w:sz w:val="14"/>
        </w:rPr>
        <w:t>countermajoritarian</w:t>
      </w:r>
      <w:proofErr w:type="spellEnd"/>
      <w:r w:rsidRPr="00461C92">
        <w:rPr>
          <w:sz w:val="14"/>
        </w:rPr>
        <w:t xml:space="preserve"> Senate in foreign affairs, </w:t>
      </w:r>
      <w:r w:rsidRPr="00461C92">
        <w:rPr>
          <w:rStyle w:val="StyleUnderline"/>
        </w:rPr>
        <w:t>maintaining a circumscribed federal role in the</w:t>
      </w:r>
      <w:r>
        <w:rPr>
          <w:rStyle w:val="StyleUnderline"/>
        </w:rPr>
        <w:t xml:space="preserve"> </w:t>
      </w:r>
      <w:r w:rsidRPr="00461C92">
        <w:rPr>
          <w:rStyle w:val="StyleUnderline"/>
        </w:rPr>
        <w:t>implementation of international law obligations may well increase the</w:t>
      </w:r>
      <w:r>
        <w:rPr>
          <w:rStyle w:val="StyleUnderline"/>
        </w:rPr>
        <w:t xml:space="preserve"> </w:t>
      </w:r>
      <w:r w:rsidRPr="00461C92">
        <w:rPr>
          <w:rStyle w:val="StyleUnderline"/>
        </w:rPr>
        <w:t>likelihood of the adoption of international law norms</w:t>
      </w:r>
      <w:r w:rsidRPr="00461C92">
        <w:rPr>
          <w:sz w:val="14"/>
        </w:rPr>
        <w:t xml:space="preserve"> in at least some parts of the United States."' Finally, as some scholars have suggested, </w:t>
      </w:r>
      <w:r w:rsidRPr="00461C92">
        <w:rPr>
          <w:rStyle w:val="StyleUnderline"/>
        </w:rPr>
        <w:t>a robust and active role</w:t>
      </w:r>
      <w:r>
        <w:rPr>
          <w:rStyle w:val="StyleUnderline"/>
        </w:rPr>
        <w:t xml:space="preserve"> </w:t>
      </w:r>
      <w:r w:rsidRPr="00461C92">
        <w:rPr>
          <w:rStyle w:val="StyleUnderline"/>
        </w:rPr>
        <w:t>for states</w:t>
      </w:r>
      <w:r w:rsidRPr="00461C92">
        <w:rPr>
          <w:sz w:val="14"/>
        </w:rPr>
        <w:t xml:space="preserve"> in the international lawmaking sphere </w:t>
      </w:r>
      <w:r w:rsidRPr="00461C92">
        <w:rPr>
          <w:rStyle w:val="StyleUnderline"/>
        </w:rPr>
        <w:t>may actually foster</w:t>
      </w:r>
      <w:r>
        <w:rPr>
          <w:rStyle w:val="StyleUnderline"/>
        </w:rPr>
        <w:t xml:space="preserve"> </w:t>
      </w:r>
      <w:r w:rsidRPr="00461C92">
        <w:rPr>
          <w:rStyle w:val="Emphasis"/>
        </w:rPr>
        <w:t>more rather than less development</w:t>
      </w:r>
      <w:r w:rsidRPr="00461C92">
        <w:rPr>
          <w:rStyle w:val="StyleUnderline"/>
        </w:rPr>
        <w:t xml:space="preserve"> of international law, especially</w:t>
      </w:r>
      <w:r>
        <w:rPr>
          <w:rStyle w:val="StyleUnderline"/>
        </w:rPr>
        <w:t xml:space="preserve"> </w:t>
      </w:r>
      <w:r w:rsidRPr="00461C92">
        <w:rPr>
          <w:rStyle w:val="StyleUnderline"/>
        </w:rPr>
        <w:t>customary international law</w:t>
      </w:r>
      <w:r w:rsidRPr="00461C92">
        <w:rPr>
          <w:sz w:val="14"/>
        </w:rPr>
        <w:t xml:space="preserve">.35a On this view, </w:t>
      </w:r>
      <w:r w:rsidRPr="00461C92">
        <w:rPr>
          <w:rStyle w:val="StyleUnderline"/>
        </w:rPr>
        <w:t>states can contribute</w:t>
      </w:r>
      <w:r w:rsidRPr="00461C92">
        <w:rPr>
          <w:sz w:val="14"/>
        </w:rPr>
        <w:t xml:space="preserve"> to the formation of customary international law norms </w:t>
      </w:r>
      <w:r w:rsidRPr="00461C92">
        <w:rPr>
          <w:rStyle w:val="StyleUnderline"/>
        </w:rPr>
        <w:t>by fulfilling</w:t>
      </w:r>
      <w:r>
        <w:rPr>
          <w:rStyle w:val="StyleUnderline"/>
        </w:rPr>
        <w:t xml:space="preserve"> </w:t>
      </w:r>
      <w:r w:rsidRPr="00461C92">
        <w:rPr>
          <w:rStyle w:val="StyleUnderline"/>
        </w:rPr>
        <w:t xml:space="preserve">international law obligations </w:t>
      </w:r>
      <w:r w:rsidRPr="00461C92">
        <w:rPr>
          <w:rStyle w:val="Emphasis"/>
        </w:rPr>
        <w:t>which the federal government has not</w:t>
      </w:r>
      <w:r>
        <w:rPr>
          <w:rStyle w:val="Emphasis"/>
        </w:rPr>
        <w:t xml:space="preserve"> </w:t>
      </w:r>
      <w:r w:rsidRPr="00461C92">
        <w:rPr>
          <w:rStyle w:val="Emphasis"/>
        </w:rPr>
        <w:t>yet endorsed</w:t>
      </w:r>
      <w:r w:rsidRPr="00461C92">
        <w:rPr>
          <w:rStyle w:val="StyleUnderline"/>
        </w:rPr>
        <w:t xml:space="preserve">. Such actions by the states can spread </w:t>
      </w:r>
      <w:r w:rsidRPr="00461C92">
        <w:rPr>
          <w:rStyle w:val="Emphasis"/>
        </w:rPr>
        <w:t>upward to the</w:t>
      </w:r>
      <w:r>
        <w:rPr>
          <w:rStyle w:val="Emphasis"/>
        </w:rPr>
        <w:t xml:space="preserve"> </w:t>
      </w:r>
      <w:r w:rsidRPr="00461C92">
        <w:rPr>
          <w:rStyle w:val="Emphasis"/>
        </w:rPr>
        <w:t>federal government</w:t>
      </w:r>
      <w:r w:rsidRPr="00461C92">
        <w:rPr>
          <w:rStyle w:val="StyleUnderline"/>
        </w:rPr>
        <w:t xml:space="preserve"> or </w:t>
      </w:r>
      <w:r w:rsidRPr="00461C92">
        <w:rPr>
          <w:rStyle w:val="Emphasis"/>
        </w:rPr>
        <w:t xml:space="preserve">across borders to other </w:t>
      </w:r>
      <w:r w:rsidRPr="00461C92">
        <w:rPr>
          <w:rStyle w:val="StyleUnderline"/>
        </w:rPr>
        <w:t>states or</w:t>
      </w:r>
      <w:r w:rsidRPr="00461C92">
        <w:rPr>
          <w:rStyle w:val="Emphasis"/>
        </w:rPr>
        <w:t xml:space="preserve"> nations</w:t>
      </w:r>
      <w:r w:rsidRPr="00461C92">
        <w:rPr>
          <w:rStyle w:val="StyleUnderline"/>
        </w:rPr>
        <w:t>, thus</w:t>
      </w:r>
      <w:r>
        <w:rPr>
          <w:rStyle w:val="StyleUnderline"/>
        </w:rPr>
        <w:t xml:space="preserve"> </w:t>
      </w:r>
      <w:r w:rsidRPr="00461C92">
        <w:rPr>
          <w:rStyle w:val="StyleUnderline"/>
        </w:rPr>
        <w:t>contributing to the "formation" of customary international law</w:t>
      </w:r>
      <w:r w:rsidRPr="00461C92">
        <w:rPr>
          <w:sz w:val="14"/>
        </w:rPr>
        <w:t xml:space="preserve">. In Professor Powell's conception, states can thus participate in a "dialogic federalism" process that she suggests will bolster and strengthen international law norms. 7 C. Bolstering Legitimacy for the New International Law As scholars have noted elsewhere, much of the future conflict between federalism and international law will arise because of a "new" type of international law that regulates a nation-state's interactions with its own nationals.358 This new international law, much of it embodied in modern international human rights conventions and private international law, is more likely to intersect with the autonomy of the several states than traditional </w:t>
      </w:r>
      <w:proofErr w:type="spellStart"/>
      <w:r w:rsidRPr="00461C92">
        <w:rPr>
          <w:sz w:val="14"/>
        </w:rPr>
        <w:t>internationallaw</w:t>
      </w:r>
      <w:proofErr w:type="spellEnd"/>
      <w:r w:rsidRPr="00461C92">
        <w:rPr>
          <w:sz w:val="14"/>
        </w:rPr>
        <w:t xml:space="preserve">, which dealt mostly with state-to-state relations. 359 In fact, the increased likelihood that international law will conflict with domestic law </w:t>
      </w:r>
      <w:proofErr w:type="gramStart"/>
      <w:r w:rsidRPr="00461C92">
        <w:rPr>
          <w:sz w:val="14"/>
        </w:rPr>
        <w:t>actually increases</w:t>
      </w:r>
      <w:proofErr w:type="gramEnd"/>
      <w:r w:rsidRPr="00461C92">
        <w:rPr>
          <w:sz w:val="14"/>
        </w:rPr>
        <w:t xml:space="preserve"> the importance of adhering to constitutional constraints. </w:t>
      </w:r>
      <w:r w:rsidRPr="00461C92">
        <w:rPr>
          <w:rStyle w:val="Emphasis"/>
        </w:rPr>
        <w:t>International law</w:t>
      </w:r>
      <w:r w:rsidRPr="00461C92">
        <w:rPr>
          <w:rStyle w:val="StyleUnderline"/>
        </w:rPr>
        <w:t xml:space="preserve"> that has the</w:t>
      </w:r>
      <w:r>
        <w:rPr>
          <w:rStyle w:val="StyleUnderline"/>
        </w:rPr>
        <w:t xml:space="preserve"> </w:t>
      </w:r>
      <w:r w:rsidRPr="00461C92">
        <w:rPr>
          <w:rStyle w:val="StyleUnderline"/>
        </w:rPr>
        <w:t>effect of overriding domestic law</w:t>
      </w:r>
      <w:r w:rsidRPr="00461C92">
        <w:rPr>
          <w:sz w:val="14"/>
        </w:rPr>
        <w:t xml:space="preserve">, which in the United States will often be state law, </w:t>
      </w:r>
      <w:r w:rsidRPr="00461C92">
        <w:rPr>
          <w:rStyle w:val="StyleUnderline"/>
        </w:rPr>
        <w:t xml:space="preserve">needs the most </w:t>
      </w:r>
      <w:r w:rsidRPr="00461C92">
        <w:rPr>
          <w:rStyle w:val="Emphasis"/>
        </w:rPr>
        <w:t>solid foundation of political</w:t>
      </w:r>
      <w:r>
        <w:rPr>
          <w:rStyle w:val="Emphasis"/>
        </w:rPr>
        <w:t xml:space="preserve"> </w:t>
      </w:r>
      <w:r w:rsidRPr="00461C92">
        <w:rPr>
          <w:rStyle w:val="Emphasis"/>
        </w:rPr>
        <w:t>legitimacy</w:t>
      </w:r>
      <w:r w:rsidRPr="00461C92">
        <w:rPr>
          <w:rStyle w:val="StyleUnderline"/>
        </w:rPr>
        <w:t xml:space="preserve"> possible. Therefore, aggressive judicial review to enforce</w:t>
      </w:r>
      <w:r>
        <w:rPr>
          <w:rStyle w:val="StyleUnderline"/>
        </w:rPr>
        <w:t xml:space="preserve"> </w:t>
      </w:r>
      <w:r w:rsidRPr="00461C92">
        <w:rPr>
          <w:rStyle w:val="StyleUnderline"/>
        </w:rPr>
        <w:t>these constitutional constraints</w:t>
      </w:r>
      <w:r w:rsidRPr="00461C92">
        <w:rPr>
          <w:sz w:val="14"/>
        </w:rPr>
        <w:t xml:space="preserve">, which may implicate separation of powers, individual rights, and federalism concerns, </w:t>
      </w:r>
      <w:r w:rsidRPr="00461C92">
        <w:rPr>
          <w:rStyle w:val="StyleUnderline"/>
        </w:rPr>
        <w:t>is an important</w:t>
      </w:r>
      <w:r>
        <w:rPr>
          <w:rStyle w:val="StyleUnderline"/>
        </w:rPr>
        <w:t xml:space="preserve"> </w:t>
      </w:r>
      <w:r w:rsidRPr="00461C92">
        <w:rPr>
          <w:rStyle w:val="StyleUnderline"/>
        </w:rPr>
        <w:t>element of building that</w:t>
      </w:r>
      <w:r w:rsidRPr="00461C92">
        <w:rPr>
          <w:sz w:val="14"/>
        </w:rPr>
        <w:t xml:space="preserve"> foundation of political </w:t>
      </w:r>
      <w:r w:rsidRPr="00461C92">
        <w:rPr>
          <w:rStyle w:val="StyleUnderline"/>
        </w:rPr>
        <w:t>legitimacy</w:t>
      </w:r>
      <w:r w:rsidRPr="00461C92">
        <w:rPr>
          <w:sz w:val="14"/>
        </w:rPr>
        <w:t xml:space="preserve">.36 ° Unfortunately, the nationalist conception often deprives international law of that solid foundation by insisting that federal institutions exercise broad, constitutionally-suspect power over the states. In light of this Article's account of the historical practice of the federal government with respect to international obligations implicating state autonomy, it is not surprising that, even today, the federal government refuses to exercise what many nationalist scholars believe are basic and uncontroversial powers. As the United States declared before the International Court of Justice with respect to claims about the federal government's powers to stop a state execution: In a government that operates under the rule of law, the chief executive is not asked to sign orders of any kind without careful preparation and research to ensure that the order is legally authorized and sound. An Executive order to a state governor to stay an execution would have been unprecedented and fraught with legal uncertainty.361 Indeed, this Article's account of the interaction between federal and state decisionmakers in the international law-making process suggests that federal policymakers have restrained themselves because of doubt about the constitutional legitimacy of the nationalist view of international law. 362 These concerns are even greater in the context of the "new" international law, which has the potential to reshape more state law than the "old" international law interventions on behalf of consuls and aliens could have ever imposed. </w:t>
      </w:r>
      <w:r w:rsidRPr="00461C92">
        <w:rPr>
          <w:rStyle w:val="StyleUnderline"/>
        </w:rPr>
        <w:t>By leaving much of the incorporation, implementation, and</w:t>
      </w:r>
      <w:r>
        <w:rPr>
          <w:rStyle w:val="StyleUnderline"/>
        </w:rPr>
        <w:t xml:space="preserve"> </w:t>
      </w:r>
      <w:r w:rsidR="00A4218E" w:rsidRPr="00461C92">
        <w:rPr>
          <w:rStyle w:val="StyleUnderline"/>
        </w:rPr>
        <w:t>execution of international law to the states, the federal government</w:t>
      </w:r>
      <w:r>
        <w:rPr>
          <w:rStyle w:val="StyleUnderline"/>
        </w:rPr>
        <w:t xml:space="preserve"> </w:t>
      </w:r>
      <w:r w:rsidR="00A4218E" w:rsidRPr="00461C92">
        <w:rPr>
          <w:rStyle w:val="StyleUnderline"/>
        </w:rPr>
        <w:t xml:space="preserve">can confer the </w:t>
      </w:r>
      <w:r w:rsidR="00A4218E" w:rsidRPr="00461C92">
        <w:rPr>
          <w:rStyle w:val="Emphasis"/>
        </w:rPr>
        <w:t>greatest amount of political legitimacy on the new</w:t>
      </w:r>
      <w:r>
        <w:rPr>
          <w:rStyle w:val="Emphasis"/>
        </w:rPr>
        <w:t xml:space="preserve"> </w:t>
      </w:r>
      <w:r w:rsidR="00A4218E" w:rsidRPr="00461C92">
        <w:rPr>
          <w:rStyle w:val="Emphasis"/>
        </w:rPr>
        <w:t>international law</w:t>
      </w:r>
      <w:r w:rsidR="00A4218E" w:rsidRPr="00461C92">
        <w:rPr>
          <w:rStyle w:val="StyleUnderline"/>
        </w:rPr>
        <w:t xml:space="preserve">. Rather than international law imposed </w:t>
      </w:r>
      <w:r w:rsidR="00A4218E" w:rsidRPr="00461C92">
        <w:rPr>
          <w:rStyle w:val="Emphasis"/>
        </w:rPr>
        <w:t>from above</w:t>
      </w:r>
      <w:r>
        <w:rPr>
          <w:rStyle w:val="StyleUnderline"/>
        </w:rPr>
        <w:t xml:space="preserve"> </w:t>
      </w:r>
      <w:r w:rsidR="00A4218E" w:rsidRPr="00461C92">
        <w:rPr>
          <w:rStyle w:val="StyleUnderline"/>
        </w:rPr>
        <w:t xml:space="preserve">through </w:t>
      </w:r>
      <w:r w:rsidR="00A4218E" w:rsidRPr="00461C92">
        <w:rPr>
          <w:rStyle w:val="Emphasis"/>
        </w:rPr>
        <w:t>questionable</w:t>
      </w:r>
      <w:r w:rsidR="00A4218E" w:rsidRPr="00461C92">
        <w:rPr>
          <w:rStyle w:val="StyleUnderline"/>
        </w:rPr>
        <w:t xml:space="preserve"> constitutional mechanisms, international law</w:t>
      </w:r>
      <w:r>
        <w:rPr>
          <w:rStyle w:val="StyleUnderline"/>
        </w:rPr>
        <w:t xml:space="preserve"> </w:t>
      </w:r>
      <w:r w:rsidR="00A4218E" w:rsidRPr="00461C92">
        <w:rPr>
          <w:rStyle w:val="StyleUnderline"/>
        </w:rPr>
        <w:t xml:space="preserve">can be "made" in a manner </w:t>
      </w:r>
      <w:r w:rsidR="00A4218E" w:rsidRPr="00461C92">
        <w:rPr>
          <w:rStyle w:val="Emphasis"/>
        </w:rPr>
        <w:t>free from constitutional doubt-by the</w:t>
      </w:r>
      <w:r>
        <w:rPr>
          <w:rStyle w:val="Emphasis"/>
        </w:rPr>
        <w:t xml:space="preserve"> </w:t>
      </w:r>
      <w:r w:rsidR="00A4218E" w:rsidRPr="00461C92">
        <w:rPr>
          <w:rStyle w:val="Emphasis"/>
        </w:rPr>
        <w:t>states.</w:t>
      </w:r>
    </w:p>
    <w:p w14:paraId="6B9F84C5" w14:textId="54936F16" w:rsidR="00DC6217" w:rsidRDefault="00DC6217" w:rsidP="00DC6217">
      <w:pPr>
        <w:pStyle w:val="Heading4"/>
      </w:pPr>
      <w:r>
        <w:t xml:space="preserve">States </w:t>
      </w:r>
      <w:r w:rsidR="00A4218E">
        <w:t>can implement</w:t>
      </w:r>
      <w:r>
        <w:t xml:space="preserve"> international law</w:t>
      </w:r>
    </w:p>
    <w:p w14:paraId="22448904" w14:textId="7CE7ACBB" w:rsidR="00DC6217" w:rsidRPr="00DC6217" w:rsidRDefault="00DC6217" w:rsidP="00DC6217">
      <w:r>
        <w:t xml:space="preserve">Jack </w:t>
      </w:r>
      <w:r w:rsidRPr="00DC6217">
        <w:rPr>
          <w:b/>
          <w:bCs/>
          <w:sz w:val="26"/>
          <w:szCs w:val="26"/>
        </w:rPr>
        <w:t>Landau, 12</w:t>
      </w:r>
      <w:r>
        <w:t>, Justice, Oregon Supreme Court; Adjunct Professor, Willamette University College of Law, “Customary International Law in State Courts: A State Court Perspective,” Willamette Journal of International Law and Dispute Resolution, https://www-jstor-org.proxy.lib.umich.edu/stable/26211706)SEM</w:t>
      </w:r>
    </w:p>
    <w:p w14:paraId="0FCF8D15" w14:textId="59360F1D" w:rsidR="00DC6217" w:rsidRDefault="00DC6217" w:rsidP="00DC6217">
      <w:pPr>
        <w:rPr>
          <w:rStyle w:val="StyleUnderline"/>
        </w:rPr>
      </w:pPr>
      <w:r w:rsidRPr="00DC6217">
        <w:rPr>
          <w:sz w:val="12"/>
        </w:rPr>
        <w:t xml:space="preserve"> What, if anything, do the courts have to say about this issue? There is a tantalizing reference in the United States Supreme Court's decision in Banco Nacional de Cuba v. </w:t>
      </w:r>
      <w:proofErr w:type="spellStart"/>
      <w:r w:rsidRPr="00DC6217">
        <w:rPr>
          <w:sz w:val="12"/>
        </w:rPr>
        <w:t>Sabbatino</w:t>
      </w:r>
      <w:proofErr w:type="spellEnd"/>
      <w:r w:rsidRPr="00DC6217">
        <w:rPr>
          <w:sz w:val="12"/>
        </w:rPr>
        <w:t xml:space="preserve">, which seems to confirm the modern view.23 But scholars debate the breadth and significance of the statement.24 And, more recently, a somewhat cryptic opinion in Sosa v. AIvarez-Machain,25 appears to have provided ammunition for all sides to the debate.26 Meanwhile, as I said, a number of lower federal courts have adopted the modern view. Interesting, from my perspective, is the fact that in the many volumes of scholarly debate about the subject, </w:t>
      </w:r>
      <w:r w:rsidRPr="00DC6217">
        <w:rPr>
          <w:rStyle w:val="StyleUnderline"/>
        </w:rPr>
        <w:t>very</w:t>
      </w:r>
      <w:r>
        <w:rPr>
          <w:rStyle w:val="StyleUnderline"/>
        </w:rPr>
        <w:t xml:space="preserve"> </w:t>
      </w:r>
      <w:r w:rsidRPr="00DC6217">
        <w:rPr>
          <w:rStyle w:val="StyleUnderline"/>
        </w:rPr>
        <w:t>little attention has been paid to state court decisions</w:t>
      </w:r>
      <w:r w:rsidRPr="00DC6217">
        <w:rPr>
          <w:sz w:val="12"/>
        </w:rPr>
        <w:t xml:space="preserve">.27 </w:t>
      </w:r>
      <w:r w:rsidRPr="00DC6217">
        <w:rPr>
          <w:rStyle w:val="StyleUnderline"/>
        </w:rPr>
        <w:t>There are, in fact,</w:t>
      </w:r>
      <w:r>
        <w:rPr>
          <w:rStyle w:val="StyleUnderline"/>
        </w:rPr>
        <w:t xml:space="preserve"> </w:t>
      </w:r>
      <w:r w:rsidRPr="00DC6217">
        <w:rPr>
          <w:rStyle w:val="StyleUnderline"/>
        </w:rPr>
        <w:t>state court decisions. One of them is an Oregon Supreme Court case,</w:t>
      </w:r>
      <w:r>
        <w:rPr>
          <w:rStyle w:val="StyleUnderline"/>
        </w:rPr>
        <w:t xml:space="preserve"> </w:t>
      </w:r>
      <w:r w:rsidRPr="00DC6217">
        <w:rPr>
          <w:rStyle w:val="StyleUnderline"/>
        </w:rPr>
        <w:t>Peters v. McKay</w:t>
      </w:r>
      <w:r w:rsidRPr="00DC6217">
        <w:rPr>
          <w:sz w:val="12"/>
        </w:rPr>
        <w:t xml:space="preserve">,28 </w:t>
      </w:r>
      <w:r w:rsidRPr="00DC6217">
        <w:rPr>
          <w:rStyle w:val="StyleUnderline"/>
        </w:rPr>
        <w:t>which</w:t>
      </w:r>
      <w:r w:rsidRPr="00DC6217">
        <w:rPr>
          <w:sz w:val="12"/>
        </w:rPr>
        <w:t xml:space="preserve">, although rarely cited, </w:t>
      </w:r>
      <w:r w:rsidRPr="00DC6217">
        <w:rPr>
          <w:rStyle w:val="StyleUnderline"/>
        </w:rPr>
        <w:t>appears to have</w:t>
      </w:r>
      <w:r>
        <w:rPr>
          <w:rStyle w:val="StyleUnderline"/>
        </w:rPr>
        <w:t xml:space="preserve"> </w:t>
      </w:r>
      <w:r w:rsidRPr="00DC6217">
        <w:rPr>
          <w:rStyle w:val="StyleUnderline"/>
        </w:rPr>
        <w:t>anticipated the modern position by some forty years.</w:t>
      </w:r>
      <w:r>
        <w:rPr>
          <w:rStyle w:val="StyleUnderline"/>
        </w:rPr>
        <w:t xml:space="preserve"> </w:t>
      </w:r>
      <w:proofErr w:type="gramStart"/>
      <w:r w:rsidRPr="00DC6217">
        <w:rPr>
          <w:sz w:val="12"/>
        </w:rPr>
        <w:t>Here's</w:t>
      </w:r>
      <w:proofErr w:type="gramEnd"/>
      <w:r w:rsidRPr="00DC6217">
        <w:rPr>
          <w:sz w:val="12"/>
        </w:rPr>
        <w:t xml:space="preserve"> the background. Herman </w:t>
      </w:r>
      <w:proofErr w:type="spellStart"/>
      <w:r w:rsidRPr="00DC6217">
        <w:rPr>
          <w:sz w:val="12"/>
        </w:rPr>
        <w:t>Trebas</w:t>
      </w:r>
      <w:proofErr w:type="spellEnd"/>
      <w:r w:rsidRPr="00DC6217">
        <w:rPr>
          <w:sz w:val="12"/>
        </w:rPr>
        <w:t xml:space="preserve"> was born in Germany </w:t>
      </w:r>
      <w:proofErr w:type="spellStart"/>
      <w:r w:rsidRPr="00DC6217">
        <w:rPr>
          <w:sz w:val="12"/>
        </w:rPr>
        <w:t>some time</w:t>
      </w:r>
      <w:proofErr w:type="spellEnd"/>
      <w:r w:rsidRPr="00DC6217">
        <w:rPr>
          <w:sz w:val="12"/>
        </w:rPr>
        <w:t xml:space="preserve"> in the mid-1800s. He immigrated to this country and settled in Beaverton, Oregon. He died in 1928. He left no known heirs. His estate was administered in Washington County, and, in 1932, the court ordered the administrator to pay the proceeds of the estate to the State Land Board. The money was paid to the State Treasurer on behalf of the Land Board in April 1932.29 </w:t>
      </w:r>
      <w:proofErr w:type="gramStart"/>
      <w:r w:rsidRPr="00DC6217">
        <w:rPr>
          <w:sz w:val="12"/>
        </w:rPr>
        <w:t>The</w:t>
      </w:r>
      <w:proofErr w:type="gramEnd"/>
      <w:r w:rsidRPr="00DC6217">
        <w:rPr>
          <w:sz w:val="12"/>
        </w:rPr>
        <w:t xml:space="preserve"> problem was, of course, that Herman </w:t>
      </w:r>
      <w:proofErr w:type="spellStart"/>
      <w:r w:rsidRPr="00DC6217">
        <w:rPr>
          <w:sz w:val="12"/>
        </w:rPr>
        <w:t>Trebas</w:t>
      </w:r>
      <w:proofErr w:type="spellEnd"/>
      <w:r w:rsidRPr="00DC6217">
        <w:rPr>
          <w:sz w:val="12"/>
        </w:rPr>
        <w:t xml:space="preserve"> did have heirs - several first cousins. They just happened to live in Holland, and they did not learn of the escheat proceedings until much later. In the meantime, the Second World War erupted; Germany invaded and occupied the Netherlands. Following the end of the war, in July 1946, the Dutch cousins filed a petition in Oregon claiming a right to the escheated estate. The State Land Board responded that, while Oregon law certainly authorized such petitions, they had to be filed within ten years of the payment of the estate proceeds to the state.30 In this case, the Land Board argued, the Dutch cousins were about four years too late.31 The Dutch cousins responded that the ten-year period of limitations in the Oregon statute was </w:t>
      </w:r>
      <w:proofErr w:type="spellStart"/>
      <w:r w:rsidRPr="00DC6217">
        <w:rPr>
          <w:sz w:val="12"/>
        </w:rPr>
        <w:t>tolled</w:t>
      </w:r>
      <w:proofErr w:type="spellEnd"/>
      <w:r w:rsidRPr="00DC6217">
        <w:rPr>
          <w:sz w:val="12"/>
        </w:rPr>
        <w:t xml:space="preserve"> by the war, "as a matter of. . . international law."32 The Oregon Supreme Court held that the Dutch cousins were right, at least in part. The court began by observing the novelty of the issue. "This proposition," the court commented, "presented issues of extreme delicacy which are entirely new to the jurisprudence of this and many other states."33 In the entire 189 volumes of Oregon Reports, the court continued, not a single case could be found on the subject of international law generally, much less the point in dispute.34 Nevertheless, the court quickly added, the dispositive rule seems "firmly established."35 Citing the United States Supreme Court's decision in The </w:t>
      </w:r>
      <w:proofErr w:type="spellStart"/>
      <w:r w:rsidRPr="00DC6217">
        <w:rPr>
          <w:sz w:val="12"/>
        </w:rPr>
        <w:t>Paquete</w:t>
      </w:r>
      <w:proofErr w:type="spellEnd"/>
      <w:r w:rsidRPr="00DC6217">
        <w:rPr>
          <w:sz w:val="12"/>
        </w:rPr>
        <w:t xml:space="preserve"> Habana, </w:t>
      </w:r>
      <w:r w:rsidRPr="00DC6217">
        <w:rPr>
          <w:rStyle w:val="StyleUnderline"/>
        </w:rPr>
        <w:t xml:space="preserve">the Oregon court stated that </w:t>
      </w:r>
      <w:r w:rsidRPr="00DC6217">
        <w:rPr>
          <w:rStyle w:val="Emphasis"/>
        </w:rPr>
        <w:t>international law "is a part</w:t>
      </w:r>
      <w:r>
        <w:rPr>
          <w:rStyle w:val="Emphasis"/>
        </w:rPr>
        <w:t xml:space="preserve"> </w:t>
      </w:r>
      <w:r w:rsidRPr="00DC6217">
        <w:rPr>
          <w:rStyle w:val="Emphasis"/>
        </w:rPr>
        <w:t>of our law and as such is the law of all States of the Union."</w:t>
      </w:r>
      <w:r w:rsidRPr="00DC6217">
        <w:rPr>
          <w:sz w:val="12"/>
        </w:rPr>
        <w:t xml:space="preserve">36 After reviewing several authorities on the subject, </w:t>
      </w:r>
      <w:r w:rsidRPr="00DC6217">
        <w:rPr>
          <w:rStyle w:val="StyleUnderline"/>
        </w:rPr>
        <w:t>the court explained</w:t>
      </w:r>
      <w:r w:rsidRPr="00DC6217">
        <w:rPr>
          <w:sz w:val="12"/>
        </w:rPr>
        <w:t xml:space="preserve"> that, [</w:t>
      </w:r>
      <w:proofErr w:type="spellStart"/>
      <w:r w:rsidRPr="00DC6217">
        <w:rPr>
          <w:sz w:val="12"/>
        </w:rPr>
        <w:t>i</w:t>
      </w:r>
      <w:proofErr w:type="spellEnd"/>
      <w:r w:rsidRPr="00DC6217">
        <w:rPr>
          <w:sz w:val="12"/>
        </w:rPr>
        <w:t xml:space="preserve">]n essence, the rule appears to be that </w:t>
      </w:r>
      <w:r w:rsidRPr="00DC6217">
        <w:rPr>
          <w:rStyle w:val="StyleUnderline"/>
        </w:rPr>
        <w:t>international law is a part of</w:t>
      </w:r>
      <w:r>
        <w:rPr>
          <w:rStyle w:val="StyleUnderline"/>
        </w:rPr>
        <w:t xml:space="preserve"> </w:t>
      </w:r>
      <w:r w:rsidRPr="00DC6217">
        <w:rPr>
          <w:rStyle w:val="StyleUnderline"/>
        </w:rPr>
        <w:t xml:space="preserve">the law of every state which is </w:t>
      </w:r>
      <w:r w:rsidRPr="00DC6217">
        <w:rPr>
          <w:rStyle w:val="Emphasis"/>
        </w:rPr>
        <w:t>enforced by its courts without any</w:t>
      </w:r>
      <w:r>
        <w:rPr>
          <w:rStyle w:val="Emphasis"/>
        </w:rPr>
        <w:t xml:space="preserve"> </w:t>
      </w:r>
      <w:r w:rsidRPr="00DC6217">
        <w:rPr>
          <w:rStyle w:val="Emphasis"/>
        </w:rPr>
        <w:t>constitutional or statutory act of incorporation</w:t>
      </w:r>
      <w:r w:rsidRPr="00DC6217">
        <w:rPr>
          <w:rStyle w:val="StyleUnderline"/>
        </w:rPr>
        <w:t xml:space="preserve"> by reference</w:t>
      </w:r>
      <w:r w:rsidRPr="00DC6217">
        <w:rPr>
          <w:sz w:val="12"/>
        </w:rPr>
        <w:t xml:space="preserve">, and while a court may be without jurisdiction to enforce international law in a given case by reason of some controlling statute, nevertheless, </w:t>
      </w:r>
      <w:r w:rsidRPr="00DC6217">
        <w:rPr>
          <w:rStyle w:val="StyleUnderline"/>
        </w:rPr>
        <w:t xml:space="preserve">relevant provisions of the law of nations are </w:t>
      </w:r>
      <w:r w:rsidRPr="00DC6217">
        <w:rPr>
          <w:rStyle w:val="Emphasis"/>
        </w:rPr>
        <w:t>legally paramount</w:t>
      </w:r>
      <w:r>
        <w:rPr>
          <w:rStyle w:val="StyleUnderline"/>
        </w:rPr>
        <w:t xml:space="preserve"> </w:t>
      </w:r>
      <w:r w:rsidRPr="00DC6217">
        <w:rPr>
          <w:rStyle w:val="StyleUnderline"/>
        </w:rPr>
        <w:t>whenever international rights are involved before a court having</w:t>
      </w:r>
      <w:r>
        <w:rPr>
          <w:rStyle w:val="StyleUnderline"/>
        </w:rPr>
        <w:t xml:space="preserve"> </w:t>
      </w:r>
      <w:r w:rsidRPr="00DC6217">
        <w:rPr>
          <w:rStyle w:val="StyleUnderline"/>
        </w:rPr>
        <w:t>jurisdiction to enforce them</w:t>
      </w:r>
      <w:r w:rsidRPr="00DC6217">
        <w:rPr>
          <w:sz w:val="12"/>
        </w:rPr>
        <w:t xml:space="preserve">.37 As a corollary to that general principle, the court explained, </w:t>
      </w:r>
      <w:r w:rsidRPr="00DC6217">
        <w:rPr>
          <w:rStyle w:val="StyleUnderline"/>
        </w:rPr>
        <w:t>when a</w:t>
      </w:r>
      <w:r>
        <w:rPr>
          <w:rStyle w:val="StyleUnderline"/>
        </w:rPr>
        <w:t xml:space="preserve"> </w:t>
      </w:r>
      <w:r w:rsidRPr="00DC6217">
        <w:rPr>
          <w:rStyle w:val="StyleUnderline"/>
        </w:rPr>
        <w:t>state court interprets</w:t>
      </w:r>
      <w:r w:rsidRPr="00DC6217">
        <w:rPr>
          <w:sz w:val="12"/>
        </w:rPr>
        <w:t xml:space="preserve"> one of </w:t>
      </w:r>
      <w:r w:rsidRPr="00DC6217">
        <w:rPr>
          <w:rStyle w:val="StyleUnderline"/>
        </w:rPr>
        <w:t>its</w:t>
      </w:r>
      <w:r w:rsidRPr="00DC6217">
        <w:rPr>
          <w:sz w:val="12"/>
        </w:rPr>
        <w:t xml:space="preserve"> own </w:t>
      </w:r>
      <w:r w:rsidRPr="00DC6217">
        <w:rPr>
          <w:rStyle w:val="StyleUnderline"/>
        </w:rPr>
        <w:t>state's statutes, the court must</w:t>
      </w:r>
      <w:r>
        <w:rPr>
          <w:rStyle w:val="StyleUnderline"/>
        </w:rPr>
        <w:t xml:space="preserve"> </w:t>
      </w:r>
      <w:r w:rsidRPr="00DC6217">
        <w:rPr>
          <w:rStyle w:val="StyleUnderline"/>
        </w:rPr>
        <w:t>"</w:t>
      </w:r>
      <w:r w:rsidRPr="00DC6217">
        <w:rPr>
          <w:rStyle w:val="Emphasis"/>
        </w:rPr>
        <w:t>indulge every presumption</w:t>
      </w:r>
      <w:r w:rsidRPr="00DC6217">
        <w:rPr>
          <w:rStyle w:val="StyleUnderline"/>
        </w:rPr>
        <w:t xml:space="preserve"> that the legislature </w:t>
      </w:r>
      <w:r w:rsidRPr="00DC6217">
        <w:rPr>
          <w:rStyle w:val="Emphasis"/>
        </w:rPr>
        <w:t>did not intend to violate</w:t>
      </w:r>
      <w:r>
        <w:rPr>
          <w:rStyle w:val="Emphasis"/>
        </w:rPr>
        <w:t xml:space="preserve"> </w:t>
      </w:r>
      <w:r w:rsidRPr="00DC6217">
        <w:rPr>
          <w:rStyle w:val="Emphasis"/>
        </w:rPr>
        <w:t>international law</w:t>
      </w:r>
      <w:r w:rsidRPr="00DC6217">
        <w:rPr>
          <w:rStyle w:val="StyleUnderline"/>
        </w:rPr>
        <w:t xml:space="preserve"> and will read into a statute such qualification or</w:t>
      </w:r>
      <w:r>
        <w:rPr>
          <w:rStyle w:val="StyleUnderline"/>
        </w:rPr>
        <w:t xml:space="preserve"> </w:t>
      </w:r>
      <w:r w:rsidRPr="00DC6217">
        <w:rPr>
          <w:rStyle w:val="StyleUnderline"/>
        </w:rPr>
        <w:t>exception as may be necessary to avoid apparent conflict."</w:t>
      </w:r>
      <w:r w:rsidRPr="00DC6217">
        <w:rPr>
          <w:sz w:val="12"/>
        </w:rPr>
        <w:t xml:space="preserve">38 Although the court did not cite it by name, </w:t>
      </w:r>
      <w:r w:rsidRPr="00DC6217">
        <w:rPr>
          <w:rStyle w:val="StyleUnderline"/>
        </w:rPr>
        <w:t>this is, of course, the Charming Betsy</w:t>
      </w:r>
      <w:r>
        <w:rPr>
          <w:rStyle w:val="StyleUnderline"/>
        </w:rPr>
        <w:t xml:space="preserve"> </w:t>
      </w:r>
      <w:r w:rsidRPr="00DC6217">
        <w:rPr>
          <w:rStyle w:val="StyleUnderline"/>
        </w:rPr>
        <w:t>rule.</w:t>
      </w:r>
      <w:r w:rsidRPr="00DC6217">
        <w:rPr>
          <w:sz w:val="12"/>
        </w:rPr>
        <w:t xml:space="preserve">39 Turning to the issue at hand, the court explained that, as the Dutch cousins contended, under established principles of customary international law, time limitations in statutes like Oregon's escheat statute are suspended during a time of war, at least as to a suit by an enemy alien.40 The rationale is that, during the time of war, the courts are effectively closed to enemy aliens, "since the law of nations forbids any intercourse between citizens of belligerent powers."41 That meant, </w:t>
      </w:r>
      <w:r w:rsidRPr="00DC6217">
        <w:rPr>
          <w:rStyle w:val="StyleUnderline"/>
        </w:rPr>
        <w:t>the</w:t>
      </w:r>
      <w:r>
        <w:rPr>
          <w:rStyle w:val="StyleUnderline"/>
        </w:rPr>
        <w:t xml:space="preserve"> </w:t>
      </w:r>
      <w:r w:rsidRPr="00DC6217">
        <w:rPr>
          <w:rStyle w:val="StyleUnderline"/>
        </w:rPr>
        <w:t>court said, that it was obligated to read Oregon's escheat statute in a way</w:t>
      </w:r>
      <w:r>
        <w:rPr>
          <w:rStyle w:val="StyleUnderline"/>
        </w:rPr>
        <w:t xml:space="preserve"> </w:t>
      </w:r>
      <w:r w:rsidRPr="00DC6217">
        <w:rPr>
          <w:rStyle w:val="StyleUnderline"/>
        </w:rPr>
        <w:t>that does not conflict with the foregoing principle of customary</w:t>
      </w:r>
      <w:r>
        <w:rPr>
          <w:rStyle w:val="StyleUnderline"/>
        </w:rPr>
        <w:t xml:space="preserve"> </w:t>
      </w:r>
      <w:r w:rsidRPr="00DC6217">
        <w:rPr>
          <w:rStyle w:val="StyleUnderline"/>
        </w:rPr>
        <w:t>international law</w:t>
      </w:r>
      <w:r w:rsidRPr="00DC6217">
        <w:rPr>
          <w:sz w:val="12"/>
        </w:rPr>
        <w:t xml:space="preserve">, if possible.42 Finding no impediment to doing so - the Oregon statute simply said nothing about the matter one way or the other - the court read into the state escheat statute the tolling rule of customary international law.43 That was not the end of the matter for the Dutch cousins, however. Applying the tolling rule to the facts at hand, the court found that the petition still had been filed too late. Recall that the administrator paid the State Treasurer the estate proceeds in April 1932. That meant that, ordinarily, claimants would have had ten years from that date - until April 1942 - to file their petition in Oregon. The war intervened, to be sure. But the declaration of war occurred in December 1941, after 9 years and eight months had passed. That meant that, once the war was over, the Dutch cousins had four months to file their petition. The court observed that German armies had unconditionally surrendered in the Netherlands in May 1945, thereby ending the state of enmity between the Netherlands and the United States at that time.44 According to the Oregon Supreme Court, the clock started running then, and the Dutch cousins did not file their petition until more than a year after that - eight months too late.45 In a sort of "Hail Mary pass," the Dutch cousins insisted that the clock did not start running until the state of war between the United States and Germany ended, in December of 1946 46 If so, their filing in July 1946 was timely. The court was not persuaded, however. Under the controlling principle of customary international law, the court said, the state of hostility between the citizens of the Netherlands and the United States was all that counted.47 That state of hostility ended in 1945. The court clearly felt badly for the Dutch cousins. "There is little equity" in its decision, it acknowledged.48 But the fact remains, the court said, that "we are unable to find any rule of international law which would extend the limitation of the statute for a period long enough to warrant a holding in favor" of the Dutch cousins.49 The remedy, it suggested, "must rest with the legislature." 50 </w:t>
      </w:r>
      <w:r w:rsidRPr="00DC6217">
        <w:rPr>
          <w:rStyle w:val="StyleUnderline"/>
        </w:rPr>
        <w:t>Similar cases arose in other states following the Second World War</w:t>
      </w:r>
      <w:r w:rsidRPr="00DC6217">
        <w:rPr>
          <w:sz w:val="12"/>
        </w:rPr>
        <w:t xml:space="preserve">. In </w:t>
      </w:r>
      <w:r w:rsidRPr="00DC6217">
        <w:rPr>
          <w:rStyle w:val="StyleUnderline"/>
        </w:rPr>
        <w:t>California</w:t>
      </w:r>
      <w:r w:rsidRPr="00DC6217">
        <w:rPr>
          <w:sz w:val="12"/>
        </w:rPr>
        <w:t xml:space="preserve">, for example, a dispute quite similar to the one in Peters arose, and the </w:t>
      </w:r>
      <w:r w:rsidRPr="00DC6217">
        <w:rPr>
          <w:rStyle w:val="StyleUnderline"/>
        </w:rPr>
        <w:t>Supreme Court</w:t>
      </w:r>
      <w:r w:rsidRPr="00DC6217">
        <w:rPr>
          <w:sz w:val="12"/>
        </w:rPr>
        <w:t xml:space="preserve">, citing Peters, </w:t>
      </w:r>
      <w:r w:rsidRPr="00DC6217">
        <w:rPr>
          <w:rStyle w:val="StyleUnderline"/>
        </w:rPr>
        <w:t>adopted the same view</w:t>
      </w:r>
      <w:r w:rsidRPr="00DC6217">
        <w:rPr>
          <w:sz w:val="12"/>
        </w:rPr>
        <w:t xml:space="preserve"> - that the relevant state statutes had to be read consistently with customary international law.51 Since then, though, Peters slipped into obscurity.52 My guess is that it will not long remain there. </w:t>
      </w:r>
      <w:r w:rsidRPr="00DC6217">
        <w:rPr>
          <w:rStyle w:val="StyleUnderline"/>
        </w:rPr>
        <w:t>The globalization of our local economies is</w:t>
      </w:r>
      <w:r>
        <w:rPr>
          <w:rStyle w:val="StyleUnderline"/>
        </w:rPr>
        <w:t xml:space="preserve"> </w:t>
      </w:r>
      <w:r w:rsidRPr="00DC6217">
        <w:rPr>
          <w:rStyle w:val="StyleUnderline"/>
        </w:rPr>
        <w:t>making everything international.</w:t>
      </w:r>
      <w:r w:rsidRPr="00DC6217">
        <w:rPr>
          <w:sz w:val="12"/>
        </w:rPr>
        <w:t xml:space="preserve"> In the twenty-first century, the regulation of the environment, intellectual property, employment and labor, bankruptcy, even family law increasingly have international law components. In that world, I expect that </w:t>
      </w:r>
      <w:r w:rsidRPr="00DC6217">
        <w:rPr>
          <w:rStyle w:val="StyleUnderline"/>
        </w:rPr>
        <w:t>it is only a matter of very short</w:t>
      </w:r>
      <w:r>
        <w:rPr>
          <w:rStyle w:val="StyleUnderline"/>
        </w:rPr>
        <w:t xml:space="preserve"> </w:t>
      </w:r>
      <w:r w:rsidRPr="00DC6217">
        <w:rPr>
          <w:rStyle w:val="StyleUnderline"/>
        </w:rPr>
        <w:t xml:space="preserve">time before we will be seeing arguments about </w:t>
      </w:r>
      <w:r w:rsidRPr="00DC6217">
        <w:rPr>
          <w:rStyle w:val="Emphasis"/>
        </w:rPr>
        <w:t>the role of customary</w:t>
      </w:r>
      <w:r>
        <w:rPr>
          <w:rStyle w:val="Emphasis"/>
        </w:rPr>
        <w:t xml:space="preserve"> </w:t>
      </w:r>
      <w:r w:rsidRPr="00DC6217">
        <w:rPr>
          <w:rStyle w:val="Emphasis"/>
        </w:rPr>
        <w:t>international law in state courts become routine</w:t>
      </w:r>
      <w:r w:rsidRPr="00DC6217">
        <w:rPr>
          <w:rStyle w:val="StyleUnderline"/>
        </w:rPr>
        <w:t>, and Peters will become</w:t>
      </w:r>
      <w:r>
        <w:rPr>
          <w:rStyle w:val="StyleUnderline"/>
        </w:rPr>
        <w:t xml:space="preserve"> </w:t>
      </w:r>
      <w:r w:rsidRPr="00DC6217">
        <w:rPr>
          <w:rStyle w:val="StyleUnderline"/>
        </w:rPr>
        <w:t>a much more significant milestone in Oregon law</w:t>
      </w:r>
      <w:r>
        <w:rPr>
          <w:rStyle w:val="StyleUnderline"/>
        </w:rPr>
        <w:t>.</w:t>
      </w:r>
    </w:p>
    <w:p w14:paraId="076EF9E4" w14:textId="62F97964" w:rsidR="00A74A30" w:rsidRDefault="00A74A30" w:rsidP="00A74A30">
      <w:pPr>
        <w:pStyle w:val="Heading3"/>
      </w:pPr>
      <w:r>
        <w:t>Follow On---General</w:t>
      </w:r>
    </w:p>
    <w:p w14:paraId="17B2D177" w14:textId="0782BFD7" w:rsidR="00A74A30" w:rsidRDefault="00A74A30" w:rsidP="00A74A30">
      <w:pPr>
        <w:pStyle w:val="Heading4"/>
      </w:pPr>
      <w:r>
        <w:t xml:space="preserve">No solvency deficits---state court decisions on criminal law are </w:t>
      </w:r>
      <w:r>
        <w:rPr>
          <w:u w:val="single"/>
        </w:rPr>
        <w:t>modeled</w:t>
      </w:r>
      <w:r>
        <w:t xml:space="preserve"> by federal courts, including the Supreme Court</w:t>
      </w:r>
    </w:p>
    <w:p w14:paraId="0243A067" w14:textId="089E2D36" w:rsidR="006B3040" w:rsidRDefault="006B3040" w:rsidP="006B3040">
      <w:r>
        <w:t xml:space="preserve">Alexander H. E. </w:t>
      </w:r>
      <w:proofErr w:type="spellStart"/>
      <w:r w:rsidRPr="006B3040">
        <w:rPr>
          <w:b/>
          <w:bCs/>
          <w:sz w:val="26"/>
          <w:szCs w:val="26"/>
        </w:rPr>
        <w:t>Morawa</w:t>
      </w:r>
      <w:proofErr w:type="spellEnd"/>
      <w:r w:rsidRPr="006B3040">
        <w:rPr>
          <w:b/>
          <w:bCs/>
          <w:sz w:val="26"/>
          <w:szCs w:val="26"/>
        </w:rPr>
        <w:t>, 11</w:t>
      </w:r>
      <w:r>
        <w:t xml:space="preserve">, Chair in Comparative and Anglo-American Law and Associate Dean for Internationalization at the University of Lucerne, School of Law, Switzerland, "The 'New Judicial Federalism' in the United States – The Interplay of Federal and State Courts in Constitutional Adjudication," </w:t>
      </w:r>
      <w:hyperlink r:id="rId8" w:history="1">
        <w:r w:rsidR="003B7A7C" w:rsidRPr="004525AC">
          <w:rPr>
            <w:rStyle w:val="Hyperlink"/>
          </w:rPr>
          <w:t>https://papers.ssrn.com/sol3/papers.cfm?abstract_id=2604459)SEM</w:t>
        </w:r>
      </w:hyperlink>
    </w:p>
    <w:p w14:paraId="498995D7" w14:textId="1BD029B1" w:rsidR="003B7A7C" w:rsidRDefault="003B7A7C" w:rsidP="006B3040">
      <w:r>
        <w:t>**Note: the author uses &lt;&lt;&gt;&gt; to indicate when he is quoting an outside source</w:t>
      </w:r>
    </w:p>
    <w:p w14:paraId="1F777664" w14:textId="1BB60974" w:rsidR="00A74A30" w:rsidRPr="003B7A7C" w:rsidRDefault="00701EF1" w:rsidP="00A74A30">
      <w:proofErr w:type="gramStart"/>
      <w:r w:rsidRPr="003B7A7C">
        <w:t>Also</w:t>
      </w:r>
      <w:proofErr w:type="gramEnd"/>
      <w:r w:rsidRPr="003B7A7C">
        <w:t xml:space="preserve"> pertinently for the present explorations, lower </w:t>
      </w:r>
      <w:r w:rsidRPr="00701EF1">
        <w:rPr>
          <w:rStyle w:val="StyleUnderline"/>
        </w:rPr>
        <w:t>federal courts may have</w:t>
      </w:r>
      <w:r>
        <w:rPr>
          <w:rStyle w:val="StyleUnderline"/>
        </w:rPr>
        <w:t xml:space="preserve"> </w:t>
      </w:r>
      <w:r w:rsidRPr="00701EF1">
        <w:rPr>
          <w:rStyle w:val="Emphasis"/>
        </w:rPr>
        <w:t>regard to state decisions</w:t>
      </w:r>
      <w:r w:rsidRPr="003B7A7C">
        <w:t xml:space="preserve"> – without according them any precedential value, of course – </w:t>
      </w:r>
      <w:r w:rsidRPr="00701EF1">
        <w:rPr>
          <w:rStyle w:val="Emphasis"/>
        </w:rPr>
        <w:t>to inform their own interpretation of federal constitutional rights</w:t>
      </w:r>
      <w:r w:rsidRPr="00701EF1">
        <w:rPr>
          <w:rStyle w:val="StyleUnderline"/>
        </w:rPr>
        <w:t>. Ravin</w:t>
      </w:r>
      <w:r>
        <w:rPr>
          <w:rStyle w:val="StyleUnderline"/>
        </w:rPr>
        <w:t xml:space="preserve"> </w:t>
      </w:r>
      <w:r w:rsidRPr="00701EF1">
        <w:rPr>
          <w:rStyle w:val="StyleUnderline"/>
        </w:rPr>
        <w:t>v. State</w:t>
      </w:r>
      <w:r w:rsidRPr="003B7A7C">
        <w:t xml:space="preserve">, the 1975 Alaska case discussed earlier </w:t>
      </w:r>
      <w:r w:rsidRPr="00701EF1">
        <w:rPr>
          <w:rStyle w:val="StyleUnderline"/>
        </w:rPr>
        <w:t>establishing an expansive interpretation of the</w:t>
      </w:r>
      <w:r w:rsidRPr="003B7A7C">
        <w:t xml:space="preserve"> concept of </w:t>
      </w:r>
      <w:r w:rsidRPr="00701EF1">
        <w:rPr>
          <w:rStyle w:val="StyleUnderline"/>
        </w:rPr>
        <w:t>inviolability of one’s home</w:t>
      </w:r>
      <w:r w:rsidRPr="003B7A7C">
        <w:t xml:space="preserve"> under Alaskan constitutional law, </w:t>
      </w:r>
      <w:r w:rsidRPr="00701EF1">
        <w:rPr>
          <w:rStyle w:val="StyleUnderline"/>
        </w:rPr>
        <w:t xml:space="preserve">made its way into a dissenting opinion in a </w:t>
      </w:r>
      <w:r w:rsidRPr="00701EF1">
        <w:rPr>
          <w:rStyle w:val="Emphasis"/>
        </w:rPr>
        <w:t>federal district court opinion</w:t>
      </w:r>
      <w:r w:rsidRPr="00701EF1">
        <w:rPr>
          <w:rStyle w:val="StyleUnderline"/>
        </w:rPr>
        <w:t>, Doe v. Commonwealth's Atty. for City of Richmond</w:t>
      </w:r>
      <w:r w:rsidRPr="003B7A7C">
        <w:t xml:space="preserve">, 125 also decided in 1975: here, a majority upheld Virginia’s sodomy statute criminalizing consensual homosexual acts between adults; </w:t>
      </w:r>
      <w:r w:rsidRPr="00701EF1">
        <w:rPr>
          <w:rStyle w:val="StyleUnderline"/>
        </w:rPr>
        <w:t xml:space="preserve">judge </w:t>
      </w:r>
      <w:proofErr w:type="spellStart"/>
      <w:r w:rsidRPr="00701EF1">
        <w:rPr>
          <w:rStyle w:val="StyleUnderline"/>
        </w:rPr>
        <w:t>Merhige</w:t>
      </w:r>
      <w:proofErr w:type="spellEnd"/>
      <w:r w:rsidRPr="00701EF1">
        <w:rPr>
          <w:rStyle w:val="StyleUnderline"/>
        </w:rPr>
        <w:t xml:space="preserve"> dissented</w:t>
      </w:r>
      <w:r w:rsidRPr="003B7A7C">
        <w:t xml:space="preserve">, suggesting that «socially condemned activity, excepting that of demonstrable external effect, is and was intended by the Constitution to be beyond the scope of state regulation when conducted within the privacy of the home»126 and </w:t>
      </w:r>
      <w:r w:rsidRPr="00701EF1">
        <w:rPr>
          <w:rStyle w:val="StyleUnderline"/>
        </w:rPr>
        <w:t>citing Ravin</w:t>
      </w:r>
      <w:r w:rsidRPr="003B7A7C">
        <w:t xml:space="preserve">, in addition to US Supreme Court precedents, </w:t>
      </w:r>
      <w:r w:rsidRPr="00701EF1">
        <w:rPr>
          <w:rStyle w:val="StyleUnderline"/>
        </w:rPr>
        <w:t>in support of his contention</w:t>
      </w:r>
      <w:r w:rsidRPr="003B7A7C">
        <w:t xml:space="preserve"> that the statute was unconstitutional. It took the Supreme Court until 2003 to come to that conclusion as well.127 </w:t>
      </w:r>
      <w:r w:rsidRPr="00701EF1">
        <w:rPr>
          <w:rStyle w:val="StyleUnderline"/>
        </w:rPr>
        <w:t>The issue of legal drug use underlying the Ravin case also</w:t>
      </w:r>
      <w:r>
        <w:rPr>
          <w:rStyle w:val="StyleUnderline"/>
        </w:rPr>
        <w:t xml:space="preserve"> </w:t>
      </w:r>
      <w:r w:rsidRPr="00701EF1">
        <w:rPr>
          <w:rStyle w:val="StyleUnderline"/>
        </w:rPr>
        <w:t>was an issue in Morse v. Frederick,</w:t>
      </w:r>
      <w:r>
        <w:rPr>
          <w:rStyle w:val="StyleUnderline"/>
        </w:rPr>
        <w:t xml:space="preserve"> </w:t>
      </w:r>
      <w:r w:rsidRPr="003B7A7C">
        <w:t xml:space="preserve">128 </w:t>
      </w:r>
      <w:r w:rsidRPr="00701EF1">
        <w:rPr>
          <w:rStyle w:val="Emphasis"/>
        </w:rPr>
        <w:t>decided by the Supreme Court</w:t>
      </w:r>
      <w:r w:rsidRPr="003B7A7C">
        <w:t xml:space="preserve"> in 2007, where the Court held that «schools may take steps to safeguard those entrusted to their care from speech that can reasonably be regarded as encouraging illegal drug use» and «conclude[d] that the school officials … did not violate the First Amendment by confiscating [a] pro-drug banner and suspending»129 the student responsible for it. This case contains another reference to Ravin in Justice Breyer’s partial dissent, albeit only as part of a narrative of recent Alaskan constitutional history.130 </w:t>
      </w:r>
      <w:r w:rsidRPr="00701EF1">
        <w:rPr>
          <w:rStyle w:val="StyleUnderline"/>
        </w:rPr>
        <w:t xml:space="preserve">Another crucial element of the </w:t>
      </w:r>
      <w:r w:rsidRPr="00701EF1">
        <w:rPr>
          <w:rStyle w:val="Emphasis"/>
        </w:rPr>
        <w:t>dialogue between the federal and the state supreme courts</w:t>
      </w:r>
      <w:r w:rsidRPr="00701EF1">
        <w:rPr>
          <w:rStyle w:val="StyleUnderline"/>
        </w:rPr>
        <w:t xml:space="preserve"> is the prerogative of state courts to expand upon the scope of fed</w:t>
      </w:r>
      <w:r w:rsidR="00A74A30" w:rsidRPr="00701EF1">
        <w:rPr>
          <w:rStyle w:val="StyleUnderline"/>
        </w:rPr>
        <w:t>erally guaranteed rights, thus giving those rights a potentially broader meaning</w:t>
      </w:r>
      <w:r>
        <w:rPr>
          <w:rStyle w:val="StyleUnderline"/>
        </w:rPr>
        <w:t xml:space="preserve"> </w:t>
      </w:r>
      <w:r w:rsidR="00A74A30" w:rsidRPr="00701EF1">
        <w:rPr>
          <w:rStyle w:val="StyleUnderline"/>
        </w:rPr>
        <w:t>at the state level</w:t>
      </w:r>
      <w:r w:rsidR="00A74A30" w:rsidRPr="003B7A7C">
        <w:t xml:space="preserve"> than they enjoy at the federal level. </w:t>
      </w:r>
      <w:r w:rsidR="00A74A30" w:rsidRPr="00701EF1">
        <w:rPr>
          <w:rStyle w:val="StyleUnderline"/>
        </w:rPr>
        <w:t xml:space="preserve">Such decisions, </w:t>
      </w:r>
      <w:r w:rsidR="00A74A30" w:rsidRPr="00701EF1">
        <w:rPr>
          <w:rStyle w:val="Emphasis"/>
        </w:rPr>
        <w:t>especially</w:t>
      </w:r>
      <w:r>
        <w:rPr>
          <w:rStyle w:val="Emphasis"/>
        </w:rPr>
        <w:t xml:space="preserve"> </w:t>
      </w:r>
      <w:r w:rsidR="00A74A30" w:rsidRPr="00701EF1">
        <w:rPr>
          <w:rStyle w:val="Emphasis"/>
        </w:rPr>
        <w:t>when based on the federal Constitution</w:t>
      </w:r>
      <w:r w:rsidR="00A74A30" w:rsidRPr="00701EF1">
        <w:rPr>
          <w:rStyle w:val="StyleUnderline"/>
        </w:rPr>
        <w:t xml:space="preserve"> rather than on a state constitution, may</w:t>
      </w:r>
      <w:r>
        <w:rPr>
          <w:rStyle w:val="StyleUnderline"/>
        </w:rPr>
        <w:t xml:space="preserve"> </w:t>
      </w:r>
      <w:r w:rsidR="00A74A30" w:rsidRPr="00701EF1">
        <w:rPr>
          <w:rStyle w:val="StyleUnderline"/>
        </w:rPr>
        <w:t xml:space="preserve">serve the intended purpose of </w:t>
      </w:r>
      <w:r w:rsidR="00A74A30" w:rsidRPr="00701EF1">
        <w:rPr>
          <w:rStyle w:val="Emphasis"/>
        </w:rPr>
        <w:t>state courts affecting the jurisprudence of the federal Supreme Court.</w:t>
      </w:r>
      <w:r w:rsidR="00A74A30" w:rsidRPr="003B7A7C">
        <w:t xml:space="preserve"> Such attempts are sometimes unsuccessful, such as the</w:t>
      </w:r>
      <w:r w:rsidRPr="003B7A7C">
        <w:t xml:space="preserve"> </w:t>
      </w:r>
      <w:r w:rsidR="00A74A30" w:rsidRPr="003B7A7C">
        <w:t>California Supreme Court’s interpretation of the issue of affirmative action in</w:t>
      </w:r>
      <w:r w:rsidRPr="003B7A7C">
        <w:t xml:space="preserve"> </w:t>
      </w:r>
      <w:r w:rsidR="00A74A30" w:rsidRPr="003B7A7C">
        <w:t>Bakke v. Regents of the University of California131 and the later ruling of the US</w:t>
      </w:r>
      <w:r w:rsidRPr="003B7A7C">
        <w:t xml:space="preserve"> </w:t>
      </w:r>
      <w:r w:rsidR="00A74A30" w:rsidRPr="003B7A7C">
        <w:t>Supreme Court in Regents of the University of California v. Bakke.</w:t>
      </w:r>
      <w:r w:rsidRPr="003B7A7C">
        <w:t xml:space="preserve"> </w:t>
      </w:r>
      <w:r w:rsidR="00A74A30" w:rsidRPr="003B7A7C">
        <w:t xml:space="preserve">132 </w:t>
      </w:r>
      <w:r w:rsidR="00A74A30" w:rsidRPr="00701EF1">
        <w:rPr>
          <w:rStyle w:val="StyleUnderline"/>
        </w:rPr>
        <w:t>In a number of</w:t>
      </w:r>
      <w:r w:rsidR="00A74A30" w:rsidRPr="003B7A7C">
        <w:t xml:space="preserve"> other </w:t>
      </w:r>
      <w:r w:rsidR="00A74A30" w:rsidRPr="00701EF1">
        <w:rPr>
          <w:rStyle w:val="StyleUnderline"/>
        </w:rPr>
        <w:t>cases</w:t>
      </w:r>
      <w:r w:rsidR="00A74A30" w:rsidRPr="003B7A7C">
        <w:t xml:space="preserve">, however, </w:t>
      </w:r>
      <w:r w:rsidR="00A74A30" w:rsidRPr="00701EF1">
        <w:rPr>
          <w:rStyle w:val="Emphasis"/>
        </w:rPr>
        <w:t>state courts’ rulings have been explicitly endorsed</w:t>
      </w:r>
      <w:r>
        <w:rPr>
          <w:rStyle w:val="Emphasis"/>
        </w:rPr>
        <w:t xml:space="preserve"> </w:t>
      </w:r>
      <w:r w:rsidR="00A74A30" w:rsidRPr="00701EF1">
        <w:rPr>
          <w:rStyle w:val="Emphasis"/>
        </w:rPr>
        <w:t>and thus transferred into federal practice by the US Supreme Court</w:t>
      </w:r>
      <w:r w:rsidR="00A74A30" w:rsidRPr="00701EF1">
        <w:rPr>
          <w:rStyle w:val="StyleUnderline"/>
        </w:rPr>
        <w:t>: the jurisprudence of the New York Court of Appeals has, for instance, influenced Supreme</w:t>
      </w:r>
      <w:r>
        <w:rPr>
          <w:rStyle w:val="StyleUnderline"/>
        </w:rPr>
        <w:t xml:space="preserve"> </w:t>
      </w:r>
      <w:r w:rsidR="00A74A30" w:rsidRPr="00701EF1">
        <w:rPr>
          <w:rStyle w:val="StyleUnderline"/>
        </w:rPr>
        <w:t>Court practice in the field of obscenity</w:t>
      </w:r>
      <w:r w:rsidR="00A74A30" w:rsidRPr="003B7A7C">
        <w:t xml:space="preserve">;133 </w:t>
      </w:r>
      <w:r w:rsidR="00A74A30" w:rsidRPr="00701EF1">
        <w:rPr>
          <w:rStyle w:val="StyleUnderline"/>
        </w:rPr>
        <w:t xml:space="preserve">and the same court’s standards </w:t>
      </w:r>
      <w:r w:rsidR="00A74A30" w:rsidRPr="00701EF1">
        <w:rPr>
          <w:rStyle w:val="Emphasis"/>
        </w:rPr>
        <w:t>applied to certain searches by police officers</w:t>
      </w:r>
      <w:r w:rsidR="00A74A30" w:rsidRPr="00701EF1">
        <w:rPr>
          <w:rStyle w:val="StyleUnderline"/>
        </w:rPr>
        <w:t xml:space="preserve"> have been explicitly endorsed by the</w:t>
      </w:r>
      <w:r>
        <w:rPr>
          <w:rStyle w:val="StyleUnderline"/>
        </w:rPr>
        <w:t xml:space="preserve"> </w:t>
      </w:r>
      <w:r w:rsidR="00A74A30" w:rsidRPr="00701EF1">
        <w:rPr>
          <w:rStyle w:val="StyleUnderline"/>
        </w:rPr>
        <w:t>US Supreme Court in Terry v. Ohio</w:t>
      </w:r>
      <w:r w:rsidR="00A74A30" w:rsidRPr="003B7A7C">
        <w:t>.</w:t>
      </w:r>
      <w:r w:rsidRPr="003B7A7C">
        <w:t xml:space="preserve"> </w:t>
      </w:r>
      <w:r w:rsidR="00A74A30" w:rsidRPr="003B7A7C">
        <w:t xml:space="preserve">134 </w:t>
      </w:r>
      <w:r w:rsidR="00A74A30" w:rsidRPr="00701EF1">
        <w:rPr>
          <w:rStyle w:val="StyleUnderline"/>
        </w:rPr>
        <w:t>This has prompted William Brennan</w:t>
      </w:r>
      <w:r w:rsidR="00A74A30" w:rsidRPr="003B7A7C">
        <w:t>, a</w:t>
      </w:r>
      <w:r w:rsidRPr="003B7A7C">
        <w:t xml:space="preserve"> </w:t>
      </w:r>
      <w:r w:rsidR="00A74A30" w:rsidRPr="003B7A7C">
        <w:t xml:space="preserve">US Supreme Court justice previously sitting on a state supreme court, </w:t>
      </w:r>
      <w:r w:rsidR="00A74A30" w:rsidRPr="00701EF1">
        <w:rPr>
          <w:rStyle w:val="StyleUnderline"/>
        </w:rPr>
        <w:t>to find</w:t>
      </w:r>
      <w:r>
        <w:rPr>
          <w:rStyle w:val="StyleUnderline"/>
        </w:rPr>
        <w:t xml:space="preserve"> </w:t>
      </w:r>
      <w:r w:rsidR="00A74A30" w:rsidRPr="00701EF1">
        <w:rPr>
          <w:rStyle w:val="StyleUnderline"/>
        </w:rPr>
        <w:t xml:space="preserve">that </w:t>
      </w:r>
      <w:r w:rsidR="00A74A30" w:rsidRPr="00701EF1">
        <w:rPr>
          <w:rStyle w:val="Emphasis"/>
        </w:rPr>
        <w:t>certain important and controversial areas of civil rights and liberties «have</w:t>
      </w:r>
      <w:r>
        <w:rPr>
          <w:rStyle w:val="Emphasis"/>
        </w:rPr>
        <w:t xml:space="preserve"> </w:t>
      </w:r>
      <w:r w:rsidR="00A74A30" w:rsidRPr="00701EF1">
        <w:rPr>
          <w:rStyle w:val="Emphasis"/>
        </w:rPr>
        <w:t>drawn much from trail blazing state court opinion</w:t>
      </w:r>
      <w:r w:rsidR="00A74A30" w:rsidRPr="003B7A7C">
        <w:t>.»135</w:t>
      </w:r>
    </w:p>
    <w:p w14:paraId="7CFDD280" w14:textId="174A0E51" w:rsidR="00A74A30" w:rsidRDefault="003B7A7C" w:rsidP="00A74A30">
      <w:pPr>
        <w:pStyle w:val="Heading4"/>
      </w:pPr>
      <w:r>
        <w:t>SCOTUS will change its jurisprudence</w:t>
      </w:r>
    </w:p>
    <w:p w14:paraId="10814C3B" w14:textId="00F2D468" w:rsidR="006B3040" w:rsidRDefault="006B3040" w:rsidP="006B3040">
      <w:r>
        <w:t xml:space="preserve">Alexander H. E. </w:t>
      </w:r>
      <w:proofErr w:type="spellStart"/>
      <w:r w:rsidRPr="006B3040">
        <w:rPr>
          <w:b/>
          <w:bCs/>
          <w:sz w:val="26"/>
          <w:szCs w:val="26"/>
        </w:rPr>
        <w:t>Morawa</w:t>
      </w:r>
      <w:proofErr w:type="spellEnd"/>
      <w:r w:rsidRPr="006B3040">
        <w:rPr>
          <w:b/>
          <w:bCs/>
          <w:sz w:val="26"/>
          <w:szCs w:val="26"/>
        </w:rPr>
        <w:t>, 11</w:t>
      </w:r>
      <w:r>
        <w:t xml:space="preserve">, Chair in Comparative and Anglo-American Law and Associate Dean for Internationalization at the University of Lucerne, School of Law, Switzerland, "The 'New Judicial Federalism' in the United States – The Interplay of Federal and State Courts in Constitutional Adjudication," </w:t>
      </w:r>
      <w:hyperlink r:id="rId9" w:history="1">
        <w:r w:rsidR="003B7A7C" w:rsidRPr="004525AC">
          <w:rPr>
            <w:rStyle w:val="Hyperlink"/>
          </w:rPr>
          <w:t>https://papers.ssrn.com/sol3/papers.cfm?abstract_id=2604459)SEM</w:t>
        </w:r>
      </w:hyperlink>
    </w:p>
    <w:p w14:paraId="6449700C" w14:textId="660D5049" w:rsidR="003B7A7C" w:rsidRDefault="003B7A7C" w:rsidP="006B3040">
      <w:r>
        <w:t>**Note: the author uses &lt;&lt;&gt;&gt; to indicate when he is quoting an outside source</w:t>
      </w:r>
    </w:p>
    <w:p w14:paraId="1395D1C3" w14:textId="6E9CBA38" w:rsidR="00A74A30" w:rsidRPr="00A74A30" w:rsidRDefault="00A74A30" w:rsidP="00A74A30">
      <w:pPr>
        <w:rPr>
          <w:sz w:val="14"/>
        </w:rPr>
      </w:pPr>
      <w:r w:rsidRPr="00A74A30">
        <w:rPr>
          <w:sz w:val="14"/>
        </w:rPr>
        <w:t xml:space="preserve">Another question is related to the role of State Supreme Courts as interpreters of federal constitutional guarantees as such. In that role, state supreme courts are «legally subordinate to the US Supreme Court and they are obliged to construe federal constitutional provisions in line with relevant Supreme Court precedence, even if this requires the invalidation of state policies.»120 There is, as some studies contend, a degree of «selective non-compliance»121 of state supreme courts when performing that function. The ensuing dialogue and occasional confrontation </w:t>
      </w:r>
      <w:proofErr w:type="gramStart"/>
      <w:r w:rsidRPr="00A74A30">
        <w:rPr>
          <w:sz w:val="14"/>
        </w:rPr>
        <w:t>puts</w:t>
      </w:r>
      <w:proofErr w:type="gramEnd"/>
      <w:r w:rsidRPr="00A74A30">
        <w:rPr>
          <w:sz w:val="14"/>
        </w:rPr>
        <w:t xml:space="preserve"> both the US Supreme Court and the states courts in a position where they have to interact by means of interrelated judicial decisions. </w:t>
      </w:r>
      <w:r w:rsidRPr="00A74A30">
        <w:rPr>
          <w:rStyle w:val="StyleUnderline"/>
        </w:rPr>
        <w:t>The federal Supreme Courts’ options when replying to a non-compliant state</w:t>
      </w:r>
      <w:r>
        <w:rPr>
          <w:rStyle w:val="StyleUnderline"/>
        </w:rPr>
        <w:t xml:space="preserve"> </w:t>
      </w:r>
      <w:r w:rsidRPr="00A74A30">
        <w:rPr>
          <w:rStyle w:val="StyleUnderline"/>
        </w:rPr>
        <w:t>supreme court ruling are either to reaffirm its earlier ruling</w:t>
      </w:r>
      <w:r w:rsidRPr="00A74A30">
        <w:rPr>
          <w:sz w:val="14"/>
        </w:rPr>
        <w:t xml:space="preserve"> and at the same time to define a scope and substance of the right guaranteed more in detail, «thereby restricting the leeway available to state courts in applying the federal constitutional principle»;122 </w:t>
      </w:r>
      <w:r w:rsidRPr="00A74A30">
        <w:rPr>
          <w:rStyle w:val="StyleUnderline"/>
        </w:rPr>
        <w:t>alternatively, the federal Supreme Court might also choose</w:t>
      </w:r>
      <w:r>
        <w:rPr>
          <w:rStyle w:val="StyleUnderline"/>
        </w:rPr>
        <w:t xml:space="preserve"> </w:t>
      </w:r>
      <w:r w:rsidRPr="00A74A30">
        <w:rPr>
          <w:rStyle w:val="StyleUnderline"/>
        </w:rPr>
        <w:t>to not interfere with a state supreme court’s rulings by denying certiorari and to</w:t>
      </w:r>
      <w:r>
        <w:rPr>
          <w:rStyle w:val="StyleUnderline"/>
        </w:rPr>
        <w:t xml:space="preserve"> </w:t>
      </w:r>
      <w:r w:rsidRPr="00A74A30">
        <w:rPr>
          <w:rStyle w:val="Emphasis"/>
        </w:rPr>
        <w:t>give the state court more leeway and discretion</w:t>
      </w:r>
      <w:r w:rsidRPr="00A74A30">
        <w:rPr>
          <w:sz w:val="14"/>
        </w:rPr>
        <w:t xml:space="preserve"> in defining the ‹operational meaning› of civil rights and liberties.123 </w:t>
      </w:r>
      <w:r w:rsidRPr="00A74A30">
        <w:rPr>
          <w:rStyle w:val="StyleUnderline"/>
        </w:rPr>
        <w:t>Furthermore, state supreme courts’ rulings containing different interpretations of federal constitutional guarantees than</w:t>
      </w:r>
      <w:r>
        <w:rPr>
          <w:rStyle w:val="StyleUnderline"/>
        </w:rPr>
        <w:t xml:space="preserve"> </w:t>
      </w:r>
      <w:r w:rsidRPr="00A74A30">
        <w:rPr>
          <w:rStyle w:val="StyleUnderline"/>
        </w:rPr>
        <w:t xml:space="preserve">those adopted by the federal Supreme Court </w:t>
      </w:r>
      <w:r w:rsidRPr="00A74A30">
        <w:rPr>
          <w:rStyle w:val="Emphasis"/>
        </w:rPr>
        <w:t>may indeed prompt that court to</w:t>
      </w:r>
      <w:r>
        <w:rPr>
          <w:rStyle w:val="Emphasis"/>
        </w:rPr>
        <w:t xml:space="preserve"> </w:t>
      </w:r>
      <w:r w:rsidRPr="00A74A30">
        <w:rPr>
          <w:rStyle w:val="Emphasis"/>
        </w:rPr>
        <w:t>«reconsider and modify or abandon its earlier ruling.»</w:t>
      </w:r>
      <w:r w:rsidRPr="00A74A30">
        <w:rPr>
          <w:sz w:val="14"/>
        </w:rPr>
        <w:t>124</w:t>
      </w:r>
    </w:p>
    <w:p w14:paraId="273ECE32" w14:textId="559D6E1A" w:rsidR="00A74A30" w:rsidRPr="00A74A30" w:rsidRDefault="00A74A30" w:rsidP="00A74A30"/>
    <w:p w14:paraId="26B25EDF" w14:textId="196B9961" w:rsidR="0023713C" w:rsidRDefault="00414BBE" w:rsidP="00414BBE">
      <w:pPr>
        <w:pStyle w:val="Heading3"/>
      </w:pPr>
      <w:r>
        <w:t>Follow On</w:t>
      </w:r>
      <w:r w:rsidR="0023713C">
        <w:t>---</w:t>
      </w:r>
      <w:r>
        <w:t>I-Law</w:t>
      </w:r>
    </w:p>
    <w:p w14:paraId="23EE5413" w14:textId="5B7E6CEC" w:rsidR="0023713C" w:rsidRPr="00414BBE" w:rsidRDefault="00414BBE" w:rsidP="0023713C">
      <w:pPr>
        <w:pStyle w:val="Heading4"/>
      </w:pPr>
      <w:r>
        <w:t xml:space="preserve">State international law jurisprudence </w:t>
      </w:r>
      <w:r>
        <w:rPr>
          <w:u w:val="single"/>
        </w:rPr>
        <w:t>percolates</w:t>
      </w:r>
      <w:r>
        <w:t xml:space="preserve"> to the federal </w:t>
      </w:r>
      <w:r w:rsidR="00E13DBE">
        <w:t>le</w:t>
      </w:r>
      <w:r>
        <w:t>vel</w:t>
      </w:r>
    </w:p>
    <w:p w14:paraId="091C2630" w14:textId="3C70840D" w:rsidR="0023713C" w:rsidRPr="0023713C" w:rsidRDefault="0023713C" w:rsidP="0023713C">
      <w:r w:rsidRPr="0023713C">
        <w:t xml:space="preserve">Johanna </w:t>
      </w:r>
      <w:r w:rsidRPr="00414BBE">
        <w:rPr>
          <w:b/>
          <w:bCs/>
          <w:sz w:val="26"/>
          <w:szCs w:val="26"/>
        </w:rPr>
        <w:t>Kalb, 11</w:t>
      </w:r>
      <w:r>
        <w:t>,</w:t>
      </w:r>
      <w:r w:rsidRPr="0023713C">
        <w:t xml:space="preserve"> Loyola University New Orleans College of Law</w:t>
      </w:r>
      <w:r>
        <w:t xml:space="preserve">, </w:t>
      </w:r>
      <w:r w:rsidRPr="0023713C">
        <w:t>“Human Rights Treaties in State Courts: The International Prospects of State Constitutionalism after Medellín”</w:t>
      </w:r>
      <w:r>
        <w:t xml:space="preserve"> </w:t>
      </w:r>
      <w:r w:rsidRPr="0023713C">
        <w:t>http://www.pennstatelawreview.org/115/4/115%20Penn%20St.%20L.%20Rev.%201051.pdf)</w:t>
      </w:r>
      <w:r>
        <w:t>SEM</w:t>
      </w:r>
    </w:p>
    <w:p w14:paraId="17F1A547" w14:textId="0EE86C95" w:rsidR="0023713C" w:rsidRDefault="0023713C" w:rsidP="0023713C">
      <w:pPr>
        <w:rPr>
          <w:rStyle w:val="Emphasis"/>
        </w:rPr>
      </w:pPr>
      <w:r w:rsidRPr="0023713C">
        <w:rPr>
          <w:sz w:val="14"/>
        </w:rPr>
        <w:t xml:space="preserve">A second way that the soft law approach appears in state court cases is when the court is modeling the practice adopted by other courts in a </w:t>
      </w:r>
      <w:proofErr w:type="gramStart"/>
      <w:r w:rsidRPr="0023713C">
        <w:rPr>
          <w:sz w:val="14"/>
        </w:rPr>
        <w:t>particular type of case</w:t>
      </w:r>
      <w:proofErr w:type="gramEnd"/>
      <w:r w:rsidRPr="0023713C">
        <w:rPr>
          <w:sz w:val="14"/>
        </w:rPr>
        <w:t xml:space="preserve">. The clearest example of this path comes in the death penalty context. In Roper v. Simmons, 68 </w:t>
      </w:r>
      <w:r w:rsidRPr="0023713C">
        <w:rPr>
          <w:rStyle w:val="StyleUnderline"/>
        </w:rPr>
        <w:t>the Supreme Court</w:t>
      </w:r>
      <w:r w:rsidRPr="0023713C">
        <w:rPr>
          <w:sz w:val="14"/>
        </w:rPr>
        <w:t xml:space="preserve"> controversially </w:t>
      </w:r>
      <w:r w:rsidRPr="0023713C">
        <w:rPr>
          <w:rStyle w:val="StyleUnderline"/>
        </w:rPr>
        <w:t>considered international treaty law</w:t>
      </w:r>
      <w:r w:rsidRPr="0023713C">
        <w:rPr>
          <w:sz w:val="14"/>
        </w:rPr>
        <w:t xml:space="preserve"> and comparative law sources </w:t>
      </w:r>
      <w:r w:rsidRPr="0023713C">
        <w:rPr>
          <w:rStyle w:val="StyleUnderline"/>
        </w:rPr>
        <w:t>in reaching its conclusion that the Eighth Amendment bars the imposition of the death penalty on juveniles</w:t>
      </w:r>
      <w:r w:rsidRPr="0023713C">
        <w:rPr>
          <w:sz w:val="14"/>
        </w:rPr>
        <w:t xml:space="preserve">.69 In so doing, </w:t>
      </w:r>
      <w:r w:rsidRPr="0023713C">
        <w:rPr>
          <w:rStyle w:val="StyleUnderline"/>
        </w:rPr>
        <w:t xml:space="preserve">the Supreme Court was actually </w:t>
      </w:r>
      <w:r w:rsidRPr="0023713C">
        <w:rPr>
          <w:rStyle w:val="Emphasis"/>
        </w:rPr>
        <w:t>following the lead of the Missouri courts</w:t>
      </w:r>
      <w:r w:rsidRPr="0023713C">
        <w:rPr>
          <w:rStyle w:val="StyleUnderline"/>
        </w:rPr>
        <w:t>, which had relied on these same sources in making their original determination</w:t>
      </w:r>
      <w:r w:rsidRPr="0023713C">
        <w:rPr>
          <w:sz w:val="14"/>
        </w:rPr>
        <w:t xml:space="preserve">.70 Since that decision, litigants have raised treaty law norms in other Eighth Amendment claims and, following the Supreme Court’s lead, some state courts have been willing to consider these sources. For example, in People v. </w:t>
      </w:r>
      <w:proofErr w:type="spellStart"/>
      <w:r w:rsidRPr="0023713C">
        <w:rPr>
          <w:sz w:val="14"/>
        </w:rPr>
        <w:t>Pratcher</w:t>
      </w:r>
      <w:proofErr w:type="spellEnd"/>
      <w:r w:rsidRPr="0023713C">
        <w:rPr>
          <w:sz w:val="14"/>
        </w:rPr>
        <w:t xml:space="preserve">, 71 </w:t>
      </w:r>
      <w:r w:rsidRPr="0023713C">
        <w:rPr>
          <w:rStyle w:val="StyleUnderline"/>
        </w:rPr>
        <w:t>a California appellate court considered a challenge by a juvenile defendant to the constitutionality of a 50-year sentence</w:t>
      </w:r>
      <w:r w:rsidRPr="0023713C">
        <w:rPr>
          <w:sz w:val="14"/>
        </w:rPr>
        <w:t xml:space="preserve">.72 Citing Roper, </w:t>
      </w:r>
      <w:proofErr w:type="spellStart"/>
      <w:r w:rsidRPr="0023713C">
        <w:rPr>
          <w:sz w:val="14"/>
        </w:rPr>
        <w:t>Pratcher</w:t>
      </w:r>
      <w:proofErr w:type="spellEnd"/>
      <w:r w:rsidRPr="0023713C">
        <w:rPr>
          <w:sz w:val="14"/>
        </w:rPr>
        <w:t xml:space="preserve"> argued that </w:t>
      </w:r>
      <w:r w:rsidRPr="0023713C">
        <w:rPr>
          <w:rStyle w:val="StyleUnderline"/>
        </w:rPr>
        <w:t>there is an international consensus against sentencing minors to life</w:t>
      </w:r>
      <w:r w:rsidRPr="0023713C">
        <w:rPr>
          <w:sz w:val="14"/>
        </w:rPr>
        <w:t xml:space="preserve"> imprisonment.73 </w:t>
      </w:r>
      <w:r w:rsidRPr="0023713C">
        <w:rPr>
          <w:rStyle w:val="Emphasis"/>
        </w:rPr>
        <w:t>The court considered the international sources</w:t>
      </w:r>
      <w:r w:rsidRPr="0023713C">
        <w:rPr>
          <w:sz w:val="14"/>
        </w:rPr>
        <w:t xml:space="preserve">, with particular emphasis on the Convention on the Rights of the Child, but determined that the lack of legislative or judicial consensus in the United States against lengthy sentences for juveniles was dispositive.74 Although the defendant’s claim was ultimately rejected, </w:t>
      </w:r>
      <w:r w:rsidRPr="0023713C">
        <w:rPr>
          <w:rStyle w:val="StyleUnderline"/>
        </w:rPr>
        <w:t>the court did adopt the</w:t>
      </w:r>
      <w:r w:rsidRPr="0023713C">
        <w:rPr>
          <w:sz w:val="14"/>
        </w:rPr>
        <w:t xml:space="preserve"> Supreme Court’s </w:t>
      </w:r>
      <w:r w:rsidRPr="0023713C">
        <w:rPr>
          <w:rStyle w:val="StyleUnderline"/>
        </w:rPr>
        <w:t>method of considering the treaty’s guarantees and its level of acceptance in the international community</w:t>
      </w:r>
      <w:r w:rsidRPr="0023713C">
        <w:rPr>
          <w:sz w:val="14"/>
        </w:rPr>
        <w:t xml:space="preserve"> as a potentially persuasive argument.75 </w:t>
      </w:r>
      <w:r w:rsidRPr="00DA34B0">
        <w:rPr>
          <w:rStyle w:val="StyleUnderline"/>
        </w:rPr>
        <w:t>States also model other state courts’ treatment of these instruments, even without federal media</w:t>
      </w:r>
      <w:r w:rsidRPr="0023713C">
        <w:rPr>
          <w:rStyle w:val="StyleUnderline"/>
        </w:rPr>
        <w:t>tion</w:t>
      </w:r>
      <w:r w:rsidRPr="0023713C">
        <w:rPr>
          <w:sz w:val="14"/>
        </w:rPr>
        <w:t xml:space="preserve">. For example, in </w:t>
      </w:r>
      <w:proofErr w:type="spellStart"/>
      <w:r w:rsidRPr="0023713C">
        <w:rPr>
          <w:sz w:val="14"/>
        </w:rPr>
        <w:t>Bott</w:t>
      </w:r>
      <w:proofErr w:type="spellEnd"/>
      <w:r w:rsidRPr="0023713C">
        <w:rPr>
          <w:sz w:val="14"/>
        </w:rPr>
        <w:t xml:space="preserve"> v. DeLand, 76 </w:t>
      </w:r>
      <w:r w:rsidRPr="0023713C">
        <w:rPr>
          <w:rStyle w:val="StyleUnderline"/>
        </w:rPr>
        <w:t>the Utah Supreme Court held that a prisoner may recover damages</w:t>
      </w:r>
      <w:r w:rsidRPr="0023713C">
        <w:rPr>
          <w:sz w:val="14"/>
        </w:rPr>
        <w:t xml:space="preserve"> under the Utah Constitution </w:t>
      </w:r>
      <w:r w:rsidRPr="0023713C">
        <w:rPr>
          <w:rStyle w:val="StyleUnderline"/>
        </w:rPr>
        <w:t>if the prisoner can show either deliberate indifference or unnecessary abuse</w:t>
      </w:r>
      <w:r w:rsidRPr="0023713C">
        <w:rPr>
          <w:sz w:val="14"/>
        </w:rPr>
        <w:t xml:space="preserve">.77 In determining the meaning of “unnecessary abuse,” </w:t>
      </w:r>
      <w:r w:rsidRPr="0023713C">
        <w:rPr>
          <w:rStyle w:val="StyleUnderline"/>
        </w:rPr>
        <w:t>the court looked to and relied upon</w:t>
      </w:r>
      <w:r w:rsidRPr="0023713C">
        <w:rPr>
          <w:sz w:val="14"/>
        </w:rPr>
        <w:t xml:space="preserve"> Justice Linde’s decision in Sterling v. </w:t>
      </w:r>
      <w:proofErr w:type="spellStart"/>
      <w:r w:rsidRPr="0023713C">
        <w:rPr>
          <w:sz w:val="14"/>
        </w:rPr>
        <w:t>Cupp</w:t>
      </w:r>
      <w:proofErr w:type="spellEnd"/>
      <w:r w:rsidRPr="0023713C">
        <w:rPr>
          <w:sz w:val="14"/>
        </w:rPr>
        <w:t xml:space="preserve">. 78 The court noted the grounding of </w:t>
      </w:r>
      <w:r w:rsidRPr="0023713C">
        <w:rPr>
          <w:rStyle w:val="StyleUnderline"/>
        </w:rPr>
        <w:t>the Oregon court’s decision</w:t>
      </w:r>
      <w:r w:rsidRPr="0023713C">
        <w:rPr>
          <w:sz w:val="14"/>
        </w:rPr>
        <w:t xml:space="preserve"> in the “internationally accepted standards of humane treatment as articulated in the Universal Declaration of Human Rights, the International Covenant </w:t>
      </w:r>
      <w:proofErr w:type="spellStart"/>
      <w:r w:rsidRPr="0023713C">
        <w:rPr>
          <w:sz w:val="14"/>
        </w:rPr>
        <w:t>of</w:t>
      </w:r>
      <w:proofErr w:type="spellEnd"/>
      <w:r w:rsidRPr="0023713C">
        <w:rPr>
          <w:sz w:val="14"/>
        </w:rPr>
        <w:t xml:space="preserve"> Civil and Political Rights, and the Standard Minimum Rules for the Treatment of Prisoners adopted by the First United Nations Congress on the Prevention of Crime and the Treatment of Offenders in 1995.”79 </w:t>
      </w:r>
      <w:r w:rsidRPr="0023713C">
        <w:rPr>
          <w:rStyle w:val="StyleUnderline"/>
        </w:rPr>
        <w:t>These two types of opinions represent a small subset of the already small pool of state court decisions referencing international human rights treaties</w:t>
      </w:r>
      <w:r w:rsidRPr="0023713C">
        <w:rPr>
          <w:sz w:val="14"/>
        </w:rPr>
        <w:t xml:space="preserve">. Despite their rarity, </w:t>
      </w:r>
      <w:r w:rsidRPr="0023713C">
        <w:rPr>
          <w:rStyle w:val="StyleUnderline"/>
        </w:rPr>
        <w:t xml:space="preserve">these decisions are powerful because of the norms they establish and the way in which these norms are then </w:t>
      </w:r>
      <w:r w:rsidRPr="0023713C">
        <w:rPr>
          <w:rStyle w:val="Emphasis"/>
        </w:rPr>
        <w:t>transmitted vertically and horizontally among state and federal courts</w:t>
      </w:r>
      <w:r w:rsidRPr="0023713C">
        <w:rPr>
          <w:sz w:val="14"/>
        </w:rPr>
        <w:t xml:space="preserve">. The conditions under which these decisions have occurred suggest a strategy for maximizing the occurrence of this phenomenon. Given that individual jurists appear to play a key role in incorporating these instruments into state court decisions, more attention should perhaps be paid to identifying them. The judicial philosophies of the U.S. Supreme Court are well-known—and the </w:t>
      </w:r>
      <w:proofErr w:type="gramStart"/>
      <w:r w:rsidRPr="0023713C">
        <w:rPr>
          <w:sz w:val="14"/>
        </w:rPr>
        <w:t>particular leanings</w:t>
      </w:r>
      <w:proofErr w:type="gramEnd"/>
      <w:r w:rsidRPr="0023713C">
        <w:rPr>
          <w:sz w:val="14"/>
        </w:rPr>
        <w:t xml:space="preserve"> of the federal circuits are certainly considered by advocates seeking a friendly forum for particular rights-related claims. These cases suggest that similar attention should be paid to understanding state courts, despite the additional complexity of doing so. Given that the jurists who have used international or comparative human rights law tend to also seem (at least in some cases) to be advocates of independent state constitutionalism, </w:t>
      </w:r>
      <w:r w:rsidRPr="0023713C">
        <w:rPr>
          <w:rStyle w:val="StyleUnderline"/>
        </w:rPr>
        <w:t>states</w:t>
      </w:r>
      <w:r w:rsidRPr="0023713C">
        <w:rPr>
          <w:sz w:val="14"/>
        </w:rPr>
        <w:t xml:space="preserve"> with established primacy or interstitial methods of state constitutional interpretation80 </w:t>
      </w:r>
      <w:r w:rsidRPr="0023713C">
        <w:rPr>
          <w:rStyle w:val="StyleUnderline"/>
        </w:rPr>
        <w:t>will likely include some judges or justices who are receptive to these types of claims</w:t>
      </w:r>
      <w:r w:rsidRPr="0023713C">
        <w:rPr>
          <w:sz w:val="14"/>
        </w:rPr>
        <w:t xml:space="preserve">. Additionally, there may be personal or professional characteristics shared by those judges and justices that predict a greater openness or comfort with these types of claims.81 Even a single jurist, such as Justice Peters in Moore, may be responsive to treaty-based arguments and find ways to incorporate these norms into the conversation. And </w:t>
      </w:r>
      <w:r w:rsidRPr="0023713C">
        <w:rPr>
          <w:rStyle w:val="StyleUnderline"/>
        </w:rPr>
        <w:t xml:space="preserve">once the arguments are present in </w:t>
      </w:r>
      <w:r w:rsidRPr="0023713C">
        <w:rPr>
          <w:rStyle w:val="Emphasis"/>
        </w:rPr>
        <w:t>one state’s jurisprudence</w:t>
      </w:r>
      <w:r w:rsidRPr="0023713C">
        <w:rPr>
          <w:rStyle w:val="StyleUnderline"/>
        </w:rPr>
        <w:t xml:space="preserve">, they may then become </w:t>
      </w:r>
      <w:r w:rsidRPr="0023713C">
        <w:rPr>
          <w:rStyle w:val="Emphasis"/>
        </w:rPr>
        <w:t>more persuasive to other courts at the state and federal level.</w:t>
      </w:r>
    </w:p>
    <w:p w14:paraId="059A39DE" w14:textId="3006C331" w:rsidR="009E4B7C" w:rsidRDefault="009E4B7C" w:rsidP="0023713C">
      <w:pPr>
        <w:rPr>
          <w:rStyle w:val="Emphasis"/>
        </w:rPr>
      </w:pPr>
    </w:p>
    <w:p w14:paraId="0E7B04BF" w14:textId="01C22D97" w:rsidR="009E4B7C" w:rsidRPr="009E4B7C" w:rsidRDefault="009E4B7C" w:rsidP="009E4B7C">
      <w:pPr>
        <w:pStyle w:val="Heading4"/>
        <w:rPr>
          <w:rStyle w:val="Emphasis"/>
          <w:b/>
          <w:bCs/>
          <w:sz w:val="26"/>
          <w:szCs w:val="26"/>
          <w:u w:val="none"/>
        </w:rPr>
      </w:pPr>
      <w:r>
        <w:rPr>
          <w:rStyle w:val="Emphasis"/>
          <w:b/>
          <w:bCs/>
          <w:sz w:val="26"/>
          <w:szCs w:val="26"/>
          <w:u w:val="none"/>
        </w:rPr>
        <w:t>The federal courts’ hands would be tied</w:t>
      </w:r>
    </w:p>
    <w:p w14:paraId="49DDE753" w14:textId="7FEB79D0" w:rsidR="009E4B7C" w:rsidRPr="009E4B7C" w:rsidRDefault="009E4B7C" w:rsidP="009E4B7C">
      <w:r w:rsidRPr="009E4B7C">
        <w:t xml:space="preserve">Gary </w:t>
      </w:r>
      <w:r w:rsidRPr="009E4B7C">
        <w:rPr>
          <w:b/>
          <w:bCs/>
          <w:sz w:val="26"/>
          <w:szCs w:val="26"/>
        </w:rPr>
        <w:t>Born, 17</w:t>
      </w:r>
      <w:r>
        <w:t xml:space="preserve">, </w:t>
      </w:r>
      <w:r w:rsidRPr="009E4B7C">
        <w:t>author of INTERNATIONAL CIVIL LITIGATION IN UNITED STATES COURTS (6th</w:t>
      </w:r>
      <w:r>
        <w:t xml:space="preserve"> </w:t>
      </w:r>
      <w:r w:rsidRPr="009E4B7C">
        <w:t>ed. 2017), INTERNATIONAL COMMERCIAL ARBITRATION (2nd ed. 2014), and INTERNATIONAL</w:t>
      </w:r>
      <w:r>
        <w:t xml:space="preserve"> </w:t>
      </w:r>
      <w:r w:rsidRPr="009E4B7C">
        <w:t>ARBITRATION: CASES AND MATERIALS, “CUSTOMARY INTERNATIONAL LAW IN UNITED</w:t>
      </w:r>
      <w:r>
        <w:t xml:space="preserve"> </w:t>
      </w:r>
      <w:r w:rsidRPr="009E4B7C">
        <w:t xml:space="preserve">STATES COURTS,” </w:t>
      </w:r>
      <w:r>
        <w:t>Washington Law Review, https://www.wilmerhale.com/-/media/e2dfe57efc514834971c375dd2006c6f.pdf)SEM</w:t>
      </w:r>
    </w:p>
    <w:p w14:paraId="17C04ACA" w14:textId="6C0FAA57" w:rsidR="009E4B7C" w:rsidRPr="009E4B7C" w:rsidRDefault="009E4B7C" w:rsidP="009E4B7C">
      <w:r w:rsidRPr="009E4B7C">
        <w:t xml:space="preserve">For these reasons, the revisionists conclude that there is generally no basis for treating customary international law as federal common law. Instead, as outlined above, </w:t>
      </w:r>
      <w:r w:rsidRPr="009E4B7C">
        <w:rPr>
          <w:rStyle w:val="StyleUnderline"/>
        </w:rPr>
        <w:t>Erie requires federal courts to apply state law</w:t>
      </w:r>
      <w:r>
        <w:rPr>
          <w:rStyle w:val="StyleUnderline"/>
        </w:rPr>
        <w:t xml:space="preserve"> </w:t>
      </w:r>
      <w:r w:rsidRPr="009E4B7C">
        <w:t xml:space="preserve">(or no law) </w:t>
      </w:r>
      <w:r w:rsidRPr="009E4B7C">
        <w:rPr>
          <w:rStyle w:val="StyleUnderline"/>
        </w:rPr>
        <w:t>in the absence of any federal rule of decision</w:t>
      </w:r>
      <w:r w:rsidRPr="009E4B7C">
        <w:t>: “[u]</w:t>
      </w:r>
      <w:proofErr w:type="spellStart"/>
      <w:r w:rsidRPr="009E4B7C">
        <w:t>nder</w:t>
      </w:r>
      <w:proofErr w:type="spellEnd"/>
      <w:r w:rsidRPr="009E4B7C">
        <w:t xml:space="preserve"> Erie, </w:t>
      </w:r>
      <w:r w:rsidRPr="009E4B7C">
        <w:rPr>
          <w:rStyle w:val="StyleUnderline"/>
        </w:rPr>
        <w:t>if</w:t>
      </w:r>
      <w:r w:rsidRPr="009E4B7C">
        <w:t xml:space="preserve"> [customary </w:t>
      </w:r>
      <w:r w:rsidRPr="009E4B7C">
        <w:rPr>
          <w:rStyle w:val="StyleUnderline"/>
        </w:rPr>
        <w:t>international law</w:t>
      </w:r>
      <w:r w:rsidRPr="009E4B7C">
        <w:t xml:space="preserve">] </w:t>
      </w:r>
      <w:r w:rsidRPr="009E4B7C">
        <w:rPr>
          <w:rStyle w:val="StyleUnderline"/>
        </w:rPr>
        <w:t>is not federal</w:t>
      </w:r>
      <w:r w:rsidRPr="009E4B7C">
        <w:t xml:space="preserve"> law, </w:t>
      </w:r>
      <w:r w:rsidRPr="009E4B7C">
        <w:rPr>
          <w:rStyle w:val="StyleUnderline"/>
        </w:rPr>
        <w:t>federal courts are not</w:t>
      </w:r>
      <w:r>
        <w:rPr>
          <w:rStyle w:val="StyleUnderline"/>
        </w:rPr>
        <w:t xml:space="preserve"> </w:t>
      </w:r>
      <w:r w:rsidRPr="009E4B7C">
        <w:rPr>
          <w:rStyle w:val="StyleUnderline"/>
        </w:rPr>
        <w:t>to apply it unless they determine that it is part of state law</w:t>
      </w:r>
      <w:r w:rsidRPr="009E4B7C">
        <w:t xml:space="preserve">.”55 </w:t>
      </w:r>
      <w:r w:rsidRPr="009E4B7C">
        <w:rPr>
          <w:rStyle w:val="StyleUnderline"/>
        </w:rPr>
        <w:t>It is therefore</w:t>
      </w:r>
      <w:r>
        <w:rPr>
          <w:rStyle w:val="StyleUnderline"/>
        </w:rPr>
        <w:t xml:space="preserve"> </w:t>
      </w:r>
      <w:r w:rsidRPr="009E4B7C">
        <w:rPr>
          <w:rStyle w:val="StyleUnderline"/>
        </w:rPr>
        <w:t>clear</w:t>
      </w:r>
      <w:r w:rsidRPr="009E4B7C">
        <w:t xml:space="preserve">, under the revisionists’ analysis, </w:t>
      </w:r>
      <w:r w:rsidRPr="009E4B7C">
        <w:rPr>
          <w:rStyle w:val="StyleUnderline"/>
        </w:rPr>
        <w:t xml:space="preserve">that </w:t>
      </w:r>
      <w:r w:rsidRPr="009E4B7C">
        <w:rPr>
          <w:rStyle w:val="Emphasis"/>
        </w:rPr>
        <w:t>where state courts have adopted</w:t>
      </w:r>
      <w:r>
        <w:rPr>
          <w:rStyle w:val="Emphasis"/>
        </w:rPr>
        <w:t xml:space="preserve"> </w:t>
      </w:r>
      <w:r w:rsidRPr="009E4B7C">
        <w:rPr>
          <w:rStyle w:val="Emphasis"/>
        </w:rPr>
        <w:t>a rule of customary international law as state law, federal courts will be</w:t>
      </w:r>
      <w:r>
        <w:rPr>
          <w:rStyle w:val="Emphasis"/>
        </w:rPr>
        <w:t xml:space="preserve"> </w:t>
      </w:r>
      <w:r w:rsidRPr="009E4B7C">
        <w:rPr>
          <w:rStyle w:val="Emphasis"/>
        </w:rPr>
        <w:t>obligated to apply that rule</w:t>
      </w:r>
      <w:r w:rsidRPr="009E4B7C">
        <w:rPr>
          <w:rStyle w:val="StyleUnderline"/>
        </w:rPr>
        <w:t>, notwithstanding the refusal of federal courts</w:t>
      </w:r>
      <w:r>
        <w:rPr>
          <w:rStyle w:val="StyleUnderline"/>
        </w:rPr>
        <w:t xml:space="preserve"> </w:t>
      </w:r>
      <w:r w:rsidRPr="009E4B7C">
        <w:rPr>
          <w:rStyle w:val="StyleUnderline"/>
        </w:rPr>
        <w:t>to recognize a rule of federal law</w:t>
      </w:r>
      <w:r w:rsidRPr="009E4B7C">
        <w:t>. The revisionists acknowledge this possibility, but predict that “in most cases, states would rarely incorporate [customary international law] into state law,” with the result that “[customary international law] simply would not be a rule of decision in federal court.”56</w:t>
      </w:r>
    </w:p>
    <w:p w14:paraId="7E01D0C0" w14:textId="3DDC4A85" w:rsidR="0023713C" w:rsidRDefault="00F91084" w:rsidP="00F91084">
      <w:pPr>
        <w:pStyle w:val="Heading3"/>
      </w:pPr>
      <w:r>
        <w:t xml:space="preserve">AT: </w:t>
      </w:r>
      <w:r w:rsidR="00611957">
        <w:t xml:space="preserve">Court </w:t>
      </w:r>
      <w:r>
        <w:t>Stripping</w:t>
      </w:r>
    </w:p>
    <w:p w14:paraId="179600BB" w14:textId="09CD5CDF" w:rsidR="00F91084" w:rsidRPr="00F91084" w:rsidRDefault="00F91084" w:rsidP="00F91084">
      <w:pPr>
        <w:pStyle w:val="Heading4"/>
      </w:pPr>
      <w:r>
        <w:t xml:space="preserve">Congress </w:t>
      </w:r>
      <w:proofErr w:type="gramStart"/>
      <w:r>
        <w:t>can’t</w:t>
      </w:r>
      <w:proofErr w:type="gramEnd"/>
      <w:r>
        <w:t xml:space="preserve"> strip jurisdiction over state laws</w:t>
      </w:r>
    </w:p>
    <w:p w14:paraId="16B9D812" w14:textId="6CFCB6EC" w:rsidR="00F91084" w:rsidRDefault="00F91084" w:rsidP="00F91084">
      <w:r>
        <w:t xml:space="preserve">Michael C. </w:t>
      </w:r>
      <w:r w:rsidRPr="00F91084">
        <w:rPr>
          <w:b/>
          <w:bCs/>
          <w:sz w:val="26"/>
          <w:szCs w:val="26"/>
        </w:rPr>
        <w:t>Dorf, 18</w:t>
      </w:r>
      <w:r>
        <w:t>, Robert S. Stevens Professor of Law, Cornell Law School, "Congressional Power to Strip State Courts of Jurisdiction," Texas Law Review, Nov. 2018, https://texaslawreview.org/congressional-power-to-strip-state-courts-of-jurisdiction/)SEM</w:t>
      </w:r>
    </w:p>
    <w:p w14:paraId="5389E06B" w14:textId="6D4E3965" w:rsidR="00F91084" w:rsidRPr="00F91084" w:rsidRDefault="00F91084" w:rsidP="00F91084">
      <w:pPr>
        <w:rPr>
          <w:rStyle w:val="Emphasis"/>
        </w:rPr>
      </w:pPr>
      <w:proofErr w:type="gramStart"/>
      <w:r w:rsidRPr="00F91084">
        <w:t>Thus</w:t>
      </w:r>
      <w:proofErr w:type="gramEnd"/>
      <w:r w:rsidRPr="00F91084">
        <w:t xml:space="preserve"> we come to a category of jurisdiction stripping that warrants, but has not received, special attention. </w:t>
      </w:r>
      <w:r w:rsidRPr="00F91084">
        <w:rPr>
          <w:rStyle w:val="StyleUnderline"/>
        </w:rPr>
        <w:t>When Congress divests state</w:t>
      </w:r>
      <w:r w:rsidRPr="00F91084">
        <w:t xml:space="preserve"> (and federal) </w:t>
      </w:r>
      <w:r w:rsidRPr="00F91084">
        <w:rPr>
          <w:rStyle w:val="StyleUnderline"/>
        </w:rPr>
        <w:t xml:space="preserve">courts of jurisdiction to hear </w:t>
      </w:r>
      <w:r w:rsidRPr="00F91084">
        <w:rPr>
          <w:rStyle w:val="Emphasis"/>
        </w:rPr>
        <w:t>constitutional challenges to state</w:t>
      </w:r>
      <w:r w:rsidRPr="00F91084">
        <w:rPr>
          <w:rStyle w:val="StyleUnderline"/>
        </w:rPr>
        <w:t xml:space="preserve"> (and local) </w:t>
      </w:r>
      <w:r w:rsidRPr="00F91084">
        <w:rPr>
          <w:rStyle w:val="Emphasis"/>
        </w:rPr>
        <w:t>laws</w:t>
      </w:r>
      <w:r w:rsidRPr="00F91084">
        <w:rPr>
          <w:rStyle w:val="StyleUnderline"/>
        </w:rPr>
        <w:t xml:space="preserve"> (and policies), it acts </w:t>
      </w:r>
      <w:r w:rsidRPr="00F91084">
        <w:rPr>
          <w:rStyle w:val="Emphasis"/>
        </w:rPr>
        <w:t>beyond its enumerated powers</w:t>
      </w:r>
      <w:r w:rsidRPr="00F91084">
        <w:rPr>
          <w:rStyle w:val="StyleUnderline"/>
        </w:rPr>
        <w:t xml:space="preserve">. Because such a jurisdiction-stripping measure does not protect the jurisdiction of the lower federal courts, it </w:t>
      </w:r>
      <w:r w:rsidRPr="00F91084">
        <w:rPr>
          <w:rStyle w:val="Emphasis"/>
        </w:rPr>
        <w:t>cannot plausibly</w:t>
      </w:r>
      <w:r w:rsidRPr="00F91084">
        <w:rPr>
          <w:rStyle w:val="StyleUnderline"/>
        </w:rPr>
        <w:t xml:space="preserve"> be described as necessary and proper</w:t>
      </w:r>
      <w:r w:rsidRPr="00F91084">
        <w:t xml:space="preserve"> to ordaining and establishing those courts—by contrast with the measures described in category A. </w:t>
      </w:r>
      <w:r w:rsidRPr="00F91084">
        <w:rPr>
          <w:rStyle w:val="StyleUnderline"/>
        </w:rPr>
        <w:t>And because constitutional challenges to state laws involve neither the application nor the validity of any federal statute, such a jurisdiction-stripping provision cannot plausibly be described as necessary and proper to the exercise of any federal power that could be said to warrant such a statute</w:t>
      </w:r>
      <w:r w:rsidRPr="00F91084">
        <w:t xml:space="preserve">—by contrast with the measures described in categories B and C. As there is no other viable candidate for the affirmative power that Congress might be exercising in this fourth category, </w:t>
      </w:r>
      <w:r w:rsidRPr="00F91084">
        <w:rPr>
          <w:rStyle w:val="Emphasis"/>
        </w:rPr>
        <w:t>such laws are accordingly void.</w:t>
      </w:r>
    </w:p>
    <w:p w14:paraId="5F98B564" w14:textId="19B84E06" w:rsidR="00A74A30" w:rsidRDefault="00A74A30" w:rsidP="00A74A30">
      <w:pPr>
        <w:pStyle w:val="Heading3"/>
      </w:pPr>
      <w:r>
        <w:t>AT: Federal Preemption</w:t>
      </w:r>
    </w:p>
    <w:p w14:paraId="4E95F3ED" w14:textId="7E2ACC0C" w:rsidR="007333CA" w:rsidRPr="007333CA" w:rsidRDefault="007333CA" w:rsidP="007333CA">
      <w:pPr>
        <w:pStyle w:val="Heading4"/>
      </w:pPr>
      <w:r>
        <w:t xml:space="preserve">State constitutional grounds </w:t>
      </w:r>
      <w:r w:rsidR="00611957">
        <w:t>solve</w:t>
      </w:r>
    </w:p>
    <w:p w14:paraId="0AE4682A" w14:textId="110220FD" w:rsidR="007333CA" w:rsidRPr="007333CA" w:rsidRDefault="007333CA" w:rsidP="007333CA">
      <w:r>
        <w:t xml:space="preserve">District of </w:t>
      </w:r>
      <w:r w:rsidRPr="007333CA">
        <w:rPr>
          <w:b/>
          <w:bCs/>
          <w:sz w:val="26"/>
          <w:szCs w:val="26"/>
        </w:rPr>
        <w:t>Arizona, ND</w:t>
      </w:r>
      <w:r>
        <w:t xml:space="preserve">, United States District Court, "Can the federal court overrule a decision by the state </w:t>
      </w:r>
      <w:proofErr w:type="gramStart"/>
      <w:r>
        <w:t>court?,</w:t>
      </w:r>
      <w:proofErr w:type="gramEnd"/>
      <w:r>
        <w:t>" http://www.azd.uscourts.gov/faq/pro-se/can-federal-court-overrule-decision-state-court)SEM</w:t>
      </w:r>
    </w:p>
    <w:p w14:paraId="45126D73" w14:textId="55D6F10E" w:rsidR="007333CA" w:rsidRPr="007333CA" w:rsidRDefault="007333CA" w:rsidP="007333CA">
      <w:pPr>
        <w:rPr>
          <w:rStyle w:val="Emphasis"/>
        </w:rPr>
      </w:pPr>
      <w:r w:rsidRPr="007333CA">
        <w:rPr>
          <w:rStyle w:val="Emphasis"/>
        </w:rPr>
        <w:t>Can the federal court overrule a decision by the state court?</w:t>
      </w:r>
    </w:p>
    <w:p w14:paraId="46EA6C84" w14:textId="77777777" w:rsidR="007333CA" w:rsidRPr="007333CA" w:rsidRDefault="007333CA" w:rsidP="007333CA">
      <w:pPr>
        <w:rPr>
          <w:rStyle w:val="Emphasis"/>
        </w:rPr>
      </w:pPr>
      <w:r w:rsidRPr="007333CA">
        <w:rPr>
          <w:rStyle w:val="Emphasis"/>
        </w:rPr>
        <w:t>No</w:t>
      </w:r>
      <w:r w:rsidRPr="007333CA">
        <w:rPr>
          <w:rStyle w:val="StyleUnderline"/>
        </w:rPr>
        <w:t>. It is a common misconception</w:t>
      </w:r>
      <w:r>
        <w:t xml:space="preserve"> among pro se litigants </w:t>
      </w:r>
      <w:r w:rsidRPr="007333CA">
        <w:rPr>
          <w:rStyle w:val="StyleUnderline"/>
        </w:rPr>
        <w:t>that federal courts can</w:t>
      </w:r>
      <w:r>
        <w:t xml:space="preserve"> revisit and perhaps </w:t>
      </w:r>
      <w:r w:rsidRPr="007333CA">
        <w:rPr>
          <w:rStyle w:val="StyleUnderline"/>
        </w:rPr>
        <w:t xml:space="preserve">overturn a decision of the state courts. </w:t>
      </w:r>
      <w:r w:rsidRPr="007333CA">
        <w:rPr>
          <w:rStyle w:val="Emphasis"/>
        </w:rPr>
        <w:t>Only if a federal issue was part of a state court decision can the federal court review a decision by the state court.</w:t>
      </w:r>
    </w:p>
    <w:p w14:paraId="22DE9919" w14:textId="77777777" w:rsidR="007333CA" w:rsidRDefault="007333CA" w:rsidP="007333CA"/>
    <w:p w14:paraId="4A0CB4BC" w14:textId="2A51E583" w:rsidR="007333CA" w:rsidRPr="007333CA" w:rsidRDefault="007333CA" w:rsidP="007333CA"/>
    <w:p w14:paraId="00739D9D" w14:textId="77777777" w:rsidR="00A74A30" w:rsidRDefault="00A74A30" w:rsidP="00A74A30">
      <w:pPr>
        <w:pStyle w:val="Heading4"/>
      </w:pPr>
      <w:r>
        <w:t xml:space="preserve">State constitutional rulings are </w:t>
      </w:r>
      <w:r>
        <w:rPr>
          <w:u w:val="single"/>
        </w:rPr>
        <w:t>insulated</w:t>
      </w:r>
      <w:r>
        <w:t xml:space="preserve"> from federal court preemption</w:t>
      </w:r>
    </w:p>
    <w:p w14:paraId="4B5627BC" w14:textId="444320DD" w:rsidR="006B3040" w:rsidRDefault="006B3040" w:rsidP="006B3040">
      <w:r>
        <w:t xml:space="preserve">Alexander H. E. </w:t>
      </w:r>
      <w:proofErr w:type="spellStart"/>
      <w:r w:rsidRPr="006B3040">
        <w:rPr>
          <w:b/>
          <w:bCs/>
          <w:sz w:val="26"/>
          <w:szCs w:val="26"/>
        </w:rPr>
        <w:t>Morawa</w:t>
      </w:r>
      <w:proofErr w:type="spellEnd"/>
      <w:r w:rsidRPr="006B3040">
        <w:rPr>
          <w:b/>
          <w:bCs/>
          <w:sz w:val="26"/>
          <w:szCs w:val="26"/>
        </w:rPr>
        <w:t>, 11</w:t>
      </w:r>
      <w:r>
        <w:t xml:space="preserve">, Chair in Comparative and Anglo-American Law and Associate Dean for Internationalization at the University of Lucerne, School of Law, Switzerland, "The 'New Judicial Federalism' in the United States – The Interplay of Federal and State Courts in Constitutional Adjudication," </w:t>
      </w:r>
      <w:hyperlink r:id="rId10" w:history="1">
        <w:r w:rsidR="003B7A7C" w:rsidRPr="004525AC">
          <w:rPr>
            <w:rStyle w:val="Hyperlink"/>
          </w:rPr>
          <w:t>https://papers.ssrn.com/sol3/papers.cfm?abstract_id=2604459)SEM</w:t>
        </w:r>
      </w:hyperlink>
    </w:p>
    <w:p w14:paraId="2232CB15" w14:textId="46451134" w:rsidR="003B7A7C" w:rsidRDefault="003B7A7C" w:rsidP="006B3040">
      <w:r>
        <w:t>**Note: the author uses &lt;&lt;&gt;&gt; to indicate when he is quoting an outside source</w:t>
      </w:r>
    </w:p>
    <w:p w14:paraId="32ED8F3C" w14:textId="77777777" w:rsidR="00A74A30" w:rsidRPr="00F3432C" w:rsidRDefault="00A74A30" w:rsidP="00A74A30">
      <w:pPr>
        <w:rPr>
          <w:sz w:val="14"/>
        </w:rPr>
      </w:pPr>
      <w:r w:rsidRPr="00F3432C">
        <w:rPr>
          <w:rStyle w:val="StyleUnderline"/>
        </w:rPr>
        <w:t>Commentators have called it «hallowed hornbook law» that the U.S. Supreme</w:t>
      </w:r>
      <w:r>
        <w:rPr>
          <w:rStyle w:val="StyleUnderline"/>
        </w:rPr>
        <w:t xml:space="preserve"> </w:t>
      </w:r>
      <w:r w:rsidRPr="00F3432C">
        <w:rPr>
          <w:rStyle w:val="StyleUnderline"/>
        </w:rPr>
        <w:t xml:space="preserve">Court </w:t>
      </w:r>
      <w:r w:rsidRPr="00F3432C">
        <w:rPr>
          <w:rStyle w:val="Emphasis"/>
        </w:rPr>
        <w:t>will not «adjudicate federal questions arising in state court decisions resting on adequate and independent nonfederal grounds»</w:t>
      </w:r>
      <w:r>
        <w:rPr>
          <w:rStyle w:val="Emphasis"/>
        </w:rPr>
        <w:t xml:space="preserve"> </w:t>
      </w:r>
      <w:r w:rsidRPr="00F3432C">
        <w:rPr>
          <w:sz w:val="14"/>
        </w:rPr>
        <w:t xml:space="preserve">20 </w:t>
      </w:r>
      <w:r w:rsidRPr="00F3432C">
        <w:rPr>
          <w:rStyle w:val="StyleUnderline"/>
        </w:rPr>
        <w:t>if these grounds do not</w:t>
      </w:r>
      <w:r>
        <w:rPr>
          <w:rStyle w:val="StyleUnderline"/>
        </w:rPr>
        <w:t xml:space="preserve"> </w:t>
      </w:r>
      <w:r w:rsidRPr="00F3432C">
        <w:rPr>
          <w:rStyle w:val="StyleUnderline"/>
        </w:rPr>
        <w:t>violate the federal Constitution</w:t>
      </w:r>
      <w:r w:rsidRPr="00F3432C">
        <w:rPr>
          <w:sz w:val="14"/>
        </w:rPr>
        <w:t xml:space="preserve">. In other words, </w:t>
      </w:r>
      <w:r w:rsidRPr="00F3432C">
        <w:rPr>
          <w:rStyle w:val="StyleUnderline"/>
        </w:rPr>
        <w:t xml:space="preserve">a </w:t>
      </w:r>
      <w:r w:rsidRPr="00F3432C">
        <w:rPr>
          <w:rStyle w:val="Emphasis"/>
        </w:rPr>
        <w:t>federal review</w:t>
      </w:r>
      <w:r w:rsidRPr="00F3432C">
        <w:rPr>
          <w:rStyle w:val="StyleUnderline"/>
        </w:rPr>
        <w:t xml:space="preserve"> of state law</w:t>
      </w:r>
      <w:r>
        <w:rPr>
          <w:rStyle w:val="StyleUnderline"/>
        </w:rPr>
        <w:t>-</w:t>
      </w:r>
      <w:r w:rsidRPr="00F3432C">
        <w:rPr>
          <w:rStyle w:val="StyleUnderline"/>
        </w:rPr>
        <w:t xml:space="preserve">based decisions is in principle </w:t>
      </w:r>
      <w:r w:rsidRPr="00F3432C">
        <w:rPr>
          <w:rStyle w:val="Emphasis"/>
        </w:rPr>
        <w:t>excluded</w:t>
      </w:r>
      <w:r w:rsidRPr="00F3432C">
        <w:rPr>
          <w:rStyle w:val="StyleUnderline"/>
        </w:rPr>
        <w:t>;</w:t>
      </w:r>
      <w:r w:rsidRPr="00F3432C">
        <w:rPr>
          <w:sz w:val="14"/>
        </w:rPr>
        <w:t xml:space="preserve"> «</w:t>
      </w:r>
      <w:r w:rsidRPr="00F3432C">
        <w:rPr>
          <w:rStyle w:val="StyleUnderline"/>
        </w:rPr>
        <w:t>where the judgment of a state court</w:t>
      </w:r>
      <w:r>
        <w:rPr>
          <w:rStyle w:val="StyleUnderline"/>
        </w:rPr>
        <w:t xml:space="preserve"> </w:t>
      </w:r>
      <w:r w:rsidRPr="00F3432C">
        <w:rPr>
          <w:rStyle w:val="StyleUnderline"/>
        </w:rPr>
        <w:t xml:space="preserve">rests upon two grounds, one of which is federal and </w:t>
      </w:r>
      <w:r w:rsidRPr="00F3432C">
        <w:rPr>
          <w:rStyle w:val="Emphasis"/>
        </w:rPr>
        <w:t>the other non-federal in</w:t>
      </w:r>
      <w:r>
        <w:rPr>
          <w:rStyle w:val="Emphasis"/>
        </w:rPr>
        <w:t xml:space="preserve"> </w:t>
      </w:r>
      <w:r w:rsidRPr="00F3432C">
        <w:rPr>
          <w:rStyle w:val="Emphasis"/>
        </w:rPr>
        <w:t>character</w:t>
      </w:r>
      <w:r w:rsidRPr="00F3432C">
        <w:rPr>
          <w:sz w:val="14"/>
        </w:rPr>
        <w:t>, [</w:t>
      </w:r>
      <w:r w:rsidRPr="00F3432C">
        <w:rPr>
          <w:rStyle w:val="StyleUnderline"/>
        </w:rPr>
        <w:t>the</w:t>
      </w:r>
      <w:r w:rsidRPr="00F3432C">
        <w:rPr>
          <w:sz w:val="14"/>
        </w:rPr>
        <w:t xml:space="preserve"> U.S. </w:t>
      </w:r>
      <w:r w:rsidRPr="00F3432C">
        <w:rPr>
          <w:rStyle w:val="StyleUnderline"/>
        </w:rPr>
        <w:t>Supreme Court's</w:t>
      </w:r>
      <w:r w:rsidRPr="00F3432C">
        <w:rPr>
          <w:sz w:val="14"/>
        </w:rPr>
        <w:t xml:space="preserve">] </w:t>
      </w:r>
      <w:r w:rsidRPr="00F3432C">
        <w:rPr>
          <w:rStyle w:val="StyleUnderline"/>
        </w:rPr>
        <w:t>jurisdiction fails if the non-federal ground</w:t>
      </w:r>
      <w:r>
        <w:rPr>
          <w:rStyle w:val="StyleUnderline"/>
        </w:rPr>
        <w:t xml:space="preserve"> </w:t>
      </w:r>
      <w:r w:rsidRPr="00F3432C">
        <w:rPr>
          <w:rStyle w:val="StyleUnderline"/>
        </w:rPr>
        <w:t xml:space="preserve">is </w:t>
      </w:r>
      <w:r w:rsidRPr="00F3432C">
        <w:rPr>
          <w:rStyle w:val="Emphasis"/>
        </w:rPr>
        <w:t>independent of the federal ground</w:t>
      </w:r>
      <w:r w:rsidRPr="00F3432C">
        <w:rPr>
          <w:rStyle w:val="StyleUnderline"/>
        </w:rPr>
        <w:t xml:space="preserve"> and </w:t>
      </w:r>
      <w:r w:rsidRPr="00F3432C">
        <w:rPr>
          <w:rStyle w:val="Emphasis"/>
        </w:rPr>
        <w:t>adequate to support the judgment</w:t>
      </w:r>
      <w:r w:rsidRPr="00F3432C">
        <w:rPr>
          <w:sz w:val="14"/>
        </w:rPr>
        <w:t xml:space="preserve">.» 21 Of course, the question remains whether a decision is based exclusively, or primarily on state law, or both on state and federal law, and what consequences the existence of a mixed decision entails both procedurally and substantially. </w:t>
      </w:r>
      <w:r w:rsidRPr="00F3432C">
        <w:rPr>
          <w:rStyle w:val="StyleUnderline"/>
        </w:rPr>
        <w:t>It is</w:t>
      </w:r>
      <w:r>
        <w:rPr>
          <w:rStyle w:val="StyleUnderline"/>
        </w:rPr>
        <w:t xml:space="preserve"> </w:t>
      </w:r>
      <w:r w:rsidRPr="00F3432C">
        <w:rPr>
          <w:rStyle w:val="StyleUnderline"/>
        </w:rPr>
        <w:t>irrelevant</w:t>
      </w:r>
      <w:r w:rsidRPr="00F3432C">
        <w:rPr>
          <w:sz w:val="14"/>
        </w:rPr>
        <w:t xml:space="preserve">, in this respect, </w:t>
      </w:r>
      <w:r w:rsidRPr="00F3432C">
        <w:rPr>
          <w:rStyle w:val="StyleUnderline"/>
        </w:rPr>
        <w:t>whether</w:t>
      </w:r>
      <w:r w:rsidRPr="00F3432C">
        <w:rPr>
          <w:sz w:val="14"/>
        </w:rPr>
        <w:t xml:space="preserve"> «</w:t>
      </w:r>
      <w:r w:rsidRPr="00F3432C">
        <w:rPr>
          <w:rStyle w:val="StyleUnderline"/>
        </w:rPr>
        <w:t>the state court may be influenced by the</w:t>
      </w:r>
      <w:r>
        <w:rPr>
          <w:rStyle w:val="StyleUnderline"/>
        </w:rPr>
        <w:t xml:space="preserve"> </w:t>
      </w:r>
      <w:r w:rsidRPr="00F3432C">
        <w:rPr>
          <w:rStyle w:val="StyleUnderline"/>
        </w:rPr>
        <w:t>reasoning of [Supreme Court] opinions</w:t>
      </w:r>
      <w:r w:rsidRPr="00F3432C">
        <w:rPr>
          <w:sz w:val="14"/>
        </w:rPr>
        <w:t xml:space="preserve"> </w:t>
      </w:r>
      <w:proofErr w:type="gramStart"/>
      <w:r w:rsidRPr="00F3432C">
        <w:rPr>
          <w:sz w:val="14"/>
        </w:rPr>
        <w:t>... .</w:t>
      </w:r>
      <w:proofErr w:type="gramEnd"/>
      <w:r w:rsidRPr="00F3432C">
        <w:rPr>
          <w:sz w:val="14"/>
        </w:rPr>
        <w:t xml:space="preserve"> </w:t>
      </w:r>
      <w:r w:rsidRPr="00F3432C">
        <w:rPr>
          <w:rStyle w:val="StyleUnderline"/>
        </w:rPr>
        <w:t>The state court may be persuaded by</w:t>
      </w:r>
      <w:r>
        <w:rPr>
          <w:rStyle w:val="StyleUnderline"/>
        </w:rPr>
        <w:t xml:space="preserve"> </w:t>
      </w:r>
      <w:r w:rsidRPr="00F3432C">
        <w:rPr>
          <w:rStyle w:val="StyleUnderline"/>
        </w:rPr>
        <w:t>majority opinions</w:t>
      </w:r>
      <w:r w:rsidRPr="00F3432C">
        <w:rPr>
          <w:sz w:val="14"/>
        </w:rPr>
        <w:t xml:space="preserve"> in this Court or it may prefer the reasoning of dissenting judges, </w:t>
      </w:r>
      <w:r w:rsidRPr="00F3432C">
        <w:rPr>
          <w:rStyle w:val="StyleUnderline"/>
        </w:rPr>
        <w:t xml:space="preserve">but the judgment of the state court upon the application of its own constitution remains a judgment </w:t>
      </w:r>
      <w:r w:rsidRPr="00F3432C">
        <w:rPr>
          <w:rStyle w:val="Emphasis"/>
        </w:rPr>
        <w:t>which we are without jurisdiction to review</w:t>
      </w:r>
      <w:r w:rsidRPr="00F3432C">
        <w:rPr>
          <w:sz w:val="14"/>
        </w:rPr>
        <w:t xml:space="preserve">.»22 </w:t>
      </w:r>
      <w:r w:rsidRPr="00F3432C">
        <w:rPr>
          <w:rStyle w:val="Emphasis"/>
        </w:rPr>
        <w:t>The</w:t>
      </w:r>
      <w:r>
        <w:rPr>
          <w:rStyle w:val="Emphasis"/>
        </w:rPr>
        <w:t xml:space="preserve"> </w:t>
      </w:r>
      <w:r w:rsidRPr="00F3432C">
        <w:rPr>
          <w:rStyle w:val="Emphasis"/>
        </w:rPr>
        <w:t>‹adequate state grounds› principle</w:t>
      </w:r>
      <w:r w:rsidRPr="00F3432C">
        <w:rPr>
          <w:sz w:val="14"/>
        </w:rPr>
        <w:t xml:space="preserve"> has evolved over time,23 but </w:t>
      </w:r>
      <w:r w:rsidRPr="00F3432C">
        <w:rPr>
          <w:rStyle w:val="StyleUnderline"/>
        </w:rPr>
        <w:t>may best be described on the basis of Herb v. Pitcairn</w:t>
      </w:r>
      <w:r w:rsidRPr="00F3432C">
        <w:rPr>
          <w:sz w:val="14"/>
        </w:rPr>
        <w:t xml:space="preserve">24 </w:t>
      </w:r>
      <w:r w:rsidRPr="00F3432C">
        <w:rPr>
          <w:rStyle w:val="StyleUnderline"/>
        </w:rPr>
        <w:t>and Michigan v. Long</w:t>
      </w:r>
      <w:r w:rsidRPr="00F3432C">
        <w:rPr>
          <w:sz w:val="14"/>
        </w:rPr>
        <w:t xml:space="preserve">; 25 in Herb, Justice Jackson defined the reason behind the principle as follows: It is found in the partitioning of power between the state and federal judicial systems and in the limitations of our own jurisdiction. Our </w:t>
      </w:r>
      <w:r w:rsidRPr="00F3432C">
        <w:rPr>
          <w:rStyle w:val="StyleUnderline"/>
        </w:rPr>
        <w:t>only power over</w:t>
      </w:r>
      <w:r>
        <w:rPr>
          <w:rStyle w:val="StyleUnderline"/>
        </w:rPr>
        <w:t xml:space="preserve"> </w:t>
      </w:r>
      <w:r w:rsidRPr="00F3432C">
        <w:rPr>
          <w:rStyle w:val="StyleUnderline"/>
        </w:rPr>
        <w:t>state judgments is to correct them to the extent that they incorrectly adjudge</w:t>
      </w:r>
      <w:r>
        <w:rPr>
          <w:rStyle w:val="StyleUnderline"/>
        </w:rPr>
        <w:t xml:space="preserve"> </w:t>
      </w:r>
      <w:r w:rsidRPr="00F3432C">
        <w:rPr>
          <w:rStyle w:val="StyleUnderline"/>
        </w:rPr>
        <w:t>federal rights. And our power is to correct wrong judgments, not to revise</w:t>
      </w:r>
      <w:r>
        <w:rPr>
          <w:rStyle w:val="StyleUnderline"/>
        </w:rPr>
        <w:t xml:space="preserve"> </w:t>
      </w:r>
      <w:r w:rsidRPr="00F3432C">
        <w:rPr>
          <w:rStyle w:val="StyleUnderline"/>
        </w:rPr>
        <w:t>opinions.</w:t>
      </w:r>
      <w:r w:rsidRPr="00F3432C">
        <w:rPr>
          <w:sz w:val="14"/>
        </w:rPr>
        <w:t xml:space="preserve"> We are not permitted to render an advisory opinion, and if the same judgment would be rendered by the state court after we corrected its views of federal laws, our review could amount to nothing more than an advisory opinion.26</w:t>
      </w:r>
    </w:p>
    <w:p w14:paraId="5E9CC47E" w14:textId="77777777" w:rsidR="00A74A30" w:rsidRDefault="00A74A30" w:rsidP="00A74A30"/>
    <w:p w14:paraId="3F2AEB7E" w14:textId="77777777" w:rsidR="00A74A30" w:rsidRDefault="00A74A30" w:rsidP="00A74A30">
      <w:pPr>
        <w:pStyle w:val="Heading4"/>
      </w:pPr>
      <w:r>
        <w:t>State courts can be more progressive than federal law mandates---empirics</w:t>
      </w:r>
    </w:p>
    <w:p w14:paraId="6BD219E0" w14:textId="43260BFB" w:rsidR="003B7A7C" w:rsidRDefault="006B3040" w:rsidP="003B7A7C">
      <w:r>
        <w:t xml:space="preserve">Alexander H. E. </w:t>
      </w:r>
      <w:proofErr w:type="spellStart"/>
      <w:r w:rsidRPr="006B3040">
        <w:rPr>
          <w:b/>
          <w:bCs/>
          <w:sz w:val="26"/>
          <w:szCs w:val="26"/>
        </w:rPr>
        <w:t>Morawa</w:t>
      </w:r>
      <w:proofErr w:type="spellEnd"/>
      <w:r w:rsidRPr="006B3040">
        <w:rPr>
          <w:b/>
          <w:bCs/>
          <w:sz w:val="26"/>
          <w:szCs w:val="26"/>
        </w:rPr>
        <w:t>, 11</w:t>
      </w:r>
      <w:r>
        <w:t xml:space="preserve">, Chair in Comparative and Anglo-American Law and Associate Dean for Internationalization at the University of Lucerne, School of Law, Switzerland, "The 'New Judicial Federalism' in the United States – The Interplay of Federal and State Courts in Constitutional Adjudication," </w:t>
      </w:r>
      <w:hyperlink r:id="rId11" w:history="1">
        <w:r w:rsidR="003B7A7C" w:rsidRPr="004525AC">
          <w:rPr>
            <w:rStyle w:val="Hyperlink"/>
          </w:rPr>
          <w:t>https://papers.ssrn.com/sol3/papers.cfm?abstract_id=2604459)SE</w:t>
        </w:r>
      </w:hyperlink>
      <w:r w:rsidR="003B7A7C">
        <w:t>M</w:t>
      </w:r>
    </w:p>
    <w:p w14:paraId="433F28E5" w14:textId="25A676EC" w:rsidR="006B3040" w:rsidRDefault="003B7A7C" w:rsidP="006B3040">
      <w:r>
        <w:t>**Note: the author uses &lt;&lt;&gt;&gt; to indicate when he is quoting an outside source</w:t>
      </w:r>
    </w:p>
    <w:p w14:paraId="4773D828" w14:textId="77777777" w:rsidR="00A74A30" w:rsidRPr="00A74A30" w:rsidRDefault="00A74A30" w:rsidP="00A74A30">
      <w:pPr>
        <w:rPr>
          <w:sz w:val="14"/>
        </w:rPr>
      </w:pPr>
      <w:r w:rsidRPr="00F3432C">
        <w:rPr>
          <w:rStyle w:val="StyleUnderline"/>
        </w:rPr>
        <w:t>State</w:t>
      </w:r>
      <w:r w:rsidRPr="00A74A30">
        <w:rPr>
          <w:sz w:val="14"/>
        </w:rPr>
        <w:t xml:space="preserve"> supreme </w:t>
      </w:r>
      <w:r w:rsidRPr="00F3432C">
        <w:rPr>
          <w:rStyle w:val="StyleUnderline"/>
        </w:rPr>
        <w:t>courts have</w:t>
      </w:r>
      <w:r w:rsidRPr="00A74A30">
        <w:rPr>
          <w:sz w:val="14"/>
        </w:rPr>
        <w:t xml:space="preserve"> thus </w:t>
      </w:r>
      <w:r w:rsidRPr="00F3432C">
        <w:rPr>
          <w:rStyle w:val="Emphasis"/>
        </w:rPr>
        <w:t>regularly afforded broader constitutional protection</w:t>
      </w:r>
      <w:r w:rsidRPr="00F3432C">
        <w:rPr>
          <w:rStyle w:val="StyleUnderline"/>
        </w:rPr>
        <w:t xml:space="preserve"> to their citizens under state law and that authority is accepted today </w:t>
      </w:r>
      <w:r w:rsidRPr="00F3432C">
        <w:rPr>
          <w:rStyle w:val="Emphasis"/>
        </w:rPr>
        <w:t>even if</w:t>
      </w:r>
      <w:r>
        <w:rPr>
          <w:rStyle w:val="Emphasis"/>
        </w:rPr>
        <w:t xml:space="preserve"> </w:t>
      </w:r>
      <w:r w:rsidRPr="00F3432C">
        <w:rPr>
          <w:rStyle w:val="Emphasis"/>
        </w:rPr>
        <w:t>a state decision «diverges from federal precedence</w:t>
      </w:r>
      <w:r w:rsidRPr="00A74A30">
        <w:rPr>
          <w:sz w:val="14"/>
        </w:rPr>
        <w:t xml:space="preserve">»50 </w:t>
      </w:r>
      <w:r w:rsidRPr="00F3432C">
        <w:rPr>
          <w:rStyle w:val="StyleUnderline"/>
        </w:rPr>
        <w:t>or in the absence of federal case law. In 1948,</w:t>
      </w:r>
      <w:r w:rsidRPr="00A74A30">
        <w:rPr>
          <w:sz w:val="14"/>
        </w:rPr>
        <w:t xml:space="preserve"> for instance, </w:t>
      </w:r>
      <w:r w:rsidRPr="00F3432C">
        <w:rPr>
          <w:rStyle w:val="StyleUnderline"/>
        </w:rPr>
        <w:t>the California Supreme Court invalidated a</w:t>
      </w:r>
      <w:r>
        <w:rPr>
          <w:rStyle w:val="StyleUnderline"/>
        </w:rPr>
        <w:t xml:space="preserve"> </w:t>
      </w:r>
      <w:r w:rsidRPr="00F3432C">
        <w:rPr>
          <w:rStyle w:val="StyleUnderline"/>
        </w:rPr>
        <w:t>ban on mixed-race marriages</w:t>
      </w:r>
      <w:r w:rsidRPr="00A74A30">
        <w:rPr>
          <w:sz w:val="14"/>
        </w:rPr>
        <w:t xml:space="preserve"> in Perez v. Sharp; 51 a matching federal decision was withheld, despite numerous opportunities and various other states abolishing such marriage bans, by the US Supreme Court until its ruling in 1967 in Loving v. Virginia. 52 </w:t>
      </w:r>
      <w:r w:rsidRPr="00A74A30">
        <w:rPr>
          <w:rStyle w:val="StyleUnderline"/>
        </w:rPr>
        <w:t xml:space="preserve">Apart from </w:t>
      </w:r>
      <w:r w:rsidRPr="00A74A30">
        <w:rPr>
          <w:rStyle w:val="Emphasis"/>
        </w:rPr>
        <w:t>equal protection</w:t>
      </w:r>
      <w:r w:rsidRPr="00A74A30">
        <w:rPr>
          <w:rStyle w:val="StyleUnderline"/>
        </w:rPr>
        <w:t xml:space="preserve">, other </w:t>
      </w:r>
      <w:r w:rsidRPr="00A74A30">
        <w:rPr>
          <w:rStyle w:val="Emphasis"/>
        </w:rPr>
        <w:t>civil rights</w:t>
      </w:r>
      <w:r w:rsidRPr="00A74A30">
        <w:rPr>
          <w:rStyle w:val="StyleUnderline"/>
        </w:rPr>
        <w:t xml:space="preserve"> extensively</w:t>
      </w:r>
      <w:r>
        <w:rPr>
          <w:rStyle w:val="StyleUnderline"/>
        </w:rPr>
        <w:t xml:space="preserve"> </w:t>
      </w:r>
      <w:r w:rsidRPr="00A74A30">
        <w:rPr>
          <w:rStyle w:val="StyleUnderline"/>
        </w:rPr>
        <w:t xml:space="preserve">interpreted in that way include the protection from </w:t>
      </w:r>
      <w:r w:rsidRPr="00A74A30">
        <w:rPr>
          <w:rStyle w:val="Emphasis"/>
        </w:rPr>
        <w:t>searches and seizures</w:t>
      </w:r>
      <w:r w:rsidRPr="00A74A30">
        <w:rPr>
          <w:rStyle w:val="StyleUnderline"/>
        </w:rPr>
        <w:t xml:space="preserve">,53 </w:t>
      </w:r>
      <w:r w:rsidRPr="00A74A30">
        <w:rPr>
          <w:rStyle w:val="Emphasis"/>
        </w:rPr>
        <w:t>privacy rights</w:t>
      </w:r>
      <w:r w:rsidRPr="00A74A30">
        <w:rPr>
          <w:rStyle w:val="StyleUnderline"/>
        </w:rPr>
        <w:t>,54 and more recently the rights of same sex couples</w:t>
      </w:r>
      <w:r w:rsidRPr="00A74A30">
        <w:rPr>
          <w:sz w:val="14"/>
        </w:rPr>
        <w:t>, with a number of state courts mandating either gay marriage55 or civil unions56 in recent years, and two ruling against such unions.57</w:t>
      </w:r>
    </w:p>
    <w:p w14:paraId="423856AA" w14:textId="77777777" w:rsidR="00A74A30" w:rsidRPr="00815004" w:rsidRDefault="00A74A30" w:rsidP="00A74A30">
      <w:pPr>
        <w:pStyle w:val="Heading4"/>
      </w:pPr>
      <w:r>
        <w:t>Preemption is illegal under Supreme Court precedent</w:t>
      </w:r>
    </w:p>
    <w:p w14:paraId="06619353" w14:textId="77777777" w:rsidR="00A74A30" w:rsidRPr="00004C42" w:rsidRDefault="00A74A30" w:rsidP="00A74A30">
      <w:r>
        <w:t xml:space="preserve">Charlton C. </w:t>
      </w:r>
      <w:r w:rsidRPr="00004C42">
        <w:rPr>
          <w:b/>
          <w:bCs/>
          <w:sz w:val="26"/>
          <w:szCs w:val="26"/>
        </w:rPr>
        <w:t>Copeland, 11</w:t>
      </w:r>
      <w:r>
        <w:t xml:space="preserve">, Associate Professor, University </w:t>
      </w:r>
      <w:proofErr w:type="spellStart"/>
      <w:r>
        <w:t>ofMiami</w:t>
      </w:r>
      <w:proofErr w:type="spellEnd"/>
      <w:r>
        <w:t xml:space="preserve"> School </w:t>
      </w:r>
      <w:proofErr w:type="spellStart"/>
      <w:r>
        <w:t>ofLaw</w:t>
      </w:r>
      <w:proofErr w:type="spellEnd"/>
      <w:r>
        <w:t xml:space="preserve">. J.D., Yale Law School, “Federal Law in State Court: Judicial Federalism Through a Relational Lens,” Wm. &amp; Mary Bill </w:t>
      </w:r>
      <w:proofErr w:type="spellStart"/>
      <w:r>
        <w:t>Rts</w:t>
      </w:r>
      <w:proofErr w:type="spellEnd"/>
      <w:r>
        <w:t>. J. 511, https://repository.law.miami.edu/cgi/viewcontent.cgi?article=1297&amp;context=fac_articles)SEM</w:t>
      </w:r>
    </w:p>
    <w:p w14:paraId="685D8947" w14:textId="4AE2F11A" w:rsidR="00A74A30" w:rsidRDefault="00A74A30" w:rsidP="00A74A30">
      <w:pPr>
        <w:rPr>
          <w:sz w:val="14"/>
        </w:rPr>
      </w:pPr>
      <w:r w:rsidRPr="00815004">
        <w:rPr>
          <w:sz w:val="14"/>
        </w:rPr>
        <w:t xml:space="preserve">As in each of the other areas, the themes of </w:t>
      </w:r>
      <w:r w:rsidRPr="00004C42">
        <w:rPr>
          <w:rStyle w:val="StyleUnderline"/>
        </w:rPr>
        <w:t>union and independence</w:t>
      </w:r>
      <w:r w:rsidRPr="00815004">
        <w:rPr>
          <w:sz w:val="14"/>
        </w:rPr>
        <w:t xml:space="preserve"> are explicitly considered and put forth as </w:t>
      </w:r>
      <w:r w:rsidRPr="00004C42">
        <w:rPr>
          <w:rStyle w:val="StyleUnderline"/>
        </w:rPr>
        <w:t>justify</w:t>
      </w:r>
      <w:r w:rsidRPr="00815004">
        <w:rPr>
          <w:sz w:val="14"/>
        </w:rPr>
        <w:t xml:space="preserve">ing </w:t>
      </w:r>
      <w:r w:rsidRPr="00004C42">
        <w:rPr>
          <w:rStyle w:val="StyleUnderline"/>
        </w:rPr>
        <w:t>the Court's decisions regarding the preemption</w:t>
      </w:r>
      <w:r>
        <w:rPr>
          <w:rStyle w:val="StyleUnderline"/>
        </w:rPr>
        <w:t xml:space="preserve"> </w:t>
      </w:r>
      <w:r w:rsidRPr="00004C42">
        <w:rPr>
          <w:rStyle w:val="StyleUnderline"/>
        </w:rPr>
        <w:t>of state</w:t>
      </w:r>
      <w:r w:rsidRPr="00815004">
        <w:rPr>
          <w:sz w:val="14"/>
        </w:rPr>
        <w:t xml:space="preserve"> procedural </w:t>
      </w:r>
      <w:r w:rsidRPr="00004C42">
        <w:rPr>
          <w:rStyle w:val="StyleUnderline"/>
        </w:rPr>
        <w:t>rules when state courts adjudicate federal claims</w:t>
      </w:r>
      <w:r w:rsidRPr="00815004">
        <w:rPr>
          <w:sz w:val="14"/>
        </w:rPr>
        <w:t xml:space="preserve">. The evolution of the Court's jurisprudence exhibits its attempt to wrestle with the issues of the extent to which the federal and state courts represent one system or two separate systems. To an even greater extent than in the two preceding discussions of state courts and federal law, the area of federal preemption of state law raises questions of the balancing of the implications of unity and separation. </w:t>
      </w:r>
      <w:r w:rsidRPr="00815004">
        <w:rPr>
          <w:rStyle w:val="StyleUnderline"/>
        </w:rPr>
        <w:t>Nowhere is the Court's explicit recognition of the tension</w:t>
      </w:r>
      <w:r w:rsidRPr="00815004">
        <w:rPr>
          <w:sz w:val="14"/>
        </w:rPr>
        <w:t xml:space="preserve"> of connection and separation </w:t>
      </w:r>
      <w:r w:rsidRPr="00815004">
        <w:rPr>
          <w:rStyle w:val="StyleUnderline"/>
        </w:rPr>
        <w:t>clearer than in its decision in Minneapolis &amp; St. Louis Railroad Co. v. Bombolis</w:t>
      </w:r>
      <w:r w:rsidRPr="00815004">
        <w:rPr>
          <w:sz w:val="14"/>
        </w:rPr>
        <w:t xml:space="preserve">.438 </w:t>
      </w:r>
      <w:r w:rsidRPr="00815004">
        <w:rPr>
          <w:rStyle w:val="StyleUnderline"/>
        </w:rPr>
        <w:t>There, the Court faced the question of whether a state's rule allowing</w:t>
      </w:r>
      <w:r>
        <w:rPr>
          <w:rStyle w:val="StyleUnderline"/>
        </w:rPr>
        <w:t xml:space="preserve"> </w:t>
      </w:r>
      <w:r w:rsidRPr="00815004">
        <w:rPr>
          <w:rStyle w:val="StyleUnderline"/>
        </w:rPr>
        <w:t>for non-unanimous jury verdicts was preempted by the Seventh Amendment when</w:t>
      </w:r>
      <w:r>
        <w:rPr>
          <w:rStyle w:val="StyleUnderline"/>
        </w:rPr>
        <w:t xml:space="preserve"> </w:t>
      </w:r>
      <w:r w:rsidRPr="00815004">
        <w:rPr>
          <w:rStyle w:val="StyleUnderline"/>
        </w:rPr>
        <w:t>the state courts adjudicated federal claims</w:t>
      </w:r>
      <w:r w:rsidRPr="00815004">
        <w:rPr>
          <w:sz w:val="14"/>
        </w:rPr>
        <w:t xml:space="preserve">.4 39 </w:t>
      </w:r>
      <w:r w:rsidRPr="00815004">
        <w:rPr>
          <w:rStyle w:val="StyleUnderline"/>
        </w:rPr>
        <w:t xml:space="preserve">The Court </w:t>
      </w:r>
      <w:r w:rsidRPr="00815004">
        <w:rPr>
          <w:rStyle w:val="Emphasis"/>
        </w:rPr>
        <w:t>unanimously</w:t>
      </w:r>
      <w:r w:rsidRPr="00815004">
        <w:rPr>
          <w:rStyle w:val="StyleUnderline"/>
        </w:rPr>
        <w:t xml:space="preserve"> answered the</w:t>
      </w:r>
      <w:r>
        <w:rPr>
          <w:rStyle w:val="StyleUnderline"/>
        </w:rPr>
        <w:t xml:space="preserve"> </w:t>
      </w:r>
      <w:r w:rsidRPr="00815004">
        <w:rPr>
          <w:rStyle w:val="StyleUnderline"/>
        </w:rPr>
        <w:t xml:space="preserve">question with an </w:t>
      </w:r>
      <w:r w:rsidRPr="00815004">
        <w:rPr>
          <w:rStyle w:val="Emphasis"/>
        </w:rPr>
        <w:t>emphatic no</w:t>
      </w:r>
      <w:r w:rsidRPr="00815004">
        <w:rPr>
          <w:rStyle w:val="StyleUnderline"/>
        </w:rPr>
        <w:t>, explaining that long-settled precedent had concluded</w:t>
      </w:r>
      <w:r>
        <w:rPr>
          <w:rStyle w:val="StyleUnderline"/>
        </w:rPr>
        <w:t xml:space="preserve"> </w:t>
      </w:r>
      <w:r w:rsidRPr="00815004">
        <w:rPr>
          <w:rStyle w:val="StyleUnderline"/>
        </w:rPr>
        <w:t xml:space="preserve">that the Seventh Amendment's </w:t>
      </w:r>
      <w:r w:rsidRPr="00815004">
        <w:rPr>
          <w:rStyle w:val="Emphasis"/>
        </w:rPr>
        <w:t>obligations did not fall on state courts</w:t>
      </w:r>
      <w:r w:rsidRPr="00815004">
        <w:rPr>
          <w:sz w:val="14"/>
        </w:rPr>
        <w:t xml:space="preserve">.440 Beyond this, </w:t>
      </w:r>
      <w:r w:rsidRPr="00815004">
        <w:rPr>
          <w:rStyle w:val="StyleUnderline"/>
        </w:rPr>
        <w:t xml:space="preserve">the Court explained why </w:t>
      </w:r>
      <w:r w:rsidRPr="00815004">
        <w:rPr>
          <w:rStyle w:val="Emphasis"/>
        </w:rPr>
        <w:t>preempting state law would be inconsistent with the separation of two judicial systems</w:t>
      </w:r>
      <w:r w:rsidRPr="00815004">
        <w:rPr>
          <w:rStyle w:val="StyleUnderline"/>
        </w:rPr>
        <w:t>, as imposing federal procedural obligations on state</w:t>
      </w:r>
      <w:r>
        <w:rPr>
          <w:rStyle w:val="StyleUnderline"/>
        </w:rPr>
        <w:t xml:space="preserve"> </w:t>
      </w:r>
      <w:r w:rsidRPr="00815004">
        <w:rPr>
          <w:rStyle w:val="StyleUnderline"/>
        </w:rPr>
        <w:t>courts would suggest that they be "treated as Federal courts."</w:t>
      </w:r>
      <w:r w:rsidRPr="00815004">
        <w:rPr>
          <w:sz w:val="14"/>
        </w:rPr>
        <w:t xml:space="preserve">' </w:t>
      </w:r>
      <w:r w:rsidRPr="00815004">
        <w:rPr>
          <w:rStyle w:val="StyleUnderline"/>
        </w:rPr>
        <w:t>Such a "fluctuating</w:t>
      </w:r>
      <w:r>
        <w:rPr>
          <w:rStyle w:val="StyleUnderline"/>
        </w:rPr>
        <w:t xml:space="preserve"> </w:t>
      </w:r>
      <w:r w:rsidRPr="00815004">
        <w:rPr>
          <w:rStyle w:val="StyleUnderline"/>
        </w:rPr>
        <w:t>hybridization," the Court reasoned, would rob both federal and state courts of "all real,</w:t>
      </w:r>
      <w:r>
        <w:rPr>
          <w:rStyle w:val="StyleUnderline"/>
        </w:rPr>
        <w:t xml:space="preserve"> </w:t>
      </w:r>
      <w:r w:rsidRPr="00815004">
        <w:rPr>
          <w:rStyle w:val="StyleUnderline"/>
        </w:rPr>
        <w:t>independent existence</w:t>
      </w:r>
      <w:r w:rsidRPr="00815004">
        <w:rPr>
          <w:sz w:val="14"/>
        </w:rPr>
        <w:t xml:space="preserve">."" 2 The Court concluded that imposing federal procedural burdens on state courts would make their status as state or federal courts "depend not upon the character and source of the authority with which they were endowed by the government creating them, but upon the mere subject-matter of the controversy which they were considering." For the Court, a conclusion that state procedural rules must yield in the face of national procedural rules would be to invalidate their existence as separate adjudicatory structures. </w:t>
      </w:r>
      <w:r w:rsidRPr="00815004">
        <w:rPr>
          <w:rStyle w:val="StyleUnderline"/>
        </w:rPr>
        <w:t>Although the Court emphasized the separation of the state and federal judicial</w:t>
      </w:r>
      <w:r>
        <w:rPr>
          <w:rStyle w:val="StyleUnderline"/>
        </w:rPr>
        <w:t xml:space="preserve"> </w:t>
      </w:r>
      <w:r w:rsidRPr="00815004">
        <w:rPr>
          <w:rStyle w:val="StyleUnderline"/>
        </w:rPr>
        <w:t>systems</w:t>
      </w:r>
      <w:r w:rsidRPr="00815004">
        <w:rPr>
          <w:sz w:val="14"/>
        </w:rPr>
        <w:t xml:space="preserve"> as one explanation for refusing to preempt state law regarding jury verdicts, </w:t>
      </w:r>
      <w:r w:rsidRPr="00815004">
        <w:rPr>
          <w:rStyle w:val="StyleUnderline"/>
        </w:rPr>
        <w:t>the Court also highlighted the connection between the two systems as the basis for its</w:t>
      </w:r>
      <w:r>
        <w:rPr>
          <w:rStyle w:val="StyleUnderline"/>
        </w:rPr>
        <w:t xml:space="preserve"> </w:t>
      </w:r>
      <w:r w:rsidRPr="00815004">
        <w:rPr>
          <w:rStyle w:val="StyleUnderline"/>
        </w:rPr>
        <w:t>refusal to displace state procedures</w:t>
      </w:r>
      <w:r w:rsidRPr="00815004">
        <w:rPr>
          <w:sz w:val="14"/>
        </w:rPr>
        <w:t xml:space="preserve">."" The Court concluded that the argument in favor of preemption of state procedural rules is inconsistent with the "essential principle" of concurrent state and federal judicial authority over federal claims." 5 On the Court's reading, concurrent of adjudicatory authority "cause[s] the governments and courts of both the Nation and the several States not to be strange or foreign to each other .. </w:t>
      </w:r>
      <w:proofErr w:type="gramStart"/>
      <w:r w:rsidRPr="00815004">
        <w:rPr>
          <w:sz w:val="14"/>
        </w:rPr>
        <w:t>.but</w:t>
      </w:r>
      <w:proofErr w:type="gramEnd"/>
      <w:r w:rsidRPr="00815004">
        <w:rPr>
          <w:sz w:val="14"/>
        </w:rPr>
        <w:t xml:space="preserve"> to be all courts of a common country. . . ." Though the Court recognized connection between the state and federal courts, it is a connection that accepts the distinctiveness of the authority undergirding each system.</w:t>
      </w:r>
    </w:p>
    <w:p w14:paraId="7F485F50" w14:textId="167D7D58" w:rsidR="00611957" w:rsidRDefault="00611957" w:rsidP="00A74A30">
      <w:pPr>
        <w:rPr>
          <w:sz w:val="14"/>
        </w:rPr>
      </w:pPr>
    </w:p>
    <w:p w14:paraId="673E676B" w14:textId="206D5043" w:rsidR="00611957" w:rsidRDefault="00611957" w:rsidP="00611957">
      <w:pPr>
        <w:pStyle w:val="Heading3"/>
      </w:pPr>
      <w:r>
        <w:t>AT: Perm Do Both</w:t>
      </w:r>
    </w:p>
    <w:p w14:paraId="026AE37E" w14:textId="6D0F8E6F" w:rsidR="00611957" w:rsidRDefault="00611957" w:rsidP="00611957">
      <w:pPr>
        <w:pStyle w:val="Heading4"/>
      </w:pPr>
      <w:r>
        <w:t>Perm do both links to the net benefit---simultaneous action means the Supreme Court has to rule controversially on its own federal constitutional grounds while the states rule on state constitutional grounds---that means no shielding</w:t>
      </w:r>
    </w:p>
    <w:p w14:paraId="08D82ECA" w14:textId="6887B59A" w:rsidR="00E77710" w:rsidRDefault="00E77710" w:rsidP="00E77710"/>
    <w:p w14:paraId="394EB3F5" w14:textId="2D71A86B" w:rsidR="00E77710" w:rsidRDefault="00E77710" w:rsidP="00E77710">
      <w:pPr>
        <w:pStyle w:val="Heading3"/>
      </w:pPr>
      <w:r>
        <w:t>AT: Links to Court DA</w:t>
      </w:r>
    </w:p>
    <w:p w14:paraId="7B27DC85" w14:textId="0D2AA975" w:rsidR="00E77710" w:rsidRDefault="00E77710" w:rsidP="00E77710">
      <w:pPr>
        <w:pStyle w:val="Heading4"/>
      </w:pPr>
      <w:r>
        <w:t xml:space="preserve">Delay solves---follow-on </w:t>
      </w:r>
      <w:proofErr w:type="gramStart"/>
      <w:r>
        <w:t>wouldn’t</w:t>
      </w:r>
      <w:proofErr w:type="gramEnd"/>
      <w:r>
        <w:t xml:space="preserve"> cause the Court to rule until </w:t>
      </w:r>
      <w:r w:rsidRPr="006F164C">
        <w:rPr>
          <w:u w:val="single"/>
        </w:rPr>
        <w:t>next term</w:t>
      </w:r>
      <w:r>
        <w:t xml:space="preserve"> because </w:t>
      </w:r>
      <w:r w:rsidR="006F164C">
        <w:t xml:space="preserve">percolation requires </w:t>
      </w:r>
      <w:r w:rsidR="006F164C" w:rsidRPr="006F164C">
        <w:rPr>
          <w:u w:val="single"/>
        </w:rPr>
        <w:t>demonstration of success</w:t>
      </w:r>
      <w:r>
        <w:t xml:space="preserve">---the </w:t>
      </w:r>
      <w:proofErr w:type="spellStart"/>
      <w:r>
        <w:t>aff’s</w:t>
      </w:r>
      <w:proofErr w:type="spellEnd"/>
      <w:r>
        <w:t xml:space="preserve"> fiat is immediate, but follow-on isn’t</w:t>
      </w:r>
    </w:p>
    <w:p w14:paraId="7C56EA1B" w14:textId="3D0B085F" w:rsidR="00E77710" w:rsidRDefault="00A15390" w:rsidP="00A15390">
      <w:pPr>
        <w:pStyle w:val="Heading3"/>
      </w:pPr>
      <w:r>
        <w:t>AT: States CP Theory</w:t>
      </w:r>
    </w:p>
    <w:p w14:paraId="418139E3" w14:textId="042EB064" w:rsidR="00A15390" w:rsidRDefault="00A15390" w:rsidP="00A15390">
      <w:pPr>
        <w:pStyle w:val="Heading4"/>
      </w:pPr>
      <w:r>
        <w:t xml:space="preserve">50 state </w:t>
      </w:r>
      <w:proofErr w:type="gramStart"/>
      <w:r>
        <w:t>fiat</w:t>
      </w:r>
      <w:proofErr w:type="gramEnd"/>
      <w:r>
        <w:t xml:space="preserve"> is good</w:t>
      </w:r>
    </w:p>
    <w:p w14:paraId="38C7CDA1" w14:textId="00D28EBF" w:rsidR="00A15390" w:rsidRPr="00A15390" w:rsidRDefault="00A15390" w:rsidP="00A15390">
      <w:pPr>
        <w:pStyle w:val="Heading4"/>
      </w:pPr>
      <w:r>
        <w:t>Offense—</w:t>
      </w:r>
    </w:p>
    <w:p w14:paraId="7D11ED32" w14:textId="09C40735" w:rsidR="00A15390" w:rsidRDefault="00A15390" w:rsidP="00A15390">
      <w:pPr>
        <w:pStyle w:val="Heading4"/>
      </w:pPr>
      <w:r>
        <w:t xml:space="preserve">1) Education---state vs. federal courts is a </w:t>
      </w:r>
      <w:r w:rsidRPr="00A15390">
        <w:rPr>
          <w:u w:val="single"/>
        </w:rPr>
        <w:t>relevant</w:t>
      </w:r>
      <w:r>
        <w:t xml:space="preserve">, </w:t>
      </w:r>
      <w:r>
        <w:rPr>
          <w:u w:val="single"/>
        </w:rPr>
        <w:t>germane</w:t>
      </w:r>
      <w:r>
        <w:t xml:space="preserve"> controversy in the context of CJR and has </w:t>
      </w:r>
      <w:r>
        <w:rPr>
          <w:u w:val="single"/>
        </w:rPr>
        <w:t>reciprocal literature</w:t>
      </w:r>
      <w:r>
        <w:t>---that’s Herman</w:t>
      </w:r>
    </w:p>
    <w:p w14:paraId="05E148AA" w14:textId="339C34B5" w:rsidR="00A15390" w:rsidRDefault="00A15390" w:rsidP="00A15390">
      <w:pPr>
        <w:pStyle w:val="Heading4"/>
      </w:pPr>
      <w:r>
        <w:t>2) Neg ground---</w:t>
      </w:r>
      <w:proofErr w:type="gramStart"/>
      <w:r>
        <w:t>it’s</w:t>
      </w:r>
      <w:proofErr w:type="gramEnd"/>
      <w:r>
        <w:t xml:space="preserve"> our only core generic on a massive topic with no unified </w:t>
      </w:r>
      <w:proofErr w:type="spellStart"/>
      <w:r>
        <w:t>disad</w:t>
      </w:r>
      <w:proofErr w:type="spellEnd"/>
      <w:r>
        <w:t xml:space="preserve"> ground because CJR bad is unwinnable</w:t>
      </w:r>
    </w:p>
    <w:p w14:paraId="405521CB" w14:textId="0A9ECF49" w:rsidR="00A15390" w:rsidRDefault="00A15390" w:rsidP="00A15390">
      <w:pPr>
        <w:pStyle w:val="Heading4"/>
      </w:pPr>
      <w:r>
        <w:t xml:space="preserve">3) Functional limits---key to check small </w:t>
      </w:r>
      <w:proofErr w:type="spellStart"/>
      <w:r>
        <w:t>affs</w:t>
      </w:r>
      <w:proofErr w:type="spellEnd"/>
      <w:r>
        <w:t xml:space="preserve"> with no fed key warrant and focuses the debate on the </w:t>
      </w:r>
      <w:r>
        <w:rPr>
          <w:u w:val="single"/>
        </w:rPr>
        <w:t>biggest controversies</w:t>
      </w:r>
      <w:r>
        <w:t xml:space="preserve"> with </w:t>
      </w:r>
      <w:r>
        <w:rPr>
          <w:u w:val="single"/>
        </w:rPr>
        <w:t>literature-based</w:t>
      </w:r>
      <w:r>
        <w:t xml:space="preserve"> agent distinctions</w:t>
      </w:r>
    </w:p>
    <w:p w14:paraId="0982DA98" w14:textId="7C08C019" w:rsidR="00A15390" w:rsidRDefault="00A15390" w:rsidP="00A15390"/>
    <w:p w14:paraId="76BE78D6" w14:textId="263FAE6D" w:rsidR="00A15390" w:rsidRDefault="00A15390" w:rsidP="00A15390">
      <w:pPr>
        <w:pStyle w:val="Heading4"/>
      </w:pPr>
      <w:r>
        <w:t>Defense—</w:t>
      </w:r>
    </w:p>
    <w:p w14:paraId="6BA313CF" w14:textId="20F36EE0" w:rsidR="00A15390" w:rsidRDefault="00A15390" w:rsidP="00A15390">
      <w:pPr>
        <w:pStyle w:val="Heading4"/>
      </w:pPr>
      <w:r>
        <w:t xml:space="preserve">1) Solves </w:t>
      </w:r>
      <w:proofErr w:type="spellStart"/>
      <w:r>
        <w:t>aff</w:t>
      </w:r>
      <w:proofErr w:type="spellEnd"/>
      <w:r>
        <w:t xml:space="preserve"> ground---teams can leverage circumvention, enforcement, federal law key, and race to the bottom solvency deficits---</w:t>
      </w:r>
      <w:proofErr w:type="gramStart"/>
      <w:r>
        <w:t>it’s</w:t>
      </w:r>
      <w:proofErr w:type="gramEnd"/>
      <w:r>
        <w:t xml:space="preserve"> not a silver bullet</w:t>
      </w:r>
    </w:p>
    <w:p w14:paraId="6A3BE608" w14:textId="6FFC9983" w:rsidR="00A15390" w:rsidRPr="00E477B6" w:rsidRDefault="00A15390" w:rsidP="00A15390">
      <w:pPr>
        <w:pStyle w:val="Heading4"/>
      </w:pPr>
      <w:r>
        <w:t xml:space="preserve">2) Uniformity and “real world” arguments link to the </w:t>
      </w:r>
      <w:proofErr w:type="spellStart"/>
      <w:r>
        <w:t>aff</w:t>
      </w:r>
      <w:proofErr w:type="spellEnd"/>
      <w:r>
        <w:t>---they fiat several federal actors uniformly comply</w:t>
      </w:r>
    </w:p>
    <w:p w14:paraId="16F4A83C" w14:textId="5F34789D" w:rsidR="00A15390" w:rsidRDefault="00A15390" w:rsidP="00A15390">
      <w:pPr>
        <w:pStyle w:val="Heading4"/>
      </w:pPr>
      <w:r>
        <w:t>Reject the argument not team</w:t>
      </w:r>
    </w:p>
    <w:p w14:paraId="6B55A335" w14:textId="77777777" w:rsidR="00A15390" w:rsidRPr="00A15390" w:rsidRDefault="00A15390" w:rsidP="00A15390"/>
    <w:p w14:paraId="355447B9" w14:textId="14EFFCF9" w:rsidR="00004C42" w:rsidRDefault="00004C42" w:rsidP="00953706">
      <w:pPr>
        <w:pStyle w:val="Heading2"/>
      </w:pPr>
      <w:r>
        <w:t>AFF</w:t>
      </w:r>
    </w:p>
    <w:p w14:paraId="55C890E8" w14:textId="618EC547" w:rsidR="001210B1" w:rsidRPr="001210B1" w:rsidRDefault="001210B1" w:rsidP="001210B1">
      <w:proofErr w:type="spellStart"/>
      <w:r>
        <w:t>Aff</w:t>
      </w:r>
      <w:proofErr w:type="spellEnd"/>
      <w:r>
        <w:t xml:space="preserve"> answers will tend to be </w:t>
      </w:r>
      <w:proofErr w:type="spellStart"/>
      <w:r>
        <w:t>aff</w:t>
      </w:r>
      <w:proofErr w:type="spellEnd"/>
      <w:r>
        <w:t>-specific</w:t>
      </w:r>
    </w:p>
    <w:p w14:paraId="18EF1BCD" w14:textId="56A2965C" w:rsidR="00004C42" w:rsidRDefault="00611957" w:rsidP="00004C42">
      <w:pPr>
        <w:pStyle w:val="Heading3"/>
      </w:pPr>
      <w:r>
        <w:t xml:space="preserve">2AC---Court </w:t>
      </w:r>
      <w:r w:rsidR="00004C42">
        <w:t xml:space="preserve">Stripping </w:t>
      </w:r>
      <w:r>
        <w:t>DA</w:t>
      </w:r>
    </w:p>
    <w:p w14:paraId="276FE36F" w14:textId="58A0ECF4" w:rsidR="003831F1" w:rsidRPr="003831F1" w:rsidRDefault="003831F1" w:rsidP="003831F1">
      <w:pPr>
        <w:pStyle w:val="Heading4"/>
        <w:rPr>
          <w:u w:val="single"/>
        </w:rPr>
      </w:pPr>
      <w:r>
        <w:t xml:space="preserve">State courts </w:t>
      </w:r>
      <w:proofErr w:type="gramStart"/>
      <w:r>
        <w:rPr>
          <w:u w:val="single"/>
        </w:rPr>
        <w:t>can’t</w:t>
      </w:r>
      <w:proofErr w:type="gramEnd"/>
      <w:r>
        <w:rPr>
          <w:u w:val="single"/>
        </w:rPr>
        <w:t xml:space="preserve"> rule</w:t>
      </w:r>
      <w:r>
        <w:t xml:space="preserve"> on federal grounds---Congress will </w:t>
      </w:r>
      <w:r>
        <w:rPr>
          <w:u w:val="single"/>
        </w:rPr>
        <w:t>strip jurisdiction</w:t>
      </w:r>
    </w:p>
    <w:p w14:paraId="405CE990" w14:textId="6A7FAA85" w:rsidR="003831F1" w:rsidRPr="003831F1" w:rsidRDefault="003831F1" w:rsidP="003831F1">
      <w:r>
        <w:t xml:space="preserve">Michael C. </w:t>
      </w:r>
      <w:r w:rsidRPr="00F91084">
        <w:rPr>
          <w:b/>
          <w:bCs/>
          <w:sz w:val="26"/>
          <w:szCs w:val="26"/>
        </w:rPr>
        <w:t xml:space="preserve">Dorf, </w:t>
      </w:r>
      <w:r w:rsidR="00F91084" w:rsidRPr="00F91084">
        <w:rPr>
          <w:b/>
          <w:bCs/>
          <w:sz w:val="26"/>
          <w:szCs w:val="26"/>
        </w:rPr>
        <w:t>18</w:t>
      </w:r>
      <w:r>
        <w:t xml:space="preserve">, </w:t>
      </w:r>
      <w:r w:rsidR="00F91084">
        <w:t xml:space="preserve">Robert S. Stevens Professor of Law, Cornell Law School, </w:t>
      </w:r>
      <w:r>
        <w:t xml:space="preserve">"Congressional Power to Strip State Courts of Jurisdiction," Texas Law Review, </w:t>
      </w:r>
      <w:r w:rsidR="00F91084">
        <w:t xml:space="preserve">Nov. 2018, </w:t>
      </w:r>
      <w:r>
        <w:t>https://texaslawreview.org/congressional-power-to-strip-state-courts-of-jurisdiction/</w:t>
      </w:r>
      <w:r w:rsidR="00F91084">
        <w:t>)SEM</w:t>
      </w:r>
    </w:p>
    <w:p w14:paraId="578CE09C" w14:textId="44DA96C7" w:rsidR="00953706" w:rsidRPr="003831F1" w:rsidRDefault="00953706" w:rsidP="00004C42">
      <w:r w:rsidRPr="003831F1">
        <w:t>A.</w:t>
      </w:r>
      <w:r w:rsidR="003831F1" w:rsidRPr="003831F1">
        <w:t xml:space="preserve"> </w:t>
      </w:r>
      <w:r w:rsidRPr="00953706">
        <w:rPr>
          <w:rStyle w:val="StyleUnderline"/>
        </w:rPr>
        <w:t>When Congress vests exclusive original jurisdiction over</w:t>
      </w:r>
      <w:r w:rsidRPr="003831F1">
        <w:t xml:space="preserve"> some class of </w:t>
      </w:r>
      <w:r w:rsidRPr="00953706">
        <w:rPr>
          <w:rStyle w:val="StyleUnderline"/>
        </w:rPr>
        <w:t>federal claims in the lower federal courts</w:t>
      </w:r>
      <w:r w:rsidRPr="003831F1">
        <w:t xml:space="preserve"> (as it has done with respect to intellectual property claims</w:t>
      </w:r>
      <w:r w:rsidR="003831F1" w:rsidRPr="003831F1">
        <w:t xml:space="preserve">, </w:t>
      </w:r>
      <w:r w:rsidRPr="003831F1">
        <w:t xml:space="preserve">for example), </w:t>
      </w:r>
      <w:r w:rsidRPr="003831F1">
        <w:rPr>
          <w:rStyle w:val="StyleUnderline"/>
        </w:rPr>
        <w:t xml:space="preserve">it </w:t>
      </w:r>
      <w:r w:rsidRPr="003831F1">
        <w:rPr>
          <w:rStyle w:val="Emphasis"/>
        </w:rPr>
        <w:t>exercises its power to “ordain and establish”</w:t>
      </w:r>
      <w:r w:rsidRPr="003831F1">
        <w:rPr>
          <w:rStyle w:val="StyleUnderline"/>
        </w:rPr>
        <w:t xml:space="preserve"> lower federal courts</w:t>
      </w:r>
      <w:r w:rsidRPr="003831F1">
        <w:t xml:space="preserve"> under Article III and, with respect to claims under or regarding federal statutes, whatever enumerated power authorizes the adoption of the statute. </w:t>
      </w:r>
      <w:r w:rsidRPr="003831F1">
        <w:rPr>
          <w:rStyle w:val="StyleUnderline"/>
        </w:rPr>
        <w:t>Congress can</w:t>
      </w:r>
      <w:r w:rsidRPr="003831F1">
        <w:t xml:space="preserve">, if it chooses, </w:t>
      </w:r>
      <w:r w:rsidRPr="003831F1">
        <w:rPr>
          <w:rStyle w:val="Emphasis"/>
        </w:rPr>
        <w:t xml:space="preserve">divest state courts of jurisdiction over such claims </w:t>
      </w:r>
      <w:proofErr w:type="gramStart"/>
      <w:r w:rsidRPr="003831F1">
        <w:rPr>
          <w:rStyle w:val="StyleUnderline"/>
        </w:rPr>
        <w:t>in order to</w:t>
      </w:r>
      <w:proofErr w:type="gramEnd"/>
      <w:r w:rsidRPr="003831F1">
        <w:rPr>
          <w:rStyle w:val="StyleUnderline"/>
        </w:rPr>
        <w:t xml:space="preserve"> steer litigation into federal courts. Legislation vesting exclusive jurisdiction in federal court is </w:t>
      </w:r>
      <w:r w:rsidRPr="003831F1">
        <w:rPr>
          <w:rStyle w:val="Emphasis"/>
        </w:rPr>
        <w:t>so uncontroversial</w:t>
      </w:r>
      <w:r w:rsidRPr="003831F1">
        <w:rPr>
          <w:rStyle w:val="StyleUnderline"/>
        </w:rPr>
        <w:t xml:space="preserve"> as not to register as “jurisdiction stripping” at all.</w:t>
      </w:r>
      <w:r w:rsidRPr="003831F1">
        <w:t xml:space="preserve"> Accordingly, </w:t>
      </w:r>
      <w:proofErr w:type="gramStart"/>
      <w:r w:rsidRPr="003831F1">
        <w:t>all of</w:t>
      </w:r>
      <w:proofErr w:type="gramEnd"/>
      <w:r w:rsidRPr="003831F1">
        <w:t xml:space="preserve"> the interesting cases involving congressional stripping of jurisdiction from state courts involve simultaneous stripping of jurisdiction from federal courts (as indicated in the mere parenthetical references to federal courts in the next three categories of jurisdiction stripping).</w:t>
      </w:r>
      <w:r w:rsidR="003831F1" w:rsidRPr="003831F1">
        <w:t xml:space="preserve"> </w:t>
      </w:r>
      <w:r w:rsidRPr="003831F1">
        <w:t>B.</w:t>
      </w:r>
      <w:r w:rsidR="003831F1" w:rsidRPr="003831F1">
        <w:t xml:space="preserve"> </w:t>
      </w:r>
      <w:r w:rsidRPr="003831F1">
        <w:rPr>
          <w:rStyle w:val="StyleUnderline"/>
        </w:rPr>
        <w:t>When Congress divests state</w:t>
      </w:r>
      <w:r w:rsidRPr="003831F1">
        <w:t xml:space="preserve"> (and federal) </w:t>
      </w:r>
      <w:r w:rsidRPr="003831F1">
        <w:rPr>
          <w:rStyle w:val="StyleUnderline"/>
        </w:rPr>
        <w:t xml:space="preserve">courts of jurisdiction to hear claims arising under federal statutes, it </w:t>
      </w:r>
      <w:r w:rsidRPr="003831F1">
        <w:rPr>
          <w:rStyle w:val="Emphasis"/>
        </w:rPr>
        <w:t>exercises whatever congressional power</w:t>
      </w:r>
      <w:r w:rsidRPr="003831F1">
        <w:rPr>
          <w:rStyle w:val="StyleUnderline"/>
        </w:rPr>
        <w:t xml:space="preserve"> authorizes the federal statute itself</w:t>
      </w:r>
      <w:r w:rsidRPr="003831F1">
        <w:t>. The greater power not to have enacted the statute in the first place includes the lesser power to enact a statute that does not give rise to statutory claims justiciable in state (or federal) courts. This class of jurisdiction stripping might be thought to raise concerns related to the doctrine of procedural due process: if Congress purports to grant substantive rights, there could be limits on its ability to deny those rights via procedural limits, including limits on state court jurisdiction. However, given recent trends, that objection would likely fail if litigated.</w:t>
      </w:r>
      <w:r w:rsidR="003831F1" w:rsidRPr="003831F1">
        <w:t xml:space="preserve"> </w:t>
      </w:r>
      <w:r w:rsidRPr="003831F1">
        <w:t>C.</w:t>
      </w:r>
      <w:r w:rsidR="003831F1" w:rsidRPr="003831F1">
        <w:t xml:space="preserve"> </w:t>
      </w:r>
      <w:r w:rsidRPr="003831F1">
        <w:rPr>
          <w:rStyle w:val="StyleUnderline"/>
        </w:rPr>
        <w:t>When Congress divests state</w:t>
      </w:r>
      <w:r w:rsidRPr="003831F1">
        <w:t xml:space="preserve"> (and federal) </w:t>
      </w:r>
      <w:r w:rsidRPr="003831F1">
        <w:rPr>
          <w:rStyle w:val="StyleUnderline"/>
        </w:rPr>
        <w:t>courts of</w:t>
      </w:r>
      <w:r w:rsidRPr="003831F1">
        <w:t xml:space="preserve"> original </w:t>
      </w:r>
      <w:r w:rsidRPr="003831F1">
        <w:rPr>
          <w:rStyle w:val="StyleUnderline"/>
        </w:rPr>
        <w:t xml:space="preserve">jurisdiction to hear constitutional challenges to federal laws, it </w:t>
      </w:r>
      <w:r w:rsidRPr="003831F1">
        <w:rPr>
          <w:rStyle w:val="Emphasis"/>
        </w:rPr>
        <w:t>exercises whatever power warrants the substantive provisions</w:t>
      </w:r>
      <w:r w:rsidRPr="003831F1">
        <w:rPr>
          <w:rStyle w:val="StyleUnderline"/>
        </w:rPr>
        <w:t xml:space="preserve"> of those federal laws</w:t>
      </w:r>
      <w:r w:rsidRPr="003831F1">
        <w:t>. For example, the provision of the Portal-to-Portal Act that barred all courts from hearing constitutional challenges to the substantive provisions of the Act was necessary and proper to the exercise of the Commerce power, which authorized the substantive provisions of the Act. To be sure, a jurisdiction-stripping provision might violate due process or some other so-called external limit. Much of the voluminous literature on jurisdiction stripping addresses the nature and scope of such limits, typically by focusing on the lonely real-world example of the Portal-to-Portal Act. But the questions raised in this branch of the jurisdiction-stripping literature are best understood as concerning issues other than Congress’s affirmative power.</w:t>
      </w:r>
    </w:p>
    <w:p w14:paraId="2D7F6236" w14:textId="4FDE4329" w:rsidR="00004C42" w:rsidRDefault="00611957" w:rsidP="00A74A30">
      <w:pPr>
        <w:pStyle w:val="Heading3"/>
      </w:pPr>
      <w:r>
        <w:t>2AC---Preemption DA</w:t>
      </w:r>
    </w:p>
    <w:p w14:paraId="7847A350" w14:textId="5A279479" w:rsidR="00A74A30" w:rsidRPr="00A74A30" w:rsidRDefault="00A74A30" w:rsidP="00A74A30">
      <w:pPr>
        <w:pStyle w:val="Heading4"/>
      </w:pPr>
      <w:proofErr w:type="gramStart"/>
      <w:r>
        <w:t>There’s</w:t>
      </w:r>
      <w:proofErr w:type="gramEnd"/>
      <w:r>
        <w:t xml:space="preserve"> a rollback DA---</w:t>
      </w:r>
      <w:r w:rsidRPr="00A74A30">
        <w:rPr>
          <w:u w:val="single"/>
        </w:rPr>
        <w:t>litigation</w:t>
      </w:r>
      <w:r>
        <w:t xml:space="preserve"> in federal courts </w:t>
      </w:r>
      <w:r w:rsidRPr="00A74A30">
        <w:rPr>
          <w:u w:val="single"/>
        </w:rPr>
        <w:t>waters down</w:t>
      </w:r>
      <w:r>
        <w:t xml:space="preserve"> the CP</w:t>
      </w:r>
    </w:p>
    <w:p w14:paraId="6910AB9C" w14:textId="7E44237A" w:rsidR="006B3040" w:rsidRDefault="006B3040" w:rsidP="006B3040">
      <w:r>
        <w:t xml:space="preserve">Alexander H. E. </w:t>
      </w:r>
      <w:proofErr w:type="spellStart"/>
      <w:r w:rsidRPr="006B3040">
        <w:rPr>
          <w:b/>
          <w:bCs/>
          <w:sz w:val="26"/>
          <w:szCs w:val="26"/>
        </w:rPr>
        <w:t>Morawa</w:t>
      </w:r>
      <w:proofErr w:type="spellEnd"/>
      <w:r w:rsidRPr="006B3040">
        <w:rPr>
          <w:b/>
          <w:bCs/>
          <w:sz w:val="26"/>
          <w:szCs w:val="26"/>
        </w:rPr>
        <w:t>, 11</w:t>
      </w:r>
      <w:r>
        <w:t xml:space="preserve">, Chair in Comparative and Anglo-American Law and Associate Dean for Internationalization at the University of Lucerne, School of Law, Switzerland, "The 'New Judicial Federalism' in the United States – The Interplay of Federal and State Courts in Constitutional Adjudication," </w:t>
      </w:r>
      <w:hyperlink r:id="rId12" w:history="1">
        <w:r w:rsidR="00030849" w:rsidRPr="004525AC">
          <w:rPr>
            <w:rStyle w:val="Hyperlink"/>
          </w:rPr>
          <w:t>https://papers.ssrn.com/sol3/papers.cfm?abstract_id=2604459)SEM</w:t>
        </w:r>
      </w:hyperlink>
    </w:p>
    <w:p w14:paraId="53638837" w14:textId="09D61DEB" w:rsidR="00030849" w:rsidRDefault="00030849" w:rsidP="006B3040">
      <w:r>
        <w:t>**Note: the author uses &lt;&lt;&gt;&gt; to indicate when he is quoting an outside source</w:t>
      </w:r>
    </w:p>
    <w:p w14:paraId="622CA9DF" w14:textId="2409C8B3" w:rsidR="00A74A30" w:rsidRPr="00A74A30" w:rsidRDefault="00A74A30" w:rsidP="00A74A30">
      <w:r w:rsidRPr="00A74A30">
        <w:t xml:space="preserve">These </w:t>
      </w:r>
      <w:r w:rsidRPr="00A74A30">
        <w:rPr>
          <w:rStyle w:val="StyleUnderline"/>
        </w:rPr>
        <w:t>general affirmations of states’ rights notwithstanding, it has been suggested</w:t>
      </w:r>
      <w:r w:rsidRPr="00A74A30">
        <w:t xml:space="preserve">115 </w:t>
      </w:r>
      <w:r w:rsidRPr="00A74A30">
        <w:rPr>
          <w:rStyle w:val="StyleUnderline"/>
        </w:rPr>
        <w:t xml:space="preserve">that recent Supreme Court practice has tended to </w:t>
      </w:r>
      <w:r w:rsidRPr="00A74A30">
        <w:rPr>
          <w:rStyle w:val="Emphasis"/>
        </w:rPr>
        <w:t>reign in state supreme</w:t>
      </w:r>
      <w:r>
        <w:rPr>
          <w:rStyle w:val="Emphasis"/>
        </w:rPr>
        <w:t xml:space="preserve"> </w:t>
      </w:r>
      <w:r w:rsidRPr="00A74A30">
        <w:rPr>
          <w:rStyle w:val="Emphasis"/>
        </w:rPr>
        <w:t>courts that attempted to construe constitutional rights more broadly</w:t>
      </w:r>
      <w:r w:rsidRPr="00A74A30">
        <w:rPr>
          <w:rStyle w:val="StyleUnderline"/>
        </w:rPr>
        <w:t xml:space="preserve"> than the</w:t>
      </w:r>
      <w:r>
        <w:rPr>
          <w:rStyle w:val="StyleUnderline"/>
        </w:rPr>
        <w:t xml:space="preserve"> </w:t>
      </w:r>
      <w:r w:rsidRPr="00A74A30">
        <w:rPr>
          <w:rStyle w:val="StyleUnderline"/>
        </w:rPr>
        <w:t xml:space="preserve">scope of federal interpretation was, many times by means of </w:t>
      </w:r>
      <w:r w:rsidRPr="00A74A30">
        <w:rPr>
          <w:rStyle w:val="Emphasis"/>
        </w:rPr>
        <w:t>litigation brought to</w:t>
      </w:r>
      <w:r>
        <w:rPr>
          <w:rStyle w:val="Emphasis"/>
        </w:rPr>
        <w:t xml:space="preserve"> </w:t>
      </w:r>
      <w:r w:rsidRPr="00A74A30">
        <w:rPr>
          <w:rStyle w:val="Emphasis"/>
        </w:rPr>
        <w:t>the federal arena by a state's executive branch</w:t>
      </w:r>
      <w:r w:rsidRPr="00A74A30">
        <w:rPr>
          <w:rStyle w:val="StyleUnderline"/>
        </w:rPr>
        <w:t xml:space="preserve"> that is in disagreement with its</w:t>
      </w:r>
      <w:r>
        <w:rPr>
          <w:rStyle w:val="StyleUnderline"/>
        </w:rPr>
        <w:t xml:space="preserve"> </w:t>
      </w:r>
      <w:r w:rsidRPr="00A74A30">
        <w:rPr>
          <w:rStyle w:val="StyleUnderline"/>
        </w:rPr>
        <w:t>own supreme court. The Court has held beginning with Oregon v.</w:t>
      </w:r>
      <w:r>
        <w:rPr>
          <w:rStyle w:val="StyleUnderline"/>
        </w:rPr>
        <w:t xml:space="preserve"> </w:t>
      </w:r>
      <w:r w:rsidRPr="00A74A30">
        <w:rPr>
          <w:rStyle w:val="StyleUnderline"/>
        </w:rPr>
        <w:t>Hess</w:t>
      </w:r>
      <w:r w:rsidRPr="00A74A30">
        <w:t>116 and reiterated in numerous other cases, such as Arkansas v. Sullivan117 that: «[</w:t>
      </w:r>
      <w:r w:rsidRPr="00A74A30">
        <w:rPr>
          <w:rStyle w:val="StyleUnderline"/>
        </w:rPr>
        <w:t>W]</w:t>
      </w:r>
      <w:proofErr w:type="spellStart"/>
      <w:r w:rsidRPr="00A74A30">
        <w:rPr>
          <w:rStyle w:val="StyleUnderline"/>
        </w:rPr>
        <w:t>hile</w:t>
      </w:r>
      <w:proofErr w:type="spellEnd"/>
      <w:r w:rsidRPr="00A74A30">
        <w:rPr>
          <w:rStyle w:val="StyleUnderline"/>
        </w:rPr>
        <w:t xml:space="preserve"> ‹a State is free as a matter of its own law to impose greater restrictions on police activity than those this Court holds to be necessary upon federal</w:t>
      </w:r>
      <w:r>
        <w:rPr>
          <w:rStyle w:val="StyleUnderline"/>
        </w:rPr>
        <w:t xml:space="preserve"> </w:t>
      </w:r>
      <w:r w:rsidRPr="00A74A30">
        <w:rPr>
          <w:rStyle w:val="StyleUnderline"/>
        </w:rPr>
        <w:t xml:space="preserve">constitutional standards,› </w:t>
      </w:r>
      <w:r w:rsidRPr="00A74A30">
        <w:rPr>
          <w:rStyle w:val="Emphasis"/>
        </w:rPr>
        <w:t>it ‹may not impose such greater restrictions as a matter of federal constitutional law when this Court specifically refrains from imposing them</w:t>
      </w:r>
      <w:r w:rsidRPr="00A74A30">
        <w:t>. »118</w:t>
      </w:r>
    </w:p>
    <w:p w14:paraId="7216730A" w14:textId="133E6A22" w:rsidR="00004C42" w:rsidRPr="00004C42" w:rsidRDefault="00004C42" w:rsidP="00004C42"/>
    <w:sectPr w:rsidR="00004C42" w:rsidRPr="00004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1777447360"/>
    <w:docVar w:name="VerbatimVersion" w:val="5.1"/>
  </w:docVars>
  <w:rsids>
    <w:rsidRoot w:val="002E51F3"/>
    <w:rsid w:val="00004C42"/>
    <w:rsid w:val="000139A3"/>
    <w:rsid w:val="00030849"/>
    <w:rsid w:val="000D2E2E"/>
    <w:rsid w:val="00100833"/>
    <w:rsid w:val="00104529"/>
    <w:rsid w:val="00105942"/>
    <w:rsid w:val="00107396"/>
    <w:rsid w:val="001210B1"/>
    <w:rsid w:val="00123232"/>
    <w:rsid w:val="00144A4C"/>
    <w:rsid w:val="00176AB0"/>
    <w:rsid w:val="00177B7D"/>
    <w:rsid w:val="0018322D"/>
    <w:rsid w:val="001A2777"/>
    <w:rsid w:val="001B5776"/>
    <w:rsid w:val="001E527A"/>
    <w:rsid w:val="001F78CE"/>
    <w:rsid w:val="0023713C"/>
    <w:rsid w:val="00251FC7"/>
    <w:rsid w:val="002855A7"/>
    <w:rsid w:val="002B146A"/>
    <w:rsid w:val="002B5E17"/>
    <w:rsid w:val="002D2A83"/>
    <w:rsid w:val="002D44B0"/>
    <w:rsid w:val="002E51F3"/>
    <w:rsid w:val="00310545"/>
    <w:rsid w:val="00315690"/>
    <w:rsid w:val="00316B75"/>
    <w:rsid w:val="00325646"/>
    <w:rsid w:val="003460F2"/>
    <w:rsid w:val="00354A09"/>
    <w:rsid w:val="0038158C"/>
    <w:rsid w:val="003831F1"/>
    <w:rsid w:val="003902BA"/>
    <w:rsid w:val="003A09E2"/>
    <w:rsid w:val="003B7A7C"/>
    <w:rsid w:val="00407037"/>
    <w:rsid w:val="00414BBE"/>
    <w:rsid w:val="00427450"/>
    <w:rsid w:val="004554F7"/>
    <w:rsid w:val="004605D6"/>
    <w:rsid w:val="00461C92"/>
    <w:rsid w:val="00492868"/>
    <w:rsid w:val="004C60E8"/>
    <w:rsid w:val="004E3579"/>
    <w:rsid w:val="004E728B"/>
    <w:rsid w:val="004F39E0"/>
    <w:rsid w:val="004F4340"/>
    <w:rsid w:val="00537BD5"/>
    <w:rsid w:val="0057268A"/>
    <w:rsid w:val="0058431C"/>
    <w:rsid w:val="005D2912"/>
    <w:rsid w:val="006065BD"/>
    <w:rsid w:val="00611957"/>
    <w:rsid w:val="00645FA9"/>
    <w:rsid w:val="00647866"/>
    <w:rsid w:val="00665003"/>
    <w:rsid w:val="006A2AD0"/>
    <w:rsid w:val="006B1D59"/>
    <w:rsid w:val="006B3040"/>
    <w:rsid w:val="006B64C8"/>
    <w:rsid w:val="006C2375"/>
    <w:rsid w:val="006D272C"/>
    <w:rsid w:val="006D4ECC"/>
    <w:rsid w:val="006F164C"/>
    <w:rsid w:val="006F620B"/>
    <w:rsid w:val="00701EF1"/>
    <w:rsid w:val="00722258"/>
    <w:rsid w:val="007243E5"/>
    <w:rsid w:val="007333CA"/>
    <w:rsid w:val="00766EA0"/>
    <w:rsid w:val="007A2226"/>
    <w:rsid w:val="007F5B66"/>
    <w:rsid w:val="00815004"/>
    <w:rsid w:val="00823A1C"/>
    <w:rsid w:val="00845B9D"/>
    <w:rsid w:val="00853040"/>
    <w:rsid w:val="00860984"/>
    <w:rsid w:val="008B3ECB"/>
    <w:rsid w:val="008B4E85"/>
    <w:rsid w:val="008C1B2E"/>
    <w:rsid w:val="0091627E"/>
    <w:rsid w:val="00953706"/>
    <w:rsid w:val="0097032B"/>
    <w:rsid w:val="009D2EAD"/>
    <w:rsid w:val="009D54B2"/>
    <w:rsid w:val="009E1922"/>
    <w:rsid w:val="009E4B7C"/>
    <w:rsid w:val="009F7ED2"/>
    <w:rsid w:val="00A15390"/>
    <w:rsid w:val="00A4218E"/>
    <w:rsid w:val="00A74A30"/>
    <w:rsid w:val="00A93661"/>
    <w:rsid w:val="00A95652"/>
    <w:rsid w:val="00AC0AB8"/>
    <w:rsid w:val="00B33C6D"/>
    <w:rsid w:val="00B4508F"/>
    <w:rsid w:val="00B55AD5"/>
    <w:rsid w:val="00B8057C"/>
    <w:rsid w:val="00B834A5"/>
    <w:rsid w:val="00B8780C"/>
    <w:rsid w:val="00BC216D"/>
    <w:rsid w:val="00BD6238"/>
    <w:rsid w:val="00BF593B"/>
    <w:rsid w:val="00BF773A"/>
    <w:rsid w:val="00BF7E81"/>
    <w:rsid w:val="00C13773"/>
    <w:rsid w:val="00C17CC8"/>
    <w:rsid w:val="00C83417"/>
    <w:rsid w:val="00C9604F"/>
    <w:rsid w:val="00CA19AA"/>
    <w:rsid w:val="00CB657C"/>
    <w:rsid w:val="00CC5298"/>
    <w:rsid w:val="00CD736E"/>
    <w:rsid w:val="00CD798D"/>
    <w:rsid w:val="00CE161E"/>
    <w:rsid w:val="00CE2D0C"/>
    <w:rsid w:val="00CF59A8"/>
    <w:rsid w:val="00D325A9"/>
    <w:rsid w:val="00D36A8A"/>
    <w:rsid w:val="00D61409"/>
    <w:rsid w:val="00D61635"/>
    <w:rsid w:val="00D6691E"/>
    <w:rsid w:val="00D71170"/>
    <w:rsid w:val="00DA1C92"/>
    <w:rsid w:val="00DA25D4"/>
    <w:rsid w:val="00DA34B0"/>
    <w:rsid w:val="00DA6538"/>
    <w:rsid w:val="00DC6217"/>
    <w:rsid w:val="00E13DBE"/>
    <w:rsid w:val="00E15E75"/>
    <w:rsid w:val="00E1642E"/>
    <w:rsid w:val="00E502F4"/>
    <w:rsid w:val="00E5262C"/>
    <w:rsid w:val="00E77710"/>
    <w:rsid w:val="00EA676A"/>
    <w:rsid w:val="00EC7DC4"/>
    <w:rsid w:val="00ED30CF"/>
    <w:rsid w:val="00F00974"/>
    <w:rsid w:val="00F0393C"/>
    <w:rsid w:val="00F176EF"/>
    <w:rsid w:val="00F3432C"/>
    <w:rsid w:val="00F3544C"/>
    <w:rsid w:val="00F45E10"/>
    <w:rsid w:val="00F6364A"/>
    <w:rsid w:val="00F91084"/>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4767"/>
  <w15:chartTrackingRefBased/>
  <w15:docId w15:val="{8F8A2EAF-62C2-4898-8C88-80FAF24A0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F164C"/>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6F16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6F164C"/>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6F164C"/>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Normal Tag,small text,heading 2,Ch,Heading 2 Char2 Char,Heading 2 Char1 Char Char,TAG,no read,No Spacing2111, Ch,ta,small space,Ta,t,nonunderlined,T,Heading 2 Char Char Char Char,No Spacing211,No Spacing12,No Spacing111111,Ca"/>
    <w:basedOn w:val="Normal"/>
    <w:next w:val="Normal"/>
    <w:link w:val="Heading4Char"/>
    <w:uiPriority w:val="3"/>
    <w:unhideWhenUsed/>
    <w:qFormat/>
    <w:rsid w:val="006F164C"/>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6F16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64C"/>
  </w:style>
  <w:style w:type="character" w:customStyle="1" w:styleId="Heading1Char">
    <w:name w:val="Heading 1 Char"/>
    <w:aliases w:val="Pocket Char"/>
    <w:basedOn w:val="DefaultParagraphFont"/>
    <w:link w:val="Heading1"/>
    <w:rsid w:val="006F164C"/>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6F164C"/>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6F164C"/>
    <w:rPr>
      <w:rFonts w:ascii="Times New Roman" w:eastAsiaTheme="majorEastAsia" w:hAnsi="Times New Roman" w:cstheme="majorBidi"/>
      <w:b/>
      <w:sz w:val="30"/>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a Char,t Char"/>
    <w:basedOn w:val="DefaultParagraphFont"/>
    <w:link w:val="Heading4"/>
    <w:uiPriority w:val="3"/>
    <w:rsid w:val="006F164C"/>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6F164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F164C"/>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6F164C"/>
    <w:rPr>
      <w:b w:val="0"/>
      <w:sz w:val="22"/>
      <w:u w:val="single"/>
    </w:rPr>
  </w:style>
  <w:style w:type="character" w:styleId="Hyperlink">
    <w:name w:val="Hyperlink"/>
    <w:basedOn w:val="DefaultParagraphFont"/>
    <w:uiPriority w:val="99"/>
    <w:unhideWhenUsed/>
    <w:rsid w:val="006F164C"/>
    <w:rPr>
      <w:color w:val="auto"/>
      <w:u w:val="none"/>
    </w:rPr>
  </w:style>
  <w:style w:type="character" w:styleId="FollowedHyperlink">
    <w:name w:val="FollowedHyperlink"/>
    <w:basedOn w:val="DefaultParagraphFont"/>
    <w:uiPriority w:val="99"/>
    <w:semiHidden/>
    <w:unhideWhenUsed/>
    <w:rsid w:val="006F164C"/>
    <w:rPr>
      <w:color w:val="auto"/>
      <w:u w:val="none"/>
    </w:rPr>
  </w:style>
  <w:style w:type="paragraph" w:customStyle="1" w:styleId="Emphasis1">
    <w:name w:val="Emphasis1"/>
    <w:basedOn w:val="Normal"/>
    <w:link w:val="Emphasis"/>
    <w:autoRedefine/>
    <w:uiPriority w:val="7"/>
    <w:qFormat/>
    <w:rsid w:val="0023713C"/>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styleId="BalloonText">
    <w:name w:val="Balloon Text"/>
    <w:basedOn w:val="Normal"/>
    <w:link w:val="BalloonTextChar"/>
    <w:uiPriority w:val="99"/>
    <w:semiHidden/>
    <w:unhideWhenUsed/>
    <w:rsid w:val="003B7A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A7C"/>
    <w:rPr>
      <w:rFonts w:ascii="Segoe UI" w:hAnsi="Segoe UI" w:cs="Segoe UI"/>
      <w:sz w:val="18"/>
      <w:szCs w:val="18"/>
    </w:rPr>
  </w:style>
  <w:style w:type="character" w:styleId="CommentReference">
    <w:name w:val="annotation reference"/>
    <w:basedOn w:val="DefaultParagraphFont"/>
    <w:uiPriority w:val="99"/>
    <w:semiHidden/>
    <w:unhideWhenUsed/>
    <w:rsid w:val="003B7A7C"/>
    <w:rPr>
      <w:sz w:val="16"/>
      <w:szCs w:val="16"/>
    </w:rPr>
  </w:style>
  <w:style w:type="paragraph" w:styleId="CommentText">
    <w:name w:val="annotation text"/>
    <w:basedOn w:val="Normal"/>
    <w:link w:val="CommentTextChar"/>
    <w:uiPriority w:val="99"/>
    <w:semiHidden/>
    <w:unhideWhenUsed/>
    <w:rsid w:val="003B7A7C"/>
    <w:rPr>
      <w:sz w:val="20"/>
      <w:szCs w:val="20"/>
    </w:rPr>
  </w:style>
  <w:style w:type="character" w:customStyle="1" w:styleId="CommentTextChar">
    <w:name w:val="Comment Text Char"/>
    <w:basedOn w:val="DefaultParagraphFont"/>
    <w:link w:val="CommentText"/>
    <w:uiPriority w:val="99"/>
    <w:semiHidden/>
    <w:rsid w:val="003B7A7C"/>
    <w:rPr>
      <w:rFonts w:ascii="Calibri" w:hAnsi="Calibri" w:cs="Calibri"/>
      <w:sz w:val="20"/>
      <w:szCs w:val="20"/>
    </w:rPr>
  </w:style>
  <w:style w:type="character" w:styleId="UnresolvedMention">
    <w:name w:val="Unresolved Mention"/>
    <w:basedOn w:val="DefaultParagraphFont"/>
    <w:uiPriority w:val="99"/>
    <w:semiHidden/>
    <w:unhideWhenUsed/>
    <w:rsid w:val="003B7A7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11957"/>
    <w:rPr>
      <w:b/>
      <w:bCs/>
    </w:rPr>
  </w:style>
  <w:style w:type="character" w:customStyle="1" w:styleId="CommentSubjectChar">
    <w:name w:val="Comment Subject Char"/>
    <w:basedOn w:val="CommentTextChar"/>
    <w:link w:val="CommentSubject"/>
    <w:uiPriority w:val="99"/>
    <w:semiHidden/>
    <w:rsid w:val="00611957"/>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4602230">
      <w:bodyDiv w:val="1"/>
      <w:marLeft w:val="0"/>
      <w:marRight w:val="0"/>
      <w:marTop w:val="0"/>
      <w:marBottom w:val="0"/>
      <w:divBdr>
        <w:top w:val="none" w:sz="0" w:space="0" w:color="auto"/>
        <w:left w:val="none" w:sz="0" w:space="0" w:color="auto"/>
        <w:bottom w:val="none" w:sz="0" w:space="0" w:color="auto"/>
        <w:right w:val="none" w:sz="0" w:space="0" w:color="auto"/>
      </w:divBdr>
      <w:divsChild>
        <w:div w:id="161745931">
          <w:marLeft w:val="0"/>
          <w:marRight w:val="0"/>
          <w:marTop w:val="0"/>
          <w:marBottom w:val="0"/>
          <w:divBdr>
            <w:top w:val="none" w:sz="0" w:space="0" w:color="auto"/>
            <w:left w:val="none" w:sz="0" w:space="0" w:color="auto"/>
            <w:bottom w:val="none" w:sz="0" w:space="0" w:color="auto"/>
            <w:right w:val="none" w:sz="0" w:space="0" w:color="auto"/>
          </w:divBdr>
          <w:divsChild>
            <w:div w:id="1979063768">
              <w:marLeft w:val="0"/>
              <w:marRight w:val="0"/>
              <w:marTop w:val="0"/>
              <w:marBottom w:val="0"/>
              <w:divBdr>
                <w:top w:val="none" w:sz="0" w:space="0" w:color="auto"/>
                <w:left w:val="none" w:sz="0" w:space="0" w:color="auto"/>
                <w:bottom w:val="none" w:sz="0" w:space="0" w:color="auto"/>
                <w:right w:val="none" w:sz="0" w:space="0" w:color="auto"/>
              </w:divBdr>
            </w:div>
          </w:divsChild>
        </w:div>
        <w:div w:id="742995236">
          <w:marLeft w:val="0"/>
          <w:marRight w:val="0"/>
          <w:marTop w:val="0"/>
          <w:marBottom w:val="0"/>
          <w:divBdr>
            <w:top w:val="none" w:sz="0" w:space="0" w:color="auto"/>
            <w:left w:val="none" w:sz="0" w:space="0" w:color="auto"/>
            <w:bottom w:val="none" w:sz="0" w:space="0" w:color="auto"/>
            <w:right w:val="none" w:sz="0" w:space="0" w:color="auto"/>
          </w:divBdr>
          <w:divsChild>
            <w:div w:id="342516811">
              <w:marLeft w:val="0"/>
              <w:marRight w:val="0"/>
              <w:marTop w:val="0"/>
              <w:marBottom w:val="0"/>
              <w:divBdr>
                <w:top w:val="none" w:sz="0" w:space="0" w:color="auto"/>
                <w:left w:val="none" w:sz="0" w:space="0" w:color="auto"/>
                <w:bottom w:val="none" w:sz="0" w:space="0" w:color="auto"/>
                <w:right w:val="none" w:sz="0" w:space="0" w:color="auto"/>
              </w:divBdr>
            </w:div>
          </w:divsChild>
        </w:div>
        <w:div w:id="2136558839">
          <w:marLeft w:val="0"/>
          <w:marRight w:val="0"/>
          <w:marTop w:val="0"/>
          <w:marBottom w:val="0"/>
          <w:divBdr>
            <w:top w:val="none" w:sz="0" w:space="0" w:color="auto"/>
            <w:left w:val="none" w:sz="0" w:space="0" w:color="auto"/>
            <w:bottom w:val="none" w:sz="0" w:space="0" w:color="auto"/>
            <w:right w:val="none" w:sz="0" w:space="0" w:color="auto"/>
          </w:divBdr>
          <w:divsChild>
            <w:div w:id="10866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2604459)SE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nyulawreview.org/wp-content/uploads/2018/08/NYULawReview-81-5-Shepard.pdf" TargetMode="External"/><Relationship Id="rId12" Type="http://schemas.openxmlformats.org/officeDocument/2006/relationships/hyperlink" Target="https://papers.ssrn.com/sol3/papers.cfm?abstract_id=2604459)S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rooklynworks.brooklaw.edu/cgi/viewcontent.cgi?article=1994&amp;context=faculty" TargetMode="External"/><Relationship Id="rId11" Type="http://schemas.openxmlformats.org/officeDocument/2006/relationships/hyperlink" Target="https://papers.ssrn.com/sol3/papers.cfm?abstract_id=2604459)SE" TargetMode="External"/><Relationship Id="rId5" Type="http://schemas.openxmlformats.org/officeDocument/2006/relationships/webSettings" Target="webSettings.xml"/><Relationship Id="rId10" Type="http://schemas.openxmlformats.org/officeDocument/2006/relationships/hyperlink" Target="https://papers.ssrn.com/sol3/papers.cfm?abstract_id=2604459)SEM" TargetMode="External"/><Relationship Id="rId4" Type="http://schemas.openxmlformats.org/officeDocument/2006/relationships/settings" Target="settings.xml"/><Relationship Id="rId9" Type="http://schemas.openxmlformats.org/officeDocument/2006/relationships/hyperlink" Target="https://papers.ssrn.com/sol3/papers.cfm?abstract_id=2604459)SE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BA7FF-D1DD-4D61-9838-E60986DFC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436</TotalTime>
  <Pages>1</Pages>
  <Words>8199</Words>
  <Characters>46735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Meacham</dc:creator>
  <cp:keywords>5.1.1</cp:keywords>
  <dc:description/>
  <cp:lastModifiedBy>Bricker, Brett</cp:lastModifiedBy>
  <cp:revision>11</cp:revision>
  <dcterms:created xsi:type="dcterms:W3CDTF">2020-06-21T21:37:00Z</dcterms:created>
  <dcterms:modified xsi:type="dcterms:W3CDTF">2020-07-05T22:03:00Z</dcterms:modified>
</cp:coreProperties>
</file>