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4597757" w14:textId="77777777" w:rsidR="00F93747" w:rsidRDefault="00F93747" w:rsidP="00F93747">
      <w:pPr>
        <w:pStyle w:val="Heading1"/>
      </w:pPr>
      <w:r>
        <w:t>CP---State Courts---Supplement</w:t>
      </w:r>
    </w:p>
    <w:p w14:paraId="774400EB" w14:textId="77777777" w:rsidR="00F93747" w:rsidRDefault="00F93747" w:rsidP="00F93747">
      <w:pPr>
        <w:pStyle w:val="Heading2"/>
      </w:pPr>
      <w:r>
        <w:lastRenderedPageBreak/>
        <w:t>NEG</w:t>
      </w:r>
    </w:p>
    <w:p w14:paraId="06E4400B" w14:textId="77777777" w:rsidR="00F93747" w:rsidRDefault="00F93747" w:rsidP="00F93747">
      <w:pPr>
        <w:pStyle w:val="Heading3"/>
      </w:pPr>
      <w:r>
        <w:lastRenderedPageBreak/>
        <w:t>1NC---Text</w:t>
      </w:r>
    </w:p>
    <w:p w14:paraId="7D79A575" w14:textId="72D9AA6E" w:rsidR="00F93747" w:rsidRPr="007A2E9D" w:rsidRDefault="00F93747" w:rsidP="00F93747">
      <w:pPr>
        <w:pStyle w:val="Heading4"/>
      </w:pPr>
      <w:r w:rsidRPr="007A2E9D">
        <w:t xml:space="preserve">The </w:t>
      </w:r>
      <w:r>
        <w:t xml:space="preserve">state and local </w:t>
      </w:r>
      <w:r w:rsidR="006113FD">
        <w:t xml:space="preserve">judiciaries </w:t>
      </w:r>
      <w:r>
        <w:t>of the United States should rule that [AFF problem] is unconstitutional</w:t>
      </w:r>
    </w:p>
    <w:p w14:paraId="3ECD73F0" w14:textId="77777777" w:rsidR="00F93747" w:rsidRPr="00F93747" w:rsidRDefault="00F93747" w:rsidP="00F93747">
      <w:pPr>
        <w:pStyle w:val="Heading3"/>
      </w:pPr>
      <w:r w:rsidRPr="00F93747">
        <w:t>Solvency---Generic</w:t>
      </w:r>
    </w:p>
    <w:p w14:paraId="6AE59088" w14:textId="77777777" w:rsidR="00F93747" w:rsidRPr="005D29F7" w:rsidRDefault="00F93747" w:rsidP="00F93747">
      <w:pPr>
        <w:pStyle w:val="Heading4"/>
      </w:pPr>
      <w:r w:rsidRPr="005D29F7">
        <w:t>State courts are uniquely empowered to enact reform inaccessible at the federal level</w:t>
      </w:r>
    </w:p>
    <w:p w14:paraId="03E6A327" w14:textId="77777777" w:rsidR="00F93747" w:rsidRPr="005D29F7" w:rsidRDefault="00F93747" w:rsidP="00F93747">
      <w:pPr>
        <w:rPr>
          <w:rStyle w:val="Style13ptBold"/>
          <w:b w:val="0"/>
          <w:bCs w:val="0"/>
          <w:sz w:val="20"/>
          <w:szCs w:val="16"/>
        </w:rPr>
      </w:pPr>
      <w:r w:rsidRPr="00E97042">
        <w:rPr>
          <w:rStyle w:val="Style13ptBold"/>
        </w:rPr>
        <w:t>Wright 02</w:t>
      </w:r>
      <w:r>
        <w:rPr>
          <w:rStyle w:val="Style13ptBold"/>
        </w:rPr>
        <w:t xml:space="preserve"> </w:t>
      </w:r>
      <w:r w:rsidRPr="005D29F7">
        <w:rPr>
          <w:rStyle w:val="Style13ptBold"/>
          <w:b w:val="0"/>
          <w:bCs w:val="0"/>
          <w:sz w:val="20"/>
          <w:szCs w:val="16"/>
        </w:rPr>
        <w:t>(</w:t>
      </w:r>
      <w:hyperlink r:id="rId6" w:history="1">
        <w:r w:rsidRPr="005D29F7">
          <w:rPr>
            <w:rStyle w:val="Hyperlink"/>
            <w:sz w:val="20"/>
            <w:szCs w:val="16"/>
          </w:rPr>
          <w:t>https://search-proquest-com.proxy.lib.umich.edu/docview/236251940/9FAE387A9D2844B7PQ/32?accountid=14667</w:t>
        </w:r>
      </w:hyperlink>
      <w:r w:rsidRPr="005D29F7">
        <w:rPr>
          <w:rStyle w:val="Style13ptBold"/>
          <w:b w:val="0"/>
          <w:bCs w:val="0"/>
          <w:sz w:val="20"/>
          <w:szCs w:val="16"/>
        </w:rPr>
        <w:t xml:space="preserve">, How the Supreme Court delivers fire and ice to state criminal justice, Ron Wright is one of the nation's best known criminal justice scholars. He is the co-author of two casebooks in criminal procedure and sentencing; his empirical research concentrates on the work of criminal prosecutors) </w:t>
      </w:r>
    </w:p>
    <w:p w14:paraId="420DB874" w14:textId="77777777" w:rsidR="00F93747" w:rsidRDefault="00F93747" w:rsidP="00F93747">
      <w:pPr>
        <w:rPr>
          <w:sz w:val="14"/>
        </w:rPr>
      </w:pPr>
      <w:r w:rsidRPr="00E364F7">
        <w:rPr>
          <w:sz w:val="14"/>
        </w:rPr>
        <w:t xml:space="preserve">The Warren Court's federalism legacy is ironically strong. Its holdings, and even more so its rhetoric, put change and the control of police discretion on the agenda for many players in criminal justice. The Warren Court did not set out to strengthen </w:t>
      </w:r>
      <w:r w:rsidRPr="00E364F7">
        <w:rPr>
          <w:rStyle w:val="Emphasis"/>
        </w:rPr>
        <w:t>state courts</w:t>
      </w:r>
      <w:r w:rsidRPr="00E364F7">
        <w:rPr>
          <w:sz w:val="14"/>
        </w:rPr>
        <w:t xml:space="preserve"> and legislatures, but these state and local rule makers</w:t>
      </w:r>
      <w:r w:rsidRPr="00E364F7">
        <w:rPr>
          <w:rStyle w:val="Emphasis"/>
        </w:rPr>
        <w:t xml:space="preserve"> gained the most when the Court placed limits on the discretionary actors further down the line, </w:t>
      </w:r>
      <w:r w:rsidRPr="00E364F7">
        <w:rPr>
          <w:rStyle w:val="StyleUnderline"/>
        </w:rPr>
        <w:t>such as police officers and trial judges</w:t>
      </w:r>
      <w:r w:rsidRPr="00E364F7">
        <w:rPr>
          <w:sz w:val="14"/>
        </w:rPr>
        <w:t xml:space="preserve">. </w:t>
      </w:r>
      <w:r w:rsidRPr="00E364F7">
        <w:rPr>
          <w:rStyle w:val="Emphasis"/>
        </w:rPr>
        <w:t>State courts could always read their own constitutions differently than the federal constitution</w:t>
      </w:r>
      <w:r w:rsidRPr="00E364F7">
        <w:rPr>
          <w:sz w:val="14"/>
        </w:rPr>
        <w:t xml:space="preserve">. </w:t>
      </w:r>
      <w:r w:rsidRPr="00E364F7">
        <w:rPr>
          <w:rStyle w:val="StyleUnderline"/>
        </w:rPr>
        <w:t>State judges and legislators could always interpret the federal constitution for themselves</w:t>
      </w:r>
      <w:r w:rsidRPr="00E364F7">
        <w:rPr>
          <w:sz w:val="14"/>
        </w:rPr>
        <w:t xml:space="preserve">. </w:t>
      </w:r>
      <w:r w:rsidRPr="00E364F7">
        <w:rPr>
          <w:rStyle w:val="Emphasis"/>
        </w:rPr>
        <w:t>They could always reach issues that the Supreme Court was unlikely to reach, or read federal provisions in subtly different ways</w:t>
      </w:r>
      <w:r w:rsidRPr="00E364F7">
        <w:rPr>
          <w:sz w:val="14"/>
        </w:rPr>
        <w:t xml:space="preserve"> than federal judges might. But until the Warren Court planted its ideas, state courts or legislatures did not even consider acting in this way. In the short run, the Warren Court made itself the center of attention in criminal justice. But as events have unfolded, </w:t>
      </w:r>
      <w:r w:rsidRPr="00E364F7">
        <w:rPr>
          <w:rStyle w:val="StyleUnderline"/>
        </w:rPr>
        <w:t>state courts and other state institutions have forced their way back to the center of the action</w:t>
      </w:r>
      <w:r w:rsidRPr="00E364F7">
        <w:rPr>
          <w:sz w:val="14"/>
        </w:rPr>
        <w:t xml:space="preserve">. </w:t>
      </w:r>
      <w:r w:rsidRPr="00E364F7">
        <w:rPr>
          <w:rStyle w:val="Emphasis"/>
        </w:rPr>
        <w:t>Those who monitor change in criminal justice will overlook much of the action if they attend only to the Supreme Court's opinions.</w:t>
      </w:r>
      <w:r w:rsidRPr="00E364F7">
        <w:rPr>
          <w:sz w:val="14"/>
        </w:rPr>
        <w:t xml:space="preserve"> Today, the</w:t>
      </w:r>
      <w:r w:rsidRPr="00E364F7">
        <w:rPr>
          <w:rStyle w:val="Emphasis"/>
        </w:rPr>
        <w:t xml:space="preserve"> reactions of state actors to the Rehnquist Court matter at least as much as what the Court actually says</w:t>
      </w:r>
      <w:r w:rsidRPr="00E364F7">
        <w:rPr>
          <w:sz w:val="14"/>
        </w:rPr>
        <w:t>. This fervent self-determination at the state level is the unlikely institutional legacy of the Warren Court in criminal justice.</w:t>
      </w:r>
      <w:r w:rsidRPr="005D29F7">
        <w:rPr>
          <w:sz w:val="14"/>
        </w:rPr>
        <w:t xml:space="preserve"> </w:t>
      </w:r>
    </w:p>
    <w:p w14:paraId="236A1734" w14:textId="77777777" w:rsidR="00F93747" w:rsidRDefault="00F93747" w:rsidP="00F93747">
      <w:pPr>
        <w:rPr>
          <w:sz w:val="14"/>
        </w:rPr>
      </w:pPr>
    </w:p>
    <w:p w14:paraId="3808F04C" w14:textId="77777777" w:rsidR="00F93747" w:rsidRDefault="00F93747" w:rsidP="00F93747">
      <w:pPr>
        <w:pStyle w:val="Heading3"/>
      </w:pPr>
      <w:r>
        <w:t>Solvency---Sentencing Reform</w:t>
      </w:r>
    </w:p>
    <w:p w14:paraId="49F7553F" w14:textId="77777777" w:rsidR="00F93747" w:rsidRDefault="00F93747" w:rsidP="00F93747">
      <w:pPr>
        <w:pStyle w:val="Heading4"/>
      </w:pPr>
      <w:r>
        <w:t xml:space="preserve">State sentencing reform is more successful than through federal guidelines- focus on federal reform leads to ineffective policy </w:t>
      </w:r>
    </w:p>
    <w:p w14:paraId="308E3039" w14:textId="77777777" w:rsidR="00F93747" w:rsidRPr="00673DA4" w:rsidRDefault="00F93747" w:rsidP="00F93747">
      <w:pPr>
        <w:rPr>
          <w:rStyle w:val="Style13ptBold"/>
          <w:b w:val="0"/>
          <w:bCs w:val="0"/>
          <w:sz w:val="20"/>
          <w:szCs w:val="16"/>
        </w:rPr>
      </w:pPr>
      <w:r>
        <w:rPr>
          <w:rStyle w:val="Style13ptBold"/>
        </w:rPr>
        <w:t xml:space="preserve">Miller 05 </w:t>
      </w:r>
      <w:r>
        <w:rPr>
          <w:rStyle w:val="Style13ptBold"/>
          <w:b w:val="0"/>
          <w:bCs w:val="0"/>
          <w:sz w:val="20"/>
          <w:szCs w:val="16"/>
        </w:rPr>
        <w:t>(</w:t>
      </w:r>
      <w:r w:rsidRPr="00673DA4">
        <w:rPr>
          <w:rStyle w:val="Style13ptBold"/>
          <w:b w:val="0"/>
          <w:bCs w:val="0"/>
          <w:sz w:val="20"/>
          <w:szCs w:val="16"/>
        </w:rPr>
        <w:t>Marc L. Miller is the Dean &amp; Ralph W. Bilby Professor of Law at the University of Arizona College of Law. Dean Miller taught at Emory University Law School from 1988-2005, where he served as Associate Dean for Faculty and Scholarship (2003-2005). He is a graduate of the University of Chicago Law School and Pomona College</w:t>
      </w:r>
      <w:r>
        <w:rPr>
          <w:rStyle w:val="Style13ptBold"/>
          <w:b w:val="0"/>
          <w:bCs w:val="0"/>
          <w:sz w:val="20"/>
          <w:szCs w:val="16"/>
        </w:rPr>
        <w:t xml:space="preserve">, </w:t>
      </w:r>
      <w:hyperlink r:id="rId7" w:history="1">
        <w:r w:rsidRPr="00DE3BEB">
          <w:rPr>
            <w:rStyle w:val="Hyperlink"/>
            <w:sz w:val="20"/>
            <w:szCs w:val="16"/>
          </w:rPr>
          <w:t>https://www.researchgate.net/profile/Marc_Miller3/publication/238792270_Sentencing_Information_Systems_Transparency_and_the_Next_Generation_of_Reform/links/0c960529d9ff8a18db000000/Sentencing-Information-Systems-Transparency-and-the-Next-Generation-of-Reform.pdf</w:t>
        </w:r>
      </w:hyperlink>
      <w:r>
        <w:rPr>
          <w:rStyle w:val="Style13ptBold"/>
          <w:b w:val="0"/>
          <w:bCs w:val="0"/>
          <w:sz w:val="20"/>
          <w:szCs w:val="16"/>
        </w:rPr>
        <w:t xml:space="preserve"> ) </w:t>
      </w:r>
    </w:p>
    <w:p w14:paraId="59DCC87B" w14:textId="77777777" w:rsidR="00F93747" w:rsidRDefault="00F93747" w:rsidP="00F93747">
      <w:pPr>
        <w:rPr>
          <w:sz w:val="16"/>
        </w:rPr>
      </w:pPr>
      <w:r w:rsidRPr="0059421B">
        <w:rPr>
          <w:sz w:val="16"/>
        </w:rPr>
        <w:t xml:space="preserve">Many </w:t>
      </w:r>
      <w:r w:rsidRPr="00673DA4">
        <w:rPr>
          <w:rStyle w:val="Emphasis"/>
        </w:rPr>
        <w:t>state sentencing reforms appear to be far more successful—more principled, more popular, more consistent, more modest, more useful—than the federal guidelines system</w:t>
      </w:r>
      <w:r w:rsidRPr="0059421B">
        <w:rPr>
          <w:sz w:val="16"/>
        </w:rPr>
        <w:t xml:space="preserve">. The federal sentencing system, however, has dominated scholarly discussions of sentencing reform. 1 </w:t>
      </w:r>
      <w:r w:rsidRPr="00F5014D">
        <w:rPr>
          <w:rStyle w:val="StyleUnderline"/>
        </w:rPr>
        <w:t>The federal system has also tended to dominate policy discussions throughout the federal system</w:t>
      </w:r>
      <w:r w:rsidRPr="0059421B">
        <w:rPr>
          <w:sz w:val="16"/>
        </w:rPr>
        <w:t xml:space="preserve"> and in states that have not yet adopted modern structured sentencing reforms.2 Fortunately </w:t>
      </w:r>
      <w:r w:rsidRPr="00F5014D">
        <w:rPr>
          <w:rStyle w:val="StyleUnderline"/>
        </w:rPr>
        <w:t>most of the roughly two dozen states that have adopted modern sentencing reforms</w:t>
      </w:r>
      <w:r w:rsidRPr="0059421B">
        <w:rPr>
          <w:sz w:val="16"/>
        </w:rPr>
        <w:t xml:space="preserve"> after the creation of the federal sentencing guidelines have </w:t>
      </w:r>
      <w:r w:rsidRPr="00F5014D">
        <w:rPr>
          <w:rStyle w:val="StyleUnderline"/>
        </w:rPr>
        <w:t>explicitly rejected most of the fundamental conceptual and policy decisions made for the federal system</w:t>
      </w:r>
      <w:r w:rsidRPr="0059421B">
        <w:rPr>
          <w:sz w:val="16"/>
        </w:rPr>
        <w:t xml:space="preserve">.3 The academic and policy focus on the federal system is misguided. Federal legal reforms often receive initial scholarly and public attention because of the centrality of federal law to American legal education. Beyond the first year common-law building-block courses (property, contracts, torts, and criminal law), the classroom, casebook, and scholarly attention seems heavily biased towards federal law especially in public law constitutional, statutory and administrative courses. This bias is out of step with American legal practice. While among the largest criminal justice systems in the country, </w:t>
      </w:r>
      <w:r w:rsidRPr="00F5014D">
        <w:rPr>
          <w:rStyle w:val="Emphasis"/>
        </w:rPr>
        <w:t>the federal system accounts for only about six percent of all felony offenders prosecuted each year in the United States</w:t>
      </w:r>
      <w:r w:rsidRPr="0059421B">
        <w:rPr>
          <w:sz w:val="16"/>
        </w:rPr>
        <w:t xml:space="preserve">.4 Federal sentencing law is interesting, but it is much less interesting than sentencing law in state systems.5 Scholarly attention to federal law might come in relatively obscure areas where the federal law and policy are more accessible than analogous state law. But the story of sentencing law and policy offers one of the great legal reform tales of the past fifty years. It is hard to imagine that law and process that apply to a million people each year (many millions if prosecutions of misdemeanors are included) are too obscure for scholars to focus their attention on state-level reforms. And </w:t>
      </w:r>
      <w:r w:rsidRPr="0059421B">
        <w:rPr>
          <w:rStyle w:val="Emphasis"/>
        </w:rPr>
        <w:t>the focus on the federal system has not been costless: That focus may have harmed national sentencing reform efforts</w:t>
      </w:r>
      <w:r w:rsidRPr="0059421B">
        <w:rPr>
          <w:sz w:val="16"/>
        </w:rPr>
        <w:t xml:space="preserve">.6 Attention to the federal system might also be understandable if there were no interesting alternatives. </w:t>
      </w:r>
      <w:r w:rsidRPr="0059421B">
        <w:rPr>
          <w:rStyle w:val="StyleUnderline"/>
        </w:rPr>
        <w:t>The modern sentencing reform story, however, includes many interesting state efforts</w:t>
      </w:r>
      <w:r w:rsidRPr="0059421B">
        <w:rPr>
          <w:sz w:val="16"/>
        </w:rPr>
        <w:t xml:space="preserve">. Moreover </w:t>
      </w:r>
      <w:r w:rsidRPr="0059421B">
        <w:rPr>
          <w:rStyle w:val="StyleUnderline"/>
        </w:rPr>
        <w:t>state reform reform efforts in places such as Minnesota and Pennsylvania,</w:t>
      </w:r>
      <w:r w:rsidRPr="0059421B">
        <w:rPr>
          <w:sz w:val="16"/>
        </w:rPr>
        <w:t xml:space="preserve"> both of which predate the federal system, and in North Carolina </w:t>
      </w:r>
      <w:r w:rsidRPr="0059421B">
        <w:rPr>
          <w:rStyle w:val="StyleUnderline"/>
        </w:rPr>
        <w:t>have received praise from actors within those systems</w:t>
      </w:r>
      <w:r w:rsidRPr="0059421B">
        <w:rPr>
          <w:sz w:val="16"/>
        </w:rPr>
        <w:t xml:space="preserve"> 7 and from those few scholars who have taken the state experiences seriously as part of national sentencing reform experiment.8 The most plausible explanation for the undue attention to federal sentencing reform might come from the misguided but deeply ingrained habits of most legal scholars to teach and write about the federal system even for areas where states have substantial and sometimes dominant control over the field (consider, for example, criminal procedure other than sentencing and substantive criminal law). While I believe wholeheartedly that an excessive and unwise federal bias exists in American legal education, 9 I do not believe this bias is the primary explanation for the lack of attention to state sentencing reforms. </w:t>
      </w:r>
    </w:p>
    <w:p w14:paraId="0604055B" w14:textId="77777777" w:rsidR="00F93747" w:rsidRPr="0059421B" w:rsidRDefault="00F93747" w:rsidP="00F93747">
      <w:pPr>
        <w:rPr>
          <w:sz w:val="16"/>
        </w:rPr>
      </w:pPr>
    </w:p>
    <w:p w14:paraId="634E3266" w14:textId="77777777" w:rsidR="00F93747" w:rsidRDefault="00F93747" w:rsidP="00F93747">
      <w:pPr>
        <w:pStyle w:val="Heading4"/>
      </w:pPr>
      <w:r>
        <w:t>Sentencing reform is uniquely best enacted through state courts- federal efforts erase nuance</w:t>
      </w:r>
    </w:p>
    <w:p w14:paraId="49F051B0" w14:textId="77777777" w:rsidR="00F93747" w:rsidRPr="00673DA4" w:rsidRDefault="00F93747" w:rsidP="00F93747">
      <w:pPr>
        <w:rPr>
          <w:rStyle w:val="Style13ptBold"/>
          <w:b w:val="0"/>
          <w:bCs w:val="0"/>
          <w:sz w:val="22"/>
          <w:szCs w:val="18"/>
        </w:rPr>
      </w:pPr>
      <w:r>
        <w:rPr>
          <w:rStyle w:val="Style13ptBold"/>
        </w:rPr>
        <w:t xml:space="preserve">Frase 99 </w:t>
      </w:r>
      <w:r>
        <w:rPr>
          <w:rStyle w:val="Style13ptBold"/>
          <w:b w:val="0"/>
          <w:bCs w:val="0"/>
          <w:sz w:val="22"/>
          <w:szCs w:val="18"/>
        </w:rPr>
        <w:t>(</w:t>
      </w:r>
      <w:r w:rsidRPr="00673DA4">
        <w:rPr>
          <w:rStyle w:val="Style13ptBold"/>
          <w:b w:val="0"/>
          <w:bCs w:val="0"/>
          <w:sz w:val="22"/>
          <w:szCs w:val="18"/>
        </w:rPr>
        <w:t>Professor Richard S. Frase is the Benjamin N. Berger Professor of Criminal Law, and Co-Director of the Robina Institute of Criminal Law and Criminal Justice. He is also the founder and Co-Director of the Robina Institute’s Sentencing Guidelines Resource Center and the Institute’s Criminal History Enhancements project.  He currently teaches Criminal Law and the Federal Defense Clinic</w:t>
      </w:r>
      <w:r>
        <w:rPr>
          <w:rStyle w:val="Style13ptBold"/>
          <w:b w:val="0"/>
          <w:bCs w:val="0"/>
          <w:sz w:val="22"/>
          <w:szCs w:val="18"/>
        </w:rPr>
        <w:t xml:space="preserve">. </w:t>
      </w:r>
      <w:hyperlink r:id="rId8" w:history="1">
        <w:r>
          <w:rPr>
            <w:rStyle w:val="Hyperlink"/>
          </w:rPr>
          <w:t>https://scholarship.law.umn.edu/cgi/viewcontent.cgi?article=1534&amp;context=faculty_articles</w:t>
        </w:r>
      </w:hyperlink>
      <w:r>
        <w:t>.)</w:t>
      </w:r>
    </w:p>
    <w:p w14:paraId="237AB697" w14:textId="77777777" w:rsidR="00F93747" w:rsidRDefault="00F93747" w:rsidP="00F93747">
      <w:pPr>
        <w:rPr>
          <w:rStyle w:val="StyleUnderline"/>
        </w:rPr>
      </w:pPr>
      <w:r w:rsidRPr="0059421B">
        <w:rPr>
          <w:sz w:val="16"/>
        </w:rPr>
        <w:t xml:space="preserve">After two decades of guidelines reforms, what have we learned? Here is a short list of the most important lessons which a review of this experience teaches: First: </w:t>
      </w:r>
      <w:r w:rsidRPr="00673DA4">
        <w:rPr>
          <w:rStyle w:val="StyleUnderline"/>
        </w:rPr>
        <w:t>guidelines in a number of states have succeeded in improving sentencing policy and practice - reducing bias and disparity in sentencing; avoiding serious prison over-crowding; and ensuring that adequate prison space is available for the most serious offenders.</w:t>
      </w:r>
      <w:r w:rsidRPr="0059421B">
        <w:rPr>
          <w:sz w:val="16"/>
        </w:rPr>
        <w:t xml:space="preserve"> State guidelines regulate but do not eliminate discretion; almost all of the existing systems leave plenty of room for the consideration of unique offense and offender characteristics, crime-preventive as well as retributive sentencing purposes, local community values and resources, and emerging sentencing theories such as Restorative and Community Justice. Most state guidelines systems have abolished parole release discretion, which serves to achieve Truth in Sentencing; offenders serve most of the sentence imposed by the trial court, and there is no pretense that sentences are longer than they really are. </w:t>
      </w:r>
      <w:r w:rsidRPr="00BF15A9">
        <w:rPr>
          <w:rStyle w:val="StyleUnderline"/>
        </w:rPr>
        <w:t>State guidelines have achieved more rational sentencing policy because they are developed and monitored by an independent, nonpartisan agency charged with the responsibility of collecting detailed data on sentencing practices and resources, evaluating sentencing policy from a longterm perspective, setting priorities for use of limited resources, and developing a comprehensive approach to the sentencing of all crimes, thereby avoiding the problems of piecemeal reforms</w:t>
      </w:r>
      <w:r w:rsidRPr="0059421B">
        <w:rPr>
          <w:sz w:val="16"/>
        </w:rPr>
        <w:t xml:space="preserve">. Although state sentencing commissions play a critical role in guidelines systems, guidelines in Minnesota and most other states allow all of the other major public and private stakeholders to have significant input into the development and implementation of state sentencing policy. The Legislature maintains oversight and ultimate control over major policy issues, and important roles are also played by trial and appellate judges, the defense and prosecution, victims, community representatives, and correctional officials. And yet - most state guidelines systems remain relatively simple to understand and apply. Second: </w:t>
      </w:r>
      <w:r w:rsidRPr="00BF15A9">
        <w:rPr>
          <w:rStyle w:val="Emphasis"/>
        </w:rPr>
        <w:t>the best state guidelines work better</w:t>
      </w:r>
      <w:r w:rsidRPr="0059421B">
        <w:rPr>
          <w:sz w:val="16"/>
        </w:rPr>
        <w:t xml:space="preserve">, in all of the ways described above, </w:t>
      </w:r>
      <w:r w:rsidRPr="00BF15A9">
        <w:rPr>
          <w:rStyle w:val="Emphasis"/>
        </w:rPr>
        <w:t>than any other sentencing system which has yet been tried or even proposed</w:t>
      </w:r>
      <w:r w:rsidRPr="0059421B">
        <w:rPr>
          <w:sz w:val="16"/>
        </w:rPr>
        <w:t xml:space="preserve">. Quite simply, </w:t>
      </w:r>
      <w:r w:rsidRPr="0059421B">
        <w:rPr>
          <w:rStyle w:val="StyleUnderline"/>
        </w:rPr>
        <w:t>there is no realistic alternative as a means of accommodating all of the many important values and principles which we want sentences to serve</w:t>
      </w:r>
      <w:r w:rsidRPr="0059421B">
        <w:rPr>
          <w:sz w:val="16"/>
        </w:rPr>
        <w:t xml:space="preserve">. The prior indeterminate sentencing system permitted intolerable extremes of disparity; the unpredictable nature of indeterminate sentencing also prevented effective resource management, and violated the public's desire for Truth in Sentencing. Similar problems of disparity and unpredictability would arise if any jurisdiction were to base its sentencing system entirely on a theory of Restorative or Community Justice, or on a theory of offender Risk Management. On the other hand, highly "determinate" sentencing regimes - narrow, legislatively-fixed sentence ranges for all crimes, or mandatory-minimum terms for selected offenses - go too far in the opposite direction, denying needed flexibility and inviting widespread (but inconsistent) evasion. The current trend to abolish parole release discretion without enacting judicial sentencing guidelines is arguably the worst combination of all, because it eliminates a means of reducing judicial disparities and prison overcrowding, without providing any other means of avoiding these problems. Third: </w:t>
      </w:r>
      <w:r w:rsidRPr="0059421B">
        <w:rPr>
          <w:rStyle w:val="StyleUnderline"/>
        </w:rPr>
        <w:t>state sentencing guidelines are politically viable. They have been successfully implemented in many states, and have survived - in some cases for almost 20 years, which is a very long time, given the extreme political salience and volatility of sentencing issues in recent years. These systems have survived because they work, and in particular, because they have managed to incorporate, and strike an acceptable balance between, the diverse values and goals of late Twentieth Century American sentencing.</w:t>
      </w:r>
      <w:r w:rsidRPr="0059421B">
        <w:rPr>
          <w:sz w:val="16"/>
        </w:rPr>
        <w:t xml:space="preserve"> Of course, there are no guarantees of success; a number of state systems have been abandoned, and others have been substantially weakened. The success of sentencing guidelines is highly "contingent" as to both place and time.'8 Looking at the history of state guidelines adoptions, rejections, expansions, contractions, and abolitions, it is difficult to find a simple pattern (although several factors seem important: a "weak" system to begin with (Louisiana, Wisconsin), and ballot-box policy making (Oregon)). Fourth: state guidelines continue to evolve and improve. Newer systems are more likely to take advantage of the potential which guidelines provide for resource-management and the promotion and structuring of intermediate sanctions. Most older systems are better today than when they began, not only because they have added desirable features (a permanent commission; resource-management; intermediate sanctions) which they originally lacked, but also because these system now openly recognize and incorporate a wide variety of sentencing goals and values. Early systems such as Minnesota's were designed to strongly emphasize "Just Deserts," but we have learned that sentencing is more complex than that. To achieve the goals of simplicity and rationality, </w:t>
      </w:r>
      <w:r w:rsidRPr="0059421B">
        <w:rPr>
          <w:rStyle w:val="StyleUnderline"/>
        </w:rPr>
        <w:t>it is tempting to limit our sentencing purposes to retributive uniformity and proportionality, But no American system has ever adopted and retained such a narrow approach, and it probably never will. Nor should it.</w:t>
      </w:r>
      <w:r w:rsidRPr="0059421B">
        <w:rPr>
          <w:sz w:val="16"/>
        </w:rPr>
        <w:t xml:space="preserve"> Fifth: the development of sentencing guidelines remains an area of state, not federal leadership. This reform began in the states; state guidelines have improved over time more than the federal version; and most state systems have avoided the strong opposition which the federal guidelines have evoked among judges and sentencing scholars. Indeed, the federal contribution has largely been negative; states have adopted guidelines despite the federal example, not because of it (and have even felt the need to avoid the term "guidelines," because it seemed too closely associated with the federal version). Finally: state sentencing guidelines are diverse. No two systems are alike, and there is no single "model" which can or even should be universally adopted. Again, it would nice if sentencing reform was simple - if we could just look at the past two decades and say to legislators in every state: "Do this." But </w:t>
      </w:r>
      <w:r w:rsidRPr="0059421B">
        <w:rPr>
          <w:rStyle w:val="Emphasis"/>
        </w:rPr>
        <w:t>sentencing, perhaps more than any other field of law and public policy, is closely related to the unique traditions, politics, and culture of each jurisdiction</w:t>
      </w:r>
      <w:r w:rsidRPr="0059421B">
        <w:rPr>
          <w:sz w:val="16"/>
        </w:rPr>
        <w:t xml:space="preserve">. I continue to believe that Minnesota's version is one of the best at balancing and achieving all of the competing goals and values of sentencing, and that other states should try to adopt it. But every system must ultimately find its own way. In any case, </w:t>
      </w:r>
      <w:r w:rsidRPr="0059421B">
        <w:rPr>
          <w:rStyle w:val="StyleUnderline"/>
        </w:rPr>
        <w:t>the great diversity of guidelines systems provides a rich menu of reform options and experience to guide sentencing reformers in other states - and in the federal system- in their efforts to design, implement, improve, and preserve guidelines systems.</w:t>
      </w:r>
    </w:p>
    <w:p w14:paraId="35BB76AE" w14:textId="77777777" w:rsidR="00F93747" w:rsidRDefault="00F93747" w:rsidP="00F93747">
      <w:pPr>
        <w:pStyle w:val="Heading3"/>
      </w:pPr>
      <w:r>
        <w:t>Solvency---Decarceration Courts</w:t>
      </w:r>
    </w:p>
    <w:p w14:paraId="73C4B10C" w14:textId="77777777" w:rsidR="00F93747" w:rsidRPr="005D29F7" w:rsidRDefault="00F93747" w:rsidP="00F93747">
      <w:pPr>
        <w:pStyle w:val="Heading4"/>
      </w:pPr>
      <w:r w:rsidRPr="005D29F7">
        <w:t xml:space="preserve">Decarceration courts are able to successfully </w:t>
      </w:r>
      <w:r>
        <w:t>combat mass incarceration</w:t>
      </w:r>
      <w:r w:rsidRPr="005D29F7">
        <w:t>, circumvent legal barriers to reform, and are modelled in legislature</w:t>
      </w:r>
    </w:p>
    <w:p w14:paraId="5BC91045" w14:textId="77777777" w:rsidR="00F93747" w:rsidRPr="00253B9A" w:rsidRDefault="00F93747" w:rsidP="00F93747">
      <w:r w:rsidRPr="00253B9A">
        <w:rPr>
          <w:rStyle w:val="Style13ptBold"/>
        </w:rPr>
        <w:t xml:space="preserve">McLeod 12 </w:t>
      </w:r>
      <w:r w:rsidRPr="00253B9A">
        <w:rPr>
          <w:sz w:val="16"/>
          <w:szCs w:val="16"/>
        </w:rPr>
        <w:t xml:space="preserve">(Allegra M McLeod’s research and teaching interests include criminal law and procedure, constitutional law, immigration law, and legal and political theory. Her current scholarship focuses on contemporary movements for penal abolition. McLeod practiced immigration and criminal law at the California-Mexico border as a staff attorney with the Immigration Justice Project, an organization she helped to create. She has taught political theory at Stanford University, worked with the ACLU National Prison Project and clerked for Judge M. Margaret McKeown of the U.S. Court of Appeals for the Ninth Circuit. </w:t>
      </w:r>
      <w:hyperlink r:id="rId9" w:history="1">
        <w:r w:rsidRPr="00253B9A">
          <w:rPr>
            <w:rStyle w:val="Hyperlink"/>
            <w:sz w:val="16"/>
            <w:szCs w:val="16"/>
          </w:rPr>
          <w:t>https://scholarship.law.georgetown.edu/cgi/viewcontent.cgi?article=2285&amp;context=facpub</w:t>
        </w:r>
      </w:hyperlink>
      <w:r w:rsidRPr="00253B9A">
        <w:rPr>
          <w:sz w:val="16"/>
          <w:szCs w:val="16"/>
        </w:rPr>
        <w:t>)</w:t>
      </w:r>
    </w:p>
    <w:p w14:paraId="4B820B18" w14:textId="77777777" w:rsidR="00F93747" w:rsidRPr="00BA3D9E" w:rsidRDefault="00F93747" w:rsidP="00F93747">
      <w:pPr>
        <w:rPr>
          <w:b/>
          <w:iCs/>
          <w:u w:val="single"/>
        </w:rPr>
      </w:pPr>
      <w:r w:rsidRPr="005D29F7">
        <w:rPr>
          <w:rStyle w:val="StyleUnderline"/>
        </w:rPr>
        <w:t>A decarceration model is committed</w:t>
      </w:r>
      <w:r w:rsidRPr="000561BB">
        <w:rPr>
          <w:sz w:val="16"/>
        </w:rPr>
        <w:t xml:space="preserve"> foremost </w:t>
      </w:r>
      <w:r w:rsidRPr="005D29F7">
        <w:rPr>
          <w:rStyle w:val="StyleUnderline"/>
        </w:rPr>
        <w:t>to reducing reliance on incarceration and to a sociologically and empirically informed framework that links court participants to local social services and other institutions</w:t>
      </w:r>
      <w:r w:rsidRPr="000561BB">
        <w:rPr>
          <w:sz w:val="16"/>
        </w:rPr>
        <w:t xml:space="preserve">, shifting the management of socially disruptive conduct in part from criminal courts to other sectors. The ultimate aim of a decarceration model, as applied to specialized criminal courts, is to isolate those crimes for which conventional criminal law administration may be most fitting, contributing gradually to the de facto decriminalization of certain categories of conduct and enabling alternative non-carceral regulatory approaches to a range of social ills where criminalization remains appropriate. The basic premise underlying a decarceration model in the specialized courts context is that overcriminalization and overincarceration are in part structural problems, which specialized criminal courts may begin to address. Because a decarceration model aims to reduce reliance on incarceration while achieving other social goals, </w:t>
      </w:r>
      <w:r w:rsidRPr="005D29F7">
        <w:rPr>
          <w:rStyle w:val="StyleUnderline"/>
        </w:rPr>
        <w:t>the model endeavors to respond to the forces that led incarceration rates to rise so precipitously in the first instance and that cause them to remain so high. The explanations for large-scale incarceration are various, but there is general agreement that criminal law and policy contributed significantly to the growth in incarceration.181 Expanded sentences for drug convictions perpetuated a significant portion of the increase in state prisoners beginning in the late 1980s, and, subsequently, much of that growth has been attributable to increased penalties for violent crimes, predominantly robbery and assaults, and “public order” offenses</w:t>
      </w:r>
      <w:r w:rsidRPr="000561BB">
        <w:rPr>
          <w:sz w:val="16"/>
        </w:rPr>
        <w:t xml:space="preserve">.182 As a result, criminal law and policy changes stand to contribute substantially to decarceration, but one single policy intervention will be insufficient to bring about any extensive decrease in imprisonment. Instead, the scholarly consensus suggests that </w:t>
      </w:r>
      <w:r w:rsidRPr="005D29F7">
        <w:rPr>
          <w:rStyle w:val="StyleUnderline"/>
        </w:rPr>
        <w:t>prison commitments must be reduced and prison release increased and return to prison after parole failure decreased.</w:t>
      </w:r>
      <w:r w:rsidRPr="000561BB">
        <w:rPr>
          <w:sz w:val="16"/>
        </w:rPr>
        <w:t xml:space="preserve">183 Obstacles to achieving these ends, which I will touch upon only briefly because they are thoroughly explored elsewhere, include: the difficulty of legislatively retreating from the “pathological politics” of overcriminalization and overincarceration;184 the organizational cultures of police and prosecutors’ offices that encourage vigorous enforcement of existing criminal laws;185 fiscal constraints that limit available funds for social service alternatives to incarceration; reduced judicial authority under determinant sentencing laws; resistance of interest group lobbies, such as victims’ rights groups and prison guards unions; a limited role for less politicized expert input in criminal law and policy-making; and belief in the efficacy or at least unavoidability of criminalization and incarceration.186 A decarceration model may function to circumvent and begin to reshape some of these barriers. </w:t>
      </w:r>
      <w:r w:rsidRPr="005D29F7">
        <w:rPr>
          <w:rStyle w:val="Emphasis"/>
        </w:rPr>
        <w:t xml:space="preserve">Courts operating predominately on a decarceration model circumvent some of the legislative impediments to changing substantive criminal law by working cooperatively with prosecutors, police, defense counsel, and elected officials at the local level to shift cases out of the conventional criminal courts. </w:t>
      </w:r>
      <w:r w:rsidRPr="000561BB">
        <w:rPr>
          <w:sz w:val="16"/>
        </w:rPr>
        <w:t xml:space="preserve">Without requiring legislative repeal of particular criminal statutes, these </w:t>
      </w:r>
      <w:r w:rsidRPr="005D29F7">
        <w:rPr>
          <w:rStyle w:val="StyleUnderline"/>
        </w:rPr>
        <w:t>courts provide a venue for suspending or dropping criminal charges in drug cases, a range of misdemeanor cases, and, in some instances, even in cases involving more serious felony charges</w:t>
      </w:r>
      <w:r w:rsidRPr="000561BB">
        <w:rPr>
          <w:sz w:val="16"/>
        </w:rPr>
        <w:t xml:space="preserve"> as well as in a range of matters involving mentally ill offenders and veterans. </w:t>
      </w:r>
      <w:r w:rsidRPr="005D29F7">
        <w:rPr>
          <w:rStyle w:val="Emphasis"/>
        </w:rPr>
        <w:t>A decarceration approach seeks to locate alternative</w:t>
      </w:r>
      <w:r>
        <w:rPr>
          <w:rStyle w:val="Emphasis"/>
        </w:rPr>
        <w:t>s</w:t>
      </w:r>
      <w:r w:rsidRPr="005D29F7">
        <w:rPr>
          <w:rStyle w:val="Emphasis"/>
        </w:rPr>
        <w:t xml:space="preserve"> for</w:t>
      </w:r>
      <w:r>
        <w:rPr>
          <w:rStyle w:val="Emphasis"/>
        </w:rPr>
        <w:t xml:space="preserve"> </w:t>
      </w:r>
      <w:r w:rsidRPr="005D29F7">
        <w:rPr>
          <w:rStyle w:val="Emphasis"/>
        </w:rPr>
        <w:t>responding to these matters, and then when the courts have obtained a certain measure of broad-based support, legislators are able to enact statutes that legitimize and institutionalize the decarceration regime.</w:t>
      </w:r>
      <w:r w:rsidRPr="000561BB">
        <w:rPr>
          <w:sz w:val="16"/>
        </w:rPr>
        <w:t xml:space="preserve"> </w:t>
      </w:r>
      <w:r w:rsidRPr="005D29F7">
        <w:rPr>
          <w:rStyle w:val="StyleUnderline"/>
        </w:rPr>
        <w:t>This method has proven to be more politically viable than seeking directly to decriminalize particular conduct</w:t>
      </w:r>
      <w:r w:rsidRPr="000561BB">
        <w:rPr>
          <w:sz w:val="16"/>
        </w:rPr>
        <w:t xml:space="preserve">, and alternative diversionary court approaches have garnered considerable public support.187 In their day-to-day operations on a decarceration model, courts act as diversionary clearinghouses for social service resources, ensuring the assignment of individual defendants to those resources. Careful empirical monitoring tracks on an ongoing basis court outcomes to ensure that incarceration is actually reduced and to ascertain the effect of various alternative sanctions and services on participants and other relevant variables.188 At least in some jurisdictions, </w:t>
      </w:r>
      <w:r w:rsidRPr="00E41FD5">
        <w:rPr>
          <w:rStyle w:val="StyleUnderline"/>
        </w:rPr>
        <w:t>courts adopting a decarceration model assume jurisdiction over those charged with, or convicted of, more serious felony offenses</w:t>
      </w:r>
      <w:r w:rsidRPr="000561BB">
        <w:rPr>
          <w:sz w:val="16"/>
        </w:rPr>
        <w:t xml:space="preserve">.189 </w:t>
      </w:r>
      <w:r w:rsidRPr="00E41FD5">
        <w:rPr>
          <w:rStyle w:val="StyleUnderline"/>
        </w:rPr>
        <w:t>This is critical to reducing reliance on incarceration and avoiding net widening because many nonviolent misdemeanor offenses are already dealt with through non-carceral sentences in the conventional courts.</w:t>
      </w:r>
      <w:r w:rsidRPr="000561BB">
        <w:rPr>
          <w:sz w:val="16"/>
        </w:rPr>
        <w:t>190 To the extent courts adopting a decarceration approach address accused offenders who might otherwise receive probationary sentences, the diversionary programming orders issued may make it less, rather than more, likely that defendants will be subject to incarceration in the future by facilitating opportunities for law-abiding livelihoods. The theoretical framework that informs the decarceration model focuses on deploying social structures separate from criminal law administrative components—such as local neighborhood networks, business organizations, and mental health, public health, job training, and other social services—to reduce criminal offending and to foster socially constructive citizenship behaviors. The foundational idea is that social institutions outside the criminal law context are critical to the maintenance of social order and to organizing informal surveillance. Correspondingly</w:t>
      </w:r>
      <w:r w:rsidRPr="00E41FD5">
        <w:rPr>
          <w:rStyle w:val="Emphasis"/>
        </w:rPr>
        <w:t>, a shift away from current carceral practices will be enabled by bolstering opportunities for social integration and institutional involvement, particularly for those persons with otherwise limited access to such conventional social institutions.191</w:t>
      </w:r>
      <w:r w:rsidRPr="000561BB">
        <w:rPr>
          <w:sz w:val="16"/>
        </w:rPr>
        <w:t xml:space="preserve"> </w:t>
      </w:r>
    </w:p>
    <w:p w14:paraId="56F0845D" w14:textId="77777777" w:rsidR="00F93747" w:rsidRDefault="00F93747" w:rsidP="00F93747"/>
    <w:p w14:paraId="6412CC29" w14:textId="77777777" w:rsidR="00F93747" w:rsidRDefault="00F93747" w:rsidP="00F93747">
      <w:pPr>
        <w:pStyle w:val="Heading4"/>
      </w:pPr>
      <w:r>
        <w:t>Empirics prove- decarceration courts are the most effective solution, and can spill up to greater reform</w:t>
      </w:r>
    </w:p>
    <w:p w14:paraId="402F1BB5" w14:textId="77777777" w:rsidR="00F93747" w:rsidRPr="009A30FD" w:rsidRDefault="00F93747" w:rsidP="00F93747">
      <w:pPr>
        <w:rPr>
          <w:rStyle w:val="Style13ptBold"/>
          <w:b w:val="0"/>
          <w:bCs w:val="0"/>
          <w:sz w:val="22"/>
        </w:rPr>
      </w:pPr>
      <w:r w:rsidRPr="009A30FD">
        <w:rPr>
          <w:rStyle w:val="Style13ptBold"/>
        </w:rPr>
        <w:t xml:space="preserve">McLeod 12 </w:t>
      </w:r>
      <w:r w:rsidRPr="00253B9A">
        <w:rPr>
          <w:sz w:val="16"/>
          <w:szCs w:val="16"/>
        </w:rPr>
        <w:t xml:space="preserve">(Allegra M McLeod’s research and teaching interests include criminal law and procedure, constitutional law, immigration law, and legal and political theory. Her current scholarship focuses on contemporary movements for penal abolition. McLeod practiced immigration and criminal law at the California-Mexico border as a staff attorney with the Immigration Justice Project, an organization she helped to create. She has taught political theory at Stanford University, worked with the ACLU National Prison Project and clerked for Judge M. Margaret McKeown of the U.S. Court of Appeals for the Ninth Circuit. </w:t>
      </w:r>
      <w:hyperlink r:id="rId10" w:history="1">
        <w:r w:rsidRPr="00253B9A">
          <w:rPr>
            <w:rStyle w:val="Hyperlink"/>
            <w:sz w:val="16"/>
            <w:szCs w:val="16"/>
          </w:rPr>
          <w:t>https://scholarship.law.georgetown.edu/cgi/viewcontent.cgi?article=2285&amp;context=facpub</w:t>
        </w:r>
      </w:hyperlink>
      <w:r w:rsidRPr="00253B9A">
        <w:rPr>
          <w:sz w:val="16"/>
          <w:szCs w:val="16"/>
        </w:rPr>
        <w:t>)</w:t>
      </w:r>
    </w:p>
    <w:p w14:paraId="6A46CE49" w14:textId="77777777" w:rsidR="00F93747" w:rsidRDefault="00F93747" w:rsidP="00F93747">
      <w:pPr>
        <w:rPr>
          <w:sz w:val="16"/>
        </w:rPr>
      </w:pPr>
      <w:r w:rsidRPr="008A4718">
        <w:rPr>
          <w:rStyle w:val="StyleUnderline"/>
        </w:rPr>
        <w:t>There is wide-ranging empirical and theoretical support for this structural approach</w:t>
      </w:r>
      <w:r w:rsidRPr="008A18EA">
        <w:rPr>
          <w:sz w:val="16"/>
        </w:rPr>
        <w:t xml:space="preserve">. One interesting early contribution comes from the work of Sheldon and Eleanor Glueck, married co-authors employed at Harvard Law School from the late 1920s to the 1950s, who conducted a seminal study of the lives of 500 Boston juvenile delinquents.192 The Gluecks found that although most of the cohort ceased committing crime after turning twenty-five, a small minority persisted in criminal involvement. Decades later Harvard sociologist Robert Sampson and criminologist John Laub reexamined the Gluecks’ data to determine if there were any criteria distinguishable from the early lives and criminal offending of those men who went on to become persistently criminally involved over the course of their lives.193 Sampson and Laub could not identify any factors present during childhood or adolescence that differentiated those young men who would pose a continuing menace and those who would desist from criminal activity following adolescence.194 There were, however, “turning points” in the men’s lives—obtaining and maintaining employment and </w:t>
      </w:r>
      <w:r w:rsidRPr="00FE2169">
        <w:rPr>
          <w:rStyle w:val="StyleUnderline"/>
        </w:rPr>
        <w:t>establishing contacts with conventional institutions</w:t>
      </w:r>
      <w:r w:rsidRPr="008A18EA">
        <w:rPr>
          <w:sz w:val="16"/>
        </w:rPr>
        <w:t xml:space="preserve"> and groups—that </w:t>
      </w:r>
      <w:r w:rsidRPr="00FE2169">
        <w:rPr>
          <w:rStyle w:val="StyleUnderline"/>
        </w:rPr>
        <w:t>distinguished those who continued to commit crime from those that did not</w:t>
      </w:r>
      <w:r w:rsidRPr="008A18EA">
        <w:rPr>
          <w:sz w:val="16"/>
        </w:rPr>
        <w:t xml:space="preserve">.195 Further, </w:t>
      </w:r>
      <w:r w:rsidRPr="008A4718">
        <w:rPr>
          <w:rStyle w:val="Emphasis"/>
        </w:rPr>
        <w:t>men who had been incarcerated in prison were substantially more likely to continue to offend than men who served only local jail time or probation</w:t>
      </w:r>
      <w:r w:rsidRPr="008A18EA">
        <w:rPr>
          <w:sz w:val="16"/>
        </w:rPr>
        <w:t xml:space="preserve">.196 These factors— rather than personality characteristics, early offense characteristics, childhood experiences, or other factors—appeared to differentiate the perpetual offenders from those that went on to lead relatively law-abiding lives.197 Additional support for the hypothesis that social engagement and institutional involvement, or group-level effects, cause reduced criminal offending derives from a significant body of further studies linking structural context and the prevalence of effective social organizations with decreased interpersonal violence and neighborhood disorder.198 As important, this theory accords with known social facts about the world: social institutions—employers, community organizations, families—convey social expectations and informally surveil those who participate in them. In a neighborhood where these institutions are functioning effectively, people tend to be discouraged and inhibited from engaging in criminalized pursuits, and they will tend to have access to social supports in the event they find themselves struggling with addiction or other personal challenges.199 Nevertheless, it is important to acknowledge that social institutional engagement will not serve to dissuade all persons from criminal conduct, and some conventional social institutions may even be criminogenic.200 Indeed, employed persons operating in firmly established institutional contexts perpetrate fraud, embezzle funds, and harm others.201 But </w:t>
      </w:r>
      <w:r w:rsidRPr="008A4718">
        <w:rPr>
          <w:rStyle w:val="StyleUnderline"/>
        </w:rPr>
        <w:t>conventional institutional engagement provides some significant constraint on particular sorts of criminal offending and lacks the criminogenic and other harmful characteristics associated with prison or jail.</w:t>
      </w:r>
      <w:r w:rsidRPr="008A18EA">
        <w:rPr>
          <w:sz w:val="16"/>
        </w:rPr>
        <w:t xml:space="preserve"> On a decarceration model, then, </w:t>
      </w:r>
      <w:r w:rsidRPr="008A4718">
        <w:rPr>
          <w:rStyle w:val="Emphasis"/>
        </w:rPr>
        <w:t>given the severe harms associated with large-scale incarceration</w:t>
      </w:r>
      <w:r w:rsidRPr="008A18EA">
        <w:rPr>
          <w:sz w:val="16"/>
        </w:rPr>
        <w:t xml:space="preserve"> </w:t>
      </w:r>
      <w:r w:rsidRPr="008A4718">
        <w:rPr>
          <w:rStyle w:val="Emphasis"/>
        </w:rPr>
        <w:t>and the compelling evidence that social institutional engagement may address certain commonly criminally prosecuted forms of socially disruptive conduct more effectively</w:t>
      </w:r>
      <w:r w:rsidRPr="008A18EA">
        <w:rPr>
          <w:sz w:val="16"/>
        </w:rPr>
        <w:t xml:space="preserve"> than incarceration, </w:t>
      </w:r>
      <w:r w:rsidRPr="008A4718">
        <w:rPr>
          <w:rStyle w:val="Emphasis"/>
        </w:rPr>
        <w:t>non-carceral sentencing is preferred</w:t>
      </w:r>
      <w:r w:rsidRPr="008A18EA">
        <w:rPr>
          <w:sz w:val="16"/>
        </w:rPr>
        <w:t xml:space="preserve">. The only circumstances under which a carceral sentence would be imposed in a specialized criminal court adopting a pure decarceration model would be where there is substantial reason to believe incarceration is necessary to protect public safety or is otherwise necessary in the interests of justice. And to the extent there is doubt as to this determination, on a pure decarceration model that doubt would be resolved in favor of non-carceral sentencing unless and until incarceration becomes necessary.202 In such instances—for example, in cases of serious violent crime where the defendant is adjudged mentally well and that individual’s prior record and most recent criminal conduct suggests a serious ongoing risk to public safety—it is unlikely a defendant would be referred to a specialized diversionary court in the first place. Were that to occur, however, the case would be referred back to the conventional court. Though these determinations are inevitably complicated and involve assessment of uncertain risks, serious violent and dangerous defendants who would continue to pose a grave threat—even if subject to an alternative socially integrative sentencing regime of mental health treatment, job placement, and social service reporting—are a substantially smaller demographic than that of the current population incarcerated in the United States.203 </w:t>
      </w:r>
      <w:r w:rsidRPr="00FE2169">
        <w:rPr>
          <w:rStyle w:val="StyleUnderline"/>
        </w:rPr>
        <w:t>A decarceration model of specialized criminal law administration operates with reference to this framework, seeking to facilitate greater non-carceral social institutional integration of persons accused of an array of criminal offenses. But apart from this commitment to attempting to reduce criminal involvement by improving access to other social institutions, a decarceration model is untethered from any highly specified jurisprudential or institutional content.</w:t>
      </w:r>
      <w:r w:rsidRPr="008A18EA">
        <w:rPr>
          <w:sz w:val="16"/>
        </w:rPr>
        <w:t xml:space="preserve"> Its sole unifying feature is that of closely empirically monitored experimentation with criminal law administrative alternatives so as to reduce reliance on incarceration consistent with maintenance of public safety and to forge a more sociologically and empirically oriented criminal justice framework. Courts adopting a pure decarceration approach would reject the court-based therapeutic methods of certain specialized criminal courts and the commitment to judicial monitoring as a scalable manner of deterring criminal conduct. A focus on order maintenance is abandoned too on a decarceration model, along with the associated commitment to broken windows policing. The purpose of a decarceration approach—more conducive to adoption by conventional courts than reformist approaches that entail providing therapy in a courtroom context or transforming judges into probation officers, though certainly not typical of traditionally conceived courts—is to oversee the adequate provision of services to the class of defendants referred to those services and appearing before the diversionary courts, predominately by monitoring the service providers. This is a role somewhat familiar to courts from the structural reform litigation context.204 Critically, courts adopting a decarceration model are experimentalist institutions that are open to revision in light of ongoing empirical feedback—</w:t>
      </w:r>
      <w:r w:rsidRPr="00FE2169">
        <w:rPr>
          <w:rStyle w:val="Emphasis"/>
        </w:rPr>
        <w:t>they are unfinished, self-correcting, reformist organizations</w:t>
      </w:r>
      <w:r w:rsidRPr="008A18EA">
        <w:rPr>
          <w:sz w:val="16"/>
        </w:rPr>
        <w:t xml:space="preserve">. </w:t>
      </w:r>
      <w:r w:rsidRPr="00FE2169">
        <w:rPr>
          <w:rStyle w:val="Emphasis"/>
        </w:rPr>
        <w:t>The aspiration of a decarceration model of specialized criminal law administration is to bring about criminal law reform incrementally, revising policies in response to input from defendants, judges, prosecutors, public defenders, and empirical monitoring entities.</w:t>
      </w:r>
      <w:r w:rsidRPr="008A18EA">
        <w:rPr>
          <w:sz w:val="16"/>
        </w:rPr>
        <w:t xml:space="preserve">205 In this sense, a decarceration model is decidedly unfinished, promising gradual reform rather than a bold new program fully specified in advance.206 </w:t>
      </w:r>
      <w:r w:rsidRPr="00FE2169">
        <w:rPr>
          <w:rStyle w:val="StyleUnderline"/>
        </w:rPr>
        <w:t>A further advantage of a decarceration model is that it works to reduce reliance on incarceration while closely attending to the particular needs and risks associated with specific populations of defendants</w:t>
      </w:r>
      <w:r w:rsidRPr="008A18EA">
        <w:rPr>
          <w:sz w:val="16"/>
        </w:rPr>
        <w:t xml:space="preserve">. The hope is that </w:t>
      </w:r>
      <w:r w:rsidRPr="00FE2169">
        <w:rPr>
          <w:rStyle w:val="StyleUnderline"/>
        </w:rPr>
        <w:t>this will free up resources currently allocated to criminal law administration and make them available for other sectors better suited to addressing the relevant underlying problems.</w:t>
      </w:r>
      <w:r w:rsidRPr="008A18EA">
        <w:rPr>
          <w:sz w:val="16"/>
        </w:rPr>
        <w:t xml:space="preserve"> This may help to negotiate (if not to entirely avoid) the decarceration trap that Professors Robert Weisberg and Joan Petersilia have cautioned against: the “grave risk of backfire if advocates attempt to reduce mass incarceration simply for the sake of reduction rather than coupling advocacy with a full consideration of the causes of recidivism.”207 Because, as Weisberg and Petersilia warn, “even if small increases in crime by released prisoners . . . are not statistically meaningful, they may reignite the political demagoguery that contributed to mass incarceration in the first place.”208 A decarceration model functions in an incrementalist fashion to reduce reliance on incarceration by experimenting with alternatives closely tailored to the needs of populations currently subject to criminal supervision while attending to the causes of recidivism and creating a record of demonstrated positive results. </w:t>
      </w:r>
      <w:r w:rsidRPr="00FE2169">
        <w:rPr>
          <w:rStyle w:val="StyleUnderline"/>
        </w:rPr>
        <w:t>A decarceration model also promises to attend to</w:t>
      </w:r>
      <w:r w:rsidRPr="008A18EA">
        <w:rPr>
          <w:sz w:val="16"/>
        </w:rPr>
        <w:t xml:space="preserve"> the risk of “</w:t>
      </w:r>
      <w:r w:rsidRPr="00FE2169">
        <w:rPr>
          <w:rStyle w:val="StyleUnderline"/>
        </w:rPr>
        <w:t>transinstitutionalization</w:t>
      </w:r>
      <w:r w:rsidRPr="008A18EA">
        <w:rPr>
          <w:sz w:val="16"/>
        </w:rPr>
        <w:t xml:space="preserve">,” which Professor Bernard Harcourt has identified with regard to mentally ill incarcerated persons.209 </w:t>
      </w:r>
      <w:r w:rsidRPr="00FE2169">
        <w:rPr>
          <w:rStyle w:val="StyleUnderline"/>
        </w:rPr>
        <w:t>Transinstitutionalization refers to the disastrous experience encountered during the earlier attempt to deinstitutionalize persons living in mental hospitals without accounting in any meaningful way for their integration elsewhere.</w:t>
      </w:r>
      <w:r w:rsidRPr="008A18EA">
        <w:rPr>
          <w:sz w:val="16"/>
        </w:rPr>
        <w:t xml:space="preserve"> Following the deinstitutionalization of hospitals for the mentally ill in the 1960s and 1970s, many persons released from mental institutions either became homeless or were later reinstitutionalized in prisons and jails.210 A decarceration model works to avoid this outcome of transferring persons from one total carceral institution (prison or jail) to another total institution (for example, a psychiatric hospital) by collaborating closely with, monitoring, and shifting resources to a continuum of networked though independent and mostly nonresidential service providers that address housing, mental health, medical, and employment needs of low-income persons in a given delimited geographic area.211 It is imperative to underscore, though, that in diverting certain categories of cases and defendants to sectors outside the criminal law administrative context, a decarceration approach should be understood as a partial strategy for decarceration, not necessarily as a permanent criminal law administrative fixture nor as a comprehensive solution to the problems of overcriminalization and overincarceration. Rather, the decarceration model’s more modest goal is to shift the management of social disorder, where possible, from criminal courts, probation or parole offices, jails, and prisons to a range of other institutions. Invariably, violent and otherwise criminal conduct will continue to intrude upon people’s lives, and conventional criminal law administration will play a role, however imperfect, in responding to that conduct</w:t>
      </w:r>
      <w:r w:rsidRPr="008A4718">
        <w:rPr>
          <w:rStyle w:val="Emphasis"/>
        </w:rPr>
        <w:t>. A decarceration model promises to minimize such conduct, focus conventional criminal law resources where they seem most plainly called for, and begin to respond to the problems of overcriminalization and overincarceration by enlisting other social institutions</w:t>
      </w:r>
      <w:r w:rsidRPr="008A18EA">
        <w:rPr>
          <w:sz w:val="16"/>
        </w:rPr>
        <w:t xml:space="preserve"> more fully in managing social disorder. </w:t>
      </w:r>
      <w:r w:rsidRPr="00FE2169">
        <w:rPr>
          <w:rStyle w:val="StyleUnderline"/>
        </w:rPr>
        <w:t>Documented successful diversion of some cases may form the basis for subsequent decriminalization of certain conduct</w:t>
      </w:r>
      <w:r w:rsidRPr="008A18EA">
        <w:rPr>
          <w:sz w:val="16"/>
        </w:rPr>
        <w:t xml:space="preserve"> (</w:t>
      </w:r>
      <w:r w:rsidRPr="008A18EA">
        <w:rPr>
          <w:rStyle w:val="StyleUnderline"/>
        </w:rPr>
        <w:t>for instance of particular drug offenses</w:t>
      </w:r>
      <w:r w:rsidRPr="008A18EA">
        <w:rPr>
          <w:sz w:val="16"/>
        </w:rPr>
        <w:t xml:space="preserve">), while other offenses may entail harm that warrants a retained norm of criminalization (particularly where theft or violence is involved) even as successful diversion may support substantially reduced reliance on incarceration for that category of offense or offender. The remainder of this section will explore how different existing specialized criminal courts are functioning or could and should function on a decarceration model. The criminal law reformist possibilities of a decarceration model are further explored in Part III. Objections to a specialized criminal law reform strategy more generally are considered in Part IV. </w:t>
      </w:r>
    </w:p>
    <w:p w14:paraId="3964B710" w14:textId="77777777" w:rsidR="00F93747" w:rsidRPr="008A18EA" w:rsidRDefault="00F93747" w:rsidP="00F93747">
      <w:pPr>
        <w:rPr>
          <w:sz w:val="16"/>
        </w:rPr>
      </w:pPr>
    </w:p>
    <w:p w14:paraId="67CFB3E8" w14:textId="77777777" w:rsidR="00F93747" w:rsidRDefault="00F93747" w:rsidP="00F93747">
      <w:pPr>
        <w:pStyle w:val="Heading4"/>
      </w:pPr>
      <w:r>
        <w:t xml:space="preserve">They solve better than other specialized courts </w:t>
      </w:r>
    </w:p>
    <w:p w14:paraId="2635B5FB" w14:textId="77777777" w:rsidR="00F93747" w:rsidRPr="00BA3D9E" w:rsidRDefault="00F93747" w:rsidP="00F93747">
      <w:pPr>
        <w:rPr>
          <w:rStyle w:val="Style13ptBold"/>
          <w:b w:val="0"/>
          <w:bCs w:val="0"/>
          <w:sz w:val="22"/>
        </w:rPr>
      </w:pPr>
      <w:r w:rsidRPr="00BA3D9E">
        <w:rPr>
          <w:rStyle w:val="Style13ptBold"/>
        </w:rPr>
        <w:t>McLeod 12</w:t>
      </w:r>
      <w:r w:rsidRPr="00253B9A">
        <w:rPr>
          <w:rStyle w:val="Style13ptBold"/>
        </w:rPr>
        <w:t xml:space="preserve"> </w:t>
      </w:r>
      <w:r w:rsidRPr="00253B9A">
        <w:rPr>
          <w:sz w:val="16"/>
          <w:szCs w:val="16"/>
        </w:rPr>
        <w:t xml:space="preserve">(Allegra M McLeod’s research and teaching interests include criminal law and procedure, constitutional law, immigration law, and legal and political theory. Her current scholarship focuses on contemporary movements for penal abolition. McLeod practiced immigration and criminal law at the California-Mexico border as a staff attorney with the Immigration Justice Project, an organization she helped to create. She has taught political theory at Stanford University, worked with the ACLU National Prison Project and clerked for Judge M. Margaret McKeown of the U.S. Court of Appeals for the Ninth Circuit. </w:t>
      </w:r>
      <w:hyperlink r:id="rId11" w:history="1">
        <w:r w:rsidRPr="00253B9A">
          <w:rPr>
            <w:rStyle w:val="Hyperlink"/>
            <w:sz w:val="16"/>
            <w:szCs w:val="16"/>
          </w:rPr>
          <w:t>https://scholarship.law.georgetown.edu/cgi/viewcontent.cgi?article=2285&amp;context=facpub</w:t>
        </w:r>
      </w:hyperlink>
      <w:r w:rsidRPr="00253B9A">
        <w:rPr>
          <w:sz w:val="16"/>
          <w:szCs w:val="16"/>
        </w:rPr>
        <w:t>)</w:t>
      </w:r>
    </w:p>
    <w:p w14:paraId="75932AD5" w14:textId="77777777" w:rsidR="00F93747" w:rsidRPr="00E719D0" w:rsidRDefault="00F93747" w:rsidP="00F93747">
      <w:pPr>
        <w:rPr>
          <w:sz w:val="16"/>
        </w:rPr>
      </w:pPr>
      <w:r w:rsidRPr="001D73D6">
        <w:rPr>
          <w:sz w:val="16"/>
        </w:rPr>
        <w:t xml:space="preserve">When state legislatures pass drug court acts or related legislation authorizing this noncarceral drug court approach, the effect is to bypass political barriers to more explicit decriminalization and to lend democratic legitimacy to drug courts’ efforts.227 Reentry courts may also operate on a decarceration model. Parole or probation violators constitute approximately 50–65% of people admitted to state prison, and about half of these individuals are re-incarcerated for technical violations.228 Reentry courts may facilitate access to social services and employment and rely on those referral sources for notification of extremely concerning noncompliance but otherwise sharply limit reincarceration for technical violations.229 Although most domestic violence courts function on a judicial monitoring model of limited effectiveness and with substantial associated rights-eviscerating risks, domestic violence courts could shift to a decarceration model for certain cases arising from relatively less serious and less violent incidents. Alternative sentences could still be onerous and require, among other conditions, considerable financial support of and physical separation from the complainant. These provisions might better serve the interests of the complainant spouse than incarceration for short periods of a spouse who is the primary source of financial support for the family.230 Courts could also work to facilitate services for complainants—as do many domestic violence courts currently— particularly because the availability of alternative living arrangements, employment opportunities, or vocational or educational training may empower survivors of domestic violence to leave or transform abusive relationships and, hence, in the long-run reduce reoffending, re-arrests, and reincarceration. Sex offense courts are generally conceptualized primarily on a judicial monitoring model but could also shift to a decarceration model by identifying those individuals whose convictions are such that carceral sentencing seems unnecessary (for instance, individuals convicted on the basis of public urination, certain other forms of indecent exposure, or consensual sex with a person not significantly younger than the accused).231 </w:t>
      </w:r>
      <w:r w:rsidRPr="001D73D6">
        <w:rPr>
          <w:rStyle w:val="StyleUnderline"/>
        </w:rPr>
        <w:t>In all of these separate specialized criminal court contexts</w:t>
      </w:r>
      <w:r w:rsidRPr="001D73D6">
        <w:rPr>
          <w:sz w:val="16"/>
        </w:rPr>
        <w:t xml:space="preserve">, a decarceration model does not purport to be capable of solving the underlying problems. Instead, </w:t>
      </w:r>
      <w:r w:rsidRPr="001D73D6">
        <w:rPr>
          <w:rStyle w:val="StyleUnderline"/>
        </w:rPr>
        <w:t>a decarceration model frees up resources that might be allocated to sectors better able to address relevant problems</w:t>
      </w:r>
      <w:r w:rsidRPr="001D73D6">
        <w:rPr>
          <w:sz w:val="16"/>
        </w:rPr>
        <w:t xml:space="preserve">, even if the problems ultimately remain in some measure intractable, at least without further-reaching intervention. </w:t>
      </w:r>
      <w:r w:rsidRPr="001D73D6">
        <w:rPr>
          <w:rStyle w:val="Emphasis"/>
        </w:rPr>
        <w:t>A decarceration model is minimalist in its mission as compared to competing criminal law reformist models, at least with regard to the degree of intervention taking place in the court itself</w:t>
      </w:r>
      <w:r w:rsidRPr="001D73D6">
        <w:rPr>
          <w:sz w:val="16"/>
        </w:rPr>
        <w:t xml:space="preserve">. Empirical monitoring may establish the basis for transferring this framework outside the specialized courts context, facilitating farther-reaching transformative criminal law reform. Gradually, in an incremental experimentalist fashion, </w:t>
      </w:r>
      <w:r w:rsidRPr="001D73D6">
        <w:rPr>
          <w:rStyle w:val="StyleUnderline"/>
        </w:rPr>
        <w:t>a decarceration model may begin to reform criminal law more broadly by working to address the compound problem of the criminal law’s relationship to social-order maintenance and the social conditions associated with targeted conduct</w:t>
      </w:r>
      <w:r w:rsidRPr="001D73D6">
        <w:rPr>
          <w:sz w:val="16"/>
        </w:rPr>
        <w:t xml:space="preserve">, moving the regulation of certain matters outside criminal law administration to other sectors. In summary, the upshot of the Article’s analysis to this point is that if specialized criminal courts aim to begin to reduce harshness and brutality in criminal law administration and to limit reliance on criminal supervision and incarceration while addressing socially disruptive conduct, they should organize themselves predominantly on a diversionary, minimalist, experimental, sociologically oriented decarceration model. The </w:t>
      </w:r>
      <w:r w:rsidRPr="001D73D6">
        <w:rPr>
          <w:rStyle w:val="Emphasis"/>
        </w:rPr>
        <w:t>therapeutic, judicial monitoring, and order maintenance models</w:t>
      </w:r>
      <w:r w:rsidRPr="001D73D6">
        <w:rPr>
          <w:sz w:val="16"/>
        </w:rPr>
        <w:t xml:space="preserve"> represent distinct criminal law reformist strategies that </w:t>
      </w:r>
      <w:r w:rsidRPr="001D73D6">
        <w:rPr>
          <w:rStyle w:val="Emphasis"/>
        </w:rPr>
        <w:t>threaten to exacerbate rather than unwind existing problems in criminal law administration because they each possess inherent features that tend to increase reliance on criminal supervision and that may even expand incarceration</w:t>
      </w:r>
      <w:r w:rsidRPr="001D73D6">
        <w:rPr>
          <w:sz w:val="16"/>
        </w:rPr>
        <w:t xml:space="preserve">— radically transforming the judicial role and diluting procedural protections more significantly than on a decarceration model, without generating other demonstrated desirable outcomes. The following Part will explore in more detail three criminal law reform strategies that courts adopting a decarceration model may set in motion. Part IV will address anticipated objections. </w:t>
      </w:r>
    </w:p>
    <w:p w14:paraId="29DF269D" w14:textId="77777777" w:rsidR="00F93747" w:rsidRDefault="00F93747" w:rsidP="00F93747"/>
    <w:p w14:paraId="70D92AFA" w14:textId="77777777" w:rsidR="00F93747" w:rsidRDefault="00F93747" w:rsidP="00F93747">
      <w:pPr>
        <w:pStyle w:val="Heading4"/>
      </w:pPr>
      <w:r>
        <w:t>The decarceration model spills up- they reframe the criminal justice system and recreate institutions to bring systemic change</w:t>
      </w:r>
    </w:p>
    <w:p w14:paraId="56529FC5" w14:textId="77777777" w:rsidR="00F93747" w:rsidRPr="006B6460" w:rsidRDefault="00F93747" w:rsidP="00F93747">
      <w:r w:rsidRPr="006B6460">
        <w:rPr>
          <w:rStyle w:val="Style13ptBold"/>
        </w:rPr>
        <w:t>McLeod 12</w:t>
      </w:r>
      <w:r w:rsidRPr="00253B9A">
        <w:rPr>
          <w:rStyle w:val="Style13ptBold"/>
        </w:rPr>
        <w:t xml:space="preserve"> </w:t>
      </w:r>
      <w:r w:rsidRPr="00253B9A">
        <w:rPr>
          <w:sz w:val="16"/>
          <w:szCs w:val="16"/>
        </w:rPr>
        <w:t xml:space="preserve">(Allegra M McLeod’s research and teaching interests include criminal law and procedure, constitutional law, immigration law, and legal and political theory. Her current scholarship focuses on contemporary movements for penal abolition. McLeod practiced immigration and criminal law at the California-Mexico border as a staff attorney with the Immigration Justice Project, an organization she helped to create. She has taught political theory at Stanford University, worked with the ACLU National Prison Project and clerked for Judge M. Margaret McKeown of the U.S. Court of Appeals for the Ninth Circuit. </w:t>
      </w:r>
      <w:hyperlink r:id="rId12" w:history="1">
        <w:r w:rsidRPr="00253B9A">
          <w:rPr>
            <w:rStyle w:val="Hyperlink"/>
            <w:sz w:val="16"/>
            <w:szCs w:val="16"/>
          </w:rPr>
          <w:t>https://scholarship.law.georgetown.edu/cgi/viewcontent.cgi?article=2285&amp;context=facpub</w:t>
        </w:r>
      </w:hyperlink>
      <w:r w:rsidRPr="00253B9A">
        <w:rPr>
          <w:sz w:val="16"/>
          <w:szCs w:val="16"/>
        </w:rPr>
        <w:t>)</w:t>
      </w:r>
    </w:p>
    <w:p w14:paraId="3AC83896" w14:textId="77777777" w:rsidR="00F93747" w:rsidRPr="00535A51" w:rsidRDefault="00F93747" w:rsidP="00F93747">
      <w:pPr>
        <w:rPr>
          <w:sz w:val="16"/>
        </w:rPr>
      </w:pPr>
      <w:r w:rsidRPr="006B6460">
        <w:rPr>
          <w:rStyle w:val="StyleUnderline"/>
        </w:rPr>
        <w:t>Through both reframed understandings and institutional reinvention, a decarceration model may enable broader systemic change</w:t>
      </w:r>
      <w:r w:rsidRPr="00535A51">
        <w:rPr>
          <w:sz w:val="16"/>
        </w:rPr>
        <w:t xml:space="preserve">: </w:t>
      </w:r>
      <w:r w:rsidRPr="006B6460">
        <w:rPr>
          <w:rStyle w:val="Emphasis"/>
        </w:rPr>
        <w:t>altering conceptual approaches to prevalent social problems, freeing financial resources for other initiatives, increasing the level of accountability of service providers in diversionary collaborations, politicizing court actors regarding the limits of available alternative programming, and transforming the manner in which criminal law is administered more generally</w:t>
      </w:r>
      <w:r w:rsidRPr="00535A51">
        <w:rPr>
          <w:sz w:val="16"/>
        </w:rPr>
        <w:t xml:space="preserve">. First, by marshaling support for particular types of social service interventions, </w:t>
      </w:r>
      <w:r w:rsidRPr="006B6460">
        <w:rPr>
          <w:rStyle w:val="StyleUnderline"/>
        </w:rPr>
        <w:t>a decarceration model directs attention and financial resources to public health, mental health, housing, and other services that might not otherwise be available</w:t>
      </w:r>
      <w:r w:rsidRPr="00535A51">
        <w:rPr>
          <w:sz w:val="16"/>
        </w:rPr>
        <w:t xml:space="preserve">.273 Particularly during times of fiscal austerity, as resources are cut for mental health and other public health programs, a decarceration approach may free resources that could be allocated to treatment initiatives.274 As prisons close, additional resources may be freed for other initiatives.275 In this regard, specialized criminal courts function as a potential vehicle for “justice reinvestment;” as the former Executive Director of the National Association of Drug Court Professionals, Karen Freeman-Wilson, explained, “the ultimate idea is to shift the resources from the departments of correction and other places where that money could be put to better use.”276 </w:t>
      </w:r>
      <w:r w:rsidRPr="006B6460">
        <w:rPr>
          <w:rStyle w:val="Emphasis"/>
        </w:rPr>
        <w:t>These courts may also bring about systemic change by influencing how the problems confronting criminal courts—for instance, mental illness—are managed in other parallel institutions, such as in cities’ public health and publicly subsidized housing systems.</w:t>
      </w:r>
      <w:r w:rsidRPr="00535A51">
        <w:rPr>
          <w:sz w:val="16"/>
        </w:rPr>
        <w:t xml:space="preserve"> Monitoring the provision of services in diversionary programs provides an additional layer of accountability for those sectors.277 Through this monitoring, the courts aim to encourage improved performance in related fields as court administrators advocate, for example, to make sure “there are enough treatment beds, treatment slots . . . in order to make these courts functional.”278 As specialized criminal court judges and advocates run up against the limits of social service providers to accommodate the need for the relevant services, the effect in many instances may be a politicization of judges and other court advocates regarding the structural problems afflicting the demographic served by the court. </w:t>
      </w:r>
      <w:r w:rsidRPr="006B6460">
        <w:rPr>
          <w:rStyle w:val="StyleUnderline"/>
        </w:rPr>
        <w:t>Part of the reformist potential of a decarceration model, then, is that it may lead court participants to galvanize broader support for reallocation of resources to better address these problems.</w:t>
      </w:r>
      <w:r w:rsidRPr="00535A51">
        <w:rPr>
          <w:sz w:val="16"/>
        </w:rPr>
        <w:t xml:space="preserve"> Some mental health court personnel have begun this process by locating resources for housing subsidies and by serving as advocates for court participants with potential landlords.279 It is important to acknowledge, though, that in some, perhaps even in many, circumstances, a decarceration model may run up against a sense of tragic futility—and the court and related diversionary programs may be unable to address adequately the matters at hand, even with more extensive resources for treatment and other social service alternatives.280 After all, simply improving the employment and life prospects of particular individuals and shifting resources to institutions that may support those individuals to become more socially integrated, is unlikely to do a great deal to shift the structures of opportunity in blighted urban and rural neighborhoods when, fundamentally, the problems the courts aim to address are deep-seated, systemic problems.281 Yet, under such circumstances, </w:t>
      </w:r>
      <w:r w:rsidRPr="006B6460">
        <w:rPr>
          <w:rStyle w:val="Emphasis"/>
        </w:rPr>
        <w:t xml:space="preserve">the limitations of specialized criminal courts may facilitate larger-scale legislative reform that support effective decriminalization of certain offenses, reduced incarceration regarding others, and reinvestment in under-resourced areas. </w:t>
      </w:r>
      <w:r w:rsidRPr="00535A51">
        <w:rPr>
          <w:sz w:val="16"/>
        </w:rPr>
        <w:t xml:space="preserve">For instance, the limited capacity of drug courts in California to address treatment and other needs in that state helped to facilitate legislative reform along these lines. In 2000, when California voters passed Proposition 36, the Substance Abuse and Crime Prevention Act—permitting drug arrestees to receive probation with drug treatment instead of incarceration— the public was responding in part to criticism of drug courts that they served too few drug offenders and involved too much judicial oversight.282 While California’s drug courts provided treatment to approximately 3,000 individuals annually before 2001, under Proposition 36 approximately 36,000 drug offenders each year were receiving probation with drug treatment by 2004.283 Further, supervision is delegated from the judge to probation officers and revocation of probation is only considered under limited specified conditions; “flash incarceration” (short-term incarceration for technical violations) is not permitted.284 The Utah Drug Offender Reform Act provides another intriguing window on to the systemic shifts set in motion by the relatively limited capacity of specialized criminal courts. According to Dan Becker, Utah’s State Court Administrator: “The focus that drug courts have put on treatment gave rise to a lot of interest on the part of the larger criminal justice community in Utah. . . . All of the criminal justice agencies got together and worked for several years on crafting legislation that’s called the Drug Offender Reform Act, which provides for screening and assessment for every single person charged with a felony where there’s a drug offense involved. . . . The legislature last year stepped forward and funded about half of the cost of implementation; they’ll fund the other half next year hopefully. . . . And that’s a complete shift in public policy. . . . I suspect you could trace that back to the roots of drug courts putting the emphasis on treatment.”285 </w:t>
      </w:r>
      <w:r w:rsidRPr="00535A51">
        <w:rPr>
          <w:rStyle w:val="Emphasis"/>
        </w:rPr>
        <w:t>As court personnel struggle against structural barriers</w:t>
      </w:r>
      <w:r w:rsidRPr="00535A51">
        <w:rPr>
          <w:sz w:val="16"/>
        </w:rPr>
        <w:t xml:space="preserve">, </w:t>
      </w:r>
      <w:r w:rsidRPr="00535A51">
        <w:rPr>
          <w:rStyle w:val="StyleUnderline"/>
        </w:rPr>
        <w:t>such as a lack of adequate public health and mental health services, lack of affordable housing, and geographically concentrated underemployment,</w:t>
      </w:r>
      <w:r w:rsidRPr="00535A51">
        <w:rPr>
          <w:sz w:val="16"/>
        </w:rPr>
        <w:t xml:space="preserve"> </w:t>
      </w:r>
      <w:r w:rsidRPr="00535A51">
        <w:rPr>
          <w:rStyle w:val="Emphasis"/>
        </w:rPr>
        <w:t>the result may be some measure of consciousness-raising and potentially responsive legislative change</w:t>
      </w:r>
      <w:r w:rsidRPr="00535A51">
        <w:rPr>
          <w:sz w:val="16"/>
        </w:rPr>
        <w:t xml:space="preserve"> but also an acute sense of the impossible situation in which many subjects of the criminal law find themselves. </w:t>
      </w:r>
    </w:p>
    <w:p w14:paraId="2E2F9B2D" w14:textId="77777777" w:rsidR="00F93747" w:rsidRDefault="00F93747" w:rsidP="00F93747"/>
    <w:p w14:paraId="7360C82A" w14:textId="77777777" w:rsidR="00F93747" w:rsidRDefault="00F93747" w:rsidP="00F93747">
      <w:pPr>
        <w:pStyle w:val="Heading4"/>
      </w:pPr>
      <w:r>
        <w:t xml:space="preserve">Courts are key </w:t>
      </w:r>
    </w:p>
    <w:p w14:paraId="62EBE3A6" w14:textId="77777777" w:rsidR="00F93747" w:rsidRPr="00535A51" w:rsidRDefault="00F93747" w:rsidP="00F93747">
      <w:pPr>
        <w:rPr>
          <w:rStyle w:val="Style13ptBold"/>
          <w:b w:val="0"/>
          <w:bCs w:val="0"/>
          <w:sz w:val="22"/>
        </w:rPr>
      </w:pPr>
      <w:r w:rsidRPr="00535A51">
        <w:rPr>
          <w:rStyle w:val="Style13ptBold"/>
        </w:rPr>
        <w:t>McLeod 12</w:t>
      </w:r>
      <w:r w:rsidRPr="00253B9A">
        <w:rPr>
          <w:rStyle w:val="Style13ptBold"/>
        </w:rPr>
        <w:t xml:space="preserve"> </w:t>
      </w:r>
      <w:r w:rsidRPr="00253B9A">
        <w:rPr>
          <w:sz w:val="16"/>
          <w:szCs w:val="16"/>
        </w:rPr>
        <w:t xml:space="preserve">(Allegra M McLeod’s research and teaching interests include criminal law and procedure, constitutional law, immigration law, and legal and political theory. Her current scholarship focuses on contemporary movements for penal abolition. McLeod practiced immigration and criminal law at the California-Mexico border as a staff attorney with the Immigration Justice Project, an organization she helped to create. She has taught political theory at Stanford University, worked with the ACLU National Prison Project and clerked for Judge M. Margaret McKeown of the U.S. Court of Appeals for the Ninth Circuit. </w:t>
      </w:r>
      <w:hyperlink r:id="rId13" w:history="1">
        <w:r w:rsidRPr="00253B9A">
          <w:rPr>
            <w:rStyle w:val="Hyperlink"/>
            <w:sz w:val="16"/>
            <w:szCs w:val="16"/>
          </w:rPr>
          <w:t>https://scholarship.law.georgetown.edu/cgi/viewcontent.cgi?article=2285&amp;context=facpub</w:t>
        </w:r>
      </w:hyperlink>
      <w:r w:rsidRPr="00253B9A">
        <w:rPr>
          <w:sz w:val="16"/>
          <w:szCs w:val="16"/>
        </w:rPr>
        <w:t>)</w:t>
      </w:r>
    </w:p>
    <w:p w14:paraId="0E8942D5" w14:textId="77777777" w:rsidR="00F93747" w:rsidRPr="00535A51" w:rsidRDefault="00F93747" w:rsidP="00F93747">
      <w:pPr>
        <w:rPr>
          <w:sz w:val="16"/>
        </w:rPr>
      </w:pPr>
      <w:r w:rsidRPr="00535A51">
        <w:rPr>
          <w:sz w:val="16"/>
        </w:rPr>
        <w:t xml:space="preserve">One might wonder, then, </w:t>
      </w:r>
      <w:r w:rsidRPr="00535A51">
        <w:rPr>
          <w:rStyle w:val="StyleUnderline"/>
        </w:rPr>
        <w:t xml:space="preserve">why involve the courts at all </w:t>
      </w:r>
      <w:r w:rsidRPr="00535A51">
        <w:rPr>
          <w:sz w:val="16"/>
        </w:rPr>
        <w:t xml:space="preserve">if a decarceration model is primarily diversionary? The answer lies in the fact that </w:t>
      </w:r>
      <w:r w:rsidRPr="00535A51">
        <w:rPr>
          <w:rStyle w:val="Emphasis"/>
        </w:rPr>
        <w:t>the matters at issue are currently lodged in criminal courts, and political process defects have left the task of addressing these matters largely to judges in criminal courts</w:t>
      </w:r>
      <w:r w:rsidRPr="00535A51">
        <w:rPr>
          <w:sz w:val="16"/>
        </w:rPr>
        <w:t xml:space="preserve"> themselves. </w:t>
      </w:r>
      <w:r w:rsidRPr="00535A51">
        <w:rPr>
          <w:rStyle w:val="StyleUnderline"/>
        </w:rPr>
        <w:t>Judges devised specialized criminal courts as a creative workaround</w:t>
      </w:r>
      <w:r w:rsidRPr="00535A51">
        <w:rPr>
          <w:sz w:val="16"/>
        </w:rPr>
        <w:t xml:space="preserve"> of these political process defects. At this point, </w:t>
      </w:r>
      <w:r w:rsidRPr="00535A51">
        <w:rPr>
          <w:rStyle w:val="Emphasis"/>
        </w:rPr>
        <w:t>the courts hold considerable advantages as sites for reshaping public understandings of crime and punishment, for shifting institutional roles, and for reallocating resources to other sectors</w:t>
      </w:r>
      <w:r w:rsidRPr="00535A51">
        <w:rPr>
          <w:sz w:val="16"/>
        </w:rPr>
        <w:t xml:space="preserve">. Further, as Professor Michael Dorf has argued, </w:t>
      </w:r>
      <w:r w:rsidRPr="00535A51">
        <w:rPr>
          <w:rStyle w:val="StyleUnderline"/>
        </w:rPr>
        <w:t xml:space="preserve">specialized criminal courts have “convening power,” as well as “disentrenching capacity” to “impose a ‘penalty default’ </w:t>
      </w:r>
      <w:r w:rsidRPr="00535A51">
        <w:rPr>
          <w:sz w:val="16"/>
        </w:rPr>
        <w:t xml:space="preserve">. . . so unpalatable to all parties that they have no choice but to hammer out some solution.”292 Also, </w:t>
      </w:r>
      <w:r w:rsidRPr="00535A51">
        <w:rPr>
          <w:rStyle w:val="StyleUnderline"/>
        </w:rPr>
        <w:t xml:space="preserve">courts are perceived as relatively neutral and morally authoritative institutions, lending greater force to </w:t>
      </w:r>
      <w:r w:rsidRPr="00535A51">
        <w:rPr>
          <w:sz w:val="16"/>
        </w:rPr>
        <w:t>the</w:t>
      </w:r>
      <w:r w:rsidRPr="00535A51">
        <w:rPr>
          <w:rStyle w:val="StyleUnderline"/>
        </w:rPr>
        <w:t xml:space="preserve"> </w:t>
      </w:r>
      <w:r w:rsidRPr="00535A51">
        <w:rPr>
          <w:sz w:val="16"/>
        </w:rPr>
        <w:t>experimental and empirical</w:t>
      </w:r>
      <w:r w:rsidRPr="00535A51">
        <w:rPr>
          <w:rStyle w:val="StyleUnderline"/>
        </w:rPr>
        <w:t xml:space="preserve"> work ongoing there.</w:t>
      </w:r>
      <w:r w:rsidRPr="00535A51">
        <w:rPr>
          <w:sz w:val="16"/>
        </w:rPr>
        <w:t xml:space="preserve"> Finally, courts may provide some mechanism through which to render service providers accountable in the transition to a diversionary regime. Along these lines, then, </w:t>
      </w:r>
      <w:r w:rsidRPr="00535A51">
        <w:rPr>
          <w:rStyle w:val="Emphasis"/>
        </w:rPr>
        <w:t>a decarceration model may navigate</w:t>
      </w:r>
      <w:r w:rsidRPr="00535A51">
        <w:rPr>
          <w:sz w:val="16"/>
        </w:rPr>
        <w:t xml:space="preserve"> some of the </w:t>
      </w:r>
      <w:r w:rsidRPr="00535A51">
        <w:rPr>
          <w:rStyle w:val="Emphasis"/>
        </w:rPr>
        <w:t>excessive legalism</w:t>
      </w:r>
      <w:r w:rsidRPr="00535A51">
        <w:rPr>
          <w:sz w:val="16"/>
        </w:rPr>
        <w:t xml:space="preserve"> potentially associated with specialized criminal courts and underscored by Spinak and Quinn, </w:t>
      </w:r>
      <w:r w:rsidRPr="00535A51">
        <w:rPr>
          <w:rStyle w:val="Emphasis"/>
        </w:rPr>
        <w:t>while taking advantage of the institutional authority of the courts to initiate broader transformative criminal law reform</w:t>
      </w:r>
      <w:r w:rsidRPr="00535A51">
        <w:rPr>
          <w:sz w:val="16"/>
        </w:rPr>
        <w:t>.</w:t>
      </w:r>
    </w:p>
    <w:p w14:paraId="42D58B98" w14:textId="77777777" w:rsidR="00F93747" w:rsidRDefault="00F93747" w:rsidP="00F93747">
      <w:pPr>
        <w:pStyle w:val="Heading3"/>
      </w:pPr>
      <w:r>
        <w:t>2NC---AT: No Enforcement</w:t>
      </w:r>
    </w:p>
    <w:p w14:paraId="15591220" w14:textId="77777777" w:rsidR="00F93747" w:rsidRDefault="00F93747" w:rsidP="00F93747">
      <w:pPr>
        <w:pStyle w:val="Heading4"/>
      </w:pPr>
      <w:r>
        <w:t>States have proper enforcement</w:t>
      </w:r>
    </w:p>
    <w:p w14:paraId="1519092E" w14:textId="77777777" w:rsidR="00F93747" w:rsidRPr="0070758F" w:rsidRDefault="00F93747" w:rsidP="00F93747">
      <w:r w:rsidRPr="0070758F">
        <w:rPr>
          <w:rStyle w:val="Heading4Char"/>
        </w:rPr>
        <w:t>Brennan Center 20</w:t>
      </w:r>
      <w:r w:rsidRPr="0070758F">
        <w:t xml:space="preserve"> “Criminal Justice Reform at the State Level.” Brennan Center for Justice, 2 June 2020, www.brennancenter.org/our-work/research-reports/criminal-justice-reform-state-level.</w:t>
      </w:r>
    </w:p>
    <w:p w14:paraId="7C81DBFC" w14:textId="77777777" w:rsidR="00F93747" w:rsidRPr="00D43AC6" w:rsidRDefault="00F93747" w:rsidP="00F93747">
      <w:pPr>
        <w:rPr>
          <w:sz w:val="16"/>
        </w:rPr>
      </w:pPr>
      <w:r w:rsidRPr="0070758F">
        <w:rPr>
          <w:u w:val="single"/>
        </w:rPr>
        <w:t>State laws contributed to mass incarceration, and those laws must change to end it.</w:t>
      </w:r>
      <w:r w:rsidRPr="0070758F">
        <w:rPr>
          <w:sz w:val="16"/>
        </w:rPr>
        <w:t xml:space="preserve"> </w:t>
      </w:r>
      <w:r w:rsidRPr="0070758F">
        <w:rPr>
          <w:u w:val="single"/>
        </w:rPr>
        <w:t>Federal crimes cover a relatively narrow range of conduct</w:t>
      </w:r>
      <w:r w:rsidRPr="0070758F">
        <w:rPr>
          <w:sz w:val="16"/>
        </w:rPr>
        <w:t xml:space="preserve">, such as drug offenses. </w:t>
      </w:r>
      <w:r w:rsidRPr="0070758F">
        <w:rPr>
          <w:u w:val="single"/>
        </w:rPr>
        <w:t>State laws, on the other hand, cover crimes that are more recognizable to the average citizen,</w:t>
      </w:r>
      <w:r w:rsidRPr="0070758F">
        <w:rPr>
          <w:sz w:val="16"/>
        </w:rPr>
        <w:t xml:space="preserve"> like drunk driving, shoplifting, and homicide. It’s no surprise, then, that </w:t>
      </w:r>
      <w:r w:rsidRPr="0070758F">
        <w:rPr>
          <w:u w:val="single"/>
        </w:rPr>
        <w:t>state courts handle many more cases than federal courts.</w:t>
      </w:r>
      <w:r w:rsidRPr="0070758F">
        <w:rPr>
          <w:sz w:val="16"/>
        </w:rPr>
        <w:t xml:space="preserve"> As crime rose in the 1970s and 1980s, </w:t>
      </w:r>
      <w:r w:rsidRPr="0070758F">
        <w:rPr>
          <w:u w:val="single"/>
        </w:rPr>
        <w:t xml:space="preserve">lawmakers at the state and federal level enacted </w:t>
      </w:r>
      <w:r w:rsidRPr="0070758F">
        <w:rPr>
          <w:sz w:val="16"/>
        </w:rPr>
        <w:t xml:space="preserve">more draconian </w:t>
      </w:r>
      <w:r w:rsidRPr="0070758F">
        <w:rPr>
          <w:u w:val="single"/>
        </w:rPr>
        <w:t xml:space="preserve">laws that ensnared more people </w:t>
      </w:r>
      <w:r w:rsidRPr="0070758F">
        <w:rPr>
          <w:sz w:val="16"/>
        </w:rPr>
        <w:t xml:space="preserve">in the criminal justice system. In 1973, legislators in New York passed the so-called </w:t>
      </w:r>
      <w:r w:rsidRPr="0070758F">
        <w:rPr>
          <w:u w:val="single"/>
        </w:rPr>
        <w:t>Rockefeller drug laws</w:t>
      </w:r>
      <w:r w:rsidRPr="0070758F">
        <w:rPr>
          <w:sz w:val="16"/>
        </w:rPr>
        <w:t xml:space="preserve">, which imposed mandatory minimum 15-year terms for possession of marijuana and other drugs. Michigan and other states quickly enacted similar laws. Continuing this trend, Washington State in 1984 adopted the nation’s first </w:t>
      </w:r>
      <w:r w:rsidRPr="0070758F">
        <w:rPr>
          <w:u w:val="single"/>
        </w:rPr>
        <w:t>“truth-in-sentencing” law</w:t>
      </w:r>
      <w:r w:rsidRPr="0070758F">
        <w:rPr>
          <w:sz w:val="16"/>
        </w:rPr>
        <w:t xml:space="preserve">, which required people to serve at least 85 percent of their sentences before becoming eligible for parole. In a domino effect across the country, </w:t>
      </w:r>
      <w:r w:rsidRPr="0070758F">
        <w:rPr>
          <w:u w:val="single"/>
        </w:rPr>
        <w:t>27 other states imposed similar requirements. Although</w:t>
      </w:r>
      <w:r w:rsidRPr="0070758F">
        <w:rPr>
          <w:sz w:val="16"/>
        </w:rPr>
        <w:t xml:space="preserve"> violent crime in America peaked in 1991, and </w:t>
      </w:r>
      <w:r w:rsidRPr="0070758F">
        <w:rPr>
          <w:u w:val="single"/>
        </w:rPr>
        <w:t>crime today remains at historic lows, our nation’s punitive responses to crime resulted in a prison building spree</w:t>
      </w:r>
      <w:r w:rsidRPr="0070758F">
        <w:rPr>
          <w:sz w:val="16"/>
        </w:rPr>
        <w:t xml:space="preserve"> throughout the 1990s. According to the Congressional Research Service, in the mid-1990s, at the peak of the prison construction boom, a new </w:t>
      </w:r>
      <w:hyperlink r:id="rId14" w:tgtFrame="_blank" w:history="1">
        <w:r w:rsidRPr="0070758F">
          <w:rPr>
            <w:rStyle w:val="Hyperlink"/>
            <w:sz w:val="16"/>
          </w:rPr>
          <w:t>prison opened every 15 days</w:t>
        </w:r>
      </w:hyperlink>
      <w:r w:rsidRPr="0070758F">
        <w:rPr>
          <w:sz w:val="16"/>
        </w:rPr>
        <w:t xml:space="preserve"> on average.</w:t>
      </w:r>
    </w:p>
    <w:p w14:paraId="1CE14E2E" w14:textId="77777777" w:rsidR="00F93747" w:rsidRDefault="00F93747" w:rsidP="00F93747">
      <w:pPr>
        <w:pStyle w:val="Heading3"/>
      </w:pPr>
      <w:r>
        <w:t>2NC---AT: Court Stripping DA</w:t>
      </w:r>
    </w:p>
    <w:p w14:paraId="0A810977" w14:textId="77777777" w:rsidR="00F93747" w:rsidRPr="00B16664" w:rsidRDefault="00F93747" w:rsidP="00F93747">
      <w:pPr>
        <w:pStyle w:val="Heading4"/>
      </w:pPr>
      <w:r>
        <w:t>Federal Courts Follow State Courts on State Questions</w:t>
      </w:r>
    </w:p>
    <w:p w14:paraId="1354CA0A" w14:textId="77777777" w:rsidR="00F93747" w:rsidRPr="00B16664" w:rsidRDefault="00F93747" w:rsidP="00F93747">
      <w:r w:rsidRPr="00B16664">
        <w:rPr>
          <w:rStyle w:val="Heading4Char"/>
        </w:rPr>
        <w:t xml:space="preserve">Michigan State Police ‘7 </w:t>
      </w:r>
      <w:r>
        <w:t xml:space="preserve">(“Michigan State Police Legal Update: Criminal Procedure”) </w:t>
      </w:r>
      <w:hyperlink r:id="rId15" w:history="1">
        <w:r w:rsidRPr="00690843">
          <w:rPr>
            <w:rStyle w:val="Hyperlink"/>
          </w:rPr>
          <w:t>https://www.michigan.gov/documents/msp/Legal_Update_-_Feb_2007_Final_Draft_188775_7.pdf</w:t>
        </w:r>
      </w:hyperlink>
      <w:r>
        <w:t>)TGT</w:t>
      </w:r>
    </w:p>
    <w:p w14:paraId="36D790C3" w14:textId="77777777" w:rsidR="00F93747" w:rsidRPr="00D43AC6" w:rsidRDefault="00F93747" w:rsidP="00F93747">
      <w:r w:rsidRPr="00B16664">
        <w:rPr>
          <w:u w:val="single"/>
        </w:rPr>
        <w:t>Many believe that federal court have some supervisory powers over state courts. In actuality, state courts follow the rulings of federal courts only on federal questions</w:t>
      </w:r>
      <w:r w:rsidRPr="00B16664">
        <w:t xml:space="preserve">. Federal courts follow state courts on state questions. In most cases, it is the state Supreme Court that determines the law in Michigan, and </w:t>
      </w:r>
      <w:r w:rsidRPr="00B16664">
        <w:rPr>
          <w:u w:val="single"/>
        </w:rPr>
        <w:t>state law often differs from federal law</w:t>
      </w:r>
      <w:r w:rsidRPr="00B16664">
        <w:t xml:space="preserve">. For example, the </w:t>
      </w:r>
      <w:r w:rsidRPr="00B16664">
        <w:rPr>
          <w:u w:val="single"/>
        </w:rPr>
        <w:t>U.S. Supreme Court approved the use of OWI check lanes, but</w:t>
      </w:r>
      <w:r w:rsidRPr="00B16664">
        <w:t xml:space="preserve"> we don’t use them in Michigan because </w:t>
      </w:r>
      <w:r w:rsidRPr="00B16664">
        <w:rPr>
          <w:u w:val="single"/>
        </w:rPr>
        <w:t xml:space="preserve">the Michigan Supreme Court has held them to be unconstitutional. </w:t>
      </w:r>
      <w:r w:rsidRPr="00B16664">
        <w:t xml:space="preserve">This becomes important in cases such as the 5th Circuit decision noted above – even if the 6th Circuit adopts that rule, the Michigan Supreme Court might disapprove. </w:t>
      </w:r>
    </w:p>
    <w:p w14:paraId="06D96C59" w14:textId="77777777" w:rsidR="00F93747" w:rsidRDefault="00F93747" w:rsidP="00F93747">
      <w:pPr>
        <w:pStyle w:val="Heading2"/>
      </w:pPr>
      <w:r>
        <w:t>AFF</w:t>
      </w:r>
    </w:p>
    <w:p w14:paraId="5E1E4E33" w14:textId="77777777" w:rsidR="00F93747" w:rsidRDefault="00F93747" w:rsidP="00F93747">
      <w:pPr>
        <w:pStyle w:val="Heading3"/>
      </w:pPr>
      <w:r w:rsidRPr="00C9327E">
        <w:t>2AC---</w:t>
      </w:r>
      <w:r>
        <w:t>Deficit---</w:t>
      </w:r>
      <w:r w:rsidRPr="00C9327E">
        <w:t>No Enforcement</w:t>
      </w:r>
    </w:p>
    <w:p w14:paraId="4BAAD963" w14:textId="77777777" w:rsidR="00F93747" w:rsidRDefault="00F93747" w:rsidP="00F93747">
      <w:pPr>
        <w:pStyle w:val="Heading4"/>
      </w:pPr>
      <w:r>
        <w:t xml:space="preserve">State Courts are Overburdened – COVID only exacerbates it </w:t>
      </w:r>
    </w:p>
    <w:p w14:paraId="74628327" w14:textId="77777777" w:rsidR="00F93747" w:rsidRPr="00AF5E23" w:rsidRDefault="00F93747" w:rsidP="00F93747">
      <w:r w:rsidRPr="00AF5E23">
        <w:rPr>
          <w:rStyle w:val="Heading4Char"/>
        </w:rPr>
        <w:t>Mallin 3/24</w:t>
      </w:r>
      <w:r>
        <w:t xml:space="preserve"> </w:t>
      </w:r>
      <w:r w:rsidRPr="00AF5E23">
        <w:t>Alexander. “How Coronavirus Is Crippling Courts and Raising Concerns among Civil Liberties Advocates.” ABC News, ABC News Network, 24 Mar. 2020, abcnews.go.com/US/coronavirus-crippling-courts-raising-concerns-civil-liberties-advocates/story?id=69757862.</w:t>
      </w:r>
    </w:p>
    <w:p w14:paraId="024E675B" w14:textId="77777777" w:rsidR="00F93747" w:rsidRPr="00AF5E23" w:rsidRDefault="00F93747" w:rsidP="00F93747">
      <w:r w:rsidRPr="00AF5E23">
        <w:rPr>
          <w:u w:val="single"/>
        </w:rPr>
        <w:t xml:space="preserve">The rapid spread of </w:t>
      </w:r>
      <w:hyperlink r:id="rId16" w:tgtFrame="_blank" w:history="1">
        <w:r w:rsidRPr="00AF5E23">
          <w:rPr>
            <w:rStyle w:val="Hyperlink"/>
            <w:u w:val="single"/>
          </w:rPr>
          <w:t>novel coronavirus</w:t>
        </w:r>
      </w:hyperlink>
      <w:r w:rsidRPr="00AF5E23">
        <w:rPr>
          <w:u w:val="single"/>
        </w:rPr>
        <w:t xml:space="preserve"> throughout America’s communities has crippled courts across the country</w:t>
      </w:r>
      <w:r w:rsidRPr="00AF5E23">
        <w:t xml:space="preserve"> as judges, attorneys and defendants try to come to grips with how to achieve justice under the law while balancing public safety concerns amid ​a pandemic.</w:t>
      </w:r>
      <w:r>
        <w:t xml:space="preserve"> </w:t>
      </w:r>
      <w:r w:rsidRPr="00AF5E23">
        <w:t>In conversations with ABC News, current and former judges, attorneys and public defenders painted a sobering picture</w:t>
      </w:r>
      <w:r w:rsidRPr="00AF5E23">
        <w:rPr>
          <w:u w:val="single"/>
        </w:rPr>
        <w:t>: ​jury trials discontinued, ongoing cases significantly delayed, a scramble for technological work-arounds and empty courthouses nationwide</w:t>
      </w:r>
      <w:r w:rsidRPr="00AF5E23">
        <w:t xml:space="preserve"> as some judges issue rulings from home.</w:t>
      </w:r>
      <w:r>
        <w:t xml:space="preserve"> </w:t>
      </w:r>
      <w:r w:rsidRPr="00AF5E23">
        <w:t xml:space="preserve">For instance, the very </w:t>
      </w:r>
      <w:r w:rsidRPr="00AF5E23">
        <w:rPr>
          <w:u w:val="single"/>
        </w:rPr>
        <w:t>notion of a jury of 12 creates logistical issues with federal and local guidelines for social distancing during the pandemic</w:t>
      </w:r>
      <w:r w:rsidRPr="00AF5E23">
        <w:t>, violating the White House recommendation to avoid groups of more than 10 people.</w:t>
      </w:r>
      <w:r>
        <w:t xml:space="preserve"> </w:t>
      </w:r>
      <w:r w:rsidRPr="00AF5E23">
        <w:t xml:space="preserve">The fluid environment, as well as a series of recent legislative proposals from the Department of Justice, including the possibility of </w:t>
      </w:r>
      <w:r w:rsidRPr="00AF5E23">
        <w:rPr>
          <w:u w:val="single"/>
        </w:rPr>
        <w:t>allowing indefinite detention of suspects during the crisis</w:t>
      </w:r>
      <w:r w:rsidRPr="00AF5E23">
        <w:t xml:space="preserve">, have raised </w:t>
      </w:r>
      <w:r w:rsidRPr="00AF5E23">
        <w:rPr>
          <w:u w:val="single"/>
        </w:rPr>
        <w:t xml:space="preserve">concern among civil liberties advocates who fear that potentially vulnerable populations will be further left behind </w:t>
      </w:r>
      <w:r w:rsidRPr="00AF5E23">
        <w:t>in an already overburdened system.</w:t>
      </w:r>
      <w:r>
        <w:t xml:space="preserve"> </w:t>
      </w:r>
      <w:r w:rsidRPr="00AF5E23">
        <w:t>Experts say that coronavirus crisis could permanently change the judicial landscape.</w:t>
      </w:r>
      <w:r>
        <w:t xml:space="preserve"> </w:t>
      </w:r>
      <w:r w:rsidRPr="00AF5E23">
        <w:t xml:space="preserve">“This disaster, this pandemic is going to change the way the courts do business from now on,” </w:t>
      </w:r>
      <w:r w:rsidRPr="00AF5E23">
        <w:rPr>
          <w:u w:val="single"/>
        </w:rPr>
        <w:t xml:space="preserve">Texas Supreme Court Justice Nathan Hecht told ABC News </w:t>
      </w:r>
      <w:r w:rsidRPr="00AF5E23">
        <w:t xml:space="preserve">in an interview. </w:t>
      </w:r>
      <w:r w:rsidRPr="00AF5E23">
        <w:rPr>
          <w:u w:val="single"/>
        </w:rPr>
        <w:t>“We're going to have to completely rethink how much has to be done in person, how much can be done using technology -- that whole issue that we've just never paid much attention to, is going to be front and center going forward. Our operations will never be the same.”</w:t>
      </w:r>
      <w:r>
        <w:t xml:space="preserve"> </w:t>
      </w:r>
      <w:r w:rsidRPr="00AF5E23">
        <w:t xml:space="preserve">Dozens of the 94 federal courts around the U.S. have closed and delayed trials. </w:t>
      </w:r>
      <w:r w:rsidRPr="00AF5E23">
        <w:rPr>
          <w:u w:val="single"/>
        </w:rPr>
        <w:t>30 state court systems and the District of Columbia have either restricted or ended jury trials, with many suspending in-person proceedings entirely for the time being</w:t>
      </w:r>
      <w:r w:rsidRPr="00AF5E23">
        <w:t>, according to the National Center for State Courts.</w:t>
      </w:r>
      <w:r>
        <w:t xml:space="preserve"> </w:t>
      </w:r>
      <w:r w:rsidRPr="00AF5E23">
        <w:t>Last week the Supreme Court took the extraordinary step of delaying ​more than a dozen cases scheduled for March and April, postponing oral arguments in what is the most significant disruption to the court's business since the 1918 Spanish flu pandemic. The justices held their usual private conference on Friday -- but all of the justices participated by phone.</w:t>
      </w:r>
      <w:r>
        <w:t xml:space="preserve"> </w:t>
      </w:r>
      <w:r w:rsidRPr="00AF5E23">
        <w:t>​Lower federal courts are following public</w:t>
      </w:r>
      <w:r>
        <w:t xml:space="preserve"> </w:t>
      </w:r>
      <w:hyperlink r:id="rId17" w:tgtFrame="_blank" w:history="1">
        <w:r w:rsidRPr="00AF5E23">
          <w:rPr>
            <w:rStyle w:val="Hyperlink"/>
          </w:rPr>
          <w:t>health</w:t>
        </w:r>
      </w:hyperlink>
      <w:r>
        <w:t xml:space="preserve"> </w:t>
      </w:r>
      <w:r w:rsidRPr="00AF5E23">
        <w:t>guidelines and limiting proceedings involving more than 10 people, according to the Administrative Office of the U.S. Courts, which oversees the federal court system nationwide. “I strongly urge all of you to exercise flexibility and compassion in accommodating staff needs,” director James Duff wrote in a memo to courts last week.</w:t>
      </w:r>
      <w:r>
        <w:t xml:space="preserve"> </w:t>
      </w:r>
      <w:r w:rsidRPr="00AF5E23">
        <w:t>The office is asking federal district courts and appeals courts to encourage staff to work from home, limit jury proceedings to only "exceptional circumstances," and utilize videoconference and audioconferencing as much as possible.</w:t>
      </w:r>
      <w:r>
        <w:t xml:space="preserve"> </w:t>
      </w:r>
      <w:r w:rsidRPr="00AF5E23">
        <w:t>"Seating a jury reflective of the community has been getting more difficult, especially with so many elderly people afraid to leave their homes," a federal judicial official told ABC News.</w:t>
      </w:r>
      <w:r>
        <w:t xml:space="preserve"> </w:t>
      </w:r>
      <w:r w:rsidRPr="00AF5E23">
        <w:t>At least three federal courthouses -- the Middle District of Pennsylvania, Northern District of Georgia and the District of Delaware -- have been closed after authorities confirmed someone in the facility had contracted the virus. At least six others have been ordered closed by local judges over public health concerns.</w:t>
      </w:r>
      <w:r>
        <w:t xml:space="preserve"> </w:t>
      </w:r>
      <w:r w:rsidRPr="00AF5E23">
        <w:t>In response to the fast-moving developments, the American Civil Liberties Union warned it would be "watching closely to make sure any use of emergency powers in response to the pandemic is grounded in science and public health, not politics or discrimination."</w:t>
      </w:r>
      <w:r>
        <w:t xml:space="preserve"> </w:t>
      </w:r>
      <w:r w:rsidRPr="00AF5E23">
        <w:t>"As the government takes the necessary steps to ensure public health, it must also safeguard people’s due process, privacy, and equal protection rights," the director of the ACLU's National Security Project Hina Shamsi said in a statement.</w:t>
      </w:r>
      <w:r>
        <w:t xml:space="preserve"> </w:t>
      </w:r>
      <w:r w:rsidRPr="00AF5E23">
        <w:t>Supreme Court Chief Justice John Roberts, who presides over the Judicial Conference of the U.S., the federal court's policy-making body, has the authority to issue sweeping mandates to all federal courts, but so far has allowed each to make its own decisions on operations.</w:t>
      </w:r>
      <w:r>
        <w:t xml:space="preserve"> </w:t>
      </w:r>
      <w:r w:rsidRPr="00AF5E23">
        <w:t>The Conference has established a task force to help coordinate best practices among courts during the pandemic.</w:t>
      </w:r>
      <w:r>
        <w:t xml:space="preserve"> </w:t>
      </w:r>
      <w:r w:rsidRPr="00AF5E23">
        <w:t>In an effort to instill courts with new powers to manage operations during the crisis, the Justice Department over the weekend sent a series of legislative proposals to Congress that could have sweeping implications for defendants' civil liberties during national emergencies as well as immigration law.</w:t>
      </w:r>
      <w:r>
        <w:t xml:space="preserve"> </w:t>
      </w:r>
      <w:r w:rsidRPr="00AF5E23">
        <w:t>One would allow federal chief judges to order that citizens be detained indefinitely without trial during national emergencies. In addition, they are seeking to pause to the statute of limitations for criminal and civil investigations through the duration of a national emergency through one year after it ends.</w:t>
      </w:r>
      <w:r>
        <w:t xml:space="preserve"> </w:t>
      </w:r>
      <w:r w:rsidRPr="00AF5E23">
        <w:t>The proposal also includes a provision requesting that Congress allow use of videoconference hearings even if a defendant objects.</w:t>
      </w:r>
      <w:r>
        <w:t xml:space="preserve"> </w:t>
      </w:r>
      <w:r w:rsidRPr="00AF5E23">
        <w:t>And in another proposal that impacts immigration law, the DOJ recommended Congress mandate those who are found to be confirmed cases of COVID-19 not be allowed to apply for asylum. Additionally, the proposal asks for the ability to deport undocumented immigrants who are confirmed cases of COVID-19 to countries regardless of whether they are unsafe locations.</w:t>
      </w:r>
      <w:r>
        <w:t xml:space="preserve"> </w:t>
      </w:r>
      <w:r w:rsidRPr="00AF5E23">
        <w:t>It’s not clear, however, the level of support such proposals will receive in Congress, or whether they’d stand up to likely court challenges on their constitutionality.</w:t>
      </w:r>
      <w:r>
        <w:t xml:space="preserve"> </w:t>
      </w:r>
      <w:r w:rsidRPr="00AF5E23">
        <w:t>In response to criticism from lawmakers from both parties over the proposals, DOJ spokesperson Kerri Kupec defended the package in a statement Sunday evening, saying it was reflective of what most courts were doing already "on an ad hoc basis" around the country.</w:t>
      </w:r>
      <w:r>
        <w:t xml:space="preserve"> </w:t>
      </w:r>
      <w:r w:rsidRPr="00AF5E23">
        <w:t>"This was triggered by Congress asking DOJ for suggested proposals necessary to ensure that federal courts would be able to administer fair and impartial justice during the pandemic," Kupec said. "Bottom line: The proposed legislative text confers powers upon the judges. It does not confer new powers upon the executive branch."</w:t>
      </w:r>
      <w:r>
        <w:t xml:space="preserve"> </w:t>
      </w:r>
      <w:r w:rsidRPr="00AF5E23">
        <w:t>Juries and ‘social distancing’</w:t>
      </w:r>
      <w:r>
        <w:t xml:space="preserve"> </w:t>
      </w:r>
      <w:r w:rsidRPr="00AF5E23">
        <w:t>According to data from U.S. courts, a total of 726 grand juries were convened across the nation’s circuit and district courts in 2019 alone with more than 180,000 jurors registering their attendance.</w:t>
      </w:r>
      <w:r>
        <w:t xml:space="preserve"> </w:t>
      </w:r>
      <w:r w:rsidRPr="00AF5E23">
        <w:t>“People have a constitutional right to have a hearing before a judge if they're going to be detained and they have a constitutional right, under the Speedy Trial Acts, which are federal and vary from state to state, to have an actual trial including a jury trial if they want to do it,” retired federal judge Wayne Andersen told ABC News.</w:t>
      </w:r>
      <w:r>
        <w:t xml:space="preserve"> </w:t>
      </w:r>
      <w:r w:rsidRPr="00AF5E23">
        <w:t>Andersen, who served on the district court for Northern Illinois as well as seven years on the state bench, stressed that courts are going to have to find an immediate solution for what to do about jury trials if the COVID threat persists. That's because at a minimum with a 12-person jury, Andersen said, there could be 30 to 40 people gathered into a courtroom initially.</w:t>
      </w:r>
      <w:r>
        <w:t xml:space="preserve"> </w:t>
      </w:r>
      <w:r w:rsidRPr="00AF5E23">
        <w:t>“We may have to set up special arrangements, special courthouses, special buildings that are safer for jurors easier to get to and we may have to make changes in the way jurors are summoned,” Hecht said, echoing Andersen’s concerns. “We don't know yet exactly. If this comes on for months and continues to get worse, harder solutions will have to be explored.”</w:t>
      </w:r>
      <w:r>
        <w:t xml:space="preserve"> </w:t>
      </w:r>
      <w:r w:rsidRPr="00AF5E23">
        <w:t>At a minimum, Andersen said larger courtrooms will need to be used for jurors so judges can “spread people out.”</w:t>
      </w:r>
      <w:r>
        <w:t xml:space="preserve"> </w:t>
      </w:r>
      <w:r w:rsidRPr="00AF5E23">
        <w:t>“Video equipment can also be used even in a courtroom to make documents and other things very visible,” Andersen said. “So instead of jurors, for example, having physical documents which they pass around and carry back and forth, I would put them up on a video screen.”</w:t>
      </w:r>
      <w:r>
        <w:t xml:space="preserve"> </w:t>
      </w:r>
      <w:r w:rsidRPr="00AF5E23">
        <w:t>Attorneys, court workers seek answers on safety</w:t>
      </w:r>
      <w:r>
        <w:t xml:space="preserve"> </w:t>
      </w:r>
      <w:r w:rsidRPr="00AF5E23">
        <w:t>On the ground level, public defenders argue more focus should be put on immediately reducing the populations moving through both the halls of courthouses and incarcerated populations in jails and prisons.</w:t>
      </w:r>
      <w:r>
        <w:t xml:space="preserve"> </w:t>
      </w:r>
      <w:r w:rsidRPr="00AF5E23">
        <w:t>Nikhil Ramnaney, who serves as president of a Union of Los Angeles County Public Defenders in the nation’s largest trial court system, expressed concern in an interview with ABC News about the court’s decision to re-open its doors for essential business last Friday.</w:t>
      </w:r>
      <w:r>
        <w:t xml:space="preserve"> </w:t>
      </w:r>
      <w:r w:rsidRPr="00AF5E23">
        <w:t>“We should be taking extreme measures to reduce public or in-person foot traffic in the courts,” Ramnaney said. “I’ll tell you right now that my membership and the lawyers in the public defender's office are not confident that all those measures are being taken.”</w:t>
      </w:r>
      <w:r>
        <w:t xml:space="preserve"> </w:t>
      </w:r>
      <w:r w:rsidRPr="00AF5E23">
        <w:t>California has one of the largest levels of COVID-19 infections in the country (1,554 as of March 22), although it pales in comparison to New York (15,777).</w:t>
      </w:r>
      <w:r>
        <w:t xml:space="preserve"> </w:t>
      </w:r>
      <w:r w:rsidRPr="00AF5E23">
        <w:t>In a letter to the state's Superior Court last week, Ramnaney and the leaders of several other unions representing the county’s lawyers and peace officers asked the courts to implement a series of sanitation and social distancing protocols to protect the roughly 50,000 professionals who work in the court system on a daily basis.</w:t>
      </w:r>
      <w:r>
        <w:t xml:space="preserve"> </w:t>
      </w:r>
      <w:r w:rsidRPr="00AF5E23">
        <w:t>Ramnaney said that the court hadn’t yet provided clear guidance to lawyers about the specific steps it was taking to ensure facilities were properly sanitized or whether there would be medical screening for individuals who enter the courthouse.</w:t>
      </w:r>
      <w:r>
        <w:t xml:space="preserve"> </w:t>
      </w:r>
      <w:r w:rsidRPr="00AF5E23">
        <w:t>“It's taken a while for them to realize the seriousness of what we're facing,” Ramnaney said. “So how do we continue on?”</w:t>
      </w:r>
      <w:r>
        <w:t xml:space="preserve"> </w:t>
      </w:r>
      <w:r w:rsidRPr="00AF5E23">
        <w:t>The L.A. County Superior Court did not respond to a request for comment on Ramnaney’s claims.</w:t>
      </w:r>
      <w:r>
        <w:t xml:space="preserve"> </w:t>
      </w:r>
      <w:r w:rsidRPr="00AF5E23">
        <w:t>L.A. County Court's presiding judge Kevin Brazile on Monday ordered the closure of the clerk's offices at all 38 courthouses beginning Monday until further notice, with the exception of two clerk's offices in Beverly Hills and Catalina that would remain open only for time-sensitive and essential matters. Brazile also ordered a complete 3-day closure of one courthouse after a public defender assigned to the court tested positive for COVID-19.</w:t>
      </w:r>
      <w:r>
        <w:t xml:space="preserve"> </w:t>
      </w:r>
      <w:r w:rsidRPr="00AF5E23">
        <w:t>How the economy could hit the courts</w:t>
      </w:r>
      <w:r>
        <w:t xml:space="preserve"> </w:t>
      </w:r>
      <w:r w:rsidRPr="00AF5E23">
        <w:t>With the economy in virtual standstill and millions of Americans facing new uncertainties about their financial future, bankruptcy courts could soon face the conundrum of a flood of activity while at the same time keeping in-person interaction to an absolute minimum.</w:t>
      </w:r>
      <w:r>
        <w:t xml:space="preserve"> </w:t>
      </w:r>
      <w:r w:rsidRPr="00AF5E23">
        <w:t>“More people actually come into contact with the federal court system through bankruptcy than any other court in the federal system and probably any other court in the country,” a current federal bankruptcy judge, who requested anonymity in order to speak candidly, told ABC News. “We can't handle the volume that we have electronically, I can tell you that right now. And I could get you the exact number, but I have 3,900 cases on my own.”</w:t>
      </w:r>
      <w:r>
        <w:t xml:space="preserve"> </w:t>
      </w:r>
      <w:r w:rsidRPr="00AF5E23">
        <w:t>According to data from U.S. courts, there were 774,940 bankruptcy cases filed in 2019 alone in U.S. District Courts in 2019, while federal judges handled 296,691 civil cases and 94,205 criminal cases. For comparison, two years after the 2008 recession there were nearly 1.6 million bankruptcy cases filed.</w:t>
      </w:r>
      <w:r>
        <w:t xml:space="preserve"> </w:t>
      </w:r>
      <w:r w:rsidRPr="00AF5E23">
        <w:t>Bankruptcy judges also often spend a significant amount more time physically hearing cases on the bench than other judges, with dozens of lawyers and stakeholders circulating through a courtroom each day and passing reams of paperwork around -- increasing risks of potential exposure to COVID-19 among a large number of individuals, including many senior citizens.</w:t>
      </w:r>
      <w:r>
        <w:t xml:space="preserve"> </w:t>
      </w:r>
      <w:r w:rsidRPr="00AF5E23">
        <w:t>While the judge said additional computers have been provided to colleagues allowing them to access the court’s internal filing system and work from home this past week, they expressed concern that teleworking and video conferencing wouldn’t be viable in the long-term.</w:t>
      </w:r>
      <w:r>
        <w:t xml:space="preserve"> </w:t>
      </w:r>
      <w:r w:rsidRPr="00AF5E23">
        <w:t>“How are we going to hold hearings so that individuals have the right to come in and try and protect themselves and their property, and lenders have the right to vindicate their economic interests as well?” the judge said. “We can delay things for a little bit, but if we were literally to remain closed, then I don't know how we hold thousands of hearings that will be required.”</w:t>
      </w:r>
      <w:r>
        <w:t xml:space="preserve"> </w:t>
      </w:r>
      <w:r w:rsidRPr="00AF5E23">
        <w:t>Coronavirus and the future of the court system</w:t>
      </w:r>
      <w:r>
        <w:t xml:space="preserve"> </w:t>
      </w:r>
      <w:r w:rsidRPr="00AF5E23">
        <w:t>Despite the challenges coronavirus presents the court system, many expressed hope that it could speed reforms that will benefit the criminal justice system in the long term.</w:t>
      </w:r>
      <w:r>
        <w:t xml:space="preserve"> </w:t>
      </w:r>
      <w:r w:rsidRPr="00AF5E23">
        <w:t>Pointing to moves by district attorneys and law enforcement across the country to issue citations rather than arrest suspects for lower-level offenses, Ramnaney expressed hope it will draw more attention to whether locking people up in such cases truly benefits communities.</w:t>
      </w:r>
      <w:r>
        <w:t xml:space="preserve"> </w:t>
      </w:r>
      <w:hyperlink r:id="rId18" w:history="1">
        <w:r w:rsidRPr="00AF5E23">
          <w:rPr>
            <w:rStyle w:val="Hyperlink"/>
          </w:rPr>
          <w:t>MORE:Police implement sweeping policy changes to prepare for coronavirus spread</w:t>
        </w:r>
      </w:hyperlink>
      <w:r>
        <w:t xml:space="preserve"> </w:t>
      </w:r>
      <w:r w:rsidRPr="00AF5E23">
        <w:t>“I mean, from a public defender perspective, you know, we've always envisioned a significantly reduced carceral criminal justice system,” Ramnaney said. “ It didn't work prior to the pandemic and you know, it's not going to work now. You know, locking people up in facilities that don't have the capacity, that are unsanitary, doesn’t necessarily accomplish anything.”</w:t>
      </w:r>
      <w:r>
        <w:t xml:space="preserve"> </w:t>
      </w:r>
      <w:r w:rsidRPr="00AF5E23">
        <w:t>The crisis could also have far-reaching implications for transparency in trials and oral arguments -- as courts that have at times been staunchly opposed to holding on-camera hearings will in many cases now have to move towards video systems to preserve public safety.</w:t>
      </w:r>
      <w:r>
        <w:t xml:space="preserve"> </w:t>
      </w:r>
      <w:r w:rsidRPr="00AF5E23">
        <w:t>“I think that this will pull the court system into the 21st century when it comes to video,” Andersen said.</w:t>
      </w:r>
      <w:r>
        <w:t xml:space="preserve"> </w:t>
      </w:r>
      <w:r w:rsidRPr="00AF5E23">
        <w:t>Hecht, who serves as the president of the National Conference of Chief Justices, said after speaking with a number of his colleagues around the country about the challenges and changes that could be in store for their courts -- he still remains “cautiously optimistic.”</w:t>
      </w:r>
      <w:r>
        <w:t xml:space="preserve"> </w:t>
      </w:r>
      <w:r w:rsidRPr="00AF5E23">
        <w:t>“People are sensing that as bad as the situation is, we’re not sensing that terrible things are going to happen but we are quite sobered by the whole situation,” Hecht said. “We're just going to have to rethink doing justice in the 21st century in confronting these difficulties and, and maybe others. But if there's anything good about this -- and there's not much, but maybe, maybe that's it.”</w:t>
      </w:r>
    </w:p>
    <w:p w14:paraId="14DFCF06" w14:textId="77777777" w:rsidR="00F93747" w:rsidRPr="00D43AC6" w:rsidRDefault="00F93747" w:rsidP="00F93747"/>
    <w:p w14:paraId="6915DF2A" w14:textId="77777777" w:rsidR="00F93747" w:rsidRDefault="00F93747" w:rsidP="00F93747">
      <w:pPr>
        <w:pStyle w:val="Heading3"/>
      </w:pPr>
      <w:r>
        <w:t>2AC---Deficit---Fed Better</w:t>
      </w:r>
    </w:p>
    <w:p w14:paraId="071F31C4" w14:textId="77777777" w:rsidR="00F93747" w:rsidRPr="00587B98" w:rsidRDefault="00F93747" w:rsidP="00F93747">
      <w:pPr>
        <w:pStyle w:val="Heading4"/>
      </w:pPr>
      <w:r>
        <w:t xml:space="preserve">Federal intervention best </w:t>
      </w:r>
    </w:p>
    <w:p w14:paraId="52C4E812" w14:textId="77777777" w:rsidR="00F93747" w:rsidRPr="009B7963" w:rsidRDefault="00F93747" w:rsidP="00F93747">
      <w:r w:rsidRPr="00587B98">
        <w:rPr>
          <w:rStyle w:val="Heading4Char"/>
        </w:rPr>
        <w:t>Zeigler</w:t>
      </w:r>
      <w:r>
        <w:rPr>
          <w:rStyle w:val="Heading4Char"/>
        </w:rPr>
        <w:t xml:space="preserve"> 84 </w:t>
      </w:r>
      <w:r w:rsidRPr="001315AD">
        <w:t>JD in Law Amhurst College</w:t>
      </w:r>
      <w:r>
        <w:t>,</w:t>
      </w:r>
      <w:r>
        <w:rPr>
          <w:rStyle w:val="Heading4Char"/>
        </w:rPr>
        <w:t xml:space="preserve"> </w:t>
      </w:r>
      <w:r>
        <w:t>P</w:t>
      </w:r>
      <w:r w:rsidRPr="00587B98">
        <w:t xml:space="preserve">rofessor </w:t>
      </w:r>
      <w:r>
        <w:t xml:space="preserve">of Law </w:t>
      </w:r>
      <w:r w:rsidRPr="00587B98">
        <w:t>@ New York Law School</w:t>
      </w:r>
      <w:r>
        <w:t xml:space="preserve"> (Donald, “Federal Court Reform of State Criminal Justice Systems: A Reassessment of the Younger Doctrine from a Modern Perspective”, pg. 31-34)TGT</w:t>
      </w:r>
    </w:p>
    <w:p w14:paraId="6707D965" w14:textId="77777777" w:rsidR="00F93747" w:rsidRDefault="00F93747" w:rsidP="00F93747">
      <w:pPr>
        <w:rPr>
          <w:sz w:val="16"/>
        </w:rPr>
      </w:pPr>
      <w:r w:rsidRPr="005A1811">
        <w:rPr>
          <w:u w:val="single"/>
        </w:rPr>
        <w:t>Federal courts generally have refused to use their equitable powers to reform state criminal justice systems.</w:t>
      </w:r>
      <w:r w:rsidRPr="005A1811">
        <w:rPr>
          <w:sz w:val="16"/>
        </w:rPr>
        <w:t xml:space="preserve"> This reticence is </w:t>
      </w:r>
      <w:r w:rsidRPr="005A1811">
        <w:rPr>
          <w:u w:val="single"/>
        </w:rPr>
        <w:t>due in part to the Supreme Court's extension of the traditional nonintervention doctrine that forbids a federal court from enjoining a pending state criminal proceeding in the absence of special circumstances</w:t>
      </w:r>
      <w:r w:rsidRPr="005A1811">
        <w:rPr>
          <w:sz w:val="16"/>
        </w:rPr>
        <w:t xml:space="preserve">.' In 1971 the Court in Younger v. Harris signaled the reemergence of this abstention doctrine. 2 The Court soon extended Younger to bar cases in which plaintiffs sought systemic reform of state criminal justice, even though the plaintiffs did not seek to enjoin any pending state court proceedings.' The lower federal courts followed this lead;4 by the late 1970's, </w:t>
      </w:r>
      <w:r w:rsidRPr="005A1811">
        <w:rPr>
          <w:u w:val="single"/>
        </w:rPr>
        <w:t>federal courts effectively abandoned their scrutiny of state administration of justice under the fourteenth amendment</w:t>
      </w:r>
      <w:r w:rsidRPr="005A1811">
        <w:rPr>
          <w:sz w:val="16"/>
        </w:rPr>
        <w:t xml:space="preserve"> and 42 U.S.C. section 1983." A previous article by this author assessed Younger abstention from an historical perspective. It contended that the federal courts' refusal to use their equitable powers to reform state criminal justice systems directly contravenes the intent of the Reconstruction Congresses that adopted the fourteenth amendment and section 1983. The present Article assesses the Younger doctrine from a modern perspective. It </w:t>
      </w:r>
      <w:r w:rsidRPr="005A1811">
        <w:rPr>
          <w:u w:val="single"/>
        </w:rPr>
        <w:t>argues that the doctrine should be abandoned.7 The principles of equity, federalism, and comity that underlie abstention should be recast as factors to consider in the wise exercise of equitable discretion</w:t>
      </w:r>
      <w:r w:rsidRPr="005A1811">
        <w:rPr>
          <w:sz w:val="16"/>
        </w:rPr>
        <w:t>.'</w:t>
      </w:r>
      <w:r w:rsidRPr="005A1811">
        <w:rPr>
          <w:u w:val="single"/>
        </w:rPr>
        <w:t xml:space="preserve"> The first three sections of the Article present the case for direct federal court intervention to work systemic reform of state criminal justice.</w:t>
      </w:r>
      <w:r w:rsidRPr="005A1811">
        <w:rPr>
          <w:sz w:val="16"/>
        </w:rPr>
        <w:t xml:space="preserve">9 Section I contends that abstention in criminal justice cases is wholly inconsistent with federal court activism in school desegregation, legislative reapportionment, and prisoners' rights suits.10 </w:t>
      </w:r>
      <w:r w:rsidRPr="005A1811">
        <w:rPr>
          <w:u w:val="single"/>
        </w:rPr>
        <w:t>State criminal justice exhibits many of the characteristics that made federal court intervention in the other areas both necessary and appropriate</w:t>
      </w:r>
      <w:r w:rsidRPr="005A1811">
        <w:rPr>
          <w:sz w:val="16"/>
        </w:rPr>
        <w:t xml:space="preserve">. Consequently, federal courts should not abstain in criminal justice reform cases. Section II examines whether the Younger doctrine can be justified by special principles of comity between federal and state judges. It concludes that state courts are not entitled to greater deference than the other branches of state government in actions alleging systemic violation of federal constitutional rights. Section III explores the inherent limitations of Supreme Court review of state court judgments and federal habeas corpus as remedial devices and explains why </w:t>
      </w:r>
      <w:r w:rsidRPr="005A1811">
        <w:rPr>
          <w:u w:val="single"/>
        </w:rPr>
        <w:t>injunctive relief is essential to achieve systemic reform of state criminal justice</w:t>
      </w:r>
      <w:r w:rsidRPr="005A1811">
        <w:rPr>
          <w:sz w:val="16"/>
        </w:rPr>
        <w:t>. Section IV considers how the federal injunctive power can best be used. It applies the lessons learned in other institutional reform cases to litigation challenging criminal justice practices and procedures and suggests guidelines to assist litigants and courts in structuring and adjudicating such cases. Section IV also explains why abandoning Younger abstention will neither seriously disrupt the state criminal process nor overburden the federal courts.</w:t>
      </w:r>
    </w:p>
    <w:p w14:paraId="332BF63F" w14:textId="77777777" w:rsidR="00F93747" w:rsidRPr="00C9327E" w:rsidRDefault="00F93747" w:rsidP="00F93747"/>
    <w:p w14:paraId="3892A0B6" w14:textId="77777777" w:rsidR="00F93747" w:rsidRDefault="00F93747" w:rsidP="00F93747">
      <w:pPr>
        <w:pStyle w:val="Heading3"/>
      </w:pPr>
      <w:r w:rsidRPr="00C9327E">
        <w:t>2AC---</w:t>
      </w:r>
      <w:r>
        <w:t>Perm---Do Both</w:t>
      </w:r>
    </w:p>
    <w:p w14:paraId="6C2C2714" w14:textId="77777777" w:rsidR="00F93747" w:rsidRDefault="00F93747" w:rsidP="00F93747">
      <w:pPr>
        <w:pStyle w:val="Heading4"/>
      </w:pPr>
      <w:r>
        <w:t>States courts can’t act alone</w:t>
      </w:r>
    </w:p>
    <w:p w14:paraId="74E4169C" w14:textId="77777777" w:rsidR="00F93747" w:rsidRPr="002E331A" w:rsidRDefault="00F93747" w:rsidP="00F93747">
      <w:r>
        <w:t xml:space="preserve">Alexander H. E. </w:t>
      </w:r>
      <w:r w:rsidRPr="006B3040">
        <w:rPr>
          <w:b/>
          <w:bCs/>
          <w:sz w:val="26"/>
          <w:szCs w:val="26"/>
        </w:rPr>
        <w:t>Morawa,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19" w:history="1">
        <w:r w:rsidRPr="00690843">
          <w:rPr>
            <w:rStyle w:val="Hyperlink"/>
          </w:rPr>
          <w:t>https://papers.ssrn.com/sol3/papers.cfm?abstract_id=2604459)TGT</w:t>
        </w:r>
      </w:hyperlink>
      <w:r w:rsidRPr="002E331A">
        <w:t xml:space="preserve"> </w:t>
      </w:r>
    </w:p>
    <w:p w14:paraId="6D4451AF" w14:textId="77777777" w:rsidR="00F93747" w:rsidRPr="002E331A" w:rsidRDefault="00F93747" w:rsidP="00F93747">
      <w:pPr>
        <w:rPr>
          <w:sz w:val="16"/>
        </w:rPr>
      </w:pPr>
      <w:r w:rsidRPr="002E331A">
        <w:rPr>
          <w:sz w:val="16"/>
        </w:rPr>
        <w:t>Nevertheless, as one state supreme court justice has stated</w:t>
      </w:r>
      <w:r w:rsidRPr="0062514D">
        <w:rPr>
          <w:u w:val="single"/>
        </w:rPr>
        <w:t>, the American «national judicial history and traditions closely wed federal and state constitutional doctrine. It is not</w:t>
      </w:r>
      <w:r w:rsidRPr="002E331A">
        <w:rPr>
          <w:sz w:val="16"/>
        </w:rPr>
        <w:t xml:space="preserve"> entirely </w:t>
      </w:r>
      <w:r w:rsidRPr="0062514D">
        <w:rPr>
          <w:u w:val="single"/>
        </w:rPr>
        <w:t>realistic,</w:t>
      </w:r>
      <w:r w:rsidRPr="002E331A">
        <w:rPr>
          <w:sz w:val="16"/>
        </w:rPr>
        <w:t xml:space="preserve"> sound or historically accurate </w:t>
      </w:r>
      <w:r w:rsidRPr="0062514D">
        <w:rPr>
          <w:u w:val="single"/>
        </w:rPr>
        <w:t>to regard the separation between the federal and state systems as a schism</w:t>
      </w:r>
      <w:r w:rsidRPr="002E331A">
        <w:rPr>
          <w:sz w:val="16"/>
        </w:rPr>
        <w:t xml:space="preserve">. The </w:t>
      </w:r>
      <w:r w:rsidRPr="0062514D">
        <w:rPr>
          <w:u w:val="single"/>
        </w:rPr>
        <w:t>states are not always free to act independently under their own constitutions.</w:t>
      </w:r>
      <w:r w:rsidRPr="002E331A">
        <w:rPr>
          <w:sz w:val="16"/>
        </w:rPr>
        <w:t xml:space="preserve"> </w:t>
      </w:r>
      <w:r w:rsidRPr="0062514D">
        <w:rPr>
          <w:u w:val="single"/>
        </w:rPr>
        <w:t>State constitutions may be used to supplement</w:t>
      </w:r>
      <w:r w:rsidRPr="002E331A">
        <w:rPr>
          <w:sz w:val="16"/>
        </w:rPr>
        <w:t xml:space="preserve"> or expand </w:t>
      </w:r>
      <w:r w:rsidRPr="0062514D">
        <w:rPr>
          <w:u w:val="single"/>
        </w:rPr>
        <w:t>federally guaranteed constitutional rights</w:t>
      </w:r>
      <w:r w:rsidRPr="002E331A">
        <w:rPr>
          <w:sz w:val="16"/>
        </w:rPr>
        <w:t>. However</w:t>
      </w:r>
      <w:r w:rsidRPr="0062514D">
        <w:rPr>
          <w:u w:val="single"/>
        </w:rPr>
        <w:t>, they may never be used to undermine or circumscribe them.</w:t>
      </w:r>
      <w:r w:rsidRPr="002E331A">
        <w:rPr>
          <w:sz w:val="16"/>
        </w:rPr>
        <w:t>»67 Another justice has added: «If we are to interpret our state constitution in a manner inconsistent with the United States Supreme Court's interpretation of the federal constitution, we must do so on the basis of principles, not results.»68 «Recourse to our state constitution as an independent source for recognizing and protecting the individual rights of our citizens must spring not from pure intuition, but from a process that is at once articulable, reasonable and reasoned,»69 the Supreme Court of Washington has added. From this a ‹criteria approach› has emerged, criticized by some commentators70 as part of a backlash against the new judicial federalism</w:t>
      </w:r>
    </w:p>
    <w:p w14:paraId="70FE9FE1" w14:textId="77777777" w:rsidR="00F93747" w:rsidRPr="00D43AC6" w:rsidRDefault="00F93747" w:rsidP="00F93747"/>
    <w:p w14:paraId="73487DEF" w14:textId="77777777" w:rsidR="00F93747" w:rsidRPr="00C9327E" w:rsidRDefault="00F93747" w:rsidP="00F93747">
      <w:pPr>
        <w:pStyle w:val="Heading1"/>
      </w:pPr>
      <w:r w:rsidRPr="00C9327E">
        <w:t>Internal NB---Judicial Federalism</w:t>
      </w:r>
    </w:p>
    <w:p w14:paraId="3F143C20" w14:textId="77777777" w:rsidR="00F93747" w:rsidRPr="00670A46" w:rsidRDefault="00F93747" w:rsidP="00F93747">
      <w:pPr>
        <w:pStyle w:val="Heading2"/>
      </w:pPr>
      <w:r w:rsidRPr="00670A46">
        <w:t>NEG</w:t>
      </w:r>
    </w:p>
    <w:p w14:paraId="06536CAC" w14:textId="77777777" w:rsidR="00F93747" w:rsidRPr="00670A46" w:rsidRDefault="00F93747" w:rsidP="00F93747">
      <w:pPr>
        <w:pStyle w:val="Heading3"/>
      </w:pPr>
      <w:r w:rsidRPr="00670A46">
        <w:t>1NC---NB---Judicial Federalism</w:t>
      </w:r>
    </w:p>
    <w:p w14:paraId="497CBC2E" w14:textId="77777777" w:rsidR="00F93747" w:rsidRDefault="00F93747" w:rsidP="00F93747">
      <w:pPr>
        <w:pStyle w:val="Heading4"/>
      </w:pPr>
      <w:r>
        <w:t xml:space="preserve">States are </w:t>
      </w:r>
      <w:r w:rsidRPr="0029720D">
        <w:rPr>
          <w:u w:val="single"/>
        </w:rPr>
        <w:t>complicit</w:t>
      </w:r>
      <w:r>
        <w:t xml:space="preserve"> in the federalization of crime, but the CP reverses that</w:t>
      </w:r>
    </w:p>
    <w:p w14:paraId="514C054E" w14:textId="77777777" w:rsidR="00F93747" w:rsidRPr="00FD6F79" w:rsidRDefault="00F93747" w:rsidP="00F93747">
      <w:pPr>
        <w:rPr>
          <w:rStyle w:val="Style13ptBold"/>
          <w:b w:val="0"/>
          <w:bCs w:val="0"/>
          <w:sz w:val="22"/>
        </w:rPr>
      </w:pPr>
      <w:r>
        <w:rPr>
          <w:rStyle w:val="Style13ptBold"/>
        </w:rPr>
        <w:t xml:space="preserve">Smith 17 </w:t>
      </w:r>
      <w:r>
        <w:rPr>
          <w:rStyle w:val="Style13ptBold"/>
          <w:b w:val="0"/>
          <w:bCs w:val="0"/>
          <w:sz w:val="22"/>
        </w:rPr>
        <w:t>(</w:t>
      </w:r>
      <w:r w:rsidRPr="00117B19">
        <w:rPr>
          <w:rStyle w:val="Style13ptBold"/>
          <w:b w:val="0"/>
          <w:bCs w:val="0"/>
          <w:sz w:val="22"/>
        </w:rPr>
        <w:t>Stephen F. Smith</w:t>
      </w:r>
      <w:r>
        <w:rPr>
          <w:rStyle w:val="Style13ptBold"/>
          <w:b w:val="0"/>
          <w:bCs w:val="0"/>
          <w:sz w:val="22"/>
        </w:rPr>
        <w:t>, Professor at Notre Dame Law School, 2017, “</w:t>
      </w:r>
      <w:r w:rsidRPr="00117B19">
        <w:rPr>
          <w:rStyle w:val="Style13ptBold"/>
          <w:b w:val="0"/>
          <w:bCs w:val="0"/>
          <w:sz w:val="22"/>
        </w:rPr>
        <w:t>Reforming Criminal Justice: Introduction and</w:t>
      </w:r>
      <w:r>
        <w:rPr>
          <w:rStyle w:val="Style13ptBold"/>
          <w:b w:val="0"/>
          <w:bCs w:val="0"/>
          <w:sz w:val="22"/>
        </w:rPr>
        <w:t xml:space="preserve"> </w:t>
      </w:r>
      <w:r w:rsidRPr="00117B19">
        <w:rPr>
          <w:rStyle w:val="Style13ptBold"/>
          <w:b w:val="0"/>
          <w:bCs w:val="0"/>
          <w:sz w:val="22"/>
        </w:rPr>
        <w:t>Criminalization (Vol. 1)</w:t>
      </w:r>
      <w:r>
        <w:rPr>
          <w:rStyle w:val="Style13ptBold"/>
          <w:b w:val="0"/>
          <w:bCs w:val="0"/>
          <w:sz w:val="22"/>
        </w:rPr>
        <w:t>”</w:t>
      </w:r>
      <w:r w:rsidRPr="00117B19">
        <w:rPr>
          <w:rStyle w:val="Style13ptBold"/>
          <w:b w:val="0"/>
          <w:bCs w:val="0"/>
          <w:sz w:val="22"/>
        </w:rPr>
        <w:t>. Phoenix, AZ: Arizona State University</w:t>
      </w:r>
      <w:r>
        <w:rPr>
          <w:rStyle w:val="Style13ptBold"/>
          <w:b w:val="0"/>
          <w:bCs w:val="0"/>
          <w:sz w:val="22"/>
        </w:rPr>
        <w:t xml:space="preserve">, </w:t>
      </w:r>
      <w:r w:rsidRPr="00117B19">
        <w:rPr>
          <w:rStyle w:val="Style13ptBold"/>
          <w:b w:val="0"/>
          <w:bCs w:val="0"/>
          <w:sz w:val="22"/>
        </w:rPr>
        <w:t>https://law.asu.edu/sites/default/files/pdf/academy_for_justice/Reforming-Criminal-Justice_Vol_1.pdf</w:t>
      </w:r>
      <w:r>
        <w:rPr>
          <w:rStyle w:val="Style13ptBold"/>
          <w:b w:val="0"/>
          <w:bCs w:val="0"/>
          <w:sz w:val="22"/>
        </w:rPr>
        <w:t>)//ICW-AB</w:t>
      </w:r>
    </w:p>
    <w:p w14:paraId="6C745DF2" w14:textId="77777777" w:rsidR="00F93747" w:rsidRDefault="00F93747" w:rsidP="00F93747">
      <w:pPr>
        <w:rPr>
          <w:u w:val="single"/>
        </w:rPr>
      </w:pPr>
      <w:r w:rsidRPr="00670A46">
        <w:rPr>
          <w:u w:val="single"/>
        </w:rPr>
        <w:t xml:space="preserve">States have, for the most part, been </w:t>
      </w:r>
      <w:r w:rsidRPr="00FD6F79">
        <w:rPr>
          <w:b/>
          <w:bCs/>
          <w:u w:val="single"/>
        </w:rPr>
        <w:t>complicit in the federalization of crime</w:t>
      </w:r>
      <w:r w:rsidRPr="00670A46">
        <w:rPr>
          <w:u w:val="single"/>
        </w:rPr>
        <w:t xml:space="preserve">, evidently in the belief that greater federal involvement could only aid their own crime-fighting efforts. </w:t>
      </w:r>
      <w:r w:rsidRPr="00670A46">
        <w:t>This blind faith in federal involvement is unjustified in light of recent high-profile conflicts between federal and state enforcers. Using the broad tools at their disposal</w:t>
      </w:r>
      <w:r w:rsidRPr="00FD6F79">
        <w:rPr>
          <w:u w:val="single"/>
        </w:rPr>
        <w:t>, federal authorities have obstructed state experiments with alternative means of reducing the harms caused by illegal drug use, as well as state efforts to eliminate incentives for police departments to use forfeiture laws to pad their budgets at the expense of more-pressing needs.</w:t>
      </w:r>
      <w:r w:rsidRPr="00670A46">
        <w:t xml:space="preserve"> </w:t>
      </w:r>
      <w:r w:rsidRPr="00FD6F79">
        <w:rPr>
          <w:u w:val="single"/>
        </w:rPr>
        <w:t>Similar conflicts have arisen in recent efforts by the Trump administration to conscript state and local police as federal immigration agents despite objections that doing so will complicate efforts by police and state court officials to maintain law and order within immigrant communities.107 Particularly now, as they consistently prove themselves more innovative and responsive than their federal counterparts—other important examples of state-level innovation include drug and mental-health courts, and alternatives to imprisonment—states should realize that, in many areas, federal involvement is far from costless.</w:t>
      </w:r>
      <w:r w:rsidRPr="00670A46">
        <w:t xml:space="preserve"> Even apart from possible interference with the pursuit of important public-safety goals by the states</w:t>
      </w:r>
      <w:r w:rsidRPr="00FD6F79">
        <w:rPr>
          <w:u w:val="single"/>
        </w:rPr>
        <w:t xml:space="preserve">, the funds spent on federal involvement could often be more effectively utilized at the state level, where the vast majority of enforcement activity takes place. Investing in more capacity within the state system to deal with antisocial conduct is a far better way of protecting the public than expanding a costly, one-size-fits-all federal system that deals only with a small fraction of the offenders prosecuted annually in state courts nationwide. </w:t>
      </w:r>
      <w:r w:rsidRPr="00B66E1C">
        <w:rPr>
          <w:b/>
          <w:bCs/>
          <w:u w:val="single"/>
        </w:rPr>
        <w:t>A considerably smaller federal footprint in criminal law would m</w:t>
      </w:r>
      <w:r w:rsidRPr="00117B19">
        <w:rPr>
          <w:b/>
          <w:bCs/>
          <w:u w:val="single"/>
        </w:rPr>
        <w:t>ean greater freedom for</w:t>
      </w:r>
      <w:r w:rsidRPr="00FD6F79">
        <w:rPr>
          <w:u w:val="single"/>
        </w:rPr>
        <w:t xml:space="preserve"> continued</w:t>
      </w:r>
      <w:r w:rsidRPr="00670A46">
        <w:t xml:space="preserve"> public-safety </w:t>
      </w:r>
      <w:r w:rsidRPr="00117B19">
        <w:rPr>
          <w:b/>
          <w:bCs/>
          <w:u w:val="single"/>
        </w:rPr>
        <w:t>innovation by states</w:t>
      </w:r>
      <w:r w:rsidRPr="00670A46">
        <w:t xml:space="preserve">, a worthwhile goal in its own right, and </w:t>
      </w:r>
      <w:r w:rsidRPr="00FD6F79">
        <w:rPr>
          <w:u w:val="single"/>
        </w:rPr>
        <w:t xml:space="preserve">could mean greater respect and federal funding for state </w:t>
      </w:r>
      <w:r w:rsidRPr="00FD6F79">
        <w:t xml:space="preserve">law-enforcement </w:t>
      </w:r>
      <w:r w:rsidRPr="00FD6F79">
        <w:rPr>
          <w:u w:val="single"/>
        </w:rPr>
        <w:t>initiatives.</w:t>
      </w:r>
    </w:p>
    <w:p w14:paraId="4744FA3C" w14:textId="77777777" w:rsidR="00F93747" w:rsidRDefault="00F93747" w:rsidP="00F93747">
      <w:pPr>
        <w:pStyle w:val="Heading4"/>
      </w:pPr>
      <w:r>
        <w:t xml:space="preserve">Spills over---CJR is the </w:t>
      </w:r>
      <w:r w:rsidRPr="008A792D">
        <w:rPr>
          <w:u w:val="single"/>
        </w:rPr>
        <w:t>central</w:t>
      </w:r>
      <w:r>
        <w:t xml:space="preserve"> state-federal dispute</w:t>
      </w:r>
    </w:p>
    <w:p w14:paraId="3C40AA3C" w14:textId="77777777" w:rsidR="00F93747" w:rsidRPr="00D3062E" w:rsidRDefault="00F93747" w:rsidP="00F93747">
      <w:r>
        <w:rPr>
          <w:rStyle w:val="Style13ptBold"/>
        </w:rPr>
        <w:t xml:space="preserve">Partlett 19 – </w:t>
      </w:r>
      <w:r w:rsidRPr="007D62EF">
        <w:t>Associate Professor at Melbourne Law School.</w:t>
      </w:r>
      <w:r>
        <w:t xml:space="preserve"> Previous Associate-in-Law at Columbia Law School and nonresident fellow at The Brookings Institution. [</w:t>
      </w:r>
      <w:r w:rsidRPr="007D62EF">
        <w:t xml:space="preserve">William, “Criminal Law and Cooperative Federalism”, Georgetown Law Review, 2019, </w:t>
      </w:r>
      <w:hyperlink r:id="rId20" w:history="1">
        <w:r w:rsidRPr="007D62EF">
          <w:rPr>
            <w:rStyle w:val="Hyperlink"/>
          </w:rPr>
          <w:t>https://www.law.georgetown.edu/american-criminal-law-review/wp-content/uploads/sites/15/2019/06/56-4-Criminal-Law-and-Cooperative-Federalism.pdf]//AV</w:t>
        </w:r>
      </w:hyperlink>
    </w:p>
    <w:p w14:paraId="17CFA2DB" w14:textId="77777777" w:rsidR="00F93747" w:rsidRPr="000323E7" w:rsidRDefault="00F93747" w:rsidP="00F93747">
      <w:r w:rsidRPr="00086968">
        <w:t xml:space="preserve">Cooperative </w:t>
      </w:r>
      <w:r w:rsidRPr="009D3895">
        <w:rPr>
          <w:rStyle w:val="StyleUnderline"/>
        </w:rPr>
        <w:t>criminal prosecution</w:t>
      </w:r>
      <w:r w:rsidRPr="000323E7">
        <w:t xml:space="preserve"> of street crime </w:t>
      </w:r>
      <w:r w:rsidRPr="00086968">
        <w:rPr>
          <w:rStyle w:val="Emphasis"/>
        </w:rPr>
        <w:t>strikes at the heart of</w:t>
      </w:r>
      <w:r w:rsidRPr="009D3895">
        <w:rPr>
          <w:rStyle w:val="StyleUnderline"/>
        </w:rPr>
        <w:t xml:space="preserve"> </w:t>
      </w:r>
      <w:r w:rsidRPr="00086968">
        <w:t>these</w:t>
      </w:r>
      <w:r w:rsidRPr="009D3895">
        <w:rPr>
          <w:rStyle w:val="StyleUnderline"/>
        </w:rPr>
        <w:t xml:space="preserve"> </w:t>
      </w:r>
      <w:r w:rsidRPr="00086968">
        <w:rPr>
          <w:rStyle w:val="Emphasis"/>
        </w:rPr>
        <w:t>federalism concerns</w:t>
      </w:r>
      <w:r w:rsidRPr="000323E7">
        <w:t xml:space="preserve">.193 </w:t>
      </w:r>
      <w:r w:rsidRPr="009D3895">
        <w:rPr>
          <w:rStyle w:val="StyleUnderline"/>
        </w:rPr>
        <w:t>It implicates all three of the broad Tenth Amendment concerns</w:t>
      </w:r>
      <w:r w:rsidRPr="000323E7">
        <w:t xml:space="preserve">. First, cooperative prosecution programs like PSN are a classic example of a “departure” from the federal structure that undermines individual liberty.194 As we have seen in this Article, </w:t>
      </w:r>
      <w:r w:rsidRPr="009D3895">
        <w:rPr>
          <w:rStyle w:val="StyleUnderline"/>
        </w:rPr>
        <w:t>executive branch law enforcement officials cooperate to circumvent—and therefore depart from—state and local laws and juries.</w:t>
      </w:r>
      <w:r w:rsidRPr="000323E7">
        <w:t xml:space="preserve"> </w:t>
      </w:r>
      <w:r w:rsidRPr="009D3895">
        <w:rPr>
          <w:rStyle w:val="StyleUnderline"/>
        </w:rPr>
        <w:t xml:space="preserve">By aggregating executive power across local, state, and federal government, these agreements </w:t>
      </w:r>
      <w:r w:rsidRPr="00086968">
        <w:rPr>
          <w:rStyle w:val="Emphasis"/>
        </w:rPr>
        <w:t>undermine key checks</w:t>
      </w:r>
      <w:r w:rsidRPr="009D3895">
        <w:rPr>
          <w:rStyle w:val="StyleUnderline"/>
        </w:rPr>
        <w:t xml:space="preserve"> that protect the rights of criminal defendants such as state law and criminal juries.</w:t>
      </w:r>
      <w:r w:rsidRPr="000323E7">
        <w:t xml:space="preserve"> </w:t>
      </w:r>
      <w:r w:rsidRPr="009D3895">
        <w:rPr>
          <w:rStyle w:val="StyleUnderline"/>
        </w:rPr>
        <w:t>It</w:t>
      </w:r>
      <w:r w:rsidRPr="000323E7">
        <w:t xml:space="preserve"> therefore </w:t>
      </w:r>
      <w:r w:rsidRPr="009D3895">
        <w:rPr>
          <w:rStyle w:val="StyleUnderline"/>
        </w:rPr>
        <w:t>turns federalism against the individual, reversing the rights-protective nature of federalism</w:t>
      </w:r>
      <w:r w:rsidRPr="000323E7">
        <w:t xml:space="preserve"> overall. Second, </w:t>
      </w:r>
      <w:r w:rsidRPr="009D3895">
        <w:rPr>
          <w:rStyle w:val="StyleUnderline"/>
        </w:rPr>
        <w:t>these programs undermine political accountability by circumventing regulation in line with the views of the “local electorate.</w:t>
      </w:r>
      <w:r w:rsidRPr="000323E7">
        <w:t xml:space="preserve">”195 </w:t>
      </w:r>
      <w:r w:rsidRPr="00BD4133">
        <w:rPr>
          <w:rStyle w:val="StyleUnderline"/>
        </w:rPr>
        <w:t>These</w:t>
      </w:r>
      <w:r w:rsidRPr="000323E7">
        <w:t xml:space="preserve"> cooperative </w:t>
      </w:r>
      <w:r w:rsidRPr="00BD4133">
        <w:rPr>
          <w:rStyle w:val="StyleUnderline"/>
        </w:rPr>
        <w:t>agreements undermine the ability of state voters and their legislative representatives to hold their own state and local officials accountable for</w:t>
      </w:r>
      <w:r w:rsidRPr="000323E7">
        <w:t xml:space="preserve"> drug and gun possession </w:t>
      </w:r>
      <w:r w:rsidRPr="00BD4133">
        <w:rPr>
          <w:rStyle w:val="StyleUnderline"/>
        </w:rPr>
        <w:t>crimes</w:t>
      </w:r>
      <w:r w:rsidRPr="000323E7">
        <w:t xml:space="preserve">. </w:t>
      </w:r>
      <w:r w:rsidRPr="00BD4133">
        <w:rPr>
          <w:rStyle w:val="StyleUnderline"/>
        </w:rPr>
        <w:t>The ability to hold officials accountable is at the heart of a sovereign political entity. This is particularly true in a state’s exercise of one of its core police powers: the power to prosecute</w:t>
      </w:r>
      <w:r w:rsidRPr="000323E7">
        <w:t xml:space="preserve"> non-economic street </w:t>
      </w:r>
      <w:r w:rsidRPr="00BD4133">
        <w:rPr>
          <w:rStyle w:val="StyleUnderline"/>
        </w:rPr>
        <w:t>crime</w:t>
      </w:r>
      <w:r w:rsidRPr="000323E7">
        <w:t xml:space="preserve">. Furthermore, </w:t>
      </w:r>
      <w:r w:rsidRPr="00BD4133">
        <w:rPr>
          <w:rStyle w:val="StyleUnderline"/>
        </w:rPr>
        <w:t xml:space="preserve">by depriving state voters of meaningful ways of controlling their own </w:t>
      </w:r>
      <w:r w:rsidRPr="000323E7">
        <w:t>street-level</w:t>
      </w:r>
      <w:r w:rsidRPr="00BD4133">
        <w:rPr>
          <w:rStyle w:val="StyleUnderline"/>
        </w:rPr>
        <w:t xml:space="preserve"> criminal law policy, for instance by establishing drug courts rather than harsh sentencing, such programs weaken the accountability of state governments.</w:t>
      </w:r>
      <w:r w:rsidRPr="000323E7">
        <w:t xml:space="preserve"> As the Virginia district court stated, </w:t>
      </w:r>
      <w:r w:rsidRPr="00BD4133">
        <w:rPr>
          <w:rStyle w:val="StyleUnderline"/>
        </w:rPr>
        <w:t>it “lowers citizens’ expectations of the Commonwealth’s public servants, it insulates those officials from constructive criticism, and it dissipates political pressure that citizens might otherwise exert to improve the performance of local law enforcement.”</w:t>
      </w:r>
      <w:r w:rsidRPr="000323E7">
        <w:t xml:space="preserve">196 Relatedly, these agreements also signal disdain for state-level criminal law policy. This is done in an area where the </w:t>
      </w:r>
      <w:r w:rsidRPr="00BD4133">
        <w:rPr>
          <w:rStyle w:val="StyleUnderline"/>
        </w:rPr>
        <w:t xml:space="preserve">states have long been seen as the traditional and constitutionally </w:t>
      </w:r>
      <w:r w:rsidRPr="00086968">
        <w:rPr>
          <w:rStyle w:val="Emphasis"/>
        </w:rPr>
        <w:t>correct locus</w:t>
      </w:r>
      <w:r w:rsidRPr="00BD4133">
        <w:rPr>
          <w:rStyle w:val="StyleUnderline"/>
        </w:rPr>
        <w:t xml:space="preserve"> for criminal law prosecution.</w:t>
      </w:r>
      <w:r w:rsidRPr="000323E7">
        <w:t xml:space="preserve"> As the Court wrote in 1971, “Congress has traditionally been reluctant to define as a federal crime conduct readily denounced as criminal by the States.”197 </w:t>
      </w:r>
      <w:r w:rsidRPr="00BD4133">
        <w:rPr>
          <w:rStyle w:val="StyleUnderline"/>
        </w:rPr>
        <w:t xml:space="preserve">This also signals a problematic </w:t>
      </w:r>
      <w:r w:rsidRPr="00086968">
        <w:rPr>
          <w:rStyle w:val="Emphasis"/>
        </w:rPr>
        <w:t>lack of comity</w:t>
      </w:r>
      <w:r w:rsidRPr="00BD4133">
        <w:rPr>
          <w:rStyle w:val="StyleUnderline"/>
        </w:rPr>
        <w:t xml:space="preserve"> from the federal government for state-level policy.</w:t>
      </w:r>
      <w:r w:rsidRPr="000323E7">
        <w:t xml:space="preserve"> In Younger v. Harris, the Court discusses a “notion of ‘comity,’” which involves: [A] proper respect for state functions, a recognition of the fact that the entire country is made up of a Union of separate state governments, and a continuance of the belief that the National Government will fare best if the States and their institutions are left free to perform their separate functions in their separate ways.198 The Court went on to explain that it means: [A] sensitivity to the legitimate interests of both State and National Governments, and in which the National Government, anxious though it may be to vindicate and protect federal rights and federal interests, always endeavors to do so in ways that will not unduly interfere with the legitimate activities of the States.199</w:t>
      </w:r>
    </w:p>
    <w:p w14:paraId="13A763FC" w14:textId="77777777" w:rsidR="00F93747" w:rsidRPr="00FD6F79" w:rsidRDefault="00F93747" w:rsidP="00F93747">
      <w:pPr>
        <w:rPr>
          <w:u w:val="single"/>
        </w:rPr>
      </w:pPr>
    </w:p>
    <w:p w14:paraId="17B36569" w14:textId="77777777" w:rsidR="00F93747" w:rsidRPr="00670A46" w:rsidRDefault="00F93747" w:rsidP="00F93747">
      <w:pPr>
        <w:pStyle w:val="Heading4"/>
        <w:rPr>
          <w:rStyle w:val="Style13ptBold"/>
          <w:b/>
          <w:bCs w:val="0"/>
        </w:rPr>
      </w:pPr>
      <w:r>
        <w:rPr>
          <w:rStyle w:val="Style13ptBold"/>
          <w:b/>
          <w:bCs w:val="0"/>
        </w:rPr>
        <w:t>Judicial Federalism key to democracy</w:t>
      </w:r>
    </w:p>
    <w:p w14:paraId="58461CB9" w14:textId="77777777" w:rsidR="00F93747" w:rsidRPr="00670A46" w:rsidRDefault="00F93747" w:rsidP="00F93747">
      <w:pPr>
        <w:rPr>
          <w:rStyle w:val="Style13ptBold"/>
          <w:b w:val="0"/>
          <w:bCs w:val="0"/>
          <w:sz w:val="22"/>
        </w:rPr>
      </w:pPr>
      <w:r w:rsidRPr="00670A46">
        <w:rPr>
          <w:rStyle w:val="Style13ptBold"/>
          <w:b w:val="0"/>
          <w:bCs w:val="0"/>
        </w:rPr>
        <w:t>Bulman-</w:t>
      </w:r>
      <w:r w:rsidRPr="00670A46">
        <w:rPr>
          <w:rStyle w:val="Style13ptBold"/>
        </w:rPr>
        <w:t xml:space="preserve">Pozen and Seifter 20 </w:t>
      </w:r>
      <w:r w:rsidRPr="00670A46">
        <w:rPr>
          <w:rStyle w:val="Style13ptBold"/>
          <w:b w:val="0"/>
          <w:bCs w:val="0"/>
          <w:sz w:val="22"/>
        </w:rPr>
        <w:t>(Jessica Bulman-Pozen is the Betts Professor of Law and a director of the Center for Constitutional Governance at Columbia Law School</w:t>
      </w:r>
      <w:r>
        <w:rPr>
          <w:rStyle w:val="Style13ptBold"/>
          <w:b w:val="0"/>
          <w:bCs w:val="0"/>
          <w:sz w:val="22"/>
        </w:rPr>
        <w:t xml:space="preserve">, </w:t>
      </w:r>
      <w:r w:rsidRPr="00670A46">
        <w:rPr>
          <w:rStyle w:val="Style13ptBold"/>
          <w:b w:val="0"/>
          <w:bCs w:val="0"/>
          <w:sz w:val="22"/>
        </w:rPr>
        <w:t>Miriam Seifter is an Associate Professor of Law and Rowe Faculty Fellow in Regulatory Law at the University of Wisconsin Law School</w:t>
      </w:r>
      <w:r>
        <w:rPr>
          <w:rStyle w:val="Style13ptBold"/>
          <w:b w:val="0"/>
          <w:bCs w:val="0"/>
          <w:sz w:val="22"/>
        </w:rPr>
        <w:t xml:space="preserve">, </w:t>
      </w:r>
      <w:r>
        <w:t>Draft of May 5 2020,</w:t>
      </w:r>
      <w:r>
        <w:rPr>
          <w:rStyle w:val="Style13ptBold"/>
          <w:b w:val="0"/>
          <w:bCs w:val="0"/>
          <w:sz w:val="22"/>
        </w:rPr>
        <w:t xml:space="preserve"> “</w:t>
      </w:r>
      <w:r w:rsidRPr="00670A46">
        <w:rPr>
          <w:rStyle w:val="Style13ptBold"/>
          <w:b w:val="0"/>
          <w:bCs w:val="0"/>
          <w:sz w:val="22"/>
        </w:rPr>
        <w:t>The Democracy Principle in State Constitutions,</w:t>
      </w:r>
      <w:r>
        <w:rPr>
          <w:rStyle w:val="Style13ptBold"/>
          <w:b w:val="0"/>
          <w:bCs w:val="0"/>
          <w:sz w:val="22"/>
        </w:rPr>
        <w:t>”</w:t>
      </w:r>
      <w:r w:rsidRPr="00670A46">
        <w:rPr>
          <w:rStyle w:val="Style13ptBold"/>
          <w:b w:val="0"/>
          <w:bCs w:val="0"/>
          <w:sz w:val="22"/>
        </w:rPr>
        <w:t xml:space="preserve"> </w:t>
      </w:r>
      <w:r>
        <w:rPr>
          <w:rStyle w:val="Style13ptBold"/>
          <w:b w:val="0"/>
          <w:bCs w:val="0"/>
          <w:sz w:val="22"/>
        </w:rPr>
        <w:t xml:space="preserve">Michigan Law Review, Forthcoming (2020), </w:t>
      </w:r>
      <w:r w:rsidRPr="00670A46">
        <w:rPr>
          <w:rStyle w:val="Style13ptBold"/>
          <w:b w:val="0"/>
          <w:bCs w:val="0"/>
          <w:sz w:val="22"/>
        </w:rPr>
        <w:t>https://scholarship.law.columbia.edu/cgi/viewcontent.cgi?article=3658&amp;context=faculty_scholarship</w:t>
      </w:r>
      <w:r>
        <w:rPr>
          <w:rStyle w:val="Style13ptBold"/>
          <w:b w:val="0"/>
          <w:bCs w:val="0"/>
          <w:sz w:val="22"/>
        </w:rPr>
        <w:t>)//ICW-AB</w:t>
      </w:r>
    </w:p>
    <w:p w14:paraId="14C8CC29" w14:textId="77777777" w:rsidR="00F93747" w:rsidRDefault="00F93747" w:rsidP="00F93747">
      <w:r w:rsidRPr="00670A46">
        <w:rPr>
          <w:u w:val="single"/>
        </w:rPr>
        <w:t>Fear of democratic decline is all around us.</w:t>
      </w:r>
      <w:r w:rsidRPr="00670A46">
        <w:t xml:space="preserve">1 A growing literature offers different diagnoses of what ails American democracy. Some focus on severe economic or social inequality,2 while others decry the smashing of norms of fair play3 or the erosion of the rule of law.4 A common concern, however, is that </w:t>
      </w:r>
      <w:r w:rsidRPr="00670A46">
        <w:rPr>
          <w:u w:val="single"/>
        </w:rPr>
        <w:t>the few are wresting control from the many</w:t>
      </w:r>
      <w:r w:rsidRPr="00670A46">
        <w:rPr>
          <w:b/>
          <w:bCs/>
          <w:u w:val="single"/>
        </w:rPr>
        <w:t>. The United States Constitution seems to be part of the problem</w:t>
      </w:r>
      <w:r w:rsidRPr="00670A46">
        <w:t xml:space="preserve">. Although a number of both classic and recent works have described a federal constitutional commitment to democracy,5 commentators increasingly conclude that </w:t>
      </w:r>
      <w:r w:rsidRPr="00670A46">
        <w:rPr>
          <w:u w:val="single"/>
        </w:rPr>
        <w:t xml:space="preserve">“the constitution will not save us”6 and, indeed, that “the Constitution’s text and </w:t>
      </w:r>
      <w:r w:rsidRPr="00670A46">
        <w:rPr>
          <w:b/>
          <w:bCs/>
          <w:u w:val="single"/>
        </w:rPr>
        <w:t>the Supreme Court’s jurisprudence makes democratic erosion more, not less, likely</w:t>
      </w:r>
      <w:r w:rsidRPr="00670A46">
        <w:rPr>
          <w:u w:val="single"/>
        </w:rPr>
        <w:t>.”</w:t>
      </w:r>
      <w:r w:rsidRPr="00670A46">
        <w:t xml:space="preserve">7 In this Article, we argue that </w:t>
      </w:r>
      <w:r w:rsidRPr="00670A46">
        <w:rPr>
          <w:u w:val="single"/>
        </w:rPr>
        <w:t xml:space="preserve">there is a vital but neglected constitutional response to democratic decline. </w:t>
      </w:r>
      <w:r w:rsidRPr="00670A46">
        <w:rPr>
          <w:b/>
          <w:bCs/>
          <w:u w:val="single"/>
        </w:rPr>
        <w:t>State constitutions furnish powerful resources for addressing antidemocratic behavior</w:t>
      </w:r>
      <w:r w:rsidRPr="00670A46">
        <w:rPr>
          <w:u w:val="single"/>
        </w:rPr>
        <w:t>.</w:t>
      </w:r>
      <w:r w:rsidRPr="00670A46">
        <w:t xml:space="preserve"> These constitutions “will not save us” either. But </w:t>
      </w:r>
      <w:r w:rsidRPr="00670A46">
        <w:rPr>
          <w:u w:val="single"/>
        </w:rPr>
        <w:t>they do provide a stronger foundation for protecting democracy than their federal counterpart. In text, history, and structure alike, they privilege “rule by the people,” and especially rule by popular majorities.</w:t>
      </w:r>
      <w:r w:rsidRPr="00670A46">
        <w:t xml:space="preserve"> In one sense, a call to consider state constitutions is nothing new. For decades, prominent jurists and scholars have advocated turning to state constitutions to protect individual rights.8 In the 1970s, for example, scholars began to write about a “new judicial federalism” in which state courts would step in as the federal judiciary receded.9 Yet these scholars have been met with skepticism: are state courts well suited to protect individual rights? After all, critics have observed, state constitutions are committed to majoritarianism, which might render protection for unpopular minorities elusive.10 This now-familiar debate may have obscured a simpler point about state constitutions, one that has particular significance today: </w:t>
      </w:r>
      <w:r w:rsidRPr="00670A46">
        <w:rPr>
          <w:u w:val="single"/>
        </w:rPr>
        <w:t>precisely because they are committed to popular majority rule, state constitutions can help counter antidemocratic behavior. In contrast to the federal constitution, for example, state constitutions expressly confer the right to vote and to participate in free and equal elections, and they devote entire articles to electoral processes. They provide for numerous executive officials and judges to be elected by popular majority vote. They seek to prevent legislative favoritism and allow the people to engage in direct self-rule through initiatives and referenda.11 These and numerous other features yield a powerful democratic commitment, a composite of constitutional text, history, and structure we term the democracy principle as a shorthand.</w:t>
      </w:r>
      <w:r w:rsidRPr="00670A46">
        <w:t xml:space="preserve"> Some state courts have recognized this principle, both recently and in the past. In this Article, we offer a fuller treatment, elaborating the many ways state constitutions advance popular self-rule and explaining both where the democracy principle has been appreciated and where it has been overlooked or ignored. Of course, critics of the new judicial federalism are correct that majority rule poses its own problems. State majorities’ invocations of sovereignty, in particular, are indelibly connected to slavery and persisting racial injustice</w:t>
      </w:r>
      <w:r w:rsidRPr="00670A46">
        <w:rPr>
          <w:u w:val="single"/>
        </w:rPr>
        <w:t>. In identifying the state commitment to democracy, including the privileging of popular majorities, we do not deny the need for protection of minority rights, nor do we defend any particular decision made by the majority.</w:t>
      </w:r>
      <w:r w:rsidRPr="00670A46">
        <w:t xml:space="preserve"> But if it is a mistake to place too much faith in the state democracy principle, it is also a mistake to neglect it. Recent years have seen a rash of antidemocratic behavior across the country—</w:t>
      </w:r>
      <w:r w:rsidRPr="00670A46">
        <w:rPr>
          <w:u w:val="single"/>
        </w:rPr>
        <w:t>efforts to thwart popular majority rule that have nothing to do with protecting vulnerable minorities or individual rights.</w:t>
      </w:r>
      <w:r w:rsidRPr="00670A46">
        <w:t xml:space="preserve"> </w:t>
      </w:r>
      <w:r w:rsidRPr="00670A46">
        <w:rPr>
          <w:u w:val="single"/>
        </w:rPr>
        <w:t>Lame-duck state legislatures have stripped popularly elected governors and attorneys general of their powers. State officials have overridden initiatives adopted by the people to circumvent unresponsive governments on health care, criminal justice, and campaign finance. State legislatures have adopted extreme partisan gerrymanders that devalue the vote and undermine political equality.12 State constitutions—as implemented by judges or by politicians, activists, or the public at large—</w:t>
      </w:r>
      <w:r w:rsidRPr="00670A46">
        <w:rPr>
          <w:b/>
          <w:bCs/>
          <w:u w:val="single"/>
        </w:rPr>
        <w:t>offer legal responses to these behaviors</w:t>
      </w:r>
      <w:r w:rsidRPr="00670A46">
        <w:rPr>
          <w:u w:val="single"/>
        </w:rPr>
        <w:t>.</w:t>
      </w:r>
      <w:r w:rsidRPr="00670A46">
        <w:t xml:space="preserve"> Indeed, state courts have recently held unconstitutional partisan gerrymanders in North Carolina and Pennsylvania,13 but </w:t>
      </w:r>
      <w:r w:rsidRPr="00670A46">
        <w:rPr>
          <w:u w:val="single"/>
        </w:rPr>
        <w:t>the state commitment to democracy extends further than existing cases recognize</w:t>
      </w:r>
      <w:r w:rsidRPr="00670A46">
        <w:t xml:space="preserve">. Because state officials have been responsible for many of the most troubling actions across the U.S. in recent years, </w:t>
      </w:r>
      <w:r w:rsidRPr="00670A46">
        <w:rPr>
          <w:u w:val="single"/>
        </w:rPr>
        <w:t>state constitutions address a problem that is national in scope.</w:t>
      </w:r>
      <w:r w:rsidRPr="00670A46">
        <w:t xml:space="preserve"> Just as antidemocratic actions have rippled across states, leading some to decry the states as “laboratories of oligarchy”14 or “laboratories of authoritarianism,”15 </w:t>
      </w:r>
      <w:r w:rsidRPr="00670A46">
        <w:rPr>
          <w:u w:val="single"/>
        </w:rPr>
        <w:t xml:space="preserve">pro-democratic constitutional responses in one state </w:t>
      </w:r>
      <w:r w:rsidRPr="00670A46">
        <w:rPr>
          <w:b/>
          <w:bCs/>
          <w:u w:val="single"/>
        </w:rPr>
        <w:t>readily inform those in another</w:t>
      </w:r>
      <w:r w:rsidRPr="00670A46">
        <w:rPr>
          <w:u w:val="single"/>
        </w:rPr>
        <w:t>.</w:t>
      </w:r>
      <w:r w:rsidRPr="00670A46">
        <w:t xml:space="preserve"> </w:t>
      </w:r>
      <w:r w:rsidRPr="00670A46">
        <w:rPr>
          <w:u w:val="single"/>
        </w:rPr>
        <w:t xml:space="preserve">These responses </w:t>
      </w:r>
      <w:r w:rsidRPr="00670A46">
        <w:rPr>
          <w:b/>
          <w:bCs/>
          <w:u w:val="single"/>
        </w:rPr>
        <w:t>shape the federal government as well</w:t>
      </w:r>
      <w:r w:rsidRPr="00670A46">
        <w:rPr>
          <w:u w:val="single"/>
        </w:rPr>
        <w:t xml:space="preserve"> because the federal constitution relies on states as units of representation and administrators of elections. The state democracy principle can also shed light on American constitutionalism more generally. State and federal constitutions present alternative visions, but so too they are complements, parts of the whole of American constitutionalism.</w:t>
      </w:r>
      <w:r w:rsidRPr="00670A46">
        <w:t>16 For example, insofar as the federal constitution worries particularly about majoritarian abuses and state constitutions worry about minority faction, they may work together to respond to both the tyranny of the majority and minority rule. Yet while courts and scholars have long recognized the federal constitution’s promise of tempering state majoritarianism, they have not similarly appreciated the ways in which state constitutions may respond to national democratic shortcomings—at least if state constitutions are properly understood.</w:t>
      </w:r>
    </w:p>
    <w:p w14:paraId="764D0A65" w14:textId="77777777" w:rsidR="00F93747" w:rsidRPr="00087367" w:rsidRDefault="00F93747" w:rsidP="00F93747">
      <w:pPr>
        <w:pStyle w:val="Heading4"/>
      </w:pPr>
      <w:r>
        <w:t xml:space="preserve">Democracy </w:t>
      </w:r>
      <w:r w:rsidRPr="00087367">
        <w:t xml:space="preserve">solves </w:t>
      </w:r>
      <w:r>
        <w:t xml:space="preserve">multiple scenarios for </w:t>
      </w:r>
      <w:r w:rsidRPr="00087367">
        <w:t>extinction</w:t>
      </w:r>
    </w:p>
    <w:p w14:paraId="0494CC2A" w14:textId="77777777" w:rsidR="00F93747" w:rsidRPr="00087367" w:rsidRDefault="00F93747" w:rsidP="00F93747">
      <w:r w:rsidRPr="00570DAC">
        <w:rPr>
          <w:rStyle w:val="Style13ptBold"/>
        </w:rPr>
        <w:t>Kasparov 17</w:t>
      </w:r>
      <w:r w:rsidRPr="00087367">
        <w:rPr>
          <w:b/>
        </w:rPr>
        <w:t xml:space="preserve"> </w:t>
      </w:r>
      <w:r w:rsidRPr="00087367">
        <w:t xml:space="preserve">[Garry, Chair of the Human Rights Foundation, “Democracy and Human Rights: The Case for U.S. Leadership” 2/17, </w:t>
      </w:r>
      <w:hyperlink r:id="rId21" w:history="1">
        <w:r w:rsidRPr="00087367">
          <w:rPr>
            <w:rStyle w:val="Hyperlink"/>
          </w:rPr>
          <w:t>https://www.foreign.senate.gov/imo/media/doc/021617_Kasparov_%20Testimony.pdf</w:t>
        </w:r>
      </w:hyperlink>
      <w:r w:rsidRPr="00087367">
        <w:rPr>
          <w:rStyle w:val="Hyperlink"/>
        </w:rPr>
        <w:t>]</w:t>
      </w:r>
    </w:p>
    <w:p w14:paraId="5B692A51" w14:textId="77777777" w:rsidR="00F93747" w:rsidRPr="00087367" w:rsidRDefault="00F93747" w:rsidP="00F93747">
      <w:pPr>
        <w:rPr>
          <w:sz w:val="16"/>
        </w:rPr>
      </w:pPr>
      <w:r w:rsidRPr="00087367">
        <w:rPr>
          <w:sz w:val="16"/>
        </w:rPr>
        <w:t xml:space="preserve">The Soviet Union was an existential threat, and this focused the attention of the world, and the American people. </w:t>
      </w:r>
      <w:r w:rsidRPr="00087367">
        <w:rPr>
          <w:rStyle w:val="Emphasis"/>
        </w:rPr>
        <w:t xml:space="preserve">The </w:t>
      </w:r>
      <w:r w:rsidRPr="00B37EB5">
        <w:rPr>
          <w:rStyle w:val="Emphasis"/>
          <w:highlight w:val="cyan"/>
        </w:rPr>
        <w:t>existential threat</w:t>
      </w:r>
      <w:r w:rsidRPr="00087367">
        <w:rPr>
          <w:rStyle w:val="Emphasis"/>
        </w:rPr>
        <w:t xml:space="preserve"> today</w:t>
      </w:r>
      <w:r w:rsidRPr="00087367">
        <w:rPr>
          <w:sz w:val="16"/>
        </w:rPr>
        <w:t xml:space="preserve"> is not found on a map, but it </w:t>
      </w:r>
      <w:r w:rsidRPr="00B37EB5">
        <w:rPr>
          <w:rStyle w:val="StyleUnderline"/>
          <w:highlight w:val="cyan"/>
        </w:rPr>
        <w:t>is</w:t>
      </w:r>
      <w:r w:rsidRPr="00087367">
        <w:rPr>
          <w:rStyle w:val="StyleUnderline"/>
        </w:rPr>
        <w:t xml:space="preserve"> very </w:t>
      </w:r>
      <w:r w:rsidRPr="00B37EB5">
        <w:rPr>
          <w:rStyle w:val="StyleUnderline"/>
          <w:highlight w:val="cyan"/>
        </w:rPr>
        <w:t>real</w:t>
      </w:r>
      <w:r w:rsidRPr="00087367">
        <w:rPr>
          <w:sz w:val="16"/>
        </w:rPr>
        <w:t xml:space="preserve">. The forces of the past are making steady progress against the modern world order. </w:t>
      </w:r>
      <w:r w:rsidRPr="00B37EB5">
        <w:rPr>
          <w:rStyle w:val="StyleUnderline"/>
          <w:highlight w:val="cyan"/>
        </w:rPr>
        <w:t>Terrorist</w:t>
      </w:r>
      <w:r w:rsidRPr="00087367">
        <w:rPr>
          <w:rStyle w:val="StyleUnderline"/>
        </w:rPr>
        <w:t xml:space="preserve"> movements in the Middle East, extremist parties across Europe, a paranoid tyrant in </w:t>
      </w:r>
      <w:r w:rsidRPr="00B37EB5">
        <w:rPr>
          <w:rStyle w:val="StyleUnderline"/>
          <w:highlight w:val="cyan"/>
        </w:rPr>
        <w:t>North Korea</w:t>
      </w:r>
      <w:r w:rsidRPr="00087367">
        <w:rPr>
          <w:rStyle w:val="StyleUnderline"/>
        </w:rPr>
        <w:t xml:space="preserve"> threatening </w:t>
      </w:r>
      <w:r w:rsidRPr="00B37EB5">
        <w:rPr>
          <w:rStyle w:val="StyleUnderline"/>
          <w:highlight w:val="cyan"/>
        </w:rPr>
        <w:t>nuclear</w:t>
      </w:r>
      <w:r w:rsidRPr="00087367">
        <w:rPr>
          <w:rStyle w:val="StyleUnderline"/>
        </w:rPr>
        <w:t xml:space="preserve"> blackmail, and</w:t>
      </w:r>
      <w:r w:rsidRPr="00087367">
        <w:rPr>
          <w:sz w:val="16"/>
        </w:rPr>
        <w:t xml:space="preserve">, at the center of the web, </w:t>
      </w:r>
      <w:r w:rsidRPr="00087367">
        <w:rPr>
          <w:rStyle w:val="StyleUnderline"/>
        </w:rPr>
        <w:t xml:space="preserve">an aggressive KGB dictator in </w:t>
      </w:r>
      <w:r w:rsidRPr="00B37EB5">
        <w:rPr>
          <w:rStyle w:val="StyleUnderline"/>
          <w:highlight w:val="cyan"/>
        </w:rPr>
        <w:t>Russia</w:t>
      </w:r>
      <w:r w:rsidRPr="00087367">
        <w:rPr>
          <w:sz w:val="16"/>
        </w:rPr>
        <w:t xml:space="preserve">. </w:t>
      </w:r>
      <w:r w:rsidRPr="00087367">
        <w:rPr>
          <w:rStyle w:val="StyleUnderline"/>
        </w:rPr>
        <w:t>They all want to turn the world back to a dark past because their survival is threatened by the values of the free world, epitomized by the U</w:t>
      </w:r>
      <w:r w:rsidRPr="00087367">
        <w:rPr>
          <w:sz w:val="16"/>
        </w:rPr>
        <w:t xml:space="preserve">nited </w:t>
      </w:r>
      <w:r w:rsidRPr="00087367">
        <w:rPr>
          <w:rStyle w:val="StyleUnderline"/>
        </w:rPr>
        <w:t>S</w:t>
      </w:r>
      <w:r w:rsidRPr="00087367">
        <w:rPr>
          <w:sz w:val="16"/>
        </w:rPr>
        <w:t xml:space="preserve">tates. And </w:t>
      </w:r>
      <w:r w:rsidRPr="00087367">
        <w:rPr>
          <w:rStyle w:val="Emphasis"/>
        </w:rPr>
        <w:t xml:space="preserve">they </w:t>
      </w:r>
      <w:r w:rsidRPr="00B37EB5">
        <w:rPr>
          <w:rStyle w:val="Emphasis"/>
          <w:highlight w:val="cyan"/>
        </w:rPr>
        <w:t>are thriving as the U.S. has retreated</w:t>
      </w:r>
      <w:r w:rsidRPr="00087367">
        <w:rPr>
          <w:sz w:val="16"/>
        </w:rPr>
        <w:t xml:space="preserve">. The global freedom index has declined for ten consecutive years. No one like to talk about the United States as a global policeman, but this is what happens when there is no cop on the beat. </w:t>
      </w:r>
      <w:r w:rsidRPr="00087367">
        <w:rPr>
          <w:rStyle w:val="Emphasis"/>
        </w:rPr>
        <w:t xml:space="preserve">American </w:t>
      </w:r>
      <w:r w:rsidRPr="00B37EB5">
        <w:rPr>
          <w:rStyle w:val="Emphasis"/>
          <w:highlight w:val="cyan"/>
        </w:rPr>
        <w:t>leadership begins at home</w:t>
      </w:r>
      <w:r w:rsidRPr="00087367">
        <w:rPr>
          <w:sz w:val="16"/>
        </w:rPr>
        <w:t>, right here. America cannot lead the world on democracy and human rights if there is no unity on the meaning and importance of these things. Leadership is required to make that case clearly and powerfully. Right now, Americans are engaged in politics at a level not seen in decades. It is an opportunity for them to rediscover that making America great begins with believing America can be great.</w:t>
      </w:r>
    </w:p>
    <w:p w14:paraId="6C895511" w14:textId="77777777" w:rsidR="00F93747" w:rsidRPr="00087367" w:rsidRDefault="00F93747" w:rsidP="00F93747">
      <w:pPr>
        <w:rPr>
          <w:sz w:val="16"/>
        </w:rPr>
      </w:pPr>
      <w:r w:rsidRPr="00087367">
        <w:rPr>
          <w:sz w:val="16"/>
        </w:rPr>
        <w:t xml:space="preserve">The Cold War was won on </w:t>
      </w:r>
      <w:r w:rsidRPr="00087367">
        <w:rPr>
          <w:rStyle w:val="Emphasis"/>
        </w:rPr>
        <w:t>American values</w:t>
      </w:r>
      <w:r w:rsidRPr="00087367">
        <w:rPr>
          <w:sz w:val="16"/>
        </w:rPr>
        <w:t xml:space="preserve"> that were </w:t>
      </w:r>
      <w:r w:rsidRPr="00087367">
        <w:rPr>
          <w:rStyle w:val="StyleUnderline"/>
        </w:rPr>
        <w:t>shared by both parties</w:t>
      </w:r>
      <w:r w:rsidRPr="00087367">
        <w:rPr>
          <w:sz w:val="16"/>
        </w:rPr>
        <w:t xml:space="preserve"> and nearly every American. Institutions that were created by a Democrat, Truman, were triumphant forty years later thanks to the courage of a Republican, Reagan. </w:t>
      </w:r>
      <w:r w:rsidRPr="00087367">
        <w:rPr>
          <w:rStyle w:val="StyleUnderline"/>
        </w:rPr>
        <w:t>This bipartisan consistency created the decades of strategic stability that is the great strength of democracies</w:t>
      </w:r>
      <w:r w:rsidRPr="00087367">
        <w:rPr>
          <w:sz w:val="16"/>
        </w:rPr>
        <w:t xml:space="preserve">. </w:t>
      </w:r>
      <w:r w:rsidRPr="00B37EB5">
        <w:rPr>
          <w:rStyle w:val="Emphasis"/>
        </w:rPr>
        <w:t xml:space="preserve">Strong </w:t>
      </w:r>
      <w:r w:rsidRPr="00B37EB5">
        <w:rPr>
          <w:rStyle w:val="Emphasis"/>
          <w:highlight w:val="cyan"/>
        </w:rPr>
        <w:t>institutions that outlast politicians</w:t>
      </w:r>
      <w:r w:rsidRPr="00B37EB5">
        <w:rPr>
          <w:rStyle w:val="StyleUnderline"/>
          <w:highlight w:val="cyan"/>
        </w:rPr>
        <w:t xml:space="preserve"> allow for long-range planning</w:t>
      </w:r>
      <w:r w:rsidRPr="00087367">
        <w:rPr>
          <w:sz w:val="16"/>
        </w:rPr>
        <w:t xml:space="preserve">. In contrast, </w:t>
      </w:r>
      <w:r w:rsidRPr="00087367">
        <w:rPr>
          <w:rStyle w:val="StyleUnderline"/>
        </w:rPr>
        <w:t>dictators can operate only tactically</w:t>
      </w:r>
      <w:r w:rsidRPr="00087367">
        <w:rPr>
          <w:sz w:val="16"/>
        </w:rPr>
        <w:t>,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p>
    <w:p w14:paraId="6B915FBD" w14:textId="77777777" w:rsidR="00F93747" w:rsidRPr="00087367" w:rsidRDefault="00F93747" w:rsidP="00F93747">
      <w:pPr>
        <w:rPr>
          <w:sz w:val="16"/>
        </w:rPr>
      </w:pPr>
      <w:r w:rsidRPr="00087367">
        <w:rPr>
          <w:sz w:val="16"/>
        </w:rPr>
        <w:t xml:space="preserve">The fear of making things worse has paralyzed the United States from trying to make things better. There will always be setbacks, but the United States cannot quit. </w:t>
      </w:r>
      <w:r w:rsidRPr="00087367">
        <w:rPr>
          <w:rStyle w:val="StyleUnderline"/>
        </w:rPr>
        <w:t xml:space="preserve">The spread of </w:t>
      </w:r>
      <w:r w:rsidRPr="00B37EB5">
        <w:rPr>
          <w:rStyle w:val="StyleUnderline"/>
          <w:highlight w:val="cyan"/>
        </w:rPr>
        <w:t>democracy is the only</w:t>
      </w:r>
      <w:r w:rsidRPr="00087367">
        <w:rPr>
          <w:rStyle w:val="StyleUnderline"/>
        </w:rPr>
        <w:t xml:space="preserve"> </w:t>
      </w:r>
      <w:r w:rsidRPr="00B37EB5">
        <w:rPr>
          <w:rStyle w:val="StyleUnderline"/>
          <w:highlight w:val="cyan"/>
        </w:rPr>
        <w:t>proven remedy for</w:t>
      </w:r>
      <w:r w:rsidRPr="00087367">
        <w:rPr>
          <w:rStyle w:val="StyleUnderline"/>
        </w:rPr>
        <w:t xml:space="preserve"> nearly </w:t>
      </w:r>
      <w:r w:rsidRPr="00B37EB5">
        <w:rPr>
          <w:rStyle w:val="Emphasis"/>
          <w:highlight w:val="cyan"/>
        </w:rPr>
        <w:t>every crisis</w:t>
      </w:r>
      <w:r w:rsidRPr="00087367">
        <w:rPr>
          <w:rStyle w:val="StyleUnderline"/>
        </w:rPr>
        <w:t xml:space="preserve"> that plagues the world today. </w:t>
      </w:r>
      <w:r w:rsidRPr="00B37EB5">
        <w:rPr>
          <w:rStyle w:val="StyleUnderline"/>
          <w:highlight w:val="cyan"/>
        </w:rPr>
        <w:t>War, famine, poverty, terrorism</w:t>
      </w:r>
      <w:r w:rsidRPr="00087367">
        <w:rPr>
          <w:rStyle w:val="StyleUnderline"/>
        </w:rPr>
        <w:t>–all are generated and exacerbated by authoritarian regimes</w:t>
      </w:r>
      <w:r w:rsidRPr="00087367">
        <w:rPr>
          <w:sz w:val="16"/>
        </w:rPr>
        <w:t>. A policy of America First inevitably puts American security last.</w:t>
      </w:r>
    </w:p>
    <w:p w14:paraId="4312CB86" w14:textId="77777777" w:rsidR="00F93747" w:rsidRPr="00670A46" w:rsidRDefault="00F93747" w:rsidP="00F93747"/>
    <w:p w14:paraId="4316A2E1" w14:textId="77777777" w:rsidR="00F93747" w:rsidRPr="00670A46" w:rsidRDefault="00F93747" w:rsidP="00F93747">
      <w:pPr>
        <w:pStyle w:val="Heading3"/>
      </w:pPr>
      <w:r w:rsidRPr="00670A46">
        <w:t>2NC---UQ---Court Centralization Now</w:t>
      </w:r>
    </w:p>
    <w:p w14:paraId="56736B5A" w14:textId="77777777" w:rsidR="00F93747" w:rsidRPr="00670A46" w:rsidRDefault="00F93747" w:rsidP="00F93747">
      <w:pPr>
        <w:pStyle w:val="Heading4"/>
      </w:pPr>
      <w:r w:rsidRPr="00670A46">
        <w:t>State court jurisdiction on CJR is limited now</w:t>
      </w:r>
    </w:p>
    <w:p w14:paraId="24EA3ED4" w14:textId="77777777" w:rsidR="00F93747" w:rsidRPr="00670A46" w:rsidRDefault="00F93747" w:rsidP="00F93747">
      <w:pPr>
        <w:rPr>
          <w:rStyle w:val="Style13ptBold"/>
          <w:b w:val="0"/>
          <w:bCs w:val="0"/>
          <w:sz w:val="22"/>
        </w:rPr>
      </w:pPr>
      <w:r w:rsidRPr="00670A46">
        <w:rPr>
          <w:rStyle w:val="Style13ptBold"/>
        </w:rPr>
        <w:t xml:space="preserve">Smith 6 </w:t>
      </w:r>
      <w:r w:rsidRPr="00670A46">
        <w:rPr>
          <w:rStyle w:val="Style13ptBold"/>
          <w:b w:val="0"/>
          <w:bCs w:val="0"/>
          <w:sz w:val="22"/>
        </w:rPr>
        <w:t xml:space="preserve">(Smith, Jacob, Northwestern Pritzker School of Law, “Johnson v. California: </w:t>
      </w:r>
      <w:r w:rsidRPr="00670A46">
        <w:rPr>
          <w:rStyle w:val="Style13ptBold"/>
          <w:b w:val="0"/>
          <w:bCs w:val="0"/>
          <w:sz w:val="22"/>
          <w:u w:val="single"/>
        </w:rPr>
        <w:t>The Supreme Court Invades the States' Authority to Establish Criminal Procedures.</w:t>
      </w:r>
      <w:r w:rsidRPr="00670A46">
        <w:rPr>
          <w:rStyle w:val="Style13ptBold"/>
          <w:b w:val="0"/>
          <w:bCs w:val="0"/>
          <w:sz w:val="22"/>
        </w:rPr>
        <w:t>” The Journal of Criminal Law and Criminology (1973-), vol. 96, no. 3, 2006, pp. 995–1027. JSTOR, www.jstor.org/stable/40042803. Accessed 18 July 2020)//ICW-AB</w:t>
      </w:r>
    </w:p>
    <w:p w14:paraId="49790A68" w14:textId="77777777" w:rsidR="00F93747" w:rsidRPr="00670A46" w:rsidRDefault="00F93747" w:rsidP="00F93747">
      <w:pPr>
        <w:rPr>
          <w:u w:val="single"/>
        </w:rPr>
      </w:pPr>
      <w:r w:rsidRPr="00670A46">
        <w:rPr>
          <w:u w:val="single"/>
        </w:rPr>
        <w:t xml:space="preserve">THE JOHNSON MAJORITY ESTABLISHED A DANGEROUS PRECEDENT BY ALLOWING THE COURT TO PROMULGATE STATE CRIMINAL PROCEDURE. </w:t>
      </w:r>
    </w:p>
    <w:p w14:paraId="439104E2" w14:textId="77777777" w:rsidR="00F93747" w:rsidRPr="00670A46" w:rsidRDefault="00F93747" w:rsidP="00F93747">
      <w:r w:rsidRPr="00670A46">
        <w:t xml:space="preserve">The holding in Johnson is an instance in which </w:t>
      </w:r>
      <w:r w:rsidRPr="00670A46">
        <w:rPr>
          <w:u w:val="single"/>
        </w:rPr>
        <w:t>the Supreme Court has improperly interfered with state criminal procedures</w:t>
      </w:r>
      <w:r w:rsidRPr="00670A46">
        <w:t xml:space="preserve">, an area that has traditionally been left to the states to develop. The Johnson opinion, on its face, may seem to be a rather harmless decision by the Court, especially given the fact that the majority was an overwhelming eight-to-one.217 The Court certainly portrayed the case as one dealing with a narrow issue in one particular set of cases. However, </w:t>
      </w:r>
      <w:r w:rsidRPr="00670A46">
        <w:rPr>
          <w:u w:val="single"/>
        </w:rPr>
        <w:t>the consequences of the opinion in Johnson could be much more troublesome in future cases involving state criminal procedures</w:t>
      </w:r>
      <w:r w:rsidRPr="00670A46">
        <w:t xml:space="preserve">. While it is true that the Johnson opinion only substantively discussed the first step of the Batson procedure, </w:t>
      </w:r>
      <w:r w:rsidRPr="00670A46">
        <w:rPr>
          <w:u w:val="single"/>
        </w:rPr>
        <w:t xml:space="preserve">the Court's decision could </w:t>
      </w:r>
      <w:r w:rsidRPr="00670A46">
        <w:rPr>
          <w:b/>
          <w:bCs/>
          <w:u w:val="single"/>
        </w:rPr>
        <w:t>potentially alter the way that the Court analyzes other state criminal procedures in the future</w:t>
      </w:r>
      <w:r w:rsidRPr="00670A46">
        <w:rPr>
          <w:b/>
          <w:bCs/>
        </w:rPr>
        <w:t>.</w:t>
      </w:r>
      <w:r w:rsidRPr="00670A46">
        <w:t xml:space="preserve"> </w:t>
      </w:r>
      <w:r w:rsidRPr="00670A46">
        <w:rPr>
          <w:u w:val="single"/>
        </w:rPr>
        <w:t>The majority in Johnson went beyond the authority granted to the Supreme Court by the Constitution.</w:t>
      </w:r>
      <w:r w:rsidRPr="00670A46">
        <w:t xml:space="preserve"> In doing so, </w:t>
      </w:r>
      <w:r w:rsidRPr="00670A46">
        <w:rPr>
          <w:u w:val="single"/>
        </w:rPr>
        <w:t xml:space="preserve">the majority </w:t>
      </w:r>
      <w:r w:rsidRPr="00670A46">
        <w:rPr>
          <w:b/>
          <w:bCs/>
          <w:u w:val="single"/>
        </w:rPr>
        <w:t>established a dangerous precedent</w:t>
      </w:r>
      <w:r w:rsidRPr="00670A46">
        <w:rPr>
          <w:u w:val="single"/>
        </w:rPr>
        <w:t xml:space="preserve"> that allows the Supreme Court to promulgate criminal procedure on the state level.</w:t>
      </w:r>
      <w:r w:rsidRPr="00670A46">
        <w:t xml:space="preserve"> At the most extreme, </w:t>
      </w:r>
      <w:r w:rsidRPr="00670A46">
        <w:rPr>
          <w:u w:val="single"/>
        </w:rPr>
        <w:t xml:space="preserve">the Court could begin developing criminal procedures and </w:t>
      </w:r>
      <w:r w:rsidRPr="00670A46">
        <w:rPr>
          <w:b/>
          <w:bCs/>
          <w:u w:val="single"/>
        </w:rPr>
        <w:t>dictating how the states employ those procedures</w:t>
      </w:r>
      <w:r w:rsidRPr="00670A46">
        <w:rPr>
          <w:u w:val="single"/>
        </w:rPr>
        <w:t xml:space="preserve">. Such a precedent violates the constitutional authority of the Supreme Court and </w:t>
      </w:r>
      <w:r w:rsidRPr="00670A46">
        <w:rPr>
          <w:b/>
          <w:bCs/>
          <w:u w:val="single"/>
        </w:rPr>
        <w:t>invades the states' power to create criminal law</w:t>
      </w:r>
      <w:r w:rsidRPr="00670A46">
        <w:rPr>
          <w:u w:val="single"/>
        </w:rPr>
        <w:t>.</w:t>
      </w:r>
      <w:r w:rsidRPr="00670A46">
        <w:t xml:space="preserve">218 </w:t>
      </w:r>
      <w:r w:rsidRPr="00670A46">
        <w:rPr>
          <w:u w:val="single"/>
        </w:rPr>
        <w:t>The Court has allowed itself to become a super-legislative body above the states, determining the best procedures to satisfy problems in policy</w:t>
      </w:r>
      <w:r w:rsidRPr="00670A46">
        <w:t xml:space="preserve">. The Johnson decision was decided not on constitutional grounds, but to satisfy an issue of public policy that the elected government of California should have been able to decide on its own. </w:t>
      </w:r>
      <w:r w:rsidRPr="00670A46">
        <w:rPr>
          <w:u w:val="single"/>
        </w:rPr>
        <w:t xml:space="preserve">By giving itself the power to establish what criminal procedure is appropriate for the states to use, the Court has determined that it is the best judge of the procedures that should be applied in every state. </w:t>
      </w:r>
      <w:r w:rsidRPr="00670A46">
        <w:t>Clearly, this should be left to the individual states and their elected legislatures. The majority did not cite any constitutional authority for overruling California's criminal procedure in Johnson, nor did the majority overturn the procedure based on the Constitution.219 Essentially, the Court took a prophylactic remedy laid out in Batson and converted it into a constitutional requirement twenty years later. Yet, the Court did not clarify questions that have been left to the states to answer in those twenty years.220 The Johnson opinion did not alter or clarify the three-step procedure, and the states are apparently required to employ the procedure without differentiation. In Johnson, the Court struck down California's procedure because it applied a different burden of proof at the initial stage. The Court did not state that this burden of proof was itself in violation of the Fourteenth Amendment. Instead, the Court compared California's procedure to Batson, found that the two were different, and struck down</w:t>
      </w:r>
    </w:p>
    <w:p w14:paraId="2D75286C" w14:textId="77777777" w:rsidR="00F93747" w:rsidRPr="00670A46" w:rsidRDefault="00F93747" w:rsidP="00F93747"/>
    <w:p w14:paraId="029C744E" w14:textId="77777777" w:rsidR="00F93747" w:rsidRPr="00670A46" w:rsidRDefault="00F93747" w:rsidP="00F93747">
      <w:pPr>
        <w:pStyle w:val="Heading4"/>
      </w:pPr>
      <w:r w:rsidRPr="00670A46">
        <w:t>The supreme court is limiting state power now</w:t>
      </w:r>
    </w:p>
    <w:p w14:paraId="4726893C" w14:textId="77777777" w:rsidR="00F93747" w:rsidRPr="00670A46" w:rsidRDefault="00F93747" w:rsidP="00F93747">
      <w:pPr>
        <w:rPr>
          <w:rStyle w:val="Style13ptBold"/>
          <w:b w:val="0"/>
          <w:bCs w:val="0"/>
          <w:sz w:val="22"/>
        </w:rPr>
      </w:pPr>
      <w:r w:rsidRPr="00670A46">
        <w:rPr>
          <w:rStyle w:val="Style13ptBold"/>
        </w:rPr>
        <w:t xml:space="preserve">Kincaid and Aroney 17 </w:t>
      </w:r>
      <w:r w:rsidRPr="00670A46">
        <w:rPr>
          <w:rStyle w:val="Style13ptBold"/>
          <w:b w:val="0"/>
          <w:bCs w:val="0"/>
          <w:sz w:val="22"/>
        </w:rPr>
        <w:t xml:space="preserve">(John Kincaid is the Robert B. and Helen S. Meyner Professor of Government and Public Service and Director of the Meyner, Nicholas Aroney is Professor of Constitutional Law at The University of Queensland Center, May 9, 2017, “Centralizing and decentralizing trends on federal high courts,” Washington Post, </w:t>
      </w:r>
      <w:hyperlink r:id="rId22" w:history="1">
        <w:r w:rsidRPr="00670A46">
          <w:rPr>
            <w:rStyle w:val="Hyperlink"/>
          </w:rPr>
          <w:t>https://www.washingtonpost.com/news/volokh-conspiracy/wp/2017/05/09/centralizing-and-decentralizing-trends-on-federal-high-courts/)//ICW</w:t>
        </w:r>
      </w:hyperlink>
      <w:r w:rsidRPr="00670A46">
        <w:rPr>
          <w:rStyle w:val="Style13ptBold"/>
          <w:b w:val="0"/>
          <w:bCs w:val="0"/>
          <w:sz w:val="22"/>
        </w:rPr>
        <w:t>-AB</w:t>
      </w:r>
    </w:p>
    <w:p w14:paraId="2C6BA5C8" w14:textId="77777777" w:rsidR="00F93747" w:rsidRPr="00670A46" w:rsidRDefault="00F93747" w:rsidP="00F93747">
      <w:r w:rsidRPr="00670A46">
        <w:t xml:space="preserve">Some federation courts have contributed to gradual centralization. </w:t>
      </w:r>
      <w:r w:rsidRPr="00670A46">
        <w:rPr>
          <w:u w:val="single"/>
        </w:rPr>
        <w:t>Ilya Somin concludes that</w:t>
      </w:r>
      <w:r w:rsidRPr="00670A46">
        <w:t xml:space="preserve"> </w:t>
      </w:r>
      <w:r w:rsidRPr="00670A46">
        <w:rPr>
          <w:u w:val="single"/>
        </w:rPr>
        <w:t xml:space="preserve">although the U.S. Supreme Court has promoted both centralization and state autonomy at different times, on balance, it has strengthened the power of the federal government, including the power of the federal courts, </w:t>
      </w:r>
      <w:r w:rsidRPr="00670A46">
        <w:rPr>
          <w:b/>
          <w:bCs/>
          <w:u w:val="single"/>
        </w:rPr>
        <w:t>at the expense of the states’ powers</w:t>
      </w:r>
      <w:r w:rsidRPr="00670A46">
        <w:rPr>
          <w:u w:val="single"/>
        </w:rPr>
        <w:t>.</w:t>
      </w:r>
      <w:r w:rsidRPr="00670A46">
        <w:t xml:space="preserve"> Nicholas Aroney likewise argues that, despite occasional variations, a centralizing pattern has been evident in Australia for almost a century. These findings confirm Daniel J. Elazar’s observation in Exploring Federalism (1987) that </w:t>
      </w:r>
      <w:r w:rsidRPr="00670A46">
        <w:rPr>
          <w:u w:val="single"/>
        </w:rPr>
        <w:t>the U.S. Supreme Court</w:t>
      </w:r>
      <w:r w:rsidRPr="00670A46">
        <w:t xml:space="preserve"> and the Australian High Court </w:t>
      </w:r>
      <w:r w:rsidRPr="00670A46">
        <w:rPr>
          <w:u w:val="single"/>
        </w:rPr>
        <w:t>stand out as centralizers among the courts of federal countries</w:t>
      </w:r>
      <w:r w:rsidRPr="00670A46">
        <w:t>.</w:t>
      </w:r>
    </w:p>
    <w:p w14:paraId="38C3B21D" w14:textId="77777777" w:rsidR="00F93747" w:rsidRDefault="00F93747" w:rsidP="00F93747">
      <w:pPr>
        <w:pStyle w:val="Heading3"/>
      </w:pPr>
      <w:r>
        <w:t>2NC---I/L---Spillover</w:t>
      </w:r>
    </w:p>
    <w:p w14:paraId="4694CED0" w14:textId="77777777" w:rsidR="00F93747" w:rsidRPr="00765C0D" w:rsidRDefault="00F93747" w:rsidP="00F93747">
      <w:pPr>
        <w:pStyle w:val="Heading4"/>
      </w:pPr>
      <w:r>
        <w:t xml:space="preserve">The CP creates a </w:t>
      </w:r>
      <w:r>
        <w:rPr>
          <w:u w:val="single"/>
        </w:rPr>
        <w:t>feedback loop</w:t>
      </w:r>
      <w:r>
        <w:t xml:space="preserve"> that guides </w:t>
      </w:r>
      <w:r>
        <w:rPr>
          <w:u w:val="single"/>
        </w:rPr>
        <w:t>other</w:t>
      </w:r>
      <w:r>
        <w:t xml:space="preserve"> cases</w:t>
      </w:r>
    </w:p>
    <w:p w14:paraId="55CED7F4" w14:textId="77777777" w:rsidR="00F93747" w:rsidRDefault="00F93747" w:rsidP="00F93747">
      <w:r>
        <w:t xml:space="preserve">Richard H. </w:t>
      </w:r>
      <w:r w:rsidRPr="002B1934">
        <w:rPr>
          <w:rStyle w:val="Style13ptBold"/>
        </w:rPr>
        <w:t>Fallon 17</w:t>
      </w:r>
      <w:r>
        <w:t>, Jr., Story Professor of Law at Harvard Law School, “The Future of Federalism: Federalism as a Constitutional Concept”, Arizona State Law Journal, 49 Ariz. St. L.J. 961, Lexis</w:t>
      </w:r>
    </w:p>
    <w:p w14:paraId="7B3F9609" w14:textId="77777777" w:rsidR="00F93747" w:rsidRPr="001076D1" w:rsidRDefault="00F93747" w:rsidP="00F93747">
      <w:pPr>
        <w:rPr>
          <w:sz w:val="16"/>
        </w:rPr>
      </w:pPr>
      <w:r w:rsidRPr="001076D1">
        <w:rPr>
          <w:sz w:val="16"/>
        </w:rPr>
        <w:t>3. Disruptive or Uncooperative Federalism</w:t>
      </w:r>
    </w:p>
    <w:p w14:paraId="516BD4C6" w14:textId="77777777" w:rsidR="00F93747" w:rsidRPr="001076D1" w:rsidRDefault="00F93747" w:rsidP="00F93747">
      <w:pPr>
        <w:rPr>
          <w:sz w:val="16"/>
        </w:rPr>
      </w:pPr>
      <w:r w:rsidRPr="001076D1">
        <w:rPr>
          <w:rStyle w:val="StyleUnderline"/>
        </w:rPr>
        <w:t xml:space="preserve">The idea of </w:t>
      </w:r>
      <w:r w:rsidRPr="008968AC">
        <w:rPr>
          <w:rStyle w:val="Emphasis"/>
        </w:rPr>
        <w:t>disruptive</w:t>
      </w:r>
      <w:r w:rsidRPr="001076D1">
        <w:rPr>
          <w:rStyle w:val="StyleUnderline"/>
        </w:rPr>
        <w:t xml:space="preserve"> or </w:t>
      </w:r>
      <w:r w:rsidRPr="001076D1">
        <w:rPr>
          <w:rStyle w:val="Emphasis"/>
        </w:rPr>
        <w:t>uncooperative</w:t>
      </w:r>
      <w:r w:rsidRPr="001076D1">
        <w:rPr>
          <w:rStyle w:val="StyleUnderline"/>
        </w:rPr>
        <w:t xml:space="preserve"> </w:t>
      </w:r>
      <w:r w:rsidRPr="008968AC">
        <w:rPr>
          <w:rStyle w:val="StyleUnderline"/>
        </w:rPr>
        <w:t>federalism</w:t>
      </w:r>
      <w:r w:rsidRPr="001076D1">
        <w:rPr>
          <w:sz w:val="16"/>
        </w:rPr>
        <w:t xml:space="preserve">, and in particular its characterization as potentially attractive or beneficial, </w:t>
      </w:r>
      <w:r w:rsidRPr="001076D1">
        <w:rPr>
          <w:rStyle w:val="StyleUnderline"/>
        </w:rPr>
        <w:t xml:space="preserve">has </w:t>
      </w:r>
      <w:r w:rsidRPr="001076D1">
        <w:rPr>
          <w:rStyle w:val="Emphasis"/>
        </w:rPr>
        <w:t>emerged</w:t>
      </w:r>
      <w:r w:rsidRPr="001076D1">
        <w:rPr>
          <w:sz w:val="16"/>
        </w:rPr>
        <w:t xml:space="preserve"> in recent, imaginative writing by Heather Gerken and others. In the view of defenders of </w:t>
      </w:r>
      <w:r w:rsidRPr="001076D1">
        <w:rPr>
          <w:rStyle w:val="StyleUnderline"/>
        </w:rPr>
        <w:t>this conception</w:t>
      </w:r>
      <w:r w:rsidRPr="001076D1">
        <w:rPr>
          <w:sz w:val="16"/>
        </w:rPr>
        <w:t xml:space="preserve">, federalism-based elements of the Constitution's design not only limit federal power; they also </w:t>
      </w:r>
      <w:r w:rsidRPr="008968AC">
        <w:rPr>
          <w:rStyle w:val="StyleUnderline"/>
        </w:rPr>
        <w:t xml:space="preserve">create a </w:t>
      </w:r>
      <w:r w:rsidRPr="008968AC">
        <w:rPr>
          <w:rStyle w:val="Emphasis"/>
        </w:rPr>
        <w:t>feedback loop</w:t>
      </w:r>
      <w:r w:rsidRPr="008968AC">
        <w:rPr>
          <w:rStyle w:val="StyleUnderline"/>
        </w:rPr>
        <w:t xml:space="preserve"> in which states</w:t>
      </w:r>
      <w:r w:rsidRPr="001076D1">
        <w:rPr>
          <w:sz w:val="16"/>
        </w:rPr>
        <w:t xml:space="preserve"> and state officials </w:t>
      </w:r>
      <w:r w:rsidRPr="001076D1">
        <w:rPr>
          <w:rStyle w:val="StyleUnderline"/>
        </w:rPr>
        <w:t xml:space="preserve">can </w:t>
      </w:r>
      <w:r w:rsidRPr="008968AC">
        <w:rPr>
          <w:rStyle w:val="StyleUnderline"/>
        </w:rPr>
        <w:t>resist</w:t>
      </w:r>
      <w:r w:rsidRPr="001076D1">
        <w:rPr>
          <w:rStyle w:val="StyleUnderline"/>
        </w:rPr>
        <w:t xml:space="preserve"> or temper</w:t>
      </w:r>
      <w:r w:rsidRPr="001076D1">
        <w:rPr>
          <w:sz w:val="16"/>
        </w:rPr>
        <w:t xml:space="preserve"> otherwise lawful </w:t>
      </w:r>
      <w:r w:rsidRPr="001076D1">
        <w:rPr>
          <w:rStyle w:val="StyleUnderline"/>
        </w:rPr>
        <w:t xml:space="preserve">assertions of </w:t>
      </w:r>
      <w:r w:rsidRPr="008968AC">
        <w:rPr>
          <w:rStyle w:val="Emphasis"/>
        </w:rPr>
        <w:t>fed</w:t>
      </w:r>
      <w:r w:rsidRPr="001076D1">
        <w:rPr>
          <w:rStyle w:val="StyleUnderline"/>
        </w:rPr>
        <w:t xml:space="preserve">eral </w:t>
      </w:r>
      <w:r w:rsidRPr="008968AC">
        <w:rPr>
          <w:rStyle w:val="StyleUnderline"/>
        </w:rPr>
        <w:t>authority i</w:t>
      </w:r>
      <w:r w:rsidRPr="001076D1">
        <w:rPr>
          <w:rStyle w:val="StyleUnderline"/>
        </w:rPr>
        <w:t>n</w:t>
      </w:r>
      <w:r w:rsidRPr="001076D1">
        <w:rPr>
          <w:sz w:val="16"/>
        </w:rPr>
        <w:t xml:space="preserve"> potentially creative, informative, and </w:t>
      </w:r>
      <w:r w:rsidRPr="001076D1">
        <w:rPr>
          <w:rStyle w:val="StyleUnderline"/>
        </w:rPr>
        <w:t>productive ways</w:t>
      </w:r>
      <w:r w:rsidRPr="001076D1">
        <w:rPr>
          <w:sz w:val="16"/>
        </w:rPr>
        <w:t>.</w:t>
      </w:r>
    </w:p>
    <w:p w14:paraId="30CE935C" w14:textId="77777777" w:rsidR="00F93747" w:rsidRDefault="00F93747" w:rsidP="00F93747">
      <w:pPr>
        <w:rPr>
          <w:sz w:val="16"/>
        </w:rPr>
      </w:pPr>
      <w:r w:rsidRPr="001076D1">
        <w:rPr>
          <w:sz w:val="16"/>
        </w:rPr>
        <w:t xml:space="preserve">Like the states' rights and experimentalist conceptions, a conception of disruptive or uncooperative federalism could not purport to capture the full  [*974]  complexity of the concept of constitutional federalism. </w:t>
      </w:r>
      <w:r w:rsidRPr="008968AC">
        <w:rPr>
          <w:rStyle w:val="StyleUnderline"/>
        </w:rPr>
        <w:t>It could</w:t>
      </w:r>
      <w:r w:rsidRPr="001076D1">
        <w:rPr>
          <w:sz w:val="16"/>
        </w:rPr>
        <w:t xml:space="preserve"> only plausibly aspire to </w:t>
      </w:r>
      <w:r w:rsidRPr="008968AC">
        <w:rPr>
          <w:rStyle w:val="Emphasis"/>
        </w:rPr>
        <w:t>guide</w:t>
      </w:r>
      <w:r w:rsidRPr="001076D1">
        <w:rPr>
          <w:rStyle w:val="StyleUnderline"/>
        </w:rPr>
        <w:t xml:space="preserve"> constitutional or statutory </w:t>
      </w:r>
      <w:r w:rsidRPr="008968AC">
        <w:rPr>
          <w:rStyle w:val="StyleUnderline"/>
        </w:rPr>
        <w:t xml:space="preserve">interpretation in </w:t>
      </w:r>
      <w:r w:rsidRPr="008968AC">
        <w:rPr>
          <w:rStyle w:val="Emphasis"/>
        </w:rPr>
        <w:t>some range</w:t>
      </w:r>
      <w:r w:rsidRPr="008968AC">
        <w:rPr>
          <w:rStyle w:val="StyleUnderline"/>
        </w:rPr>
        <w:t xml:space="preserve"> of</w:t>
      </w:r>
      <w:r w:rsidRPr="001076D1">
        <w:rPr>
          <w:rStyle w:val="StyleUnderline"/>
        </w:rPr>
        <w:t xml:space="preserve"> contested </w:t>
      </w:r>
      <w:r w:rsidRPr="008968AC">
        <w:rPr>
          <w:rStyle w:val="StyleUnderline"/>
        </w:rPr>
        <w:t>cases</w:t>
      </w:r>
      <w:r w:rsidRPr="001076D1">
        <w:rPr>
          <w:sz w:val="16"/>
        </w:rPr>
        <w:t xml:space="preserve">--and to do so without specifying in detail how the values that it serves relate to, cohere with, or in some instances possibly trump other constitutional values. Leading proponents of uncooperative federalism so acknowledge. For example, Dean Gerken and Professor Bulman-Pozen write that they do not "offer a single, authoritative account of federalism," that they "do not mean to suggest that contestation will always be desirable," and that they "merely argue that </w:t>
      </w:r>
      <w:r w:rsidRPr="001076D1">
        <w:rPr>
          <w:rStyle w:val="StyleUnderline"/>
        </w:rPr>
        <w:t xml:space="preserve">the </w:t>
      </w:r>
      <w:r w:rsidRPr="008968AC">
        <w:rPr>
          <w:rStyle w:val="StyleUnderline"/>
        </w:rPr>
        <w:t>benefits</w:t>
      </w:r>
      <w:r w:rsidRPr="008968AC">
        <w:rPr>
          <w:sz w:val="16"/>
        </w:rPr>
        <w:t xml:space="preserve"> of</w:t>
      </w:r>
      <w:r w:rsidRPr="001076D1">
        <w:rPr>
          <w:sz w:val="16"/>
        </w:rPr>
        <w:t xml:space="preserve"> uncooperative federalism </w:t>
      </w:r>
      <w:r w:rsidRPr="008968AC">
        <w:rPr>
          <w:rStyle w:val="StyleUnderline"/>
        </w:rPr>
        <w:t xml:space="preserve">have not been </w:t>
      </w:r>
      <w:r w:rsidRPr="008968AC">
        <w:rPr>
          <w:rStyle w:val="Emphasis"/>
        </w:rPr>
        <w:t>fully appreciated</w:t>
      </w:r>
      <w:r w:rsidRPr="001076D1">
        <w:rPr>
          <w:rStyle w:val="StyleUnderline"/>
        </w:rPr>
        <w:t xml:space="preserve"> in the literature</w:t>
      </w:r>
      <w:r w:rsidRPr="001076D1">
        <w:rPr>
          <w:sz w:val="16"/>
        </w:rPr>
        <w:t>."</w:t>
      </w:r>
    </w:p>
    <w:p w14:paraId="7FF80BAE" w14:textId="77777777" w:rsidR="00F93747" w:rsidRDefault="00F93747" w:rsidP="00F93747">
      <w:pPr>
        <w:rPr>
          <w:sz w:val="16"/>
        </w:rPr>
      </w:pPr>
    </w:p>
    <w:p w14:paraId="69E51B8D" w14:textId="77777777" w:rsidR="00F93747" w:rsidRPr="00765C0D" w:rsidRDefault="00F93747" w:rsidP="00F93747">
      <w:pPr>
        <w:pStyle w:val="Heading4"/>
      </w:pPr>
      <w:r>
        <w:t xml:space="preserve">The </w:t>
      </w:r>
      <w:r>
        <w:rPr>
          <w:u w:val="single"/>
        </w:rPr>
        <w:t>demonstration effect</w:t>
      </w:r>
      <w:r>
        <w:t xml:space="preserve"> encourages future use</w:t>
      </w:r>
    </w:p>
    <w:p w14:paraId="155EEE7B" w14:textId="77777777" w:rsidR="00F93747" w:rsidRPr="00896013" w:rsidRDefault="00F93747" w:rsidP="00F93747">
      <w:r>
        <w:t xml:space="preserve">Dr. John </w:t>
      </w:r>
      <w:r w:rsidRPr="00896013">
        <w:rPr>
          <w:rStyle w:val="Style13ptBold"/>
        </w:rPr>
        <w:t>Dinan 11</w:t>
      </w:r>
      <w:r>
        <w:t>, Professor of Political Science at Wake Forest University, Ph.D. from the University of Virginia, “Contemporary Assertions of State Sovereignty and the Safeguards of American Federalism”, Albany Law Review, 74 Alb. L. Rev. 1637, Lexis</w:t>
      </w:r>
    </w:p>
    <w:p w14:paraId="75EF9AA1" w14:textId="77777777" w:rsidR="00F93747" w:rsidRPr="00896013" w:rsidRDefault="00F93747" w:rsidP="00F93747">
      <w:r w:rsidRPr="00896013">
        <w:t xml:space="preserve">Recent state statutes and constitutional amendments challenging federal health care legislation and other federal laws have attracted significant attention, both from critics who view them as nullification acts that are inconsistent with the Supremacy Clause and from some supporters who have been equally willing to embrace the nullification label for the purpose of defending such legislation. Upon closer examination, it becomes possible to view these measures as falling short of invoking the clearly repudiated doctrine of nullification and as capable of contributing under certain conditions to safeguarding federalism principles. An analysis of these recent </w:t>
      </w:r>
      <w:r w:rsidRPr="008968AC">
        <w:rPr>
          <w:rStyle w:val="Emphasis"/>
        </w:rPr>
        <w:t>assertions</w:t>
      </w:r>
      <w:r w:rsidRPr="008968AC">
        <w:rPr>
          <w:rStyle w:val="StyleUnderline"/>
        </w:rPr>
        <w:t xml:space="preserve"> of state sovereignty</w:t>
      </w:r>
      <w:r w:rsidRPr="00896013">
        <w:t xml:space="preserve"> - whether regarding health care, guns, drivers' licenses, or medical marijuana - </w:t>
      </w:r>
      <w:r w:rsidRPr="00765C0D">
        <w:rPr>
          <w:rStyle w:val="StyleUnderline"/>
        </w:rPr>
        <w:t xml:space="preserve">can </w:t>
      </w:r>
      <w:r w:rsidRPr="008968AC">
        <w:rPr>
          <w:rStyle w:val="Emphasis"/>
        </w:rPr>
        <w:t>contribute to</w:t>
      </w:r>
      <w:r w:rsidRPr="00765C0D">
        <w:rPr>
          <w:rStyle w:val="Emphasis"/>
        </w:rPr>
        <w:t xml:space="preserve"> a </w:t>
      </w:r>
      <w:r w:rsidRPr="008968AC">
        <w:rPr>
          <w:rStyle w:val="Emphasis"/>
        </w:rPr>
        <w:t>better understanding</w:t>
      </w:r>
      <w:r w:rsidRPr="008968AC">
        <w:rPr>
          <w:rStyle w:val="StyleUnderline"/>
        </w:rPr>
        <w:t xml:space="preserve"> of the </w:t>
      </w:r>
      <w:r w:rsidRPr="008968AC">
        <w:rPr>
          <w:rStyle w:val="Emphasis"/>
        </w:rPr>
        <w:t>range of opportunities</w:t>
      </w:r>
      <w:r w:rsidRPr="008968AC">
        <w:rPr>
          <w:rStyle w:val="StyleUnderline"/>
        </w:rPr>
        <w:t xml:space="preserve"> for states to wield influence</w:t>
      </w:r>
      <w:r w:rsidRPr="00765C0D">
        <w:rPr>
          <w:rStyle w:val="StyleUnderline"/>
        </w:rPr>
        <w:t xml:space="preserve"> in the U.S. federal system </w:t>
      </w:r>
      <w:r w:rsidRPr="008968AC">
        <w:rPr>
          <w:rStyle w:val="StyleUnderline"/>
        </w:rPr>
        <w:t xml:space="preserve">by </w:t>
      </w:r>
      <w:r w:rsidRPr="008968AC">
        <w:rPr>
          <w:rStyle w:val="Emphasis"/>
        </w:rPr>
        <w:t>showing</w:t>
      </w:r>
      <w:r w:rsidRPr="00765C0D">
        <w:rPr>
          <w:rStyle w:val="StyleUnderline"/>
        </w:rPr>
        <w:t xml:space="preserve"> that state statutes </w:t>
      </w:r>
      <w:r w:rsidRPr="008968AC">
        <w:rPr>
          <w:rStyle w:val="StyleUnderline"/>
        </w:rPr>
        <w:t>challenging</w:t>
      </w:r>
      <w:r w:rsidRPr="00765C0D">
        <w:rPr>
          <w:rStyle w:val="StyleUnderline"/>
        </w:rPr>
        <w:t xml:space="preserve"> federal law can </w:t>
      </w:r>
      <w:r w:rsidRPr="008968AC">
        <w:rPr>
          <w:rStyle w:val="Emphasis"/>
        </w:rPr>
        <w:t>play a role</w:t>
      </w:r>
      <w:r w:rsidRPr="00765C0D">
        <w:rPr>
          <w:rStyle w:val="StyleUnderline"/>
        </w:rPr>
        <w:t xml:space="preserve">, alongside of, and occasionally </w:t>
      </w:r>
      <w:r w:rsidRPr="008968AC">
        <w:rPr>
          <w:rStyle w:val="Emphasis"/>
        </w:rPr>
        <w:t>in place of</w:t>
      </w:r>
      <w:r w:rsidRPr="008968AC">
        <w:rPr>
          <w:rStyle w:val="StyleUnderline"/>
        </w:rPr>
        <w:t xml:space="preserve">, </w:t>
      </w:r>
      <w:r w:rsidRPr="008968AC">
        <w:rPr>
          <w:rStyle w:val="Emphasis"/>
        </w:rPr>
        <w:t>traditional mechanisms</w:t>
      </w:r>
      <w:r w:rsidRPr="008968AC">
        <w:rPr>
          <w:rStyle w:val="StyleUnderline"/>
        </w:rPr>
        <w:t xml:space="preserve"> by which states</w:t>
      </w:r>
      <w:r w:rsidRPr="00765C0D">
        <w:rPr>
          <w:rStyle w:val="StyleUnderline"/>
        </w:rPr>
        <w:t xml:space="preserve"> can </w:t>
      </w:r>
      <w:r w:rsidRPr="008968AC">
        <w:rPr>
          <w:rStyle w:val="StyleUnderline"/>
        </w:rPr>
        <w:t>advance</w:t>
      </w:r>
      <w:r w:rsidRPr="00765C0D">
        <w:rPr>
          <w:rStyle w:val="StyleUnderline"/>
        </w:rPr>
        <w:t xml:space="preserve"> their </w:t>
      </w:r>
      <w:r w:rsidRPr="008968AC">
        <w:rPr>
          <w:rStyle w:val="StyleUnderline"/>
        </w:rPr>
        <w:t>interests</w:t>
      </w:r>
      <w:r w:rsidRPr="00765C0D">
        <w:rPr>
          <w:rStyle w:val="StyleUnderline"/>
        </w:rPr>
        <w:t xml:space="preserve"> in the national political process</w:t>
      </w:r>
      <w:r w:rsidRPr="00896013">
        <w:t>.</w:t>
      </w:r>
    </w:p>
    <w:p w14:paraId="040C0A4D" w14:textId="77777777" w:rsidR="00F93747" w:rsidRPr="008968AC" w:rsidRDefault="00F93747" w:rsidP="00F93747"/>
    <w:p w14:paraId="5CF3F088" w14:textId="77777777" w:rsidR="00F93747" w:rsidRDefault="00F93747" w:rsidP="00F93747">
      <w:pPr>
        <w:pStyle w:val="Heading3"/>
      </w:pPr>
      <w:r>
        <w:t>--</w:t>
      </w:r>
      <w:r w:rsidRPr="00670A46">
        <w:t>2NC---CJR Key</w:t>
      </w:r>
    </w:p>
    <w:p w14:paraId="155F72F7" w14:textId="77777777" w:rsidR="00F93747" w:rsidRDefault="00F93747" w:rsidP="00F93747">
      <w:pPr>
        <w:pStyle w:val="Heading4"/>
      </w:pPr>
      <w:r>
        <w:t xml:space="preserve">State resistance to federal criminalization </w:t>
      </w:r>
      <w:r w:rsidRPr="00252CEF">
        <w:rPr>
          <w:u w:val="single"/>
        </w:rPr>
        <w:t>spills over</w:t>
      </w:r>
      <w:r>
        <w:t xml:space="preserve">---it’s key to a </w:t>
      </w:r>
      <w:r w:rsidRPr="00926374">
        <w:rPr>
          <w:u w:val="single"/>
        </w:rPr>
        <w:t>healthy federalism</w:t>
      </w:r>
      <w:r>
        <w:t xml:space="preserve"> balance across the board</w:t>
      </w:r>
    </w:p>
    <w:p w14:paraId="09CA343E" w14:textId="77777777" w:rsidR="00F93747" w:rsidRPr="00B20768" w:rsidRDefault="00F93747" w:rsidP="00F93747">
      <w:r>
        <w:rPr>
          <w:rStyle w:val="Style13ptBold"/>
        </w:rPr>
        <w:t xml:space="preserve">Partlett 19 – </w:t>
      </w:r>
      <w:r w:rsidRPr="007D62EF">
        <w:t>Associate Professor at Melbourne Law School.</w:t>
      </w:r>
      <w:r>
        <w:t xml:space="preserve"> Previous Associate-in-Law at Columbia Law School and nonresident fellow at The Brookings Institution. [</w:t>
      </w:r>
      <w:r w:rsidRPr="007D62EF">
        <w:t xml:space="preserve">William, “Criminal Law and Cooperative Federalism”, Georgetown Law Review, 2019, </w:t>
      </w:r>
      <w:hyperlink r:id="rId23" w:history="1">
        <w:r w:rsidRPr="007D62EF">
          <w:rPr>
            <w:rStyle w:val="Hyperlink"/>
          </w:rPr>
          <w:t>https://www.law.georgetown.edu/american-criminal-law-review/wp-content/uploads/sites/15/2019/06/56-4-Criminal-Law-and-Cooperative-Federalism.pdf]//AV</w:t>
        </w:r>
      </w:hyperlink>
    </w:p>
    <w:p w14:paraId="2D42DF14" w14:textId="77777777" w:rsidR="00F93747" w:rsidRDefault="00F93747" w:rsidP="00F93747">
      <w:r w:rsidRPr="001C3652">
        <w:rPr>
          <w:rStyle w:val="StyleUnderline"/>
        </w:rPr>
        <w:t>Given the lack of judicial solutions to this problem, the remaining answer lies in political mobilization at the local level</w:t>
      </w:r>
      <w:r w:rsidRPr="009A3BA3">
        <w:t xml:space="preserve">. </w:t>
      </w:r>
      <w:r w:rsidRPr="001C3652">
        <w:rPr>
          <w:rStyle w:val="StyleUnderline"/>
        </w:rPr>
        <w:t>The Tenth Amendment</w:t>
      </w:r>
      <w:r w:rsidRPr="009A3BA3">
        <w:t xml:space="preserve"> problems discussed above suggest political arguments that </w:t>
      </w:r>
      <w:r w:rsidRPr="001C3652">
        <w:rPr>
          <w:rStyle w:val="StyleUnderline"/>
        </w:rPr>
        <w:t xml:space="preserve">could be deployed in support of local resistance to this kind of cooperation. </w:t>
      </w:r>
      <w:r w:rsidRPr="009A3BA3">
        <w:t xml:space="preserve">In particular, </w:t>
      </w:r>
      <w:r w:rsidRPr="001C3652">
        <w:rPr>
          <w:rStyle w:val="StyleUnderline"/>
        </w:rPr>
        <w:t xml:space="preserve">local officials could stress the importance of holding their executive branch officials accountable through </w:t>
      </w:r>
      <w:r w:rsidRPr="00294864">
        <w:rPr>
          <w:rStyle w:val="Emphasis"/>
        </w:rPr>
        <w:t>state laws</w:t>
      </w:r>
      <w:r w:rsidRPr="00294864">
        <w:t>, city juries, and defense attorneys. The circumvention story at the center of street crime criminal cooperation is one that would strike many city voters as unpalatable and problematic, particularly as the tough on crime phase comes to</w:t>
      </w:r>
      <w:r w:rsidRPr="009A3BA3">
        <w:t xml:space="preserve"> an end. </w:t>
      </w:r>
      <w:r w:rsidRPr="001C3652">
        <w:rPr>
          <w:rStyle w:val="StyleUnderline"/>
        </w:rPr>
        <w:t>A reassertion of local control over</w:t>
      </w:r>
      <w:r w:rsidRPr="009A3BA3">
        <w:t xml:space="preserve"> gun and drug </w:t>
      </w:r>
      <w:r w:rsidRPr="001C3652">
        <w:rPr>
          <w:rStyle w:val="StyleUnderline"/>
        </w:rPr>
        <w:t>crime could involve innovative approaches targeted to better solve</w:t>
      </w:r>
      <w:r w:rsidRPr="009A3BA3">
        <w:t xml:space="preserve"> the problems of street crime. In particular, </w:t>
      </w:r>
      <w:r w:rsidRPr="001C3652">
        <w:rPr>
          <w:rStyle w:val="StyleUnderline"/>
        </w:rPr>
        <w:t>city officials could argue that mass incarceration and the punitive turn in the federal system disproportionately affect minority communities</w:t>
      </w:r>
      <w:r w:rsidRPr="009A3BA3">
        <w:t xml:space="preserve"> and are aggravating poverty in inner city areas. Alternatives might involve the creation of drug courts for non-violent drug possession crimes that seek to divert some offenders from the prison system. In recommending this kind of approach, city </w:t>
      </w:r>
      <w:r w:rsidRPr="00294864">
        <w:rPr>
          <w:rStyle w:val="StyleUnderline"/>
        </w:rPr>
        <w:t>residents</w:t>
      </w:r>
      <w:r w:rsidRPr="001C3652">
        <w:rPr>
          <w:rStyle w:val="StyleUnderline"/>
        </w:rPr>
        <w:t xml:space="preserve"> would be acknowledging that—at least when it comes to crime prevention—the solutions that are formulated and designed at the local level are </w:t>
      </w:r>
      <w:r w:rsidRPr="00294864">
        <w:rPr>
          <w:rStyle w:val="Emphasis"/>
        </w:rPr>
        <w:t>likely to produce the best outcomes</w:t>
      </w:r>
      <w:r w:rsidRPr="001C3652">
        <w:rPr>
          <w:rStyle w:val="StyleUnderline"/>
        </w:rPr>
        <w:t>.</w:t>
      </w:r>
      <w:r w:rsidRPr="009A3BA3">
        <w:t xml:space="preserve"> In responding to these Tenth Amendment concerns, city </w:t>
      </w:r>
      <w:r w:rsidRPr="001C3652">
        <w:rPr>
          <w:rStyle w:val="StyleUnderline"/>
        </w:rPr>
        <w:t>residents would be recognizing the importance of local, city-based citizenship and mobilization</w:t>
      </w:r>
      <w:r w:rsidRPr="009A3BA3">
        <w:t xml:space="preserve">.209 </w:t>
      </w:r>
      <w:r w:rsidRPr="00A46BC7">
        <w:rPr>
          <w:rStyle w:val="StyleUnderline"/>
        </w:rPr>
        <w:t>Viewing oneself as a local citizen in turn stresses the importance of exercising autonomy and control over things that have an immediate effect on one’s own lives</w:t>
      </w:r>
      <w:r w:rsidRPr="009A3BA3">
        <w:t xml:space="preserve">.210 Indeed, through engagement with city or municipal government and their fellow city residents, local citizens can find answers that suit the needs or requirements of their own cities. </w:t>
      </w:r>
      <w:r w:rsidRPr="00A46BC7">
        <w:rPr>
          <w:rStyle w:val="StyleUnderline"/>
        </w:rPr>
        <w:t xml:space="preserve">This concept of local citizenship is particularly important in the context of </w:t>
      </w:r>
      <w:r w:rsidRPr="009A3BA3">
        <w:t>street</w:t>
      </w:r>
      <w:r w:rsidRPr="00A46BC7">
        <w:rPr>
          <w:rStyle w:val="StyleUnderline"/>
        </w:rPr>
        <w:t xml:space="preserve"> crime.</w:t>
      </w:r>
      <w:r w:rsidRPr="009A3BA3">
        <w:t xml:space="preserve"> Street crime enforcement has traditionally been seen as a local police power issue. </w:t>
      </w:r>
      <w:r w:rsidRPr="00A46BC7">
        <w:rPr>
          <w:rStyle w:val="StyleUnderline"/>
        </w:rPr>
        <w:t xml:space="preserve">This reflects the fact that </w:t>
      </w:r>
      <w:r w:rsidRPr="009A3BA3">
        <w:t>street</w:t>
      </w:r>
      <w:r w:rsidRPr="00A46BC7">
        <w:rPr>
          <w:rStyle w:val="StyleUnderline"/>
        </w:rPr>
        <w:t xml:space="preserve"> crime is frequently tied to local causes and problems; uniform national policies are less likely to take account of these differences.</w:t>
      </w:r>
      <w:r w:rsidRPr="009A3BA3">
        <w:t xml:space="preserve"> We have already seen this in practice. </w:t>
      </w:r>
      <w:r w:rsidRPr="00C52914">
        <w:rPr>
          <w:rStyle w:val="StyleUnderline"/>
        </w:rPr>
        <w:t>A national policy process, by drowning out the voices of the local communities, creates policies which are more punitive and therefore less cognizant of the local costs</w:t>
      </w:r>
      <w:r w:rsidRPr="009A3BA3">
        <w:t xml:space="preserve">.211 One of the best examples is the underappreciated cost of incarceration on families in cities.212 A move toward local citizenship and mobilization is already underway in other areas of crime enforcement.213 Although cities are largely understudied in the federalism literature, particularly in their power relation with states, they are increasingly playing an important role in resisting federal immigration law.214 </w:t>
      </w:r>
      <w:r w:rsidRPr="009A3BA3">
        <w:rPr>
          <w:rStyle w:val="StyleUnderline"/>
        </w:rPr>
        <w:t>This is perhaps best exemplified in the “sanctuary city” movement.</w:t>
      </w:r>
      <w:r w:rsidRPr="009A3BA3">
        <w:t xml:space="preserve"> In this context, city electorates have elected mayors that have appointed police chiefs and district attorneys who have steadfastly refused to cooperate with federal officials. </w:t>
      </w:r>
      <w:r w:rsidRPr="009A3BA3">
        <w:rPr>
          <w:rStyle w:val="StyleUnderline"/>
        </w:rPr>
        <w:t xml:space="preserve">They have justified </w:t>
      </w:r>
      <w:r w:rsidRPr="009A3BA3">
        <w:rPr>
          <w:rStyle w:val="Emphasis"/>
        </w:rPr>
        <w:t>this resistance</w:t>
      </w:r>
      <w:r w:rsidRPr="009A3BA3">
        <w:rPr>
          <w:rStyle w:val="StyleUnderline"/>
        </w:rPr>
        <w:t xml:space="preserve"> to fully cooperate with federal immigration policy on the basis that compliance will undermine key local interests</w:t>
      </w:r>
      <w:r w:rsidRPr="009A3BA3">
        <w:t xml:space="preserve">. Many have argued that cooperation with the federal government’s aggressive immigration policies will dissuade undocumented individuals from reporting crimes and engaging with police. A reassertion of city-based identity would thus respond to the Tenth Amendment concerns with cooperation. </w:t>
      </w:r>
      <w:r w:rsidRPr="009A3BA3">
        <w:rPr>
          <w:rStyle w:val="StyleUnderline"/>
        </w:rPr>
        <w:t xml:space="preserve">First, regaining control over </w:t>
      </w:r>
      <w:r w:rsidRPr="009A3BA3">
        <w:t>street</w:t>
      </w:r>
      <w:r w:rsidRPr="009A3BA3">
        <w:rPr>
          <w:rStyle w:val="StyleUnderline"/>
        </w:rPr>
        <w:t xml:space="preserve"> crime would </w:t>
      </w:r>
      <w:r w:rsidRPr="000314CE">
        <w:rPr>
          <w:rStyle w:val="Emphasis"/>
        </w:rPr>
        <w:t>restore a “healthy balance” between the federal and local governments,</w:t>
      </w:r>
      <w:r w:rsidRPr="009A3BA3">
        <w:rPr>
          <w:rStyle w:val="StyleUnderline"/>
        </w:rPr>
        <w:t xml:space="preserve"> thus </w:t>
      </w:r>
      <w:r w:rsidRPr="000314CE">
        <w:rPr>
          <w:rStyle w:val="Emphasis"/>
        </w:rPr>
        <w:t>helping to ensure the rights-enhancing aspects of multi-level government</w:t>
      </w:r>
      <w:r w:rsidRPr="009A3BA3">
        <w:rPr>
          <w:rStyle w:val="StyleUnderline"/>
        </w:rPr>
        <w:t xml:space="preserve">. </w:t>
      </w:r>
      <w:r w:rsidRPr="009A3BA3">
        <w:t xml:space="preserve">In </w:t>
      </w:r>
      <w:r w:rsidRPr="000314CE">
        <w:t>particular, it would reestablish the importance of state laws and procedural protections put in place to protect the rights of criminal defendants. Second</w:t>
      </w:r>
      <w:r w:rsidRPr="009A3BA3">
        <w:t xml:space="preserve">, a </w:t>
      </w:r>
      <w:r w:rsidRPr="009A3BA3">
        <w:rPr>
          <w:rStyle w:val="StyleUnderline"/>
        </w:rPr>
        <w:t xml:space="preserve">rising sense of urban identity and citizenship would </w:t>
      </w:r>
      <w:r w:rsidRPr="000314CE">
        <w:rPr>
          <w:rStyle w:val="Emphasis"/>
        </w:rPr>
        <w:t>increase the political accountability of local executive branch officials</w:t>
      </w:r>
      <w:r w:rsidRPr="009A3BA3">
        <w:rPr>
          <w:rStyle w:val="StyleUnderline"/>
        </w:rPr>
        <w:t>. City electorates could now hold executive-branch officials accountable for their policies</w:t>
      </w:r>
      <w:r w:rsidRPr="009A3BA3">
        <w:t xml:space="preserve">. Finally, it </w:t>
      </w:r>
      <w:r w:rsidRPr="009A3BA3">
        <w:rPr>
          <w:rStyle w:val="StyleUnderline"/>
        </w:rPr>
        <w:t>would also ensure that harsh federal criminal law policies could not be enforced without the federal government bearing the cost</w:t>
      </w:r>
      <w:r w:rsidRPr="009A3BA3">
        <w:t xml:space="preserve">. </w:t>
      </w:r>
      <w:r w:rsidRPr="000314CE">
        <w:t>Apparent from the immigration context,</w:t>
      </w:r>
      <w:r w:rsidRPr="009A3BA3">
        <w:rPr>
          <w:rStyle w:val="StyleUnderline"/>
        </w:rPr>
        <w:t xml:space="preserve"> the federal government relies heavily on the cooperation of city executive-branch officers to enforce its policies. In street crime, the federal government is fully reliant on local executive branch officials in enforcement</w:t>
      </w:r>
      <w:r w:rsidRPr="009A3BA3">
        <w:t xml:space="preserve">. </w:t>
      </w:r>
    </w:p>
    <w:p w14:paraId="7974D0B6" w14:textId="77777777" w:rsidR="00F93747" w:rsidRDefault="00F93747" w:rsidP="00F93747">
      <w:pPr>
        <w:pStyle w:val="Heading3"/>
      </w:pPr>
      <w:r w:rsidRPr="00670A46">
        <w:t>2NC---Impact---</w:t>
      </w:r>
      <w:r>
        <w:t>Democracy</w:t>
      </w:r>
    </w:p>
    <w:p w14:paraId="1177DD24" w14:textId="77777777" w:rsidR="00F93747" w:rsidRDefault="00F93747" w:rsidP="00F93747">
      <w:pPr>
        <w:pStyle w:val="Heading4"/>
      </w:pPr>
      <w:r>
        <w:t xml:space="preserve">Democratic spread puts a </w:t>
      </w:r>
      <w:r w:rsidRPr="00F216D4">
        <w:rPr>
          <w:u w:val="single"/>
        </w:rPr>
        <w:t>cap on conflict</w:t>
      </w:r>
      <w:r>
        <w:t>, and authoritarianism makes all of their impacts more likely</w:t>
      </w:r>
    </w:p>
    <w:p w14:paraId="3E6B6DD8" w14:textId="77777777" w:rsidR="00F93747" w:rsidRPr="008330E5" w:rsidRDefault="00F93747" w:rsidP="00F93747">
      <w:r w:rsidRPr="00B42806">
        <w:rPr>
          <w:rStyle w:val="Style13ptBold"/>
        </w:rPr>
        <w:t>Diamond 19</w:t>
      </w:r>
      <w:r>
        <w:t xml:space="preserve"> – PhD in Sociology, professor of Sociology and Political Science at Stanford University (Larry, “Ill Winds: Saving Democracy from Russian Rage, Chinese Ambition and American Complacency,” Kindle Edition)//BB</w:t>
      </w:r>
    </w:p>
    <w:p w14:paraId="3A61C10D" w14:textId="77777777" w:rsidR="00F93747" w:rsidRPr="008330E5" w:rsidRDefault="00F93747" w:rsidP="00F93747"/>
    <w:p w14:paraId="5337D16F" w14:textId="77777777" w:rsidR="00F93747" w:rsidRDefault="00F93747" w:rsidP="00F93747">
      <w:r w:rsidRPr="00B42806">
        <w:t xml:space="preserve">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 the harder imperatives of global power and security argue for more democracy, not less. For one thing, if we do not worry about the quality of governance in lower-income countries, we will face more and more troubled and failing states. </w:t>
      </w:r>
      <w:r w:rsidRPr="00B42806">
        <w:rPr>
          <w:rStyle w:val="StyleUnderline"/>
        </w:rPr>
        <w:t>Famine and genocide are the curse of authoritarian states, not democratic ones</w:t>
      </w:r>
      <w:r w:rsidRPr="00B42806">
        <w:t xml:space="preserve">. Outright state collapse is the ultimate, bitter fruit of tyranny. When countries like Syria, Libya, and Afghanistan descend into civil war; when poor states in Africa cannot generate jobs and improve their citizens’ lives due to rule by corrupt and callous strongmen; when Central American societies are held hostage by brutal gangs and kleptocratic rulers, people flee—and wash up on the shores of the democracies. Europe and the United States cannot withstand the rising pressures of immigration unless they work to support better, more stable and accountable government in troubled countries. </w:t>
      </w:r>
      <w:r w:rsidRPr="00B42806">
        <w:rPr>
          <w:rStyle w:val="StyleUnderline"/>
        </w:rPr>
        <w:t>The world has simply grown too small, too flat, and too fast to wall off rotten states and pretend they are on some other planet</w:t>
      </w:r>
      <w:r w:rsidRPr="00B42806">
        <w:t xml:space="preserve">. </w:t>
      </w:r>
      <w:r w:rsidRPr="00B42806">
        <w:rPr>
          <w:rStyle w:val="Emphasis"/>
        </w:rPr>
        <w:t>Hard security interests are at stake.</w:t>
      </w:r>
      <w:r w:rsidRPr="00B42806">
        <w:t xml:space="preserve"> As even the Trump administration’s 2017 National Security Strategy makes clear, </w:t>
      </w:r>
      <w:r w:rsidRPr="00B42806">
        <w:rPr>
          <w:rStyle w:val="StyleUnderline"/>
        </w:rPr>
        <w:t>the main threats to U.S. national security all stem from authoritarianism</w:t>
      </w:r>
      <w:r w:rsidRPr="00B42806">
        <w:t xml:space="preserve">, </w:t>
      </w:r>
      <w:r w:rsidRPr="00B42806">
        <w:rPr>
          <w:rStyle w:val="StyleUnderline"/>
        </w:rPr>
        <w:t>whether in the form of tyrannies</w:t>
      </w:r>
      <w:r w:rsidRPr="00B42806">
        <w:t xml:space="preserve"> from Russia and China to Iran and North Korea </w:t>
      </w:r>
      <w:r w:rsidRPr="00B42806">
        <w:rPr>
          <w:rStyle w:val="StyleUnderline"/>
        </w:rPr>
        <w:t>or in the guise of antidemocratic terrorist movements such as ISIS</w:t>
      </w:r>
      <w:r w:rsidRPr="00B42806">
        <w:t xml:space="preserve">. 1 </w:t>
      </w:r>
      <w:r w:rsidRPr="00B42806">
        <w:rPr>
          <w:rStyle w:val="StyleUnderline"/>
        </w:rPr>
        <w:t xml:space="preserve">By supporting </w:t>
      </w:r>
      <w:r w:rsidRPr="00F216D4">
        <w:t xml:space="preserve">the development of </w:t>
      </w:r>
      <w:r w:rsidRPr="00B42806">
        <w:rPr>
          <w:rStyle w:val="StyleUnderline"/>
        </w:rPr>
        <w:t>democracy around the world, we</w:t>
      </w:r>
      <w:r w:rsidRPr="00B42806">
        <w:t xml:space="preserve"> can </w:t>
      </w:r>
      <w:r w:rsidRPr="00B42806">
        <w:rPr>
          <w:rStyle w:val="StyleUnderline"/>
        </w:rPr>
        <w:t>deny these authoritarian adversaries the geopolitical running room they seek</w:t>
      </w:r>
      <w:r w:rsidRPr="00B42806">
        <w:t xml:space="preserve">. Just as Russia, China, and Iran are trying to undermine democracies to bend other countries to their will, so too can </w:t>
      </w:r>
      <w:r w:rsidRPr="00B42806">
        <w:rPr>
          <w:rStyle w:val="StyleUnderline"/>
        </w:rPr>
        <w:t>we contain</w:t>
      </w:r>
      <w:r w:rsidRPr="00B42806">
        <w:t xml:space="preserve"> these </w:t>
      </w:r>
      <w:r w:rsidRPr="00B42806">
        <w:rPr>
          <w:rStyle w:val="StyleUnderline"/>
        </w:rPr>
        <w:t>autocrats’</w:t>
      </w:r>
      <w:r w:rsidRPr="00B42806">
        <w:t xml:space="preserve"> </w:t>
      </w:r>
      <w:r w:rsidRPr="00B42806">
        <w:rPr>
          <w:rStyle w:val="StyleUnderline"/>
        </w:rPr>
        <w:t>ambitions by helping other countries build effective, resilient democracies</w:t>
      </w:r>
      <w:r w:rsidRPr="00B42806">
        <w:t xml:space="preserve"> that can withstand the dictators’ malevolence. Of course, democratically elected governments with open societies will not support the American line on every issue. But no free society wants to mortgage its future to another country. The American </w:t>
      </w:r>
      <w:r w:rsidRPr="00F216D4">
        <w:rPr>
          <w:rStyle w:val="StyleUnderline"/>
        </w:rPr>
        <w:t>national interest would best be secured by a pluralistic world of free countries</w:t>
      </w:r>
      <w:r w:rsidRPr="00B42806">
        <w:t>—</w:t>
      </w:r>
      <w:r w:rsidRPr="00F216D4">
        <w:rPr>
          <w:rStyle w:val="StyleUnderline"/>
        </w:rPr>
        <w:t>one in which autocrats can no longer use corruption and coercion to gobble up resources, alliances, and territory</w:t>
      </w:r>
      <w:r w:rsidRPr="00B42806">
        <w:t xml:space="preserve">. </w:t>
      </w:r>
      <w:r w:rsidRPr="00B42806">
        <w:rPr>
          <w:rStyle w:val="StyleUnderline"/>
        </w:rPr>
        <w:t>If you look back over our history to see who has posed a threat</w:t>
      </w:r>
      <w:r w:rsidRPr="00B42806">
        <w:t xml:space="preserve"> to the United States and our allies, </w:t>
      </w:r>
      <w:r w:rsidRPr="00B42806">
        <w:rPr>
          <w:rStyle w:val="StyleUnderline"/>
        </w:rPr>
        <w:t xml:space="preserve">it has </w:t>
      </w:r>
      <w:r w:rsidRPr="00B42806">
        <w:rPr>
          <w:rStyle w:val="Emphasis"/>
        </w:rPr>
        <w:t>always</w:t>
      </w:r>
      <w:r w:rsidRPr="00B42806">
        <w:rPr>
          <w:rStyle w:val="StyleUnderline"/>
        </w:rPr>
        <w:t xml:space="preserve"> been authoritarian regimes and empires</w:t>
      </w:r>
      <w:r w:rsidRPr="00B42806">
        <w:t xml:space="preserve">. As political scientists have long noted, </w:t>
      </w:r>
      <w:r w:rsidRPr="00B42806">
        <w:rPr>
          <w:rStyle w:val="Emphasis"/>
        </w:rPr>
        <w:t>no two democracies have ever gone to war with each other—ever</w:t>
      </w:r>
      <w:r w:rsidRPr="00B42806">
        <w:t xml:space="preserve">. </w:t>
      </w:r>
      <w:r w:rsidRPr="00B42806">
        <w:rPr>
          <w:rStyle w:val="StyleUnderline"/>
        </w:rPr>
        <w:t xml:space="preserve">It is </w:t>
      </w:r>
      <w:r w:rsidRPr="00B42806">
        <w:rPr>
          <w:rStyle w:val="Emphasis"/>
        </w:rPr>
        <w:t>not</w:t>
      </w:r>
      <w:r w:rsidRPr="00B42806">
        <w:t xml:space="preserve"> the </w:t>
      </w:r>
      <w:r w:rsidRPr="00B42806">
        <w:rPr>
          <w:rStyle w:val="Emphasis"/>
        </w:rPr>
        <w:t>democracies</w:t>
      </w:r>
      <w:r w:rsidRPr="00B42806">
        <w:rPr>
          <w:rStyle w:val="StyleUnderline"/>
        </w:rPr>
        <w:t xml:space="preserve"> of the world that are supporting international terrorism, proliferating weapons of mass destruction, or threatening the territory of their neighbors</w:t>
      </w:r>
      <w:r>
        <w:t>.</w:t>
      </w:r>
    </w:p>
    <w:p w14:paraId="1F6A74A1" w14:textId="77777777" w:rsidR="00F93747" w:rsidRPr="00A654F6" w:rsidRDefault="00F93747" w:rsidP="00F93747"/>
    <w:p w14:paraId="52090E24" w14:textId="77777777" w:rsidR="00F93747" w:rsidRDefault="00F93747" w:rsidP="00F93747">
      <w:pPr>
        <w:pStyle w:val="Heading3"/>
      </w:pPr>
      <w:r>
        <w:t>--2NC---US Key</w:t>
      </w:r>
    </w:p>
    <w:p w14:paraId="40706A1F" w14:textId="77777777" w:rsidR="00F93747" w:rsidRDefault="00F93747" w:rsidP="00F93747">
      <w:pPr>
        <w:pStyle w:val="Heading4"/>
      </w:pPr>
      <w:r>
        <w:t>US is key to global democracy</w:t>
      </w:r>
    </w:p>
    <w:p w14:paraId="33A40872" w14:textId="77777777" w:rsidR="00F93747" w:rsidRPr="008330E5" w:rsidRDefault="00F93747" w:rsidP="00F93747">
      <w:r w:rsidRPr="00362498">
        <w:rPr>
          <w:rStyle w:val="Style13ptBold"/>
        </w:rPr>
        <w:t>Diamond 19</w:t>
      </w:r>
      <w:r>
        <w:t xml:space="preserve"> – PhD in Sociology, professor of Sociology and Political Science at Stanford University (Larry, “Ill Winds: Saving Democracy from Russian Rage, Chinese Ambition and American Complacency,” Kindle Edition)//BB</w:t>
      </w:r>
    </w:p>
    <w:p w14:paraId="36E4C772" w14:textId="77777777" w:rsidR="00F93747" w:rsidRPr="008330E5" w:rsidRDefault="00F93747" w:rsidP="00F93747"/>
    <w:p w14:paraId="01C42594" w14:textId="77777777" w:rsidR="00F93747" w:rsidRDefault="00F93747" w:rsidP="00F93747">
      <w:r w:rsidRPr="00362498">
        <w:rPr>
          <w:rStyle w:val="StyleUnderline"/>
        </w:rPr>
        <w:t>In every region of the world, autocrats are seizing</w:t>
      </w:r>
      <w:r>
        <w:t xml:space="preserve"> the </w:t>
      </w:r>
      <w:r w:rsidRPr="00362498">
        <w:rPr>
          <w:rStyle w:val="StyleUnderline"/>
        </w:rPr>
        <w:t>initiative</w:t>
      </w:r>
      <w:r>
        <w:t xml:space="preserve">, </w:t>
      </w:r>
      <w:r w:rsidRPr="00362498">
        <w:rPr>
          <w:rStyle w:val="StyleUnderline"/>
        </w:rPr>
        <w:t>democrats are on the defensive</w:t>
      </w:r>
      <w:r>
        <w:t xml:space="preserve">, and the space for competitive politics and free expression is shrinking. </w:t>
      </w:r>
      <w:r w:rsidRPr="00362498">
        <w:rPr>
          <w:rStyle w:val="StyleUnderline"/>
        </w:rPr>
        <w:t>Established democracies are becoming more</w:t>
      </w:r>
      <w:r>
        <w:t xml:space="preserve"> polarized, intolerant, and </w:t>
      </w:r>
      <w:r w:rsidRPr="00362498">
        <w:rPr>
          <w:rStyle w:val="StyleUnderline"/>
        </w:rPr>
        <w:t>dysfunctional</w:t>
      </w:r>
      <w:r>
        <w:t xml:space="preserve">. </w:t>
      </w:r>
      <w:r w:rsidRPr="00362498">
        <w:rPr>
          <w:rStyle w:val="StyleUnderline"/>
        </w:rPr>
        <w:t>Emerging democracies are</w:t>
      </w:r>
      <w:r>
        <w:rPr>
          <w:rStyle w:val="StyleUnderline"/>
        </w:rPr>
        <w:t xml:space="preserve"> </w:t>
      </w:r>
      <w:r w:rsidRPr="00362498">
        <w:rPr>
          <w:rStyle w:val="StyleUnderline"/>
        </w:rPr>
        <w:t>facing</w:t>
      </w:r>
      <w:r>
        <w:t xml:space="preserve"> relentless scandals, sweeping citizen disaffection, and </w:t>
      </w:r>
      <w:r w:rsidRPr="00362498">
        <w:rPr>
          <w:rStyle w:val="StyleUnderline"/>
        </w:rPr>
        <w:t>existential</w:t>
      </w:r>
      <w:r>
        <w:rPr>
          <w:rStyle w:val="StyleUnderline"/>
        </w:rPr>
        <w:t xml:space="preserve"> </w:t>
      </w:r>
      <w:r w:rsidRPr="00362498">
        <w:rPr>
          <w:rStyle w:val="StyleUnderline"/>
        </w:rPr>
        <w:t>threats to their survival</w:t>
      </w:r>
      <w:r>
        <w:t xml:space="preserve">. From Turkey and Hungary to the Philippines, wily autocrats are destroying constitutional checks and balances. And with the global winds blowing their way, authoritarian leaders are becoming more nakedly dictatorial. </w:t>
      </w:r>
      <w:r w:rsidRPr="00362498">
        <w:rPr>
          <w:rStyle w:val="StyleUnderline"/>
        </w:rPr>
        <w:t>These unfavorable gusts are</w:t>
      </w:r>
      <w:r>
        <w:t xml:space="preserve"> not simply the exhaust fumes of decaying democracies. They are </w:t>
      </w:r>
      <w:r w:rsidRPr="00362498">
        <w:rPr>
          <w:rStyle w:val="StyleUnderline"/>
        </w:rPr>
        <w:t>blowing hard from</w:t>
      </w:r>
      <w:r>
        <w:t xml:space="preserve"> the two leading centers of global authoritarianism, </w:t>
      </w:r>
      <w:r w:rsidRPr="00362498">
        <w:rPr>
          <w:rStyle w:val="StyleUnderline"/>
        </w:rPr>
        <w:t>Russia</w:t>
      </w:r>
      <w:r>
        <w:t xml:space="preserve"> and China. </w:t>
      </w:r>
      <w:r w:rsidRPr="00362498">
        <w:rPr>
          <w:rStyle w:val="StyleUnderline"/>
        </w:rPr>
        <w:t>And if the United States does</w:t>
      </w:r>
      <w:r>
        <w:rPr>
          <w:rStyle w:val="StyleUnderline"/>
        </w:rPr>
        <w:t xml:space="preserve"> </w:t>
      </w:r>
      <w:r w:rsidRPr="00362498">
        <w:rPr>
          <w:rStyle w:val="StyleUnderline"/>
        </w:rPr>
        <w:t>not reclaim its traditional place as the keystone of democracy</w:t>
      </w:r>
      <w:r>
        <w:t xml:space="preserve">, Vladimir </w:t>
      </w:r>
      <w:r w:rsidRPr="00362498">
        <w:rPr>
          <w:rStyle w:val="StyleUnderline"/>
        </w:rPr>
        <w:t>Putin</w:t>
      </w:r>
      <w:r>
        <w:t xml:space="preserve">, Xi Jinping, </w:t>
      </w:r>
      <w:r w:rsidRPr="00362498">
        <w:rPr>
          <w:rStyle w:val="StyleUnderline"/>
        </w:rPr>
        <w:t>and their admirers may turn autocracy into the driving</w:t>
      </w:r>
      <w:r>
        <w:rPr>
          <w:rStyle w:val="StyleUnderline"/>
        </w:rPr>
        <w:t xml:space="preserve"> </w:t>
      </w:r>
      <w:r w:rsidRPr="00362498">
        <w:rPr>
          <w:rStyle w:val="StyleUnderline"/>
        </w:rPr>
        <w:t>force of the new century</w:t>
      </w:r>
      <w:r>
        <w:t xml:space="preserve">. Many other analyses are missing this crucial point. </w:t>
      </w:r>
      <w:r w:rsidRPr="00362498">
        <w:rPr>
          <w:rStyle w:val="StyleUnderline"/>
        </w:rPr>
        <w:t>The extraordinary</w:t>
      </w:r>
      <w:r>
        <w:rPr>
          <w:rStyle w:val="StyleUnderline"/>
        </w:rPr>
        <w:t xml:space="preserve"> </w:t>
      </w:r>
      <w:r w:rsidRPr="00362498">
        <w:rPr>
          <w:rStyle w:val="StyleUnderline"/>
        </w:rPr>
        <w:t>progress of democracy from the mid-1970s to the early 2000s was a</w:t>
      </w:r>
      <w:r>
        <w:rPr>
          <w:rStyle w:val="StyleUnderline"/>
        </w:rPr>
        <w:t xml:space="preserve"> </w:t>
      </w:r>
      <w:r w:rsidRPr="00362498">
        <w:rPr>
          <w:rStyle w:val="StyleUnderline"/>
        </w:rPr>
        <w:t>global phenomenon, heavily facilitated by</w:t>
      </w:r>
      <w:r>
        <w:t xml:space="preserve"> the strength, idealism, and energetic support of </w:t>
      </w:r>
      <w:r w:rsidRPr="00362498">
        <w:rPr>
          <w:rStyle w:val="StyleUnderline"/>
        </w:rPr>
        <w:t>the United States</w:t>
      </w:r>
      <w:r>
        <w:t xml:space="preserve"> and Western Europe. The gathering retreat of freedom is also a global phenomenon, driven this time from Moscow and Beijing. A reviving </w:t>
      </w:r>
      <w:r w:rsidRPr="00362498">
        <w:rPr>
          <w:rStyle w:val="StyleUnderline"/>
        </w:rPr>
        <w:t>autocracy</w:t>
      </w:r>
      <w:r>
        <w:t xml:space="preserve"> and an emerging Communist superpower are investing heavily—and often effectively— in efforts to promote disinformation and covertly subvert democratic norms and institutions. Their increasingly brazen challenge </w:t>
      </w:r>
      <w:r w:rsidRPr="00362498">
        <w:rPr>
          <w:rStyle w:val="StyleUnderline"/>
        </w:rPr>
        <w:t>demands a vigorous</w:t>
      </w:r>
      <w:r>
        <w:rPr>
          <w:rStyle w:val="StyleUnderline"/>
        </w:rPr>
        <w:t xml:space="preserve"> </w:t>
      </w:r>
      <w:r>
        <w:t xml:space="preserve">global </w:t>
      </w:r>
      <w:r w:rsidRPr="00362498">
        <w:rPr>
          <w:rStyle w:val="StyleUnderline"/>
        </w:rPr>
        <w:t>response</w:t>
      </w:r>
      <w:r>
        <w:t xml:space="preserve">: a </w:t>
      </w:r>
      <w:r w:rsidRPr="00362498">
        <w:rPr>
          <w:rStyle w:val="StyleUnderline"/>
        </w:rPr>
        <w:t>reassertion of global democratic leadership, rooted in</w:t>
      </w:r>
      <w:r>
        <w:rPr>
          <w:rStyle w:val="StyleUnderline"/>
        </w:rPr>
        <w:t xml:space="preserve"> </w:t>
      </w:r>
      <w:r w:rsidRPr="00362498">
        <w:rPr>
          <w:rStyle w:val="StyleUnderline"/>
        </w:rPr>
        <w:t>Washington’s</w:t>
      </w:r>
      <w:r>
        <w:t xml:space="preserve"> renewed understanding of its far-reaching responsibilities, and a new worldwide </w:t>
      </w:r>
      <w:r w:rsidRPr="00362498">
        <w:rPr>
          <w:rStyle w:val="StyleUnderline"/>
        </w:rPr>
        <w:t>campaign to promote democratic values</w:t>
      </w:r>
      <w:r>
        <w:t xml:space="preserve">, media, and civic institutions. Part of that, I argue, must involve a serious attack on the soft underbelly of these autocracies: kleptocracy. The money being looted from public coffers in corrupt autocracies is not only sustaining abusive rulers; it is also being laundered into the banking and property systems of the world’s democracies, corroding our own rule of law and undermining our will to confront the spread of despotism. We can be the kleptocrats’ foes or their bankers, but not both. By fighting kleptocracy and money laundering, we can help reverse authoritarian trends both at home and abroad. But as the old saying goes, you can’t beat something with nothing. We cannot defend and renew free government around the world unless we do so at home. Stopping the desecration of democratic norms and institutions by Donald Trump (and budding autocrats elsewhere) is vital but insufficient. The decline of American democracy did not begin with Trump, and it will not end with his departure from the White House. Our republic’s sickness has its roots in decades of rising political polarization that has turned our two parties into something akin to warring tribes, willing to skirt bedrock principles of fairness and inclusion for pure partisan advantage. America’s constitutional order has long been scarred by racism, deep injustices in our criminal justice system, and the soft corruption of our systems of lobbying and campaign finance. Now these deep-rooted problems are quickening in a society that has forgotten the purpose of civic education and is increasingly in thrall to social media, which privileges the profits of sensationalism and groupthink above the prophets of facts and evidence-based debate. None of this is a cry of despair; all of it is a call to arms. As I explain in this book’s final chapters, it doesn’t have to go on like this. Promising and viable </w:t>
      </w:r>
      <w:r w:rsidRPr="002774CC">
        <w:rPr>
          <w:rStyle w:val="StyleUnderline"/>
        </w:rPr>
        <w:t>reforms are available. We can improve, empower, and heal</w:t>
      </w:r>
      <w:r>
        <w:t xml:space="preserve"> our </w:t>
      </w:r>
      <w:r w:rsidRPr="002774CC">
        <w:rPr>
          <w:rStyle w:val="StyleUnderline"/>
        </w:rPr>
        <w:t>democracy</w:t>
      </w:r>
      <w:r>
        <w:t xml:space="preserve">—and much can be done </w:t>
      </w:r>
      <w:r w:rsidRPr="002774CC">
        <w:rPr>
          <w:rStyle w:val="Emphasis"/>
        </w:rPr>
        <w:t>even while Trump is in power</w:t>
      </w:r>
      <w:r>
        <w:t xml:space="preserve">. We can change this. We—democratic societies—must change this. But this effort starts with each of us as an individual. The Power of the Powerless In 1978, the Czech playwright Václav Havel—who would go on to become the first president of post-Communist Czechoslovakia—wrote one of the most important dissident treatises ever published. In “The Power of the Powerless,” Havel insisted that the oppressed have the power to overcome their powerlessness by “living within truth” and refusing to bend to the will and lies of dictatorship. His key theme is individual responsibility and the ability of citizens, through daily acts of defiance, to make a difference even under tyrannical rule. In four decades of studying democracy, there is no maxim of which I have become more convinced than this: individuals can determine the fate of democracy. “It is from numberless diverse acts of courage and belief that human history is shaped,” said Senator Robert F. Kennedy in a moving 1966 address to South African students at the University of Cape Town, in the heyday of that country’s apartheid tyranny. At the time, those words became my conviction. After many decades of research and experience, they have become my conclusion. And sometimes, I have found, people in new democracies like today’s South Africa may remember RFK’s lesson better than the often comfortable, complacent, or even self-pitying citizens of older republics, who have forgotten how quickly liberty can die. Eager to think of itself as a science, the academic study of politics these days is often dismissive of the role that leaders play in shaping political outcomes. But it is not abstract economic or social forces that bring about democracy or make it work. It is individuals—ordinary and extraordinary citizens—who stake claims, shape programs, form organizations, forge strategies, and move people. Making a difference involves risk and sacrifice. And when liberty is on the line, the risks may be daunting and the sacrifice may be mortal. But across the continents and the decades, what has most inspired me has been the willingness of people—in the end, just people, like you and me— to risk everything they have in the fight for freedom. Today, </w:t>
      </w:r>
      <w:r w:rsidRPr="002774CC">
        <w:rPr>
          <w:rStyle w:val="StyleUnderline"/>
        </w:rPr>
        <w:t>in the United States</w:t>
      </w:r>
      <w:r>
        <w:t xml:space="preserve">, it is our turn. And the fate of global </w:t>
      </w:r>
      <w:r w:rsidRPr="002774CC">
        <w:rPr>
          <w:rStyle w:val="StyleUnderline"/>
        </w:rPr>
        <w:t>democracy rests on all our shoulders</w:t>
      </w:r>
      <w:r>
        <w:t>.</w:t>
      </w:r>
    </w:p>
    <w:p w14:paraId="5CE244FA" w14:textId="77777777" w:rsidR="00F93747" w:rsidRDefault="00F93747" w:rsidP="00F93747">
      <w:pPr>
        <w:pStyle w:val="Heading3"/>
      </w:pPr>
      <w:r>
        <w:t>--2NC---State Courts Key</w:t>
      </w:r>
    </w:p>
    <w:p w14:paraId="6F7D1D16" w14:textId="77777777" w:rsidR="00F93747" w:rsidRDefault="00F93747" w:rsidP="00F93747">
      <w:pPr>
        <w:pStyle w:val="Heading4"/>
      </w:pPr>
      <w:r>
        <w:t xml:space="preserve">State Courts are </w:t>
      </w:r>
      <w:r>
        <w:rPr>
          <w:u w:val="single"/>
        </w:rPr>
        <w:t>comparatively better</w:t>
      </w:r>
      <w:r>
        <w:t xml:space="preserve"> for democracy</w:t>
      </w:r>
    </w:p>
    <w:p w14:paraId="2DD1C5E9" w14:textId="77777777" w:rsidR="00F93747" w:rsidRPr="00DB20B0" w:rsidRDefault="00F93747" w:rsidP="00F93747">
      <w:r w:rsidRPr="00670A46">
        <w:rPr>
          <w:rStyle w:val="Style13ptBold"/>
          <w:b w:val="0"/>
          <w:bCs w:val="0"/>
        </w:rPr>
        <w:t>Bulman-</w:t>
      </w:r>
      <w:r w:rsidRPr="00670A46">
        <w:rPr>
          <w:rStyle w:val="Style13ptBold"/>
        </w:rPr>
        <w:t xml:space="preserve">Pozen and Seifter 20 </w:t>
      </w:r>
      <w:r w:rsidRPr="00670A46">
        <w:rPr>
          <w:rStyle w:val="Style13ptBold"/>
          <w:b w:val="0"/>
          <w:bCs w:val="0"/>
          <w:sz w:val="22"/>
        </w:rPr>
        <w:t>(Jessica Bulman-Pozen is the Betts Professor of Law and a director of the Center for Constitutional Governance at Columbia Law School</w:t>
      </w:r>
      <w:r>
        <w:rPr>
          <w:rStyle w:val="Style13ptBold"/>
          <w:b w:val="0"/>
          <w:bCs w:val="0"/>
          <w:sz w:val="22"/>
        </w:rPr>
        <w:t xml:space="preserve">, </w:t>
      </w:r>
      <w:r w:rsidRPr="00670A46">
        <w:rPr>
          <w:rStyle w:val="Style13ptBold"/>
          <w:b w:val="0"/>
          <w:bCs w:val="0"/>
          <w:sz w:val="22"/>
        </w:rPr>
        <w:t>Miriam Seifter is an Associate Professor of Law and Rowe Faculty Fellow in Regulatory Law at the University of Wisconsin Law School</w:t>
      </w:r>
      <w:r>
        <w:rPr>
          <w:rStyle w:val="Style13ptBold"/>
          <w:b w:val="0"/>
          <w:bCs w:val="0"/>
          <w:sz w:val="22"/>
        </w:rPr>
        <w:t xml:space="preserve">, </w:t>
      </w:r>
      <w:r>
        <w:t>Draft of May 5 2020,</w:t>
      </w:r>
      <w:r>
        <w:rPr>
          <w:rStyle w:val="Style13ptBold"/>
          <w:b w:val="0"/>
          <w:bCs w:val="0"/>
          <w:sz w:val="22"/>
        </w:rPr>
        <w:t xml:space="preserve"> “</w:t>
      </w:r>
      <w:r w:rsidRPr="00670A46">
        <w:rPr>
          <w:rStyle w:val="Style13ptBold"/>
          <w:b w:val="0"/>
          <w:bCs w:val="0"/>
          <w:sz w:val="22"/>
        </w:rPr>
        <w:t>The Democracy Principle in State Constitutions,</w:t>
      </w:r>
      <w:r>
        <w:rPr>
          <w:rStyle w:val="Style13ptBold"/>
          <w:b w:val="0"/>
          <w:bCs w:val="0"/>
          <w:sz w:val="22"/>
        </w:rPr>
        <w:t>”</w:t>
      </w:r>
      <w:r w:rsidRPr="00670A46">
        <w:rPr>
          <w:rStyle w:val="Style13ptBold"/>
          <w:b w:val="0"/>
          <w:bCs w:val="0"/>
          <w:sz w:val="22"/>
        </w:rPr>
        <w:t xml:space="preserve"> </w:t>
      </w:r>
      <w:r>
        <w:rPr>
          <w:rStyle w:val="Style13ptBold"/>
          <w:b w:val="0"/>
          <w:bCs w:val="0"/>
          <w:sz w:val="22"/>
        </w:rPr>
        <w:t xml:space="preserve">Michigan Law Review, Forthcoming (2020), </w:t>
      </w:r>
      <w:r w:rsidRPr="00670A46">
        <w:rPr>
          <w:rStyle w:val="Style13ptBold"/>
          <w:b w:val="0"/>
          <w:bCs w:val="0"/>
          <w:sz w:val="22"/>
        </w:rPr>
        <w:t>https://scholarship.law.columbia.edu/cgi/viewcontent.cgi?article=3658&amp;context=faculty_scholarship</w:t>
      </w:r>
      <w:r>
        <w:rPr>
          <w:rStyle w:val="Style13ptBold"/>
          <w:b w:val="0"/>
          <w:bCs w:val="0"/>
          <w:sz w:val="22"/>
        </w:rPr>
        <w:t>)//ICW-AB</w:t>
      </w:r>
    </w:p>
    <w:p w14:paraId="63A24B4B" w14:textId="77777777" w:rsidR="00F93747" w:rsidRPr="00DB20B0" w:rsidRDefault="00F93747" w:rsidP="00F93747">
      <w:pPr>
        <w:rPr>
          <w:u w:val="single"/>
        </w:rPr>
      </w:pPr>
      <w:r>
        <w:t xml:space="preserve">It is no accident </w:t>
      </w:r>
      <w:r w:rsidRPr="00DB20B0">
        <w:rPr>
          <w:u w:val="single"/>
        </w:rPr>
        <w:t>that state constitutions share numerous provisions concerning popular self-government; they have been drafted and refined in service of rule by the people.</w:t>
      </w:r>
      <w:r>
        <w:t xml:space="preserve"> The frequency of constitutional amendment and even outright replacement is itself testament to the democratic principle, and </w:t>
      </w:r>
      <w:r w:rsidRPr="00DB20B0">
        <w:rPr>
          <w:u w:val="single"/>
        </w:rPr>
        <w:t>the particular changes the people have adopted</w:t>
      </w:r>
      <w:r>
        <w:t>—from facilitating constitutional amendment to embracing initiatives to imposing constraints on special legislation—</w:t>
      </w:r>
      <w:r w:rsidRPr="00DB20B0">
        <w:rPr>
          <w:u w:val="single"/>
        </w:rPr>
        <w:t>reflect an ongoing project to improve state democracy</w:t>
      </w:r>
      <w:r>
        <w:t xml:space="preserve">. This section places discrete provisions in context by considering the broader structure and history of state constitutions.100 We focus on the three features that together compose the democracy principle; although these features are closely intertwined and ultimately inseparable, we parse them for analytic purposes. </w:t>
      </w:r>
      <w:r w:rsidRPr="00DB20B0">
        <w:rPr>
          <w:b/>
          <w:bCs/>
          <w:u w:val="single"/>
        </w:rPr>
        <w:t>First, popular sovereignty is a defining principle of state constitutions</w:t>
      </w:r>
      <w:r>
        <w:t xml:space="preserve">.101 </w:t>
      </w:r>
      <w:r w:rsidRPr="00DB20B0">
        <w:rPr>
          <w:u w:val="single"/>
        </w:rPr>
        <w:t>State constitutions begin with express commitments to popular self-rule, and over time they have incorporated more mechanisms for its expression, from constitutional conventions to constitutional initiatives to subconstitutional direct democracy. State constitutions also seek to reconcile popular sovereignty with representative democracy.</w:t>
      </w:r>
      <w:r>
        <w:t xml:space="preserve"> </w:t>
      </w:r>
      <w:r w:rsidRPr="00DB20B0">
        <w:rPr>
          <w:u w:val="single"/>
        </w:rPr>
        <w:t>In guaranteeing a right to vote, requiring popular election of numerous government actors, limiting terms of office, and parsing responsibilities among government actors, these constitutions place the people themselves above government.</w:t>
      </w:r>
      <w:r>
        <w:t xml:space="preserve"> The recognition of popular sovereignty not as a memory of the distant past or an invented tradition but rather as a present structural commitment is critical to understanding state constitutions.102 </w:t>
      </w:r>
      <w:r w:rsidRPr="00DB20B0">
        <w:rPr>
          <w:b/>
          <w:bCs/>
          <w:u w:val="single"/>
        </w:rPr>
        <w:t>Second, state constitutions embrace majority rule as the best approximation of popular will</w:t>
      </w:r>
      <w:r>
        <w:t>. From the earliest days</w:t>
      </w:r>
      <w:r w:rsidRPr="00DB20B0">
        <w:rPr>
          <w:u w:val="single"/>
        </w:rPr>
        <w:t xml:space="preserve">, these constitutions have recognized “a majority of the community”103 as the source of government power, and they continue to provide for the popular majority to ratify constitutional amendments, to adopt initiatives and referenda, and to choose elected officials. For constitutional change, direct democracy, and representative government alike, state constitutions cast the majority as the voice of the people and understand majority rule to be the basis of legitimate government. </w:t>
      </w:r>
      <w:r>
        <w:t xml:space="preserve">Closely related, </w:t>
      </w:r>
      <w:r w:rsidRPr="00DB20B0">
        <w:rPr>
          <w:u w:val="single"/>
        </w:rPr>
        <w:t>state constitutions propose political equality as a necessary condition for majority rule.</w:t>
      </w:r>
      <w:r>
        <w:t xml:space="preserve"> </w:t>
      </w:r>
      <w:r w:rsidRPr="00DB20B0">
        <w:rPr>
          <w:u w:val="single"/>
        </w:rPr>
        <w:t>These constitutions reflect a belief that the primary threat to democracy is “minority faction—power wielded by the wealthy or wellconnected few</w:t>
      </w:r>
      <w:r>
        <w:t xml:space="preserve">—rather than majority faction.”104 To respond to this threat, </w:t>
      </w:r>
      <w:r w:rsidRPr="00DB20B0">
        <w:rPr>
          <w:u w:val="single"/>
        </w:rPr>
        <w:t>state constitutional provisions governing participation in elections and direct democracy attempt to make government accessible to all members of the political community. Meanwhile, state constitutional provisions guaranteeing equality, prohibiting special legislation, and imposing public-purpose requirements seek to foreclose forms of special treatment by the government.</w:t>
      </w:r>
    </w:p>
    <w:p w14:paraId="642F594E" w14:textId="77777777" w:rsidR="00F93747" w:rsidRPr="00670A46" w:rsidRDefault="00F93747" w:rsidP="00F93747">
      <w:pPr>
        <w:pStyle w:val="Heading3"/>
      </w:pPr>
      <w:r w:rsidRPr="00670A46">
        <w:t>2NC---Impact---Uncooperative Federalism</w:t>
      </w:r>
    </w:p>
    <w:p w14:paraId="0781F61B" w14:textId="77777777" w:rsidR="00F93747" w:rsidRPr="00670A46" w:rsidRDefault="00F93747" w:rsidP="00F93747">
      <w:pPr>
        <w:pStyle w:val="Heading4"/>
      </w:pPr>
      <w:r w:rsidRPr="00670A46">
        <w:t xml:space="preserve">State court resistance spills over broader </w:t>
      </w:r>
      <w:r w:rsidRPr="00670A46">
        <w:rPr>
          <w:u w:val="single"/>
        </w:rPr>
        <w:t>uncooperative federalism</w:t>
      </w:r>
    </w:p>
    <w:p w14:paraId="1FCB2B73" w14:textId="77777777" w:rsidR="00F93747" w:rsidRPr="00670A46" w:rsidRDefault="00F93747" w:rsidP="00F93747">
      <w:r w:rsidRPr="00670A46">
        <w:rPr>
          <w:rStyle w:val="Style13ptBold"/>
        </w:rPr>
        <w:t xml:space="preserve">Gardner 03 </w:t>
      </w:r>
      <w:r w:rsidRPr="00670A46">
        <w:t xml:space="preserve">(James A. Gardner, specialist in constitutional and election law, March 2003, “State Courts as Agents of Federalism: Power and Interpretation in State Constitutional Law,” 44 Wm. &amp; Mary L. Rev. 1725 (2003), </w:t>
      </w:r>
      <w:hyperlink r:id="rId24" w:history="1">
        <w:r w:rsidRPr="00670A46">
          <w:rPr>
            <w:rStyle w:val="Hyperlink"/>
          </w:rPr>
          <w:t>https://scholarship.law.wm.edu/cgi/viewcontent.cgi?article=1377&amp;context=wmlr</w:t>
        </w:r>
      </w:hyperlink>
      <w:r w:rsidRPr="00670A46">
        <w:t xml:space="preserve">)//ICW-AB </w:t>
      </w:r>
    </w:p>
    <w:p w14:paraId="504E92C0" w14:textId="77777777" w:rsidR="00F93747" w:rsidRPr="00670A46" w:rsidRDefault="00F93747" w:rsidP="00F93747">
      <w:pPr>
        <w:rPr>
          <w:u w:val="single"/>
        </w:rPr>
      </w:pPr>
      <w:r w:rsidRPr="00670A46">
        <w:t xml:space="preserve">In a recent article, I explain how state courts can resist and counteract liberty-invasive abuses of national judicial power by giving a more generous construction to individual rights found in the state constitution than national courts give to similar provisions appearing in the Constitution.9 " Here, I want to focus on </w:t>
      </w:r>
      <w:r w:rsidRPr="00670A46">
        <w:rPr>
          <w:u w:val="single"/>
        </w:rPr>
        <w:t>a different method by which the state constitution can be .deployed to resist national power</w:t>
      </w:r>
      <w:r w:rsidRPr="00670A46">
        <w:t xml:space="preserve">. This method derives its force from the fact that the </w:t>
      </w:r>
      <w:r w:rsidRPr="00670A46">
        <w:rPr>
          <w:u w:val="single"/>
        </w:rPr>
        <w:t>state constitution is the legal document that ultimately grants, allocates, and structures any powers possessed by state officials in other branches of state government.</w:t>
      </w:r>
      <w:r w:rsidRPr="00670A46">
        <w:t xml:space="preserve"> To put this proposition in its bluntest form, </w:t>
      </w:r>
      <w:r w:rsidRPr="00670A46">
        <w:rPr>
          <w:u w:val="single"/>
        </w:rPr>
        <w:t xml:space="preserve">state courts may participate in state resistance to national power by construing the state constitution in such a way as to assure, insofar as possible, that the state legislative and executive branches </w:t>
      </w:r>
      <w:r w:rsidRPr="00670A46">
        <w:rPr>
          <w:b/>
          <w:bCs/>
          <w:u w:val="single"/>
        </w:rPr>
        <w:t>have powers adequate to resist abuses of national authority</w:t>
      </w:r>
      <w:r w:rsidRPr="00670A46">
        <w:rPr>
          <w:u w:val="single"/>
        </w:rPr>
        <w:t xml:space="preserve">. </w:t>
      </w:r>
      <w:r w:rsidRPr="00670A46">
        <w:t xml:space="preserve">Within the federal structure, most state acts of resistance to national tyranny will be undertaken by the state executive or legislative branches.9' </w:t>
      </w:r>
      <w:r w:rsidRPr="00670A46">
        <w:rPr>
          <w:u w:val="single"/>
        </w:rPr>
        <w:t xml:space="preserve">To resist national authority with the greatest possible effectiveness, governors and state legislatures require ample powers. What powers these branches possess is a question determined </w:t>
      </w:r>
      <w:r w:rsidRPr="00670A46">
        <w:rPr>
          <w:b/>
          <w:bCs/>
          <w:u w:val="single"/>
        </w:rPr>
        <w:t>solely by reference to the state constitution</w:t>
      </w:r>
      <w:r w:rsidRPr="00670A46">
        <w:t xml:space="preserve">, the final meaning of which is settled by the state judiciary. </w:t>
      </w:r>
      <w:r w:rsidRPr="00670A46">
        <w:rPr>
          <w:u w:val="single"/>
        </w:rPr>
        <w:t>Should state power come into conflict with national power</w:t>
      </w:r>
      <w:r w:rsidRPr="00670A46">
        <w:t xml:space="preserve"> concerning controversial issues, </w:t>
      </w:r>
      <w:r w:rsidRPr="00670A46">
        <w:rPr>
          <w:u w:val="single"/>
        </w:rPr>
        <w:t>it is possible, and perhaps likely, that legal challenges will ensue, thereby offering state courts opportunities to construe the constitutional authority of coordinate branches of state government engaged in the dispute</w:t>
      </w:r>
      <w:r w:rsidRPr="00670A46">
        <w:t xml:space="preserve">. In these circumstances, </w:t>
      </w:r>
      <w:r w:rsidRPr="00670A46">
        <w:rPr>
          <w:u w:val="single"/>
        </w:rPr>
        <w:t>state courts may well play an important role in state-national disputes by being forced to decide whether the state constitution authorizes other state actors to carry out effective forms of resistance to national power</w:t>
      </w:r>
    </w:p>
    <w:p w14:paraId="71609D86" w14:textId="77777777" w:rsidR="00F93747" w:rsidRPr="00670A46" w:rsidRDefault="00F93747" w:rsidP="00F93747">
      <w:pPr>
        <w:pStyle w:val="Heading4"/>
      </w:pPr>
      <w:r w:rsidRPr="00670A46">
        <w:t>&lt;insert uncooperative federalism impact&gt;</w:t>
      </w:r>
    </w:p>
    <w:p w14:paraId="22880C5A" w14:textId="77777777" w:rsidR="00F93747" w:rsidRDefault="00F93747" w:rsidP="00F93747">
      <w:pPr>
        <w:pStyle w:val="Heading3"/>
      </w:pPr>
      <w:r>
        <w:t>2NC---AT: State Courts Fail</w:t>
      </w:r>
    </w:p>
    <w:p w14:paraId="584E971C" w14:textId="77777777" w:rsidR="00F93747" w:rsidRDefault="00F93747" w:rsidP="00F93747">
      <w:pPr>
        <w:pStyle w:val="Heading4"/>
      </w:pPr>
      <w:r>
        <w:t>State courts might fail on their own, but state constitutions can empower state legislative and executive branches to resist national authority</w:t>
      </w:r>
    </w:p>
    <w:p w14:paraId="5A07F2C6" w14:textId="77777777" w:rsidR="00F93747" w:rsidRPr="00540241" w:rsidRDefault="00F93747" w:rsidP="00F93747">
      <w:r w:rsidRPr="00670A46">
        <w:rPr>
          <w:rStyle w:val="Style13ptBold"/>
        </w:rPr>
        <w:t xml:space="preserve">Gardner 03 </w:t>
      </w:r>
      <w:r w:rsidRPr="00670A46">
        <w:t xml:space="preserve">(James A. Gardner, specialist in constitutional and election law, March 2003, “State Courts as Agents of Federalism: Power and Interpretation in State Constitutional Law,” 44 Wm. &amp; Mary L. Rev. 1725 (2003), </w:t>
      </w:r>
      <w:hyperlink r:id="rId25" w:history="1">
        <w:r w:rsidRPr="00670A46">
          <w:rPr>
            <w:rStyle w:val="Hyperlink"/>
          </w:rPr>
          <w:t>https://scholarship.law.wm.edu/cgi/viewcontent.cgi?article=1377&amp;context=wmlr</w:t>
        </w:r>
      </w:hyperlink>
      <w:r w:rsidRPr="00670A46">
        <w:t xml:space="preserve">)//ICW-AB </w:t>
      </w:r>
    </w:p>
    <w:p w14:paraId="7DF97B74" w14:textId="77777777" w:rsidR="00F93747" w:rsidRPr="00540241" w:rsidRDefault="00F93747" w:rsidP="00F93747">
      <w:r w:rsidRPr="00540241">
        <w:rPr>
          <w:u w:val="single"/>
        </w:rPr>
        <w:t xml:space="preserve">State law is capable of controlling something potentially significant to any struggle by states to resist national power: </w:t>
      </w:r>
      <w:r w:rsidRPr="00540241">
        <w:rPr>
          <w:b/>
          <w:bCs/>
          <w:u w:val="single"/>
        </w:rPr>
        <w:t>other state officials.</w:t>
      </w:r>
      <w:r>
        <w:t xml:space="preserve"> </w:t>
      </w:r>
      <w:r w:rsidRPr="00540241">
        <w:rPr>
          <w:u w:val="single"/>
        </w:rPr>
        <w:t>Through their control over state law, and in particular through their control over the state constitution, state courts are capable of exercising some influence over the manner and forcefulness with which state governments may wage the kinds of struggles against national authority contemplated by federalism.</w:t>
      </w:r>
      <w:r>
        <w:t xml:space="preserve"> </w:t>
      </w:r>
      <w:r w:rsidRPr="00540241">
        <w:rPr>
          <w:u w:val="single"/>
        </w:rPr>
        <w:t xml:space="preserve">By construing the provisions of the state constitutions that both empower and restrict the state legislative and executive branches, state courts can influence the </w:t>
      </w:r>
      <w:r w:rsidRPr="0040429C">
        <w:rPr>
          <w:b/>
          <w:bCs/>
          <w:u w:val="single"/>
        </w:rPr>
        <w:t>facility</w:t>
      </w:r>
      <w:r w:rsidRPr="00540241">
        <w:rPr>
          <w:u w:val="single"/>
        </w:rPr>
        <w:t xml:space="preserve"> with which state government responds to threats originating at the national level; the </w:t>
      </w:r>
      <w:r w:rsidRPr="0040429C">
        <w:rPr>
          <w:b/>
          <w:bCs/>
          <w:u w:val="single"/>
        </w:rPr>
        <w:t>tools</w:t>
      </w:r>
      <w:r w:rsidRPr="00540241">
        <w:rPr>
          <w:u w:val="single"/>
        </w:rPr>
        <w:t xml:space="preserve"> that state actors have at their disposal to resist encroachments by national power; and the ways in which state officials may deploy those tools in intergovernmental power struggles.</w:t>
      </w:r>
      <w:r>
        <w:t xml:space="preserve"> If state courts are thus understood as potentially significant actors in the process by which states resist national power, then </w:t>
      </w:r>
      <w:r w:rsidRPr="00540241">
        <w:rPr>
          <w:u w:val="single"/>
        </w:rPr>
        <w:t>the tension between the imperatives of federalism and the imperatives of judicial neutrality cannot be dissolved on the ground that state courts are too weak to participate in federalism's mechanism of mutual intergovernmental checking.</w:t>
      </w:r>
      <w:r>
        <w:t xml:space="preserve"> How then can the tension be resolved? In this Article, I argue that the tension need not be resolved at all for the simple reason that there is nothing wrong with state courts using what powers they have to protect popular liberty by resisting, or helping other state officials to resist, abuses of national authority. Indeed, there is much to recommend such an understanding of state judicial power.</w:t>
      </w:r>
    </w:p>
    <w:p w14:paraId="67021610" w14:textId="77777777" w:rsidR="00F93747" w:rsidRPr="00670A46" w:rsidRDefault="00F93747" w:rsidP="00F93747">
      <w:pPr>
        <w:pStyle w:val="Heading4"/>
      </w:pPr>
      <w:r>
        <w:t>Pennsylvania proves state courts can resist federal authority</w:t>
      </w:r>
    </w:p>
    <w:p w14:paraId="561546A4" w14:textId="77777777" w:rsidR="00F93747" w:rsidRPr="00670A46" w:rsidRDefault="00F93747" w:rsidP="00F93747">
      <w:r w:rsidRPr="00670A46">
        <w:rPr>
          <w:rStyle w:val="Style13ptBold"/>
        </w:rPr>
        <w:t xml:space="preserve">Gardner 03 </w:t>
      </w:r>
      <w:r w:rsidRPr="00670A46">
        <w:t xml:space="preserve">(James A. Gardner, specialist in constitutional and election law, March 2003, “State Courts as Agents of Federalism: Power and Interpretation in State Constitutional Law,” 44 Wm. &amp; Mary L. Rev. 1725 (2003), </w:t>
      </w:r>
      <w:hyperlink r:id="rId26" w:history="1">
        <w:r w:rsidRPr="00670A46">
          <w:rPr>
            <w:rStyle w:val="Hyperlink"/>
          </w:rPr>
          <w:t>https://scholarship.law.wm.edu/cgi/viewcontent.cgi?article=1377&amp;context=wmlr</w:t>
        </w:r>
      </w:hyperlink>
      <w:r w:rsidRPr="00670A46">
        <w:t xml:space="preserve">)//ICW-AB </w:t>
      </w:r>
    </w:p>
    <w:p w14:paraId="0943F1D3" w14:textId="77777777" w:rsidR="00F93747" w:rsidRPr="00634DDD" w:rsidRDefault="00F93747" w:rsidP="00F93747">
      <w:pPr>
        <w:rPr>
          <w:b/>
          <w:bCs/>
          <w:u w:val="single"/>
        </w:rPr>
      </w:pPr>
      <w:r w:rsidRPr="00670A46">
        <w:t xml:space="preserve">For example, </w:t>
      </w:r>
      <w:r w:rsidRPr="00634DDD">
        <w:rPr>
          <w:u w:val="single"/>
        </w:rPr>
        <w:t>the degree of centralized state control over federal grant funds has long been a contentious flash point in intergovernmental relations</w:t>
      </w:r>
      <w:r w:rsidRPr="00670A46">
        <w:t>. Congress presently supplies approximately thirty percent of all state revenue.95 In exercising this responsibility</w:t>
      </w:r>
      <w:r w:rsidRPr="00634DDD">
        <w:rPr>
          <w:u w:val="single"/>
        </w:rPr>
        <w:t>, Congress often has been interested in distributing federal funds in whatever way is best calculated to achieve as directly and efficiently as possible the programmatic goals for which the grant money is intended.9 ' This approach has often led Congress to provide grant money directly to state executive agencies.s7 State legislatures, on the other hand, have sometimes viewed such targeted grants as undermining state legislative control over the ways in which state executive agencies raise and spend funds to achieve programmatic goals.</w:t>
      </w:r>
      <w:r w:rsidRPr="00670A46">
        <w:t xml:space="preserve">98 Indeed, Congress has occasionally viewed state legislatures, with some justification, as interlopers bent on undermining congressionally imposed spending conditions so as to divert state funds to unauthorized uses.99 To avoid this, </w:t>
      </w:r>
      <w:r w:rsidRPr="00634DDD">
        <w:rPr>
          <w:u w:val="single"/>
        </w:rPr>
        <w:t>Congress has sometimes acted in a way that looks very much as though it is attempting to peel off state executive agencies from state legislative oversight so as to accomplish purposes dictated by Congress rather than by state governmental processes. 100 State legislatures, for their part, tend to see this practice as an intrusive abuse of the national spending power</w:t>
      </w:r>
      <w:r w:rsidRPr="00670A46">
        <w:t xml:space="preserve">.' 0 Congress, of course, has a great deal of freedom to specify the conditions under which federal grant money may be spent,'0 2 and may specify that grants be made directly to specific state agencies.0 3 It does not follow, however, that state executive agencies have the authority to spend money that they receive from sources other than the state legislature. </w:t>
      </w:r>
      <w:r w:rsidRPr="00634DDD">
        <w:rPr>
          <w:u w:val="single"/>
        </w:rPr>
        <w:t>Many state constitutions,</w:t>
      </w:r>
      <w:r w:rsidRPr="00670A46">
        <w:t xml:space="preserve"> like the United States Constitution, </w:t>
      </w:r>
      <w:r w:rsidRPr="00634DDD">
        <w:rPr>
          <w:b/>
          <w:bCs/>
          <w:u w:val="single"/>
        </w:rPr>
        <w:t>contain provisions requiring that expended funds be appropriated specifically by the legislature</w:t>
      </w:r>
      <w:r w:rsidRPr="00634DDD">
        <w:rPr>
          <w:u w:val="single"/>
        </w:rPr>
        <w:t>. 0' In reliance on such provisions, state legislatures have from time to time enacted laws requiring that federal grant funds be paid into the state's general treasury for subsequent reappropriation by the legislature and prohibiting state executive agencies from spending federal grant funds that have not been legislatively appropriated.0 5 On several occasions state courts have been called upon to adjudicate the constitutionality of these restrictions on the spending of unappropriated funds.</w:t>
      </w:r>
      <w:r w:rsidRPr="00670A46">
        <w:t xml:space="preserve"> Some state courts have construed the state constitutional requirement of appropriation narrowly, holding that it applies only to spending out of state general treasury revenue, a description that does not apply to federal grant money.'0 6 Other state courts, however, have taken a different view. </w:t>
      </w:r>
      <w:r w:rsidRPr="00B60453">
        <w:rPr>
          <w:u w:val="single"/>
        </w:rPr>
        <w:t>The Pennsylvania Supreme Court, for example, has held that the state constitution limits the spending authority of state executive agencies to the spending of funds that have been appropriated by the state legislature</w:t>
      </w:r>
      <w:r w:rsidRPr="00670A46">
        <w:t xml:space="preserve">,'0 7 and it has accordingly upheld restrictions on agency spending of unappropriated federal grants. 108 In so doing, </w:t>
      </w:r>
      <w:r w:rsidRPr="00634DDD">
        <w:rPr>
          <w:u w:val="single"/>
        </w:rPr>
        <w:t xml:space="preserve">the Pennsylvania Supreme Court has delivered to the state legislature </w:t>
      </w:r>
      <w:r w:rsidRPr="00634DDD">
        <w:rPr>
          <w:b/>
          <w:bCs/>
          <w:u w:val="single"/>
        </w:rPr>
        <w:t>a significant constitutional tool for defending its control over state executive spending from erosion worked by congressional grant-making strategies.</w:t>
      </w:r>
    </w:p>
    <w:p w14:paraId="0EA0E2E1" w14:textId="77777777" w:rsidR="00F93747" w:rsidRDefault="00F93747" w:rsidP="00F93747">
      <w:pPr>
        <w:pStyle w:val="Heading2"/>
      </w:pPr>
      <w:r>
        <w:t>AFF</w:t>
      </w:r>
    </w:p>
    <w:p w14:paraId="4D2C8031" w14:textId="77777777" w:rsidR="00F93747" w:rsidRDefault="00F93747" w:rsidP="00F93747">
      <w:pPr>
        <w:pStyle w:val="Heading3"/>
      </w:pPr>
      <w:r>
        <w:t>2AC---State Courts Fail</w:t>
      </w:r>
    </w:p>
    <w:p w14:paraId="3F3EC951" w14:textId="77777777" w:rsidR="00F93747" w:rsidRPr="008643CC" w:rsidRDefault="00F93747" w:rsidP="00F93747">
      <w:pPr>
        <w:pStyle w:val="Heading4"/>
      </w:pPr>
      <w:r>
        <w:t>State Courts can’t effectively resist federal power</w:t>
      </w:r>
    </w:p>
    <w:p w14:paraId="66BE0962" w14:textId="77777777" w:rsidR="00F93747" w:rsidRPr="008643CC" w:rsidRDefault="00F93747" w:rsidP="00F93747">
      <w:r w:rsidRPr="00670A46">
        <w:rPr>
          <w:rStyle w:val="Style13ptBold"/>
        </w:rPr>
        <w:t xml:space="preserve">Gardner 03 </w:t>
      </w:r>
      <w:r w:rsidRPr="00670A46">
        <w:t xml:space="preserve">(James A. Gardner, specialist in constitutional and election law, March 2003, “State Courts as Agents of Federalism: Power and Interpretation in State Constitutional Law,” 44 Wm. &amp; Mary L. Rev. 1725 (2003), </w:t>
      </w:r>
      <w:hyperlink r:id="rId27" w:history="1">
        <w:r w:rsidRPr="00670A46">
          <w:rPr>
            <w:rStyle w:val="Hyperlink"/>
          </w:rPr>
          <w:t>https://scholarship.law.wm.edu/cgi/viewcontent.cgi?article=1377&amp;context=wmlr</w:t>
        </w:r>
      </w:hyperlink>
      <w:r w:rsidRPr="00670A46">
        <w:t xml:space="preserve">)//ICW-AB </w:t>
      </w:r>
    </w:p>
    <w:p w14:paraId="237AD017" w14:textId="77777777" w:rsidR="00F93747" w:rsidRDefault="00F93747" w:rsidP="00F93747">
      <w:r>
        <w:t xml:space="preserve">This method of reconciling the two understandings is unavailable, however, when we turn to state courts because there is no superseding body of law to which state courts might resort that would enable them to control with finality the actions of national officials. Because </w:t>
      </w:r>
      <w:r w:rsidRPr="008643CC">
        <w:rPr>
          <w:u w:val="single"/>
        </w:rPr>
        <w:t xml:space="preserve">the Supremacy Clause makes national law supreme,7 and national law is controlled ultimately by federal courts, </w:t>
      </w:r>
      <w:r w:rsidRPr="008643CC">
        <w:rPr>
          <w:b/>
          <w:bCs/>
          <w:u w:val="single"/>
        </w:rPr>
        <w:t>state courts cannot employ national law as a force for resisting national power</w:t>
      </w:r>
      <w:r w:rsidRPr="008643CC">
        <w:rPr>
          <w:u w:val="single"/>
        </w:rPr>
        <w:t xml:space="preserve"> while simultaneously appealing to it as a legitimating source of impartial restrictions on that power</w:t>
      </w:r>
      <w:r>
        <w:t>. Federal courts, not state courts, ultimately decide what powers the state and national governments legitimately possess under the U.S. Constitution. This asymmetry between state and national judicial power suggests a different way of reconciling federalism's imperative of governmental self-partiality with notions of judicial apoliticism</w:t>
      </w:r>
      <w:r w:rsidRPr="008643CC">
        <w:rPr>
          <w:u w:val="single"/>
        </w:rPr>
        <w:t>: it may be that this tension simply does not exist for state courts because they lack the tools to join effectively in any struggle against national power that other organs of state government might choose to wage.</w:t>
      </w:r>
      <w:r>
        <w:t xml:space="preserve"> As Stalin once said of the Pope: "How many divisions has he got?"8 </w:t>
      </w:r>
      <w:r w:rsidRPr="008643CC">
        <w:rPr>
          <w:u w:val="single"/>
        </w:rPr>
        <w:t>What weapons do state courts possess that they could deploy against national power should some tyrannical action of the federal government justifiably prompt resistance from state governments?</w:t>
      </w:r>
      <w:r>
        <w:t xml:space="preserve"> About </w:t>
      </w:r>
      <w:r w:rsidRPr="008643CC">
        <w:rPr>
          <w:u w:val="single"/>
        </w:rPr>
        <w:t xml:space="preserve">the only thing state courts definitively control is the content of state law, yet </w:t>
      </w:r>
      <w:r w:rsidRPr="008643CC">
        <w:rPr>
          <w:b/>
          <w:bCs/>
          <w:u w:val="single"/>
        </w:rPr>
        <w:t>state law generally cannot restrict officials in any branch of national government</w:t>
      </w:r>
      <w:r w:rsidRPr="008643CC">
        <w:rPr>
          <w:u w:val="single"/>
        </w:rPr>
        <w:t>, and can often be displaced by Congress, through preemption, and by federal courts, through invalidation under the U.S. Constitution</w:t>
      </w:r>
      <w:r>
        <w:t>. Does this mean, then, that state courts have no role to play in maintaining the balance of state and national power contemplated by federalism? Are they mere bystanders to a permanent struggle against national power waged by the state legislative and executive branches?</w:t>
      </w:r>
    </w:p>
    <w:p w14:paraId="398DD3E1" w14:textId="77777777" w:rsidR="00F93747" w:rsidRDefault="00F93747" w:rsidP="00F93747">
      <w:pPr>
        <w:pStyle w:val="Heading4"/>
      </w:pPr>
      <w:r>
        <w:t>State constitutions can’t be used to undermine the federal judiciary</w:t>
      </w:r>
    </w:p>
    <w:p w14:paraId="11062A32" w14:textId="77777777" w:rsidR="00F93747" w:rsidRPr="001F0246" w:rsidRDefault="00F93747" w:rsidP="00F93747">
      <w:r>
        <w:t>*note---this card is under 2AC Perm do Both as well</w:t>
      </w:r>
    </w:p>
    <w:p w14:paraId="348D7045" w14:textId="77777777" w:rsidR="00F93747" w:rsidRPr="002E331A" w:rsidRDefault="00F93747" w:rsidP="00F93747">
      <w:r>
        <w:t xml:space="preserve">Alexander H. E. </w:t>
      </w:r>
      <w:r w:rsidRPr="006B3040">
        <w:rPr>
          <w:b/>
          <w:bCs/>
          <w:sz w:val="26"/>
          <w:szCs w:val="26"/>
        </w:rPr>
        <w:t>Morawa, 11</w:t>
      </w:r>
      <w:r>
        <w:t xml:space="preserve">, Chair in Comparative and Anglo-American Law and Associate Dean for Internationalization at the University of Lucerne, School of Law, Switzerland, "The 'New Judicial Federalism' in the United States – The Interplay of Federal and State Courts in Constitutional Adjudication," </w:t>
      </w:r>
      <w:hyperlink r:id="rId28" w:history="1">
        <w:r w:rsidRPr="00690843">
          <w:rPr>
            <w:rStyle w:val="Hyperlink"/>
          </w:rPr>
          <w:t>https://papers.ssrn.com/sol3/papers.cfm?abstract_id=2604459)TGT</w:t>
        </w:r>
      </w:hyperlink>
      <w:r w:rsidRPr="002E331A">
        <w:t xml:space="preserve"> </w:t>
      </w:r>
    </w:p>
    <w:p w14:paraId="3118D212" w14:textId="77777777" w:rsidR="00F93747" w:rsidRPr="002E331A" w:rsidRDefault="00F93747" w:rsidP="00F93747">
      <w:pPr>
        <w:rPr>
          <w:sz w:val="16"/>
        </w:rPr>
      </w:pPr>
      <w:r w:rsidRPr="002E331A">
        <w:rPr>
          <w:sz w:val="16"/>
        </w:rPr>
        <w:t>Nevertheless, as one state supreme court justice has stated</w:t>
      </w:r>
      <w:r w:rsidRPr="0062514D">
        <w:rPr>
          <w:u w:val="single"/>
        </w:rPr>
        <w:t>, the American «national judicial history and traditions closely wed federal and state constitutional doctrine. It is not</w:t>
      </w:r>
      <w:r w:rsidRPr="002E331A">
        <w:rPr>
          <w:sz w:val="16"/>
        </w:rPr>
        <w:t xml:space="preserve"> entirely </w:t>
      </w:r>
      <w:r w:rsidRPr="0062514D">
        <w:rPr>
          <w:u w:val="single"/>
        </w:rPr>
        <w:t>realistic,</w:t>
      </w:r>
      <w:r w:rsidRPr="002E331A">
        <w:rPr>
          <w:sz w:val="16"/>
        </w:rPr>
        <w:t xml:space="preserve"> sound or historically accurate </w:t>
      </w:r>
      <w:r w:rsidRPr="0062514D">
        <w:rPr>
          <w:u w:val="single"/>
        </w:rPr>
        <w:t>to regard the separation between the federal and state systems as a schism</w:t>
      </w:r>
      <w:r w:rsidRPr="002E331A">
        <w:rPr>
          <w:sz w:val="16"/>
        </w:rPr>
        <w:t xml:space="preserve">. The </w:t>
      </w:r>
      <w:r w:rsidRPr="0062514D">
        <w:rPr>
          <w:u w:val="single"/>
        </w:rPr>
        <w:t>states are not always free to act independently under their own constitutions.</w:t>
      </w:r>
      <w:r w:rsidRPr="002E331A">
        <w:rPr>
          <w:sz w:val="16"/>
        </w:rPr>
        <w:t xml:space="preserve"> </w:t>
      </w:r>
      <w:r w:rsidRPr="0062514D">
        <w:rPr>
          <w:u w:val="single"/>
        </w:rPr>
        <w:t>State constitutions may be used to supplement</w:t>
      </w:r>
      <w:r w:rsidRPr="002E331A">
        <w:rPr>
          <w:sz w:val="16"/>
        </w:rPr>
        <w:t xml:space="preserve"> or expand </w:t>
      </w:r>
      <w:r w:rsidRPr="0062514D">
        <w:rPr>
          <w:u w:val="single"/>
        </w:rPr>
        <w:t>federally guaranteed constitutional rights</w:t>
      </w:r>
      <w:r w:rsidRPr="002E331A">
        <w:rPr>
          <w:sz w:val="16"/>
        </w:rPr>
        <w:t>. However</w:t>
      </w:r>
      <w:r w:rsidRPr="0062514D">
        <w:rPr>
          <w:u w:val="single"/>
        </w:rPr>
        <w:t>, they may never be used to undermine or circumscribe them.</w:t>
      </w:r>
      <w:r w:rsidRPr="002E331A">
        <w:rPr>
          <w:sz w:val="16"/>
        </w:rPr>
        <w:t>»67 Another justice has added: «If we are to interpret our state constitution in a manner inconsistent with the United States Supreme Court's interpretation of the federal constitution, we must do so on the basis of principles, not results.»68 «Recourse to our state constitution as an independent source for recognizing and protecting the individual rights of our citizens must spring not from pure intuition, but from a process that is at once articulable, reasonable and reasoned,»69 the Supreme Court of Washington has added. From this a ‹criteria approach› has emerged, criticized by some commentators70 as part of a backlash against the new judicial federalism</w:t>
      </w:r>
    </w:p>
    <w:p w14:paraId="203FCF90" w14:textId="77777777" w:rsidR="00F93747" w:rsidRPr="008643CC" w:rsidRDefault="00F93747" w:rsidP="00F93747"/>
    <w:p w14:paraId="4B0A84AE" w14:textId="77777777" w:rsidR="00F93747" w:rsidRPr="00CA50E0" w:rsidRDefault="00F93747" w:rsidP="00F93747">
      <w:pPr>
        <w:pStyle w:val="Heading3"/>
      </w:pPr>
      <w:r>
        <w:t>2AC---Impact---AT: Democracy</w:t>
      </w:r>
    </w:p>
    <w:p w14:paraId="6D90D7FB" w14:textId="77777777" w:rsidR="00F93747" w:rsidRPr="005275D4" w:rsidRDefault="00F93747" w:rsidP="00F93747">
      <w:pPr>
        <w:pStyle w:val="Heading4"/>
      </w:pPr>
      <w:r w:rsidRPr="005275D4">
        <w:t xml:space="preserve">US federalism isn’t key to </w:t>
      </w:r>
      <w:r w:rsidRPr="005275D4">
        <w:rPr>
          <w:u w:val="single"/>
        </w:rPr>
        <w:t>global democracy</w:t>
      </w:r>
      <w:r w:rsidRPr="005275D4">
        <w:t xml:space="preserve"> --- It’s resilient.</w:t>
      </w:r>
    </w:p>
    <w:p w14:paraId="68BAB10A" w14:textId="77777777" w:rsidR="00F93747" w:rsidRPr="005275D4" w:rsidRDefault="00F93747" w:rsidP="00F93747">
      <w:pPr>
        <w:rPr>
          <w:rStyle w:val="Hyperlink"/>
        </w:rPr>
      </w:pPr>
      <w:r w:rsidRPr="005275D4">
        <w:t xml:space="preserve">Asnake Kefale </w:t>
      </w:r>
      <w:r w:rsidRPr="005275D4">
        <w:rPr>
          <w:rStyle w:val="Style13ptBold"/>
        </w:rPr>
        <w:t>Adegehe 9</w:t>
      </w:r>
      <w:r w:rsidRPr="005275D4">
        <w:t xml:space="preserve">, Ph.D., Political Science, Leiden University, 6/11/9, “Federalism and ethnic conflict in Ethiopia : a comparative study of the Somali and Benishangul-Gumuz regions,” </w:t>
      </w:r>
      <w:hyperlink r:id="rId29" w:history="1">
        <w:r w:rsidRPr="005275D4">
          <w:rPr>
            <w:rStyle w:val="Hyperlink"/>
          </w:rPr>
          <w:t>https://openaccess.leidenuniv.nl/handle/1887/13839</w:t>
        </w:r>
      </w:hyperlink>
    </w:p>
    <w:p w14:paraId="5D26CC62" w14:textId="77777777" w:rsidR="00F93747" w:rsidRPr="005275D4" w:rsidRDefault="00F93747" w:rsidP="00F93747">
      <w:pPr>
        <w:rPr>
          <w:sz w:val="16"/>
        </w:rPr>
      </w:pPr>
      <w:r w:rsidRPr="005275D4">
        <w:rPr>
          <w:rStyle w:val="StyleUnderline"/>
        </w:rPr>
        <w:t>At the beginning of the 21st century</w:t>
      </w:r>
      <w:r w:rsidRPr="005275D4">
        <w:rPr>
          <w:sz w:val="16"/>
        </w:rPr>
        <w:t xml:space="preserve">, </w:t>
      </w:r>
      <w:r w:rsidRPr="005275D4">
        <w:rPr>
          <w:rStyle w:val="StyleStyleUnderlineUnderlineStyleBoldUnderlineIntenseEmphas"/>
          <w:highlight w:val="cyan"/>
        </w:rPr>
        <w:t>federalism</w:t>
      </w:r>
      <w:r w:rsidRPr="005275D4">
        <w:rPr>
          <w:rStyle w:val="StyleStyleUnderlineUnderlineStyleBoldUnderlineIntenseEmphas"/>
        </w:rPr>
        <w:t xml:space="preserve"> once again </w:t>
      </w:r>
      <w:r w:rsidRPr="005275D4">
        <w:rPr>
          <w:rStyle w:val="StyleStyleUnderlineUnderlineStyleBoldUnderlineIntenseEmphas"/>
          <w:highlight w:val="cyan"/>
        </w:rPr>
        <w:t>proved its resilience</w:t>
      </w:r>
      <w:r w:rsidRPr="005275D4">
        <w:rPr>
          <w:sz w:val="16"/>
        </w:rPr>
        <w:t xml:space="preserve"> </w:t>
      </w:r>
      <w:r w:rsidRPr="005275D4">
        <w:rPr>
          <w:rStyle w:val="StyleUnderline"/>
        </w:rPr>
        <w:t>as an important form of government</w:t>
      </w:r>
      <w:r w:rsidRPr="005275D4">
        <w:rPr>
          <w:sz w:val="16"/>
        </w:rPr>
        <w:t xml:space="preserve"> and ideological dispensation. This is </w:t>
      </w:r>
      <w:r w:rsidRPr="005275D4">
        <w:rPr>
          <w:rStyle w:val="StyleStyleUnderlineUnderlineStyleBoldUnderlineIntenseEmphas"/>
        </w:rPr>
        <w:t>despite</w:t>
      </w:r>
      <w:r w:rsidRPr="005275D4">
        <w:rPr>
          <w:sz w:val="16"/>
        </w:rPr>
        <w:t xml:space="preserve"> </w:t>
      </w:r>
      <w:r w:rsidRPr="005275D4">
        <w:rPr>
          <w:rStyle w:val="StyleUnderline"/>
        </w:rPr>
        <w:t>recurrent scepticism about its desirability and appropriateness in a globalising world</w:t>
      </w:r>
      <w:r w:rsidRPr="005275D4">
        <w:rPr>
          <w:sz w:val="16"/>
        </w:rPr>
        <w:t>. In the period prior to World War II, some scholars doubted its relevance in an industrialising society. Harold Laski epitomised scholarly scepticism of the period. He in 1939 said, ‘[T]he epoch of federalism is over’ because of ‘its compartmentalizing of functions, legalism, rigidity and conservatism… [which made it] unable to keep pace with the tempo of modern economic and political life that giant capitalism had evolved’ (cited in Watts 2001: 2).</w:t>
      </w:r>
    </w:p>
    <w:p w14:paraId="347BC031" w14:textId="77777777" w:rsidR="00F93747" w:rsidRPr="005275D4" w:rsidRDefault="00F93747" w:rsidP="00F93747">
      <w:pPr>
        <w:rPr>
          <w:sz w:val="16"/>
        </w:rPr>
      </w:pPr>
      <w:r w:rsidRPr="005275D4">
        <w:rPr>
          <w:sz w:val="16"/>
        </w:rPr>
        <w:t>Federalism emerged as an important instrument of nation/state building after the collapse of European colonial empires in the immediate post World War II period (Watts 1994a: 2). In this respect, many post-colonial multi-ethnic countries of Asia and Africa adopted federalism.1 Even if several of these federations failed in their infancy, the role of federalism in balancing the competing and perhaps conflicting demands for autonomy and unity in such countries as India, Malaysia and Nigeria could not be doubted (Rothchild 1966).</w:t>
      </w:r>
    </w:p>
    <w:p w14:paraId="0A88E38F" w14:textId="77777777" w:rsidR="00F93747" w:rsidRPr="005275D4" w:rsidRDefault="00F93747" w:rsidP="00F93747">
      <w:pPr>
        <w:rPr>
          <w:sz w:val="16"/>
        </w:rPr>
      </w:pPr>
      <w:r w:rsidRPr="005275D4">
        <w:rPr>
          <w:rStyle w:val="StyleUnderline"/>
          <w:highlight w:val="cyan"/>
        </w:rPr>
        <w:t>Since the end of the Cold War</w:t>
      </w:r>
      <w:r w:rsidRPr="005275D4">
        <w:rPr>
          <w:rStyle w:val="StyleUnderline"/>
        </w:rPr>
        <w:t>, federalism once again emerged</w:t>
      </w:r>
      <w:r w:rsidRPr="005275D4">
        <w:rPr>
          <w:sz w:val="16"/>
        </w:rPr>
        <w:t xml:space="preserve"> into the spotlight </w:t>
      </w:r>
      <w:r w:rsidRPr="005275D4">
        <w:rPr>
          <w:rStyle w:val="StyleUnderline"/>
        </w:rPr>
        <w:t>because of two contradictory developments</w:t>
      </w:r>
      <w:r w:rsidRPr="005275D4">
        <w:rPr>
          <w:sz w:val="16"/>
        </w:rPr>
        <w:t xml:space="preserve">. </w:t>
      </w:r>
      <w:r w:rsidRPr="005275D4">
        <w:rPr>
          <w:rStyle w:val="StyleUnderline"/>
        </w:rPr>
        <w:t xml:space="preserve">First, the </w:t>
      </w:r>
      <w:r w:rsidRPr="005275D4">
        <w:rPr>
          <w:rStyle w:val="StyleUnderline"/>
          <w:highlight w:val="cyan"/>
        </w:rPr>
        <w:t>disintegration of</w:t>
      </w:r>
      <w:r w:rsidRPr="005275D4">
        <w:rPr>
          <w:rStyle w:val="StyleUnderline"/>
        </w:rPr>
        <w:t xml:space="preserve"> the</w:t>
      </w:r>
      <w:r w:rsidRPr="005275D4">
        <w:rPr>
          <w:sz w:val="16"/>
        </w:rPr>
        <w:t xml:space="preserve"> socialist federations of the </w:t>
      </w:r>
      <w:r w:rsidRPr="005275D4">
        <w:rPr>
          <w:rStyle w:val="StyleUnderline"/>
          <w:highlight w:val="cyan"/>
        </w:rPr>
        <w:t>USSR</w:t>
      </w:r>
      <w:r w:rsidRPr="005275D4">
        <w:rPr>
          <w:sz w:val="16"/>
        </w:rPr>
        <w:t xml:space="preserve">, Yugoslavia and Czechoslovakia </w:t>
      </w:r>
      <w:r w:rsidRPr="005275D4">
        <w:rPr>
          <w:rStyle w:val="StyleUnderline"/>
          <w:highlight w:val="cyan"/>
        </w:rPr>
        <w:t>refreshed doubts about</w:t>
      </w:r>
      <w:r w:rsidRPr="005275D4">
        <w:rPr>
          <w:rStyle w:val="StyleUnderline"/>
        </w:rPr>
        <w:t xml:space="preserve"> stability and durability of multiethnic </w:t>
      </w:r>
      <w:r w:rsidRPr="005275D4">
        <w:rPr>
          <w:rStyle w:val="StyleUnderline"/>
          <w:highlight w:val="cyan"/>
        </w:rPr>
        <w:t>federations</w:t>
      </w:r>
      <w:r w:rsidRPr="005275D4">
        <w:rPr>
          <w:sz w:val="16"/>
        </w:rPr>
        <w:t xml:space="preserve">. The continuing standoff in Canada over the question of Quebec’s independence and the frequent political stalemates that characterise federal Belgium strengthen uneasiness about the stability of multi-ethnic federations. Second, </w:t>
      </w:r>
      <w:r w:rsidRPr="005275D4">
        <w:rPr>
          <w:rStyle w:val="StyleStyleUnderlineUnderlineStyleBoldUnderlineIntenseEmphas"/>
          <w:highlight w:val="cyan"/>
        </w:rPr>
        <w:t>in spite of these</w:t>
      </w:r>
      <w:r w:rsidRPr="005275D4">
        <w:rPr>
          <w:rStyle w:val="StyleStyleUnderlineUnderlineStyleBoldUnderlineIntenseEmphas"/>
        </w:rPr>
        <w:t xml:space="preserve"> problems</w:t>
      </w:r>
      <w:r w:rsidRPr="005275D4">
        <w:rPr>
          <w:sz w:val="16"/>
        </w:rPr>
        <w:t xml:space="preserve">, </w:t>
      </w:r>
      <w:r w:rsidRPr="005275D4">
        <w:rPr>
          <w:rStyle w:val="StyleUnderline"/>
          <w:highlight w:val="cyan"/>
        </w:rPr>
        <w:t>politicians</w:t>
      </w:r>
      <w:r w:rsidRPr="005275D4">
        <w:rPr>
          <w:rStyle w:val="StyleUnderline"/>
        </w:rPr>
        <w:t xml:space="preserve"> used to </w:t>
      </w:r>
      <w:r w:rsidRPr="005275D4">
        <w:rPr>
          <w:rStyle w:val="StyleUnderline"/>
          <w:highlight w:val="cyan"/>
        </w:rPr>
        <w:t>reconstitute multiethnic countries through federalism</w:t>
      </w:r>
      <w:r w:rsidRPr="005275D4">
        <w:rPr>
          <w:rStyle w:val="StyleUnderline"/>
        </w:rPr>
        <w:t xml:space="preserve"> after the collapse of authoritarian regimes and centralist nation-building projects</w:t>
      </w:r>
      <w:r w:rsidRPr="005275D4">
        <w:rPr>
          <w:sz w:val="16"/>
        </w:rPr>
        <w:t xml:space="preserve">. For instance, </w:t>
      </w:r>
      <w:r w:rsidRPr="005275D4">
        <w:rPr>
          <w:rStyle w:val="StyleUnderline"/>
        </w:rPr>
        <w:t xml:space="preserve">international powers-imposed federalism to reconstitute </w:t>
      </w:r>
      <w:r w:rsidRPr="005275D4">
        <w:rPr>
          <w:rStyle w:val="StyleUnderline"/>
          <w:highlight w:val="cyan"/>
        </w:rPr>
        <w:t>Bosnia</w:t>
      </w:r>
      <w:r w:rsidRPr="005275D4">
        <w:rPr>
          <w:sz w:val="16"/>
        </w:rPr>
        <w:t xml:space="preserve">-Herzegovina after a bitter war and genocide that accompanied the disintegration of Yugoslavia. </w:t>
      </w:r>
      <w:r w:rsidRPr="005275D4">
        <w:rPr>
          <w:rStyle w:val="StyleStyleUnderlineUnderlineStyleBoldUnderlineIntenseEmphas"/>
          <w:highlight w:val="cyan"/>
        </w:rPr>
        <w:t>Russia</w:t>
      </w:r>
      <w:r w:rsidRPr="005275D4">
        <w:rPr>
          <w:rStyle w:val="StyleStyleUnderlineUnderlineStyleBoldUnderlineIntenseEmphas"/>
        </w:rPr>
        <w:t xml:space="preserve"> adopted federalism</w:t>
      </w:r>
      <w:r w:rsidRPr="005275D4">
        <w:rPr>
          <w:sz w:val="16"/>
        </w:rPr>
        <w:t xml:space="preserve"> </w:t>
      </w:r>
      <w:r w:rsidRPr="005275D4">
        <w:rPr>
          <w:rStyle w:val="StyleUnderline"/>
        </w:rPr>
        <w:t xml:space="preserve">to maintain what is left of the Soviet Union. </w:t>
      </w:r>
      <w:r w:rsidRPr="005275D4">
        <w:rPr>
          <w:rStyle w:val="StyleUnderline"/>
          <w:highlight w:val="cyan"/>
        </w:rPr>
        <w:t>Ethiopia</w:t>
      </w:r>
      <w:r w:rsidRPr="005275D4">
        <w:rPr>
          <w:rStyle w:val="StyleUnderline"/>
        </w:rPr>
        <w:t xml:space="preserve"> adopted ethnic federalism</w:t>
      </w:r>
      <w:r w:rsidRPr="005275D4">
        <w:rPr>
          <w:sz w:val="16"/>
        </w:rPr>
        <w:t xml:space="preserve"> in 1991 after the end of military dictatorship. Recently, the </w:t>
      </w:r>
      <w:r w:rsidRPr="005275D4">
        <w:rPr>
          <w:rStyle w:val="StyleUnderline"/>
        </w:rPr>
        <w:t>American led</w:t>
      </w:r>
      <w:r w:rsidRPr="005275D4">
        <w:rPr>
          <w:sz w:val="16"/>
        </w:rPr>
        <w:t xml:space="preserve"> international </w:t>
      </w:r>
      <w:r w:rsidRPr="005275D4">
        <w:rPr>
          <w:rStyle w:val="StyleUnderline"/>
        </w:rPr>
        <w:t xml:space="preserve">forces caused the reconstitution </w:t>
      </w:r>
      <w:r w:rsidRPr="005275D4">
        <w:rPr>
          <w:rStyle w:val="StyleUnderline"/>
          <w:highlight w:val="cyan"/>
        </w:rPr>
        <w:t>Iraq</w:t>
      </w:r>
      <w:r w:rsidRPr="005275D4">
        <w:rPr>
          <w:rStyle w:val="StyleUnderline"/>
        </w:rPr>
        <w:t xml:space="preserve"> as an ethnic federation</w:t>
      </w:r>
      <w:r w:rsidRPr="005275D4">
        <w:rPr>
          <w:sz w:val="16"/>
        </w:rPr>
        <w:t xml:space="preserve"> following their invasion and occupation of the country in 2003. There are also calls for a federal arrangement for such countries as Sri Lanka and Somalia that were torn apart by decades of bitter conflicts.</w:t>
      </w:r>
    </w:p>
    <w:p w14:paraId="408E8A90" w14:textId="77777777" w:rsidR="00F93747" w:rsidRPr="005275D4" w:rsidRDefault="00F93747" w:rsidP="00F93747">
      <w:pPr>
        <w:rPr>
          <w:sz w:val="16"/>
        </w:rPr>
      </w:pPr>
      <w:r w:rsidRPr="005275D4">
        <w:rPr>
          <w:rStyle w:val="StyleUnderline"/>
        </w:rPr>
        <w:t>There is,</w:t>
      </w:r>
      <w:r w:rsidRPr="005275D4">
        <w:rPr>
          <w:sz w:val="16"/>
        </w:rPr>
        <w:t xml:space="preserve"> therefore, </w:t>
      </w:r>
      <w:r w:rsidRPr="005275D4">
        <w:rPr>
          <w:rStyle w:val="StyleStyleUnderlineUnderlineStyleBoldUnderlineIntenseEmphas"/>
        </w:rPr>
        <w:t xml:space="preserve">a growing interest in the </w:t>
      </w:r>
      <w:r w:rsidRPr="005275D4">
        <w:rPr>
          <w:rStyle w:val="StyleStyleUnderlineUnderlineStyleBoldUnderlineIntenseEmphas"/>
          <w:highlight w:val="cyan"/>
        </w:rPr>
        <w:t>use</w:t>
      </w:r>
      <w:r w:rsidRPr="005275D4">
        <w:rPr>
          <w:rStyle w:val="StyleStyleUnderlineUnderlineStyleBoldUnderlineIntenseEmphas"/>
        </w:rPr>
        <w:t xml:space="preserve"> of </w:t>
      </w:r>
      <w:r w:rsidRPr="005275D4">
        <w:rPr>
          <w:rStyle w:val="StyleStyleUnderlineUnderlineStyleBoldUnderlineIntenseEmphas"/>
          <w:highlight w:val="cyan"/>
        </w:rPr>
        <w:t>federalism</w:t>
      </w:r>
      <w:r w:rsidRPr="005275D4">
        <w:rPr>
          <w:sz w:val="16"/>
        </w:rPr>
        <w:t xml:space="preserve"> </w:t>
      </w:r>
      <w:r w:rsidRPr="005275D4">
        <w:rPr>
          <w:rStyle w:val="StyleUnderline"/>
        </w:rPr>
        <w:t>as a way of managing ethnically diverse countries</w:t>
      </w:r>
      <w:r w:rsidRPr="005275D4">
        <w:rPr>
          <w:sz w:val="16"/>
        </w:rPr>
        <w:t>. In ethnically divided countries, the hope is that political recognition of cultural and ethnic pluralism through federalism reduces ethnic tensions and conflicts. That is why federalism has been presented as a compromise between ethnicnationalism, which like nationalism in its classical form advocates congruence between nations and states (Gellner 1983: 1; Hobswam 1990: 9), and assimilationist centralization by dominant ethnic groups in multiethnic countries.</w:t>
      </w:r>
    </w:p>
    <w:p w14:paraId="37669732" w14:textId="77777777" w:rsidR="00F93747" w:rsidRPr="0004629F" w:rsidRDefault="00F93747" w:rsidP="00F93747"/>
    <w:p w14:paraId="75C32DAE" w14:textId="77777777" w:rsidR="00F93747" w:rsidRDefault="00F93747" w:rsidP="00F93747">
      <w:pPr>
        <w:pStyle w:val="Heading4"/>
      </w:pPr>
      <w:r>
        <w:t>US not key</w:t>
      </w:r>
    </w:p>
    <w:p w14:paraId="5BBC6837" w14:textId="77777777" w:rsidR="00F93747" w:rsidRDefault="00F93747" w:rsidP="00F93747">
      <w:r w:rsidRPr="00F6276A">
        <w:rPr>
          <w:rStyle w:val="Style13ptBold"/>
        </w:rPr>
        <w:t>Jones</w:t>
      </w:r>
      <w:r>
        <w:t xml:space="preserve"> and Taussig </w:t>
      </w:r>
      <w:r w:rsidRPr="00F6276A">
        <w:rPr>
          <w:rStyle w:val="Style13ptBold"/>
        </w:rPr>
        <w:t>19</w:t>
      </w:r>
      <w:r>
        <w:t xml:space="preserve"> – *PhD @ LSE, Hamburg fellow in conflict prevention at Stanford University, vice president and director of the Foreign Policy program at Brookings and a senior fellow in the Institution’s Project on International Order and Strategy, **PhD @ Tufts, nonresident fellow in the Foreign Policy program’s Center on the United States and Europe at Brookings. In 2018-19, she is based in Berlin as a Robert Bosch Foundation Fellow. Taussig works on U.S. foreign policy, European and Asian security, authoritarian politics, and U.S.-Russia relations (Bruce, Torrey, “Democracy and Disorder: The Struggle for Influence in the New Geopolitics,” Kindle Edition)</w:t>
      </w:r>
    </w:p>
    <w:p w14:paraId="65F6F77F" w14:textId="77777777" w:rsidR="00F93747" w:rsidRPr="00F6276A" w:rsidRDefault="00F93747" w:rsidP="00F93747"/>
    <w:p w14:paraId="4E81A418" w14:textId="77777777" w:rsidR="00F93747" w:rsidRDefault="00F93747" w:rsidP="00F93747">
      <w:r>
        <w:t xml:space="preserve">4. The interplay between internal strains and external efforts to exacerbate them has weakened the leverage of the political West. </w:t>
      </w:r>
      <w:r w:rsidRPr="002C35B3">
        <w:rPr>
          <w:rStyle w:val="StyleUnderline"/>
        </w:rPr>
        <w:t xml:space="preserve">The phase of the post-Cold War era when the United States and other like-minded states could enlarge the democratic community through democracy promotion efforts with manageable domestic and international pushback has </w:t>
      </w:r>
      <w:r w:rsidRPr="002C35B3">
        <w:rPr>
          <w:rStyle w:val="Emphasis"/>
        </w:rPr>
        <w:t>ended</w:t>
      </w:r>
      <w:r>
        <w:t xml:space="preserve">. Instead, the global financial crisis and the rise of China have triggered a deep level of introspection within the political West. </w:t>
      </w:r>
      <w:r w:rsidRPr="002C35B3">
        <w:rPr>
          <w:rStyle w:val="StyleUnderline"/>
        </w:rPr>
        <w:t>The world’s most important shaping power, the United States</w:t>
      </w:r>
      <w:r>
        <w:t xml:space="preserve">— </w:t>
      </w:r>
      <w:r w:rsidRPr="002C35B3">
        <w:rPr>
          <w:rStyle w:val="StyleUnderline"/>
        </w:rPr>
        <w:t>itself a revisionist power bent toward liberalism and democracy</w:t>
      </w:r>
      <w:r>
        <w:t>—</w:t>
      </w:r>
      <w:r w:rsidRPr="002C35B3">
        <w:rPr>
          <w:rStyle w:val="StyleUnderline"/>
        </w:rPr>
        <w:t>is in strategic disarray and appears to be withdrawing from its commitment to supporting and exemplifying democratic standards</w:t>
      </w:r>
      <w:r>
        <w:t xml:space="preserve">. The European Union, the other bulwark of the liberal order, has turned inward, facing domestic instability caused by characteristics inherent to a more open order, including economic integration, low trade barriers, and the free movement of people. </w:t>
      </w:r>
      <w:r w:rsidRPr="002C35B3">
        <w:rPr>
          <w:rStyle w:val="StyleUnderline"/>
        </w:rPr>
        <w:t>Authoritarian leaders within the West challenge the very foundations of the liberal democratic model</w:t>
      </w:r>
      <w:r>
        <w:t xml:space="preserve">. Protectionist forces challenge key elements of the international order, including the rules-based trading system and an alliance structure rooted in trans-Atlantic cohesion and American power. </w:t>
      </w:r>
      <w:r w:rsidRPr="002C35B3">
        <w:rPr>
          <w:rStyle w:val="StyleUnderline"/>
        </w:rPr>
        <w:t>Given the trans-Atlantic community’s role as the primary instigator and promoter of democratic progress</w:t>
      </w:r>
      <w:r>
        <w:t xml:space="preserve"> in the post-WWII era, </w:t>
      </w:r>
      <w:r w:rsidRPr="002C35B3">
        <w:rPr>
          <w:rStyle w:val="StyleUnderline"/>
        </w:rPr>
        <w:t xml:space="preserve">internal discord has </w:t>
      </w:r>
      <w:r w:rsidRPr="002C35B3">
        <w:rPr>
          <w:rStyle w:val="Emphasis"/>
        </w:rPr>
        <w:t>significant consequences</w:t>
      </w:r>
      <w:r w:rsidRPr="002C35B3">
        <w:rPr>
          <w:rStyle w:val="StyleUnderline"/>
        </w:rPr>
        <w:t xml:space="preserve"> for democracy and the future character of the international order</w:t>
      </w:r>
      <w:r>
        <w:t xml:space="preserve">. </w:t>
      </w:r>
      <w:r w:rsidRPr="002C35B3">
        <w:rPr>
          <w:rStyle w:val="StyleUnderline"/>
        </w:rPr>
        <w:t>The West’s ability to be the primary shaper of democratic institutions and norms will remain limited</w:t>
      </w:r>
      <w:r>
        <w:t xml:space="preserve">. While Western distraction may not lead to an inevitable backsliding of democracy globally, </w:t>
      </w:r>
      <w:r w:rsidRPr="002C35B3">
        <w:rPr>
          <w:rStyle w:val="StyleUnderline"/>
        </w:rPr>
        <w:t>internal disarray among the world’s most powerful democratic states leaves many unanswered questions about what countries, or coalitions of countries, will play a more active role in sustaining the pillars of the liberal order</w:t>
      </w:r>
      <w:r>
        <w:t xml:space="preserve">. </w:t>
      </w:r>
    </w:p>
    <w:p w14:paraId="5E810834" w14:textId="77777777" w:rsidR="00F93747" w:rsidRDefault="00F93747" w:rsidP="00F93747">
      <w:pPr>
        <w:pStyle w:val="Heading4"/>
      </w:pPr>
      <w:r>
        <w:t>Alt cause---China</w:t>
      </w:r>
    </w:p>
    <w:p w14:paraId="1724AAC7" w14:textId="77777777" w:rsidR="00F93747" w:rsidRPr="008330E5" w:rsidRDefault="00F93747" w:rsidP="00F93747">
      <w:r w:rsidRPr="00520507">
        <w:rPr>
          <w:rStyle w:val="Style13ptBold"/>
        </w:rPr>
        <w:t>Diamond 19</w:t>
      </w:r>
      <w:r>
        <w:t xml:space="preserve"> – PhD in Sociology, professor of Sociology and Political Science at Stanford University (Larry, “Ill Winds: Saving Democracy from Russian Rage, Chinese Ambition and American Complacency,” Kindle Edition)</w:t>
      </w:r>
    </w:p>
    <w:p w14:paraId="74B85FBE" w14:textId="77777777" w:rsidR="00F93747" w:rsidRPr="00D84C96" w:rsidRDefault="00F93747" w:rsidP="00F93747">
      <w:r>
        <w:t xml:space="preserve">Russia is also making strides to modernize its military power, particularly its ability to wage a high-speed, mechanized war, enhanced by the use of drones, high-tech tanks, electronic jamming, computer hacking, and long-range air defenses. Combined with its improvements in the range and accuracy of its weaponry, these aggressive investments pose a new and serious threat to NATO. 57 Nevertheless, </w:t>
      </w:r>
      <w:r w:rsidRPr="00520507">
        <w:rPr>
          <w:rStyle w:val="StyleUnderline"/>
        </w:rPr>
        <w:t>Russia is fundamentally a declining power whose malign intentions and nationalist bravado cannot disguise its outstripped economy and shrinking importance to the twenty-first-century world</w:t>
      </w:r>
      <w:r>
        <w:t xml:space="preserve">. </w:t>
      </w:r>
      <w:r w:rsidRPr="00520507">
        <w:rPr>
          <w:rStyle w:val="StyleUnderline"/>
        </w:rPr>
        <w:t>Another autocratic power is also cutting deep into the fabric of democracies around the world: China, an enormous, proud country that is rapidly emerging as the next superpower</w:t>
      </w:r>
      <w:r>
        <w:t xml:space="preserve">. </w:t>
      </w:r>
      <w:r w:rsidRPr="00520507">
        <w:rPr>
          <w:rStyle w:val="StyleUnderline"/>
        </w:rPr>
        <w:t>China’s methods are more patient and incremental</w:t>
      </w:r>
      <w:r>
        <w:t xml:space="preserve"> than Russia’s, relying heavily on the geopolitical leverage that comes with Beijing’s massive aid and investment, the omnipresence of its firms and immigrants, and the burgeoning flows of its money—overt and covert—to associations, parties, politicians, media, think tanks, and universities abroad. Increasingly, these forms of influence seek to compromise the independence of critical democratic institutions, stifle public criticism of China, and preempt foreign and defense policies that could hinder China’s rise to global dominance. In the long run, </w:t>
      </w:r>
      <w:r w:rsidRPr="00520507">
        <w:rPr>
          <w:rStyle w:val="StyleUnderline"/>
        </w:rPr>
        <w:t xml:space="preserve">the </w:t>
      </w:r>
      <w:r w:rsidRPr="00520507">
        <w:rPr>
          <w:rStyle w:val="Emphasis"/>
        </w:rPr>
        <w:t>greatest external threats</w:t>
      </w:r>
      <w:r w:rsidRPr="00520507">
        <w:rPr>
          <w:rStyle w:val="StyleUnderline"/>
        </w:rPr>
        <w:t xml:space="preserve"> to global democracy are the ambitions of a rising China, </w:t>
      </w:r>
      <w:r w:rsidRPr="00520507">
        <w:rPr>
          <w:rStyle w:val="Emphasis"/>
        </w:rPr>
        <w:t>not</w:t>
      </w:r>
      <w:r w:rsidRPr="00520507">
        <w:rPr>
          <w:rStyle w:val="StyleUnderline"/>
        </w:rPr>
        <w:t xml:space="preserve"> the resentments of a falling Russia</w:t>
      </w:r>
      <w:r>
        <w:t xml:space="preserve">. </w:t>
      </w:r>
      <w:r w:rsidRPr="00520507">
        <w:rPr>
          <w:rStyle w:val="StyleUnderline"/>
        </w:rPr>
        <w:t xml:space="preserve">China’s global reach and power will increasingly and inevitably </w:t>
      </w:r>
      <w:r w:rsidRPr="00520507">
        <w:t>dwarf</w:t>
      </w:r>
      <w:r w:rsidRPr="00520507">
        <w:rPr>
          <w:rStyle w:val="StyleUnderline"/>
        </w:rPr>
        <w:t xml:space="preserve"> </w:t>
      </w:r>
      <w:r>
        <w:rPr>
          <w:rStyle w:val="StyleUnderline"/>
        </w:rPr>
        <w:t xml:space="preserve">[outweigh] </w:t>
      </w:r>
      <w:r w:rsidRPr="00520507">
        <w:rPr>
          <w:rStyle w:val="StyleUnderline"/>
        </w:rPr>
        <w:t>Russia’s</w:t>
      </w:r>
      <w:r>
        <w:t xml:space="preserve">. </w:t>
      </w:r>
      <w:r w:rsidRPr="00520507">
        <w:rPr>
          <w:rStyle w:val="StyleUnderline"/>
        </w:rPr>
        <w:t>Through China’s “hidden world of inducements, threats, and plausible deniability,”</w:t>
      </w:r>
      <w:r>
        <w:t xml:space="preserve"> as the Australian journalist and policy adviser John Garnaut has put it, </w:t>
      </w:r>
      <w:r w:rsidRPr="00520507">
        <w:rPr>
          <w:rStyle w:val="StyleUnderline"/>
        </w:rPr>
        <w:t>a quiet invasion is unfolding</w:t>
      </w:r>
      <w:r>
        <w:t xml:space="preserve">. 58 And all </w:t>
      </w:r>
      <w:r w:rsidRPr="00520507">
        <w:rPr>
          <w:rStyle w:val="StyleUnderline"/>
        </w:rPr>
        <w:t>this is happening at just the moment when Donald Trump’s United States is retreating from its decades-long role of global leadership and when the American model of liberal democracy is decaying from within</w:t>
      </w:r>
      <w:r>
        <w:t>.</w:t>
      </w:r>
    </w:p>
    <w:p w14:paraId="603DF8DA" w14:textId="77777777" w:rsidR="00F93747" w:rsidRPr="003A6832" w:rsidRDefault="00F93747" w:rsidP="00F93747">
      <w:pPr>
        <w:pStyle w:val="Heading3"/>
      </w:pPr>
    </w:p>
    <w:p w14:paraId="68E61174"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9374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B206D"/>
    <w:rsid w:val="005D2912"/>
    <w:rsid w:val="006065BD"/>
    <w:rsid w:val="006113F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B5586"/>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6AF9"/>
    <w:rsid w:val="00F176EF"/>
    <w:rsid w:val="00F45E10"/>
    <w:rsid w:val="00F6364A"/>
    <w:rsid w:val="00F9113A"/>
    <w:rsid w:val="00F93747"/>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79117"/>
  <w15:chartTrackingRefBased/>
  <w15:docId w15:val="{8061AEB6-1E71-4A6F-91E4-94E32DEE2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93747"/>
    <w:rPr>
      <w:rFonts w:ascii="Calibri" w:hAnsi="Calibri" w:cs="Calibri"/>
    </w:rPr>
  </w:style>
  <w:style w:type="paragraph" w:styleId="Heading1">
    <w:name w:val="heading 1"/>
    <w:aliases w:val="Pocket"/>
    <w:basedOn w:val="Normal"/>
    <w:next w:val="Normal"/>
    <w:link w:val="Heading1Char"/>
    <w:qFormat/>
    <w:rsid w:val="00F937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937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F937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unhideWhenUsed/>
    <w:qFormat/>
    <w:rsid w:val="00F9374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F937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374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9374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F9374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7"/>
    <w:qFormat/>
    <w:rsid w:val="00F9374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9374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6"/>
    <w:qFormat/>
    <w:rsid w:val="00F93747"/>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Char Char Char Char Char Char Char Char1,TAG ,C"/>
    <w:basedOn w:val="DefaultParagraphFont"/>
    <w:uiPriority w:val="99"/>
    <w:unhideWhenUsed/>
    <w:rsid w:val="00F93747"/>
    <w:rPr>
      <w:color w:val="auto"/>
      <w:u w:val="none"/>
    </w:rPr>
  </w:style>
  <w:style w:type="character" w:styleId="FollowedHyperlink">
    <w:name w:val="FollowedHyperlink"/>
    <w:basedOn w:val="DefaultParagraphFont"/>
    <w:uiPriority w:val="99"/>
    <w:semiHidden/>
    <w:unhideWhenUsed/>
    <w:rsid w:val="00F93747"/>
    <w:rPr>
      <w:color w:val="auto"/>
      <w:u w:val="none"/>
    </w:rPr>
  </w:style>
  <w:style w:type="paragraph" w:customStyle="1" w:styleId="textbold">
    <w:name w:val="text bold"/>
    <w:basedOn w:val="Normal"/>
    <w:link w:val="Emphasis"/>
    <w:uiPriority w:val="7"/>
    <w:qFormat/>
    <w:rsid w:val="00F93747"/>
    <w:pPr>
      <w:ind w:left="720"/>
      <w:jc w:val="both"/>
    </w:pPr>
    <w:rPr>
      <w:b/>
      <w:iCs/>
      <w:u w:val="single"/>
    </w:rPr>
  </w:style>
  <w:style w:type="character" w:customStyle="1" w:styleId="StyleStyleUnderlineUnderlineStyleBoldUnderlineIntenseEmphas">
    <w:name w:val="Style Style UnderlineUnderlineStyle Bold UnderlineIntense Emphas..."/>
    <w:basedOn w:val="DefaultParagraphFont"/>
    <w:rsid w:val="00F93747"/>
    <w:rPr>
      <w:b w:val="0"/>
      <w:sz w:val="22"/>
      <w:u w:val="single"/>
      <w:bdr w:val="none" w:sz="0"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umn.edu/cgi/viewcontent.cgi?article=1534&amp;context=faculty_articles" TargetMode="External"/><Relationship Id="rId13" Type="http://schemas.openxmlformats.org/officeDocument/2006/relationships/hyperlink" Target="https://scholarship.law.georgetown.edu/cgi/viewcontent.cgi?article=2285&amp;context=facpub" TargetMode="External"/><Relationship Id="rId18" Type="http://schemas.openxmlformats.org/officeDocument/2006/relationships/hyperlink" Target="https://abcnews.go.com/US/police-implement-sweeping-policy-prepare-coronavirus-spread/story?id=69672368" TargetMode="External"/><Relationship Id="rId26" Type="http://schemas.openxmlformats.org/officeDocument/2006/relationships/hyperlink" Target="https://scholarship.law.wm.edu/cgi/viewcontent.cgi?article=1377&amp;context=wmlr" TargetMode="External"/><Relationship Id="rId3" Type="http://schemas.openxmlformats.org/officeDocument/2006/relationships/styles" Target="styles.xml"/><Relationship Id="rId21" Type="http://schemas.openxmlformats.org/officeDocument/2006/relationships/hyperlink" Target="https://www.foreign.senate.gov/imo/media/doc/021617_Kasparov_%20Testimony.pdf" TargetMode="External"/><Relationship Id="rId7" Type="http://schemas.openxmlformats.org/officeDocument/2006/relationships/hyperlink" Target="https://www.researchgate.net/profile/Marc_Miller3/publication/238792270_Sentencing_Information_Systems_Transparency_and_the_Next_Generation_of_Reform/links/0c960529d9ff8a18db000000/Sentencing-Information-Systems-Transparency-and-the-Next-Generation-of-Reform.pdf" TargetMode="External"/><Relationship Id="rId12" Type="http://schemas.openxmlformats.org/officeDocument/2006/relationships/hyperlink" Target="https://scholarship.law.georgetown.edu/cgi/viewcontent.cgi?article=2285&amp;context=facpub" TargetMode="External"/><Relationship Id="rId17" Type="http://schemas.openxmlformats.org/officeDocument/2006/relationships/hyperlink" Target="https://abcnews.go.com/alerts/obamacare" TargetMode="External"/><Relationship Id="rId25" Type="http://schemas.openxmlformats.org/officeDocument/2006/relationships/hyperlink" Target="https://scholarship.law.wm.edu/cgi/viewcontent.cgi?article=1377&amp;context=wmlr" TargetMode="External"/><Relationship Id="rId2" Type="http://schemas.openxmlformats.org/officeDocument/2006/relationships/numbering" Target="numbering.xml"/><Relationship Id="rId16" Type="http://schemas.openxmlformats.org/officeDocument/2006/relationships/hyperlink" Target="https://abcnews.go.com/Health/Coronavirus" TargetMode="External"/><Relationship Id="rId20" Type="http://schemas.openxmlformats.org/officeDocument/2006/relationships/hyperlink" Target="https://www.law.georgetown.edu/american-criminal-law-review/wp-content/uploads/sites/15/2019/06/56-4-Criminal-Law-and-Cooperative-Federalism.pdf%5d//AV" TargetMode="External"/><Relationship Id="rId29" Type="http://schemas.openxmlformats.org/officeDocument/2006/relationships/hyperlink" Target="https://openaccess.leidenuniv.nl/handle/1887/13839" TargetMode="External"/><Relationship Id="rId1" Type="http://schemas.openxmlformats.org/officeDocument/2006/relationships/customXml" Target="../customXml/item1.xml"/><Relationship Id="rId6" Type="http://schemas.openxmlformats.org/officeDocument/2006/relationships/hyperlink" Target="https://search-proquest-com.proxy.lib.umich.edu/docview/236251940/9FAE387A9D2844B7PQ/32?accountid=14667" TargetMode="External"/><Relationship Id="rId11" Type="http://schemas.openxmlformats.org/officeDocument/2006/relationships/hyperlink" Target="https://scholarship.law.georgetown.edu/cgi/viewcontent.cgi?article=2285&amp;context=facpub" TargetMode="External"/><Relationship Id="rId24" Type="http://schemas.openxmlformats.org/officeDocument/2006/relationships/hyperlink" Target="https://scholarship.law.wm.edu/cgi/viewcontent.cgi?article=1377&amp;context=wmlr" TargetMode="External"/><Relationship Id="rId5" Type="http://schemas.openxmlformats.org/officeDocument/2006/relationships/webSettings" Target="webSettings.xml"/><Relationship Id="rId15" Type="http://schemas.openxmlformats.org/officeDocument/2006/relationships/hyperlink" Target="https://www.michigan.gov/documents/msp/Legal_Update_-_Feb_2007_Final_Draft_188775_7.pdf" TargetMode="External"/><Relationship Id="rId23" Type="http://schemas.openxmlformats.org/officeDocument/2006/relationships/hyperlink" Target="https://www.law.georgetown.edu/american-criminal-law-review/wp-content/uploads/sites/15/2019/06/56-4-Criminal-Law-and-Cooperative-Federalism.pdf%5d//AV" TargetMode="External"/><Relationship Id="rId28" Type="http://schemas.openxmlformats.org/officeDocument/2006/relationships/hyperlink" Target="https://papers.ssrn.com/sol3/papers.cfm?abstract_id=2604459)TGT" TargetMode="External"/><Relationship Id="rId10" Type="http://schemas.openxmlformats.org/officeDocument/2006/relationships/hyperlink" Target="https://scholarship.law.georgetown.edu/cgi/viewcontent.cgi?article=2285&amp;context=facpub" TargetMode="External"/><Relationship Id="rId19" Type="http://schemas.openxmlformats.org/officeDocument/2006/relationships/hyperlink" Target="https://papers.ssrn.com/sol3/papers.cfm?abstract_id=2604459)TG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cholarship.law.georgetown.edu/cgi/viewcontent.cgi?article=2285&amp;context=facpub" TargetMode="External"/><Relationship Id="rId14" Type="http://schemas.openxmlformats.org/officeDocument/2006/relationships/hyperlink" Target="https://fas.org/sgp/crs/misc/R41177.pdf" TargetMode="External"/><Relationship Id="rId22" Type="http://schemas.openxmlformats.org/officeDocument/2006/relationships/hyperlink" Target="https://www.washingtonpost.com/news/volokh-conspiracy/wp/2017/05/09/centralizing-and-decentralizing-trends-on-federal-high-courts/)//ICW" TargetMode="External"/><Relationship Id="rId27" Type="http://schemas.openxmlformats.org/officeDocument/2006/relationships/hyperlink" Target="https://scholarship.law.wm.edu/cgi/viewcontent.cgi?article=1377&amp;context=wmlr"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hi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80617F-DAED-4206-A659-D43ADC23B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Pages>
  <Words>20134</Words>
  <Characters>114769</Characters>
  <Application>Microsoft Office Word</Application>
  <DocSecurity>0</DocSecurity>
  <Lines>956</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 Bharanidhar</dc:creator>
  <cp:keywords>5.1.1</cp:keywords>
  <dc:description/>
  <cp:lastModifiedBy>Eric Oddo</cp:lastModifiedBy>
  <cp:revision>2</cp:revision>
  <dcterms:created xsi:type="dcterms:W3CDTF">2020-07-30T17:18:00Z</dcterms:created>
  <dcterms:modified xsi:type="dcterms:W3CDTF">2020-07-30T17:18:00Z</dcterms:modified>
</cp:coreProperties>
</file>