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F66991" w14:textId="102746BC" w:rsidR="00A71D7B" w:rsidRDefault="00A71D7B" w:rsidP="00A71D7B">
      <w:pPr>
        <w:pStyle w:val="Heading3"/>
      </w:pPr>
      <w:bookmarkStart w:id="0" w:name="_GoBack"/>
      <w:bookmarkEnd w:id="0"/>
      <w:r>
        <w:t>1NC – Court Clog</w:t>
      </w:r>
      <w:r w:rsidR="00F72D1F">
        <w:t xml:space="preserve"> – Teaser</w:t>
      </w:r>
    </w:p>
    <w:p w14:paraId="5961505F" w14:textId="3F95836F" w:rsidR="004E32B4" w:rsidRDefault="004E32B4" w:rsidP="00A71D7B">
      <w:pPr>
        <w:pStyle w:val="Heading4"/>
      </w:pPr>
      <w:r>
        <w:t xml:space="preserve">The federal government adheres to a </w:t>
      </w:r>
      <w:r>
        <w:rPr>
          <w:u w:val="single"/>
        </w:rPr>
        <w:t xml:space="preserve">drug-court </w:t>
      </w:r>
      <w:r>
        <w:t>model for all criminal justice reform implementation</w:t>
      </w:r>
    </w:p>
    <w:p w14:paraId="65E00693" w14:textId="021943D8" w:rsidR="00F72D1F" w:rsidRPr="00F72D1F" w:rsidRDefault="00F72D1F" w:rsidP="00F72D1F">
      <w:pPr>
        <w:rPr>
          <w:rStyle w:val="Style13ptBold"/>
          <w:b w:val="0"/>
          <w:bCs w:val="0"/>
        </w:rPr>
      </w:pPr>
      <w:r w:rsidRPr="00F72D1F">
        <w:rPr>
          <w:rStyle w:val="Style13ptBold"/>
          <w:b w:val="0"/>
          <w:bCs w:val="0"/>
          <w:sz w:val="16"/>
          <w:szCs w:val="16"/>
        </w:rPr>
        <w:t>Jessica M.</w:t>
      </w:r>
      <w:r>
        <w:rPr>
          <w:rStyle w:val="Style13ptBold"/>
          <w:b w:val="0"/>
          <w:bCs w:val="0"/>
        </w:rPr>
        <w:t xml:space="preserve"> </w:t>
      </w:r>
      <w:r>
        <w:rPr>
          <w:rStyle w:val="Style13ptBold"/>
        </w:rPr>
        <w:t>Eaglin ’16</w:t>
      </w:r>
      <w:r w:rsidRPr="00F72D1F">
        <w:rPr>
          <w:rStyle w:val="Style13ptBold"/>
          <w:b w:val="0"/>
          <w:bCs w:val="0"/>
          <w:sz w:val="16"/>
          <w:szCs w:val="16"/>
        </w:rPr>
        <w:t xml:space="preserve">, Associate Professor, Indiana University Maurer School of Law and former counsel, Justice Program, Brennan Center for Justice at NYU School of Law, “ARTICLE: THE DRUG COURT PARADIGM, 53 Am. Crim. L. Rev. 595”, Summer 2016, accessed via </w:t>
      </w:r>
      <w:proofErr w:type="spellStart"/>
      <w:r w:rsidRPr="00F72D1F">
        <w:rPr>
          <w:rStyle w:val="Style13ptBold"/>
          <w:b w:val="0"/>
          <w:bCs w:val="0"/>
          <w:sz w:val="16"/>
          <w:szCs w:val="16"/>
        </w:rPr>
        <w:t>NexisUni</w:t>
      </w:r>
      <w:proofErr w:type="spellEnd"/>
    </w:p>
    <w:p w14:paraId="59AE8164" w14:textId="6455051C" w:rsidR="004E32B4" w:rsidRPr="0061729D" w:rsidRDefault="004E32B4" w:rsidP="004E32B4">
      <w:pPr>
        <w:rPr>
          <w:rStyle w:val="StyleUnderline"/>
          <w:b/>
          <w:bCs/>
        </w:rPr>
      </w:pPr>
      <w:r w:rsidRPr="0061729D">
        <w:rPr>
          <w:rStyle w:val="StyleUnderline"/>
          <w:b/>
          <w:bCs/>
        </w:rPr>
        <w:t xml:space="preserve">Reforms introduced at the </w:t>
      </w:r>
      <w:r w:rsidRPr="0061729D">
        <w:rPr>
          <w:rStyle w:val="Emphasis"/>
        </w:rPr>
        <w:t>federal level</w:t>
      </w:r>
      <w:r w:rsidRPr="0061729D">
        <w:rPr>
          <w:rStyle w:val="StyleUnderline"/>
          <w:b/>
          <w:bCs/>
        </w:rPr>
        <w:t xml:space="preserve"> to address mass incarceration tend to adhere to the </w:t>
      </w:r>
      <w:r w:rsidRPr="0061729D">
        <w:rPr>
          <w:rStyle w:val="Emphasis"/>
        </w:rPr>
        <w:t>drug court paradigm</w:t>
      </w:r>
      <w:r w:rsidRPr="0061729D">
        <w:rPr>
          <w:rStyle w:val="StyleUnderline"/>
          <w:b/>
          <w:bCs/>
        </w:rPr>
        <w:t xml:space="preserve"> as well.</w:t>
      </w:r>
      <w:r w:rsidRPr="0061729D">
        <w:rPr>
          <w:sz w:val="14"/>
        </w:rPr>
        <w:t xml:space="preserve"> When considering federal reforms, one must consider both what the federal government pushes at the state level and what reforms it adopts to apply to the federal system. The federal government funds the JRI, discussed above. 164Link to the text of the note </w:t>
      </w:r>
      <w:r w:rsidRPr="0061729D">
        <w:rPr>
          <w:rStyle w:val="StyleUnderline"/>
        </w:rPr>
        <w:t>Moreover, Congress supported drug court development in the states since 1994 through federal funding</w:t>
      </w:r>
      <w:r w:rsidRPr="0061729D">
        <w:rPr>
          <w:sz w:val="14"/>
        </w:rPr>
        <w:t xml:space="preserve">. 165Link to the text of the note </w:t>
      </w:r>
      <w:proofErr w:type="gramStart"/>
      <w:r w:rsidRPr="0061729D">
        <w:rPr>
          <w:rStyle w:val="StyleUnderline"/>
        </w:rPr>
        <w:t>In</w:t>
      </w:r>
      <w:proofErr w:type="gramEnd"/>
      <w:r w:rsidRPr="0061729D">
        <w:rPr>
          <w:rStyle w:val="StyleUnderline"/>
        </w:rPr>
        <w:t xml:space="preserve"> 2002, President Bush included $ 50 million in the budget to support local drug courts and the National Drug Court Institute.</w:t>
      </w:r>
      <w:r w:rsidRPr="0061729D">
        <w:rPr>
          <w:sz w:val="14"/>
        </w:rPr>
        <w:t xml:space="preserve"> 166Link to the text of the note </w:t>
      </w:r>
      <w:r w:rsidRPr="0061729D">
        <w:rPr>
          <w:rStyle w:val="StyleUnderline"/>
        </w:rPr>
        <w:t>Congress continued to support the development, implementation, and expansion of drug courts through the Drug Court Discretionary Grant Program</w:t>
      </w:r>
      <w:r w:rsidRPr="0061729D">
        <w:rPr>
          <w:sz w:val="14"/>
        </w:rPr>
        <w:t xml:space="preserve">. 167Link to the text of the note </w:t>
      </w:r>
      <w:proofErr w:type="gramStart"/>
      <w:r w:rsidRPr="0061729D">
        <w:rPr>
          <w:rStyle w:val="StyleUnderline"/>
          <w:b/>
          <w:bCs/>
        </w:rPr>
        <w:t>To</w:t>
      </w:r>
      <w:proofErr w:type="gramEnd"/>
      <w:r w:rsidRPr="0061729D">
        <w:rPr>
          <w:rStyle w:val="StyleUnderline"/>
          <w:b/>
          <w:bCs/>
        </w:rPr>
        <w:t xml:space="preserve"> the extent that drug courts created a frame to address mass incarceration, the federal government contributed to that development.</w:t>
      </w:r>
    </w:p>
    <w:p w14:paraId="2CB1EB66" w14:textId="353B2348" w:rsidR="004E32B4" w:rsidRDefault="004E32B4" w:rsidP="004E32B4">
      <w:pPr>
        <w:pStyle w:val="Heading4"/>
      </w:pPr>
      <w:r>
        <w:t xml:space="preserve">The </w:t>
      </w:r>
      <w:r>
        <w:rPr>
          <w:u w:val="single"/>
        </w:rPr>
        <w:t>drug-court</w:t>
      </w:r>
      <w:r>
        <w:t xml:space="preserve"> model for CJR results in a “plea-to-prison” pipeline where concerns over efficiency and less "prosecutions” becomes the dominant focus of reform that results in </w:t>
      </w:r>
      <w:r>
        <w:rPr>
          <w:u w:val="single"/>
        </w:rPr>
        <w:t>increasingly punitive</w:t>
      </w:r>
      <w:r>
        <w:t xml:space="preserve"> criminal system</w:t>
      </w:r>
      <w:r w:rsidR="0061729D">
        <w:t xml:space="preserve"> that shuts down opportunity for reform</w:t>
      </w:r>
      <w:r>
        <w:t xml:space="preserve"> – turns case</w:t>
      </w:r>
    </w:p>
    <w:p w14:paraId="0B12105A" w14:textId="77777777" w:rsidR="00F72D1F" w:rsidRPr="00F72D1F" w:rsidRDefault="00F72D1F" w:rsidP="00F72D1F">
      <w:pPr>
        <w:rPr>
          <w:rStyle w:val="Style13ptBold"/>
          <w:b w:val="0"/>
          <w:bCs w:val="0"/>
        </w:rPr>
      </w:pPr>
      <w:r w:rsidRPr="00F72D1F">
        <w:rPr>
          <w:rStyle w:val="Style13ptBold"/>
          <w:b w:val="0"/>
          <w:bCs w:val="0"/>
          <w:sz w:val="16"/>
          <w:szCs w:val="16"/>
        </w:rPr>
        <w:t>Jessica M.</w:t>
      </w:r>
      <w:r>
        <w:rPr>
          <w:rStyle w:val="Style13ptBold"/>
          <w:b w:val="0"/>
          <w:bCs w:val="0"/>
        </w:rPr>
        <w:t xml:space="preserve"> </w:t>
      </w:r>
      <w:r>
        <w:rPr>
          <w:rStyle w:val="Style13ptBold"/>
        </w:rPr>
        <w:t>Eaglin ’16</w:t>
      </w:r>
      <w:r w:rsidRPr="00F72D1F">
        <w:rPr>
          <w:rStyle w:val="Style13ptBold"/>
          <w:b w:val="0"/>
          <w:bCs w:val="0"/>
          <w:sz w:val="16"/>
          <w:szCs w:val="16"/>
        </w:rPr>
        <w:t xml:space="preserve">, Associate Professor, Indiana University Maurer School of Law and former counsel, Justice Program, Brennan Center for Justice at NYU School of Law, “ARTICLE: THE DRUG COURT PARADIGM, 53 Am. Crim. L. Rev. 595”, Summer 2016, accessed via </w:t>
      </w:r>
      <w:proofErr w:type="spellStart"/>
      <w:r w:rsidRPr="00F72D1F">
        <w:rPr>
          <w:rStyle w:val="Style13ptBold"/>
          <w:b w:val="0"/>
          <w:bCs w:val="0"/>
          <w:sz w:val="16"/>
          <w:szCs w:val="16"/>
        </w:rPr>
        <w:t>NexisUni</w:t>
      </w:r>
      <w:proofErr w:type="spellEnd"/>
    </w:p>
    <w:p w14:paraId="375908FC" w14:textId="0B255052" w:rsidR="004E32B4" w:rsidRPr="0061729D" w:rsidRDefault="004E32B4" w:rsidP="004E32B4">
      <w:pPr>
        <w:rPr>
          <w:sz w:val="14"/>
        </w:rPr>
      </w:pPr>
      <w:r w:rsidRPr="0061729D">
        <w:rPr>
          <w:sz w:val="14"/>
        </w:rPr>
        <w:t xml:space="preserve"> [*633</w:t>
      </w:r>
      <w:proofErr w:type="gramStart"/>
      <w:r w:rsidRPr="0061729D">
        <w:rPr>
          <w:sz w:val="14"/>
        </w:rPr>
        <w:t xml:space="preserve">]  </w:t>
      </w:r>
      <w:r w:rsidRPr="0061729D">
        <w:rPr>
          <w:rStyle w:val="StyleUnderline"/>
        </w:rPr>
        <w:t>The</w:t>
      </w:r>
      <w:proofErr w:type="gramEnd"/>
      <w:r w:rsidRPr="0061729D">
        <w:rPr>
          <w:rStyle w:val="StyleUnderline"/>
        </w:rPr>
        <w:t xml:space="preserve"> drug court paradigm's focus on effectiveness may obscure normative questions on policy developments</w:t>
      </w:r>
      <w:r w:rsidRPr="0061729D">
        <w:rPr>
          <w:sz w:val="14"/>
        </w:rPr>
        <w:t xml:space="preserve"> as well. Whether social ills should be addressed through the criminal justice system may be overlooked when evidence demonstrates that social ills can be addressed through the criminal justice system. Scholars have grappled with this dilemma for some time--should criminal justice sanctions be used to induce treatment? 274Link to the text of the note </w:t>
      </w:r>
      <w:r w:rsidRPr="0061729D">
        <w:rPr>
          <w:rStyle w:val="StyleUnderline"/>
        </w:rPr>
        <w:t>This drug court paradigm's focus on effectiveness may compound this dilemma</w:t>
      </w:r>
      <w:r w:rsidRPr="0061729D">
        <w:rPr>
          <w:rStyle w:val="StyleUnderline"/>
          <w:b/>
          <w:bCs/>
        </w:rPr>
        <w:t>. Reforms adopted within the paradigm seek to answer questions about efficiency and effectiveness</w:t>
      </w:r>
      <w:r w:rsidRPr="0061729D">
        <w:rPr>
          <w:sz w:val="14"/>
        </w:rPr>
        <w:t xml:space="preserve">. </w:t>
      </w:r>
      <w:r w:rsidRPr="0061729D">
        <w:rPr>
          <w:rStyle w:val="StyleUnderline"/>
          <w:b/>
          <w:bCs/>
        </w:rPr>
        <w:t>How efficient can we be at providing services? How much money does it save?</w:t>
      </w:r>
      <w:r w:rsidRPr="0061729D">
        <w:rPr>
          <w:sz w:val="14"/>
        </w:rPr>
        <w:t xml:space="preserve"> </w:t>
      </w:r>
      <w:r w:rsidRPr="0061729D">
        <w:rPr>
          <w:rStyle w:val="StyleUnderline"/>
          <w:b/>
          <w:bCs/>
        </w:rPr>
        <w:t xml:space="preserve">This focus </w:t>
      </w:r>
      <w:r w:rsidRPr="0061729D">
        <w:rPr>
          <w:rStyle w:val="Emphasis"/>
        </w:rPr>
        <w:t>obscures</w:t>
      </w:r>
      <w:r w:rsidRPr="0061729D">
        <w:rPr>
          <w:rStyle w:val="StyleUnderline"/>
          <w:b/>
          <w:bCs/>
        </w:rPr>
        <w:t xml:space="preserve"> the normative question underlying the policy developments: should certain services be provided through the criminal justice system?</w:t>
      </w:r>
      <w:r w:rsidRPr="0061729D">
        <w:rPr>
          <w:sz w:val="14"/>
        </w:rPr>
        <w:t xml:space="preserve"> </w:t>
      </w:r>
      <w:r w:rsidRPr="0061729D">
        <w:rPr>
          <w:rStyle w:val="StyleUnderline"/>
          <w:b/>
          <w:bCs/>
        </w:rPr>
        <w:t>States can reduce their incarcerated population and shift spending to other public services; or increase criminal justice capacities by reducing incarceration for some types of offenders</w:t>
      </w:r>
      <w:r w:rsidRPr="0061729D">
        <w:rPr>
          <w:sz w:val="14"/>
        </w:rPr>
        <w:t xml:space="preserve">. </w:t>
      </w:r>
      <w:r w:rsidRPr="0061729D">
        <w:rPr>
          <w:rStyle w:val="StyleUnderline"/>
          <w:b/>
          <w:bCs/>
        </w:rPr>
        <w:t>Trends in state incarceration rates suggests that most states have chosen the latter option</w:t>
      </w:r>
      <w:r w:rsidRPr="0061729D">
        <w:rPr>
          <w:sz w:val="14"/>
        </w:rPr>
        <w:t xml:space="preserve">--modestly </w:t>
      </w:r>
      <w:r w:rsidRPr="0061729D">
        <w:rPr>
          <w:rStyle w:val="StyleUnderline"/>
          <w:b/>
          <w:bCs/>
        </w:rPr>
        <w:t>alter the method of supervision for some offenders to increase criminal justice services, like policing, probation, and punitive treatment programs</w:t>
      </w:r>
      <w:r w:rsidRPr="0061729D">
        <w:rPr>
          <w:sz w:val="14"/>
        </w:rPr>
        <w:t xml:space="preserve">. Rather than reducing reliance on criminal justice to resolve social ills, states can simply change the way they use their correctional resources. Reforms adopted within the drug court paradigm's frame tend to demonstrate this point. JRI states are now using justice reinvestment savings to fund community corrections and law enforcement agencies. 275Link to the text of the note JRI reforms encourage the creation of punitive treatment programs as an alternative to incarceration, along with other EBPPs that increase surveillance while potentially decreasing incarceration. 276Link to the text of the note California's Public Safety Realignment similarly encourages surveillance mechanisms like GPS monitoring and drug treatment programs to manage the influx of offenders directed to local jails rather than state prisons. 277Link to the text of the note Efficiencies in these states can stabilize the justice system's costs without meaningfully detracting its reach. 278Link to the text of the note Studies on efficiency gains in court adjudication support this dichotomy in responses as well. 279Link to the text of the note </w:t>
      </w:r>
      <w:proofErr w:type="gramStart"/>
      <w:r w:rsidRPr="0061729D">
        <w:rPr>
          <w:sz w:val="14"/>
        </w:rPr>
        <w:t>The</w:t>
      </w:r>
      <w:proofErr w:type="gramEnd"/>
      <w:r w:rsidRPr="0061729D">
        <w:rPr>
          <w:sz w:val="14"/>
        </w:rPr>
        <w:t xml:space="preserve"> paradigm's focus on efficiency, then, hides a deeper tension about whether moving away from mass incarceration requires relinquish-</w:t>
      </w:r>
      <w:proofErr w:type="spellStart"/>
      <w:r w:rsidRPr="0061729D">
        <w:rPr>
          <w:sz w:val="14"/>
        </w:rPr>
        <w:t>ing</w:t>
      </w:r>
      <w:proofErr w:type="spellEnd"/>
      <w:r w:rsidR="0061729D" w:rsidRPr="0061729D">
        <w:rPr>
          <w:sz w:val="14"/>
        </w:rPr>
        <w:t xml:space="preserve"> </w:t>
      </w:r>
      <w:r w:rsidRPr="0061729D">
        <w:rPr>
          <w:sz w:val="14"/>
        </w:rPr>
        <w:t>[*634]</w:t>
      </w:r>
      <w:r w:rsidR="0061729D" w:rsidRPr="0061729D">
        <w:rPr>
          <w:sz w:val="14"/>
        </w:rPr>
        <w:t xml:space="preserve"> </w:t>
      </w:r>
      <w:r w:rsidRPr="0061729D">
        <w:rPr>
          <w:sz w:val="14"/>
        </w:rPr>
        <w:t>actual state control over criminal offenders. 280Link to the text of the note</w:t>
      </w:r>
      <w:r w:rsidR="0061729D" w:rsidRPr="0061729D">
        <w:rPr>
          <w:sz w:val="14"/>
        </w:rPr>
        <w:t xml:space="preserve"> </w:t>
      </w:r>
      <w:r w:rsidRPr="0061729D">
        <w:rPr>
          <w:sz w:val="14"/>
        </w:rPr>
        <w:t>IV. ON REIMAGINING PUNISHMENT</w:t>
      </w:r>
      <w:r w:rsidR="0061729D" w:rsidRPr="0061729D">
        <w:rPr>
          <w:sz w:val="14"/>
        </w:rPr>
        <w:t xml:space="preserve"> </w:t>
      </w:r>
      <w:r w:rsidRPr="0061729D">
        <w:rPr>
          <w:rStyle w:val="StyleUnderline"/>
        </w:rPr>
        <w:t>Drug courts were the leading innovation and intervention created in response to the pressures mass incarceration placed on criminal justice actors</w:t>
      </w:r>
      <w:r w:rsidRPr="0061729D">
        <w:rPr>
          <w:sz w:val="14"/>
        </w:rPr>
        <w:t xml:space="preserve">. This Article demonstrates how this innovation shaped and influenced current, different criminal justice "interventions." </w:t>
      </w:r>
      <w:r w:rsidRPr="0061729D">
        <w:rPr>
          <w:rStyle w:val="StyleUnderline"/>
        </w:rPr>
        <w:t>Previous Sections expose systemic shortcomings inherent to the frame of reform that shape the current wave of criminal justice reform</w:t>
      </w:r>
      <w:r w:rsidRPr="0061729D">
        <w:rPr>
          <w:sz w:val="14"/>
        </w:rPr>
        <w:t xml:space="preserve">. </w:t>
      </w:r>
      <w:r w:rsidRPr="0061729D">
        <w:rPr>
          <w:rStyle w:val="StyleUnderline"/>
          <w:b/>
          <w:bCs/>
        </w:rPr>
        <w:t>More than simply the result of a political tradeoff, this paradigm frames mass incarceration in a way that is spurring a new conceptualization of who and how to punish</w:t>
      </w:r>
      <w:r w:rsidRPr="0061729D">
        <w:rPr>
          <w:sz w:val="14"/>
        </w:rPr>
        <w:t>.</w:t>
      </w:r>
      <w:r w:rsidR="0061729D" w:rsidRPr="0061729D">
        <w:rPr>
          <w:sz w:val="14"/>
        </w:rPr>
        <w:t xml:space="preserve"> </w:t>
      </w:r>
      <w:r w:rsidRPr="0061729D">
        <w:rPr>
          <w:sz w:val="14"/>
        </w:rPr>
        <w:t>Identifying the frame provides new insight into the direction of criminal justice reform. Part A argues that the current frame's focus on evidence of recidivism reduction and cost-efficiency represents the success of drug courts in reshaping definitions of government "success" in criminal justice context. Part B explores the meaning of this shift for the politics of punishment.</w:t>
      </w:r>
      <w:r w:rsidR="0061729D" w:rsidRPr="0061729D">
        <w:rPr>
          <w:sz w:val="14"/>
        </w:rPr>
        <w:t xml:space="preserve"> </w:t>
      </w:r>
      <w:r w:rsidRPr="0061729D">
        <w:rPr>
          <w:sz w:val="14"/>
        </w:rPr>
        <w:t>A. Redefining "Success" in Reforms</w:t>
      </w:r>
      <w:r w:rsidR="0061729D" w:rsidRPr="0061729D">
        <w:rPr>
          <w:sz w:val="14"/>
        </w:rPr>
        <w:t xml:space="preserve"> </w:t>
      </w:r>
      <w:r w:rsidRPr="0061729D">
        <w:rPr>
          <w:rStyle w:val="StyleUnderline"/>
          <w:b/>
          <w:bCs/>
        </w:rPr>
        <w:t>The drug court paradigm captures an approach to justice reform whose origin lies in government disillusionment in its criminal justice capacities</w:t>
      </w:r>
      <w:r w:rsidRPr="0061729D">
        <w:rPr>
          <w:sz w:val="14"/>
        </w:rPr>
        <w:t>. In 2001, sociologist David Garland observed a unique bifurcation in the U.S. government's response to high crime rates and its own inability to control crime: state agencies responded to indictments of government failure by "scaling down expectations, . . . redefining their aims, and seeking to change the criteria by which failure and success are judged" in the context of criminal justice. 281Link to the text of the note Politicians, on the other hand, began the expressive and well-documented tough on crime campaigns to increase punishment severity. 282Link to the text of the note</w:t>
      </w:r>
      <w:r w:rsidR="0061729D" w:rsidRPr="0061729D">
        <w:rPr>
          <w:sz w:val="14"/>
        </w:rPr>
        <w:t xml:space="preserve"> </w:t>
      </w:r>
      <w:proofErr w:type="gramStart"/>
      <w:r w:rsidRPr="0061729D">
        <w:rPr>
          <w:rStyle w:val="StyleUnderline"/>
        </w:rPr>
        <w:t>In</w:t>
      </w:r>
      <w:proofErr w:type="gramEnd"/>
      <w:r w:rsidRPr="0061729D">
        <w:rPr>
          <w:rStyle w:val="StyleUnderline"/>
        </w:rPr>
        <w:t xml:space="preserve"> shifting the criteria used to define success in criminal justice, drug courts reflect an agency response to government failure</w:t>
      </w:r>
      <w:r w:rsidRPr="0061729D">
        <w:rPr>
          <w:sz w:val="14"/>
        </w:rPr>
        <w:t xml:space="preserve">. </w:t>
      </w:r>
      <w:r w:rsidRPr="0061729D">
        <w:rPr>
          <w:rStyle w:val="StyleUnderline"/>
        </w:rPr>
        <w:t>Criteria of success once turned on social goals--like crime rates and catching offenders.</w:t>
      </w:r>
      <w:r w:rsidRPr="0061729D">
        <w:rPr>
          <w:sz w:val="14"/>
        </w:rPr>
        <w:t xml:space="preserve"> 283Link to the text of the note </w:t>
      </w:r>
      <w:r w:rsidRPr="0061729D">
        <w:rPr>
          <w:rStyle w:val="StyleUnderline"/>
          <w:b/>
          <w:bCs/>
        </w:rPr>
        <w:t xml:space="preserve">Starting in the 1980s, the government sought to be evaluated by performance indicators over which they had more control, like measures of economy and efficiency, </w:t>
      </w:r>
      <w:r w:rsidRPr="0061729D">
        <w:rPr>
          <w:rStyle w:val="Emphasis"/>
        </w:rPr>
        <w:t>regardless of whether these had effects on crime or convictions</w:t>
      </w:r>
      <w:r w:rsidRPr="0061729D">
        <w:rPr>
          <w:sz w:val="14"/>
        </w:rPr>
        <w:t xml:space="preserve">. 284Link to the text of the note </w:t>
      </w:r>
      <w:r w:rsidRPr="0061729D">
        <w:rPr>
          <w:rStyle w:val="StyleUnderline"/>
          <w:b/>
          <w:bCs/>
        </w:rPr>
        <w:t>Drug courts represent one example of the numerous "micro-interventions at the local and community level to change the behavior of individuals" in response to disillusionment with government failures</w:t>
      </w:r>
      <w:r w:rsidR="0061729D" w:rsidRPr="0061729D">
        <w:rPr>
          <w:sz w:val="14"/>
        </w:rPr>
        <w:t xml:space="preserve"> </w:t>
      </w:r>
      <w:r w:rsidRPr="0061729D">
        <w:rPr>
          <w:sz w:val="14"/>
        </w:rPr>
        <w:t>[*635]</w:t>
      </w:r>
      <w:r w:rsidR="0061729D" w:rsidRPr="0061729D">
        <w:rPr>
          <w:sz w:val="14"/>
        </w:rPr>
        <w:t xml:space="preserve"> </w:t>
      </w:r>
      <w:r w:rsidRPr="0061729D">
        <w:rPr>
          <w:sz w:val="14"/>
        </w:rPr>
        <w:t xml:space="preserve">in criminal justice. 285Link to the text of the note </w:t>
      </w:r>
      <w:r w:rsidRPr="0061729D">
        <w:rPr>
          <w:rStyle w:val="Emphasis"/>
        </w:rPr>
        <w:t>Drug courts evaluate themselves based upon internal, measurable goals like efficiency and effectiveness rather than broader social goals like reduced incidences of crime</w:t>
      </w:r>
      <w:r w:rsidRPr="0061729D">
        <w:rPr>
          <w:sz w:val="14"/>
        </w:rPr>
        <w:t xml:space="preserve">. 286Link to the text of the note </w:t>
      </w:r>
      <w:r w:rsidRPr="0061729D">
        <w:rPr>
          <w:rStyle w:val="StyleUnderline"/>
          <w:b/>
          <w:bCs/>
        </w:rPr>
        <w:t xml:space="preserve">Additionally, the government </w:t>
      </w:r>
      <w:r w:rsidRPr="0061729D">
        <w:rPr>
          <w:rStyle w:val="Emphasis"/>
        </w:rPr>
        <w:t>shifts responsibility</w:t>
      </w:r>
      <w:r w:rsidRPr="0061729D">
        <w:rPr>
          <w:rStyle w:val="StyleUnderline"/>
          <w:b/>
          <w:bCs/>
        </w:rPr>
        <w:t xml:space="preserve"> for outcomes </w:t>
      </w:r>
      <w:r w:rsidRPr="0061729D">
        <w:rPr>
          <w:rStyle w:val="Emphasis"/>
        </w:rPr>
        <w:t>onto the defendants</w:t>
      </w:r>
      <w:r w:rsidRPr="0061729D">
        <w:rPr>
          <w:rStyle w:val="StyleUnderline"/>
          <w:b/>
          <w:bCs/>
        </w:rPr>
        <w:t xml:space="preserve"> themselves, introducing a new personal accountability aspect to the success of treatment programs</w:t>
      </w:r>
      <w:r w:rsidRPr="0061729D">
        <w:rPr>
          <w:sz w:val="14"/>
        </w:rPr>
        <w:t>. 287Link to the text of the note This innovative reform did more than simply facilitate treatment in communities; it also advanced a broader shift in how the government chose to measure success.</w:t>
      </w:r>
      <w:r w:rsidR="0061729D" w:rsidRPr="0061729D">
        <w:rPr>
          <w:sz w:val="14"/>
        </w:rPr>
        <w:t xml:space="preserve"> </w:t>
      </w:r>
      <w:r w:rsidRPr="0061729D">
        <w:rPr>
          <w:rStyle w:val="StyleUnderline"/>
        </w:rPr>
        <w:t>Drug courts illustrate the dangerous dichotomy of the dual governmental responses described by Garland</w:t>
      </w:r>
      <w:r w:rsidRPr="0061729D">
        <w:rPr>
          <w:sz w:val="14"/>
        </w:rPr>
        <w:t xml:space="preserve">. </w:t>
      </w:r>
      <w:r w:rsidRPr="0061729D">
        <w:rPr>
          <w:rStyle w:val="StyleUnderline"/>
          <w:b/>
          <w:bCs/>
        </w:rPr>
        <w:t xml:space="preserve">While redefining measures of success, drug courts facilitated an </w:t>
      </w:r>
      <w:r w:rsidRPr="0061729D">
        <w:rPr>
          <w:rStyle w:val="Emphasis"/>
        </w:rPr>
        <w:t>increasingly punitive</w:t>
      </w:r>
      <w:r w:rsidRPr="0061729D">
        <w:rPr>
          <w:rStyle w:val="StyleUnderline"/>
          <w:b/>
          <w:bCs/>
        </w:rPr>
        <w:t xml:space="preserve"> criminal justice system</w:t>
      </w:r>
      <w:r w:rsidRPr="0061729D">
        <w:rPr>
          <w:sz w:val="14"/>
        </w:rPr>
        <w:t xml:space="preserve">. 288Link to the text of the note </w:t>
      </w:r>
      <w:r w:rsidRPr="0061729D">
        <w:rPr>
          <w:rStyle w:val="StyleUnderline"/>
          <w:b/>
          <w:bCs/>
        </w:rPr>
        <w:t>Perhaps the most interesting aspect of drug courts lies not in how it changed the system; rather, it is how it markedly left criminal justice policies the same</w:t>
      </w:r>
      <w:r w:rsidRPr="0061729D">
        <w:rPr>
          <w:sz w:val="14"/>
        </w:rPr>
        <w:t xml:space="preserve">. </w:t>
      </w:r>
      <w:r w:rsidRPr="0061729D">
        <w:rPr>
          <w:rStyle w:val="StyleUnderline"/>
        </w:rPr>
        <w:t xml:space="preserve">Drug courts provided a response to increased court caseloads and prison overcrowding as a result of the War on Drugs, but the courts did not dismantle the retributive prosecutorial model that characterizes the </w:t>
      </w:r>
      <w:proofErr w:type="spellStart"/>
      <w:r w:rsidRPr="0061729D">
        <w:rPr>
          <w:rStyle w:val="StyleUnderline"/>
        </w:rPr>
        <w:t>incarcerative</w:t>
      </w:r>
      <w:proofErr w:type="spellEnd"/>
      <w:r w:rsidRPr="0061729D">
        <w:rPr>
          <w:rStyle w:val="StyleUnderline"/>
        </w:rPr>
        <w:t xml:space="preserve"> justice system</w:t>
      </w:r>
      <w:r w:rsidRPr="0061729D">
        <w:rPr>
          <w:sz w:val="14"/>
        </w:rPr>
        <w:t xml:space="preserve">. 289Link to the text of the note </w:t>
      </w:r>
      <w:r w:rsidRPr="0061729D">
        <w:rPr>
          <w:rStyle w:val="Emphasis"/>
        </w:rPr>
        <w:t>Drug arrests increased exponentially as drug courts expanded across the states</w:t>
      </w:r>
      <w:r w:rsidRPr="0061729D">
        <w:rPr>
          <w:sz w:val="14"/>
        </w:rPr>
        <w:t xml:space="preserve">. 290Link to the text of the note </w:t>
      </w:r>
      <w:r w:rsidRPr="0061729D">
        <w:rPr>
          <w:rStyle w:val="StyleUnderline"/>
          <w:b/>
          <w:bCs/>
        </w:rPr>
        <w:t xml:space="preserve">Drug courts simply provided an alternative response to incarceration for the commission of drug crimes, without </w:t>
      </w:r>
      <w:proofErr w:type="gramStart"/>
      <w:r w:rsidRPr="0061729D">
        <w:rPr>
          <w:rStyle w:val="StyleUnderline"/>
          <w:b/>
          <w:bCs/>
        </w:rPr>
        <w:t>actually decriminalizing</w:t>
      </w:r>
      <w:proofErr w:type="gramEnd"/>
      <w:r w:rsidRPr="0061729D">
        <w:rPr>
          <w:rStyle w:val="StyleUnderline"/>
          <w:b/>
          <w:bCs/>
        </w:rPr>
        <w:t xml:space="preserve"> drug use</w:t>
      </w:r>
      <w:r w:rsidRPr="0061729D">
        <w:rPr>
          <w:sz w:val="14"/>
        </w:rPr>
        <w:t xml:space="preserve">. 291Link to the text of the note </w:t>
      </w:r>
      <w:r w:rsidRPr="0061729D">
        <w:rPr>
          <w:rStyle w:val="StyleUnderline"/>
          <w:b/>
          <w:bCs/>
        </w:rPr>
        <w:t xml:space="preserve">These programs "provide[d] a safety valve for the cycle of incarceration-release-recidivism that filled prisons with low-level drug users" while </w:t>
      </w:r>
      <w:r w:rsidRPr="0061729D">
        <w:rPr>
          <w:rStyle w:val="Emphasis"/>
        </w:rPr>
        <w:t>allowing prosecutors to continue expansive charging practices</w:t>
      </w:r>
      <w:r w:rsidRPr="0061729D">
        <w:rPr>
          <w:sz w:val="14"/>
        </w:rPr>
        <w:t xml:space="preserve">. 292Link to the text of the note </w:t>
      </w:r>
      <w:proofErr w:type="gramStart"/>
      <w:r w:rsidRPr="0061729D">
        <w:rPr>
          <w:sz w:val="14"/>
        </w:rPr>
        <w:t>To</w:t>
      </w:r>
      <w:proofErr w:type="gramEnd"/>
      <w:r w:rsidRPr="0061729D">
        <w:rPr>
          <w:sz w:val="14"/>
        </w:rPr>
        <w:t xml:space="preserve"> the extent that drug courts shifted the focus away from the government's inability to achieve traditional criminal justice goals, the new success measures actually advanced a criminal justice system more capable of expansion. </w:t>
      </w:r>
      <w:r w:rsidRPr="0061729D">
        <w:rPr>
          <w:rStyle w:val="StyleUnderline"/>
        </w:rPr>
        <w:t xml:space="preserve">Drug courts left untouched enforcement of increasingly punitive drug policies. </w:t>
      </w:r>
      <w:r w:rsidRPr="0061729D">
        <w:rPr>
          <w:rStyle w:val="StyleUnderline"/>
          <w:b/>
          <w:bCs/>
        </w:rPr>
        <w:t xml:space="preserve">In fact, drug courts may have incentivized police and prosecutors to </w:t>
      </w:r>
      <w:r w:rsidRPr="0061729D">
        <w:rPr>
          <w:rStyle w:val="Emphasis"/>
        </w:rPr>
        <w:t>expand the number of individuals processed</w:t>
      </w:r>
      <w:r w:rsidRPr="0061729D">
        <w:rPr>
          <w:rStyle w:val="StyleUnderline"/>
          <w:b/>
          <w:bCs/>
        </w:rPr>
        <w:t xml:space="preserve"> within the system for drug offenses due to the well-meaning belief that the justice system would offer better treatment</w:t>
      </w:r>
      <w:r w:rsidRPr="0061729D">
        <w:rPr>
          <w:sz w:val="14"/>
        </w:rPr>
        <w:t>. 293Link to the text of the note</w:t>
      </w:r>
      <w:r w:rsidR="0061729D" w:rsidRPr="0061729D">
        <w:rPr>
          <w:sz w:val="14"/>
        </w:rPr>
        <w:t xml:space="preserve"> </w:t>
      </w:r>
      <w:r w:rsidRPr="0061729D">
        <w:rPr>
          <w:sz w:val="14"/>
        </w:rPr>
        <w:t>[*636]</w:t>
      </w:r>
      <w:r w:rsidR="0061729D" w:rsidRPr="0061729D">
        <w:rPr>
          <w:sz w:val="14"/>
        </w:rPr>
        <w:t xml:space="preserve"> </w:t>
      </w:r>
      <w:r w:rsidRPr="0061729D">
        <w:rPr>
          <w:rStyle w:val="StyleUnderline"/>
        </w:rPr>
        <w:t>The laser focus on effectiveness and efficiency at the heart of the drug court paradigm expands upon a new "measure of success" in criminal justice</w:t>
      </w:r>
      <w:r w:rsidRPr="0061729D">
        <w:rPr>
          <w:sz w:val="14"/>
        </w:rPr>
        <w:t xml:space="preserve">. By focusing on what can be quantified, these measures resonate with internally applied governmental agency measures. </w:t>
      </w:r>
      <w:r w:rsidRPr="0061729D">
        <w:rPr>
          <w:rStyle w:val="StyleUnderline"/>
        </w:rPr>
        <w:t>Recidivism reduction and cost-effectiveness are connected to public safety indirectly, unlike some pure-outcome measures like number of arrests or cases processed</w:t>
      </w:r>
      <w:r w:rsidRPr="0061729D">
        <w:rPr>
          <w:sz w:val="14"/>
        </w:rPr>
        <w:t xml:space="preserve"> (though such measures are still used, too). 294Link to the text of the note </w:t>
      </w:r>
      <w:r w:rsidRPr="0061729D">
        <w:rPr>
          <w:rStyle w:val="StyleUnderline"/>
        </w:rPr>
        <w:t xml:space="preserve">Still, these measures are susceptible to substantive critiques. For example, the EBPPs underlying JRI reforms also focus on outcomes over process. While these reforms are heavily criticized for their failure to </w:t>
      </w:r>
      <w:proofErr w:type="gramStart"/>
      <w:r w:rsidRPr="0061729D">
        <w:rPr>
          <w:rStyle w:val="StyleUnderline"/>
        </w:rPr>
        <w:t>actually improve</w:t>
      </w:r>
      <w:proofErr w:type="gramEnd"/>
      <w:r w:rsidRPr="0061729D">
        <w:rPr>
          <w:rStyle w:val="StyleUnderline"/>
        </w:rPr>
        <w:t xml:space="preserve"> communities most affected by mass incarceration policies</w:t>
      </w:r>
      <w:r w:rsidRPr="0061729D">
        <w:rPr>
          <w:sz w:val="14"/>
        </w:rPr>
        <w:t xml:space="preserve">, 295Link to the text of the note </w:t>
      </w:r>
      <w:r w:rsidRPr="0061729D">
        <w:rPr>
          <w:rStyle w:val="StyleUnderline"/>
        </w:rPr>
        <w:t>such critiques fall outside the paradigm's frame and offer little salience with lawmakers or the public</w:t>
      </w:r>
      <w:r w:rsidRPr="0061729D">
        <w:rPr>
          <w:sz w:val="14"/>
        </w:rPr>
        <w:t xml:space="preserve">. Similarly, attacks about how recidivism is measured--whether it includes rearrests, technical violations, or just convictions for new offenses--lack salience, too. 296Link to the text of the note This Article's analysis demonstrates why: </w:t>
      </w:r>
      <w:r w:rsidRPr="0061729D">
        <w:rPr>
          <w:rStyle w:val="StyleUnderline"/>
        </w:rPr>
        <w:t xml:space="preserve">these reforms build from the initial government strategy to change measures of success. </w:t>
      </w:r>
      <w:r w:rsidRPr="0061729D">
        <w:rPr>
          <w:rStyle w:val="StyleUnderline"/>
          <w:b/>
          <w:bCs/>
        </w:rPr>
        <w:t>That change insulates the government from criticism about larger social failures</w:t>
      </w:r>
      <w:r w:rsidRPr="0061729D">
        <w:rPr>
          <w:sz w:val="14"/>
        </w:rPr>
        <w:t>. 297Link to the text of the note</w:t>
      </w:r>
    </w:p>
    <w:p w14:paraId="0CC92783" w14:textId="7F70F801" w:rsidR="00A71D7B" w:rsidRDefault="004E32B4" w:rsidP="00A71D7B">
      <w:pPr>
        <w:pStyle w:val="Heading4"/>
      </w:pPr>
      <w:r>
        <w:t>Ensures massive court clog and private prison expansion – results in mass structural violence</w:t>
      </w:r>
    </w:p>
    <w:p w14:paraId="237D25C3" w14:textId="43859D11" w:rsidR="00023A98" w:rsidRPr="00023A98" w:rsidRDefault="00023A98" w:rsidP="00023A98">
      <w:pPr>
        <w:rPr>
          <w:rStyle w:val="Style13ptBold"/>
          <w:b w:val="0"/>
          <w:bCs w:val="0"/>
        </w:rPr>
      </w:pPr>
      <w:r w:rsidRPr="00023A98">
        <w:rPr>
          <w:rStyle w:val="Style13ptBold"/>
          <w:b w:val="0"/>
          <w:bCs w:val="0"/>
          <w:sz w:val="16"/>
          <w:szCs w:val="16"/>
        </w:rPr>
        <w:t>Danielle</w:t>
      </w:r>
      <w:r>
        <w:rPr>
          <w:rStyle w:val="Style13ptBold"/>
          <w:b w:val="0"/>
          <w:bCs w:val="0"/>
        </w:rPr>
        <w:t xml:space="preserve"> </w:t>
      </w:r>
      <w:proofErr w:type="spellStart"/>
      <w:r>
        <w:rPr>
          <w:rStyle w:val="Style13ptBold"/>
        </w:rPr>
        <w:t>Dosch</w:t>
      </w:r>
      <w:proofErr w:type="spellEnd"/>
      <w:r>
        <w:rPr>
          <w:rStyle w:val="Style13ptBold"/>
        </w:rPr>
        <w:t xml:space="preserve"> ’19</w:t>
      </w:r>
      <w:r w:rsidRPr="00023A98">
        <w:rPr>
          <w:rStyle w:val="Style13ptBold"/>
          <w:b w:val="0"/>
          <w:bCs w:val="0"/>
          <w:sz w:val="16"/>
          <w:szCs w:val="16"/>
        </w:rPr>
        <w:t>, Philosophy student at UC Berkeley, “Plea to Prison Pipeline: Assessing the Feasibility of Mass Plea Refusal”, 10/3/19, Berkeley Political Review, https://bpr.berkeley.edu/2019/10/03/plea-to-prison-pipeline-assessing-the-feasibility-of-mass-plea-refusal/</w:t>
      </w:r>
    </w:p>
    <w:p w14:paraId="1571A58B" w14:textId="58B072A1" w:rsidR="00023A98" w:rsidRPr="003F416C" w:rsidRDefault="00023A98" w:rsidP="003F416C">
      <w:pPr>
        <w:rPr>
          <w:sz w:val="14"/>
        </w:rPr>
      </w:pPr>
      <w:r w:rsidRPr="003F416C">
        <w:rPr>
          <w:sz w:val="14"/>
        </w:rPr>
        <w:t xml:space="preserve">In response, prominent legal scholars such as Michelle </w:t>
      </w:r>
      <w:r w:rsidRPr="0061729D">
        <w:rPr>
          <w:rStyle w:val="StyleUnderline"/>
        </w:rPr>
        <w:t>Alexander and</w:t>
      </w:r>
      <w:r w:rsidRPr="003F416C">
        <w:rPr>
          <w:sz w:val="14"/>
        </w:rPr>
        <w:t xml:space="preserve"> Brady </w:t>
      </w:r>
      <w:r w:rsidRPr="0061729D">
        <w:rPr>
          <w:rStyle w:val="StyleUnderline"/>
        </w:rPr>
        <w:t>Heiner have advocated for mass plea refusal, where public defenders reject plea deals and push their cases to court</w:t>
      </w:r>
      <w:r w:rsidRPr="003F416C">
        <w:rPr>
          <w:sz w:val="14"/>
        </w:rPr>
        <w:t xml:space="preserve">. </w:t>
      </w:r>
      <w:r w:rsidRPr="0061729D">
        <w:rPr>
          <w:rStyle w:val="StyleUnderline"/>
          <w:b/>
          <w:bCs/>
        </w:rPr>
        <w:t xml:space="preserve">This proposed solution rests upon the assumption that if every case was taken to trial, the criminal justice system would be </w:t>
      </w:r>
      <w:r w:rsidRPr="0061729D">
        <w:rPr>
          <w:rStyle w:val="Emphasis"/>
        </w:rPr>
        <w:t>forced to bear the real cost</w:t>
      </w:r>
      <w:r w:rsidRPr="0061729D">
        <w:rPr>
          <w:rStyle w:val="StyleUnderline"/>
          <w:b/>
          <w:bCs/>
        </w:rPr>
        <w:t xml:space="preserve"> of over policing, charge-stacking and mass misdemeanor processing</w:t>
      </w:r>
      <w:r w:rsidRPr="003F416C">
        <w:rPr>
          <w:sz w:val="14"/>
        </w:rPr>
        <w:t xml:space="preserve">. Simply put: </w:t>
      </w:r>
      <w:r w:rsidRPr="0061729D">
        <w:rPr>
          <w:rStyle w:val="Emphasis"/>
        </w:rPr>
        <w:t>the system would grind to a halt under its own weight</w:t>
      </w:r>
      <w:r w:rsidRPr="003F416C">
        <w:rPr>
          <w:sz w:val="14"/>
        </w:rPr>
        <w:t>. The purported result? Broad criminal justice reform targeting the sources of mass incarceration.</w:t>
      </w:r>
      <w:r w:rsidR="003F416C" w:rsidRPr="003F416C">
        <w:rPr>
          <w:sz w:val="14"/>
        </w:rPr>
        <w:t xml:space="preserve"> </w:t>
      </w:r>
      <w:r w:rsidRPr="003F416C">
        <w:rPr>
          <w:sz w:val="14"/>
        </w:rPr>
        <w:t xml:space="preserve">Though seemingly outlandish, </w:t>
      </w:r>
      <w:r w:rsidRPr="0061729D">
        <w:rPr>
          <w:rStyle w:val="StyleUnderline"/>
        </w:rPr>
        <w:t>there is a strong evidentiary consensus that a mass plea refusal would successfully overwhelm the system</w:t>
      </w:r>
      <w:r w:rsidRPr="003F416C">
        <w:rPr>
          <w:sz w:val="14"/>
        </w:rPr>
        <w:t xml:space="preserve">. </w:t>
      </w:r>
      <w:r w:rsidRPr="0061729D">
        <w:rPr>
          <w:rStyle w:val="StyleUnderline"/>
          <w:b/>
          <w:bCs/>
        </w:rPr>
        <w:t>Because over 90 percent of cases are resolved through plea bargains, there simply does not exist the requisite number of public defenders, courts or police departments to try every case that it charged</w:t>
      </w:r>
      <w:r w:rsidRPr="003F416C">
        <w:rPr>
          <w:sz w:val="14"/>
        </w:rPr>
        <w:t>. The question then is not: is a crash of the system possible? Rather, what is the most likely outcome of the crash?</w:t>
      </w:r>
      <w:r w:rsidR="003F416C" w:rsidRPr="003F416C">
        <w:rPr>
          <w:sz w:val="14"/>
        </w:rPr>
        <w:t xml:space="preserve"> </w:t>
      </w:r>
      <w:r w:rsidRPr="003F416C">
        <w:rPr>
          <w:sz w:val="14"/>
        </w:rPr>
        <w:t xml:space="preserve">It’s unclear why the same decision-making bodies responsible for mass incarceration would respond to increased judicial backlog with drug legalization and </w:t>
      </w:r>
      <w:proofErr w:type="spellStart"/>
      <w:r w:rsidRPr="003F416C">
        <w:rPr>
          <w:sz w:val="14"/>
        </w:rPr>
        <w:t>decarceration</w:t>
      </w:r>
      <w:proofErr w:type="spellEnd"/>
      <w:r w:rsidRPr="003F416C">
        <w:rPr>
          <w:sz w:val="14"/>
        </w:rPr>
        <w:t xml:space="preserve"> instead of a proportionate expansion in prison and court facilities. Heiner attempts to answer this objection in his essay: “The procedural entrapment of mass incarceration: prosecution, race and the unfinished project of American abolition.” He argues that public reinvestment in mass incarceration is ‘politically unlikely.’ He claims that because state and municipalities already apportion substantial funds to corrections and law enforcement in order to address overcrowding in state prisons, the electorate is likely to reject any further bankrolling of the prison industrial complex.</w:t>
      </w:r>
      <w:r w:rsidR="003F416C" w:rsidRPr="003F416C">
        <w:rPr>
          <w:sz w:val="14"/>
        </w:rPr>
        <w:t xml:space="preserve"> </w:t>
      </w:r>
      <w:r w:rsidRPr="003F416C">
        <w:rPr>
          <w:sz w:val="14"/>
        </w:rPr>
        <w:t xml:space="preserve">However, Heiner seems to neglect the possibility that </w:t>
      </w:r>
      <w:r w:rsidRPr="0061729D">
        <w:rPr>
          <w:rStyle w:val="StyleUnderline"/>
          <w:b/>
          <w:bCs/>
        </w:rPr>
        <w:t xml:space="preserve">private prisons, unconstrained by state budgets and public resistance, </w:t>
      </w:r>
      <w:r w:rsidRPr="0061729D">
        <w:rPr>
          <w:rStyle w:val="Emphasis"/>
        </w:rPr>
        <w:t>capitalize on the surge of defendants</w:t>
      </w:r>
      <w:r w:rsidRPr="0061729D">
        <w:rPr>
          <w:rStyle w:val="StyleUnderline"/>
          <w:b/>
          <w:bCs/>
        </w:rPr>
        <w:t xml:space="preserve"> in need of prison cells</w:t>
      </w:r>
      <w:r w:rsidRPr="003F416C">
        <w:rPr>
          <w:sz w:val="14"/>
        </w:rPr>
        <w:t xml:space="preserve">. </w:t>
      </w:r>
      <w:r w:rsidRPr="0061729D">
        <w:rPr>
          <w:rStyle w:val="StyleUnderline"/>
        </w:rPr>
        <w:t>Although private prisons account for a small overall percentage of the country’s prison population, they have grown at a disproportionate rate in the past few decades, with an astounding 1600 percent increase in their populations from 1990 to 2005</w:t>
      </w:r>
      <w:r w:rsidRPr="003F416C">
        <w:rPr>
          <w:sz w:val="14"/>
        </w:rPr>
        <w:t xml:space="preserve">. </w:t>
      </w:r>
      <w:r w:rsidRPr="0061729D">
        <w:rPr>
          <w:rStyle w:val="StyleUnderline"/>
          <w:b/>
          <w:bCs/>
        </w:rPr>
        <w:t xml:space="preserve">The shift to private prisons would </w:t>
      </w:r>
      <w:r w:rsidRPr="0061729D">
        <w:rPr>
          <w:rStyle w:val="Emphasis"/>
        </w:rPr>
        <w:t>not only circumvent the need for progressive criminal justice reform</w:t>
      </w:r>
      <w:r w:rsidRPr="0061729D">
        <w:rPr>
          <w:rStyle w:val="StyleUnderline"/>
          <w:b/>
          <w:bCs/>
        </w:rPr>
        <w:t xml:space="preserve">, it would also result in </w:t>
      </w:r>
      <w:r w:rsidRPr="0061729D">
        <w:rPr>
          <w:rStyle w:val="Emphasis"/>
        </w:rPr>
        <w:t>worse prison conditions</w:t>
      </w:r>
      <w:r w:rsidRPr="0061729D">
        <w:rPr>
          <w:rStyle w:val="StyleUnderline"/>
          <w:b/>
          <w:bCs/>
        </w:rPr>
        <w:t xml:space="preserve"> for inmates</w:t>
      </w:r>
      <w:r w:rsidRPr="003F416C">
        <w:rPr>
          <w:sz w:val="14"/>
        </w:rPr>
        <w:t xml:space="preserve">. In order to lower operating costs, </w:t>
      </w:r>
      <w:r w:rsidRPr="0061729D">
        <w:rPr>
          <w:rStyle w:val="StyleUnderline"/>
          <w:b/>
          <w:bCs/>
        </w:rPr>
        <w:t>private prison corporations tend to cut corners by hiring fewer employees and providing fewer baseline resources to inmates</w:t>
      </w:r>
      <w:r w:rsidRPr="003F416C">
        <w:rPr>
          <w:sz w:val="14"/>
        </w:rPr>
        <w:t xml:space="preserve">. Furthermore, </w:t>
      </w:r>
      <w:r w:rsidRPr="0061729D">
        <w:rPr>
          <w:rStyle w:val="StyleUnderline"/>
        </w:rPr>
        <w:t>because prison corporations stand to make profit when more people are sentenced to prison, they use lobbyists and campaign contributions to support for policies that call for harsher sentencing laws</w:t>
      </w:r>
      <w:r w:rsidRPr="003F416C">
        <w:rPr>
          <w:sz w:val="14"/>
        </w:rPr>
        <w:t xml:space="preserve">. For example, the Corrections Corporation of America, the largest private prison company in America, has dedicated $17.4 million to lobbying expenditures in the past decade and $1.9 million on political contributions between 2003 and 2012. </w:t>
      </w:r>
      <w:r w:rsidRPr="0061729D">
        <w:rPr>
          <w:rStyle w:val="StyleUnderline"/>
        </w:rPr>
        <w:t xml:space="preserve">The political influence held by private prison </w:t>
      </w:r>
      <w:proofErr w:type="gramStart"/>
      <w:r w:rsidRPr="0061729D">
        <w:rPr>
          <w:rStyle w:val="StyleUnderline"/>
        </w:rPr>
        <w:t>corporations</w:t>
      </w:r>
      <w:proofErr w:type="gramEnd"/>
      <w:r w:rsidRPr="0061729D">
        <w:rPr>
          <w:rStyle w:val="StyleUnderline"/>
        </w:rPr>
        <w:t xml:space="preserve"> casts heavy doubt on Heiner’s faith in altruistic federal reform</w:t>
      </w:r>
      <w:r w:rsidRPr="003F416C">
        <w:rPr>
          <w:sz w:val="14"/>
        </w:rPr>
        <w:t>.</w:t>
      </w:r>
      <w:r w:rsidR="003F416C" w:rsidRPr="003F416C">
        <w:rPr>
          <w:sz w:val="14"/>
        </w:rPr>
        <w:t xml:space="preserve"> </w:t>
      </w:r>
      <w:r w:rsidRPr="0061729D">
        <w:rPr>
          <w:rStyle w:val="StyleUnderline"/>
          <w:b/>
          <w:bCs/>
        </w:rPr>
        <w:t xml:space="preserve">Even assuming that judicial crash is capable of jumpstarting progressive criminal justice reform, the </w:t>
      </w:r>
      <w:r w:rsidRPr="0061729D">
        <w:rPr>
          <w:rStyle w:val="Emphasis"/>
        </w:rPr>
        <w:t>intermittent court clog</w:t>
      </w:r>
      <w:r w:rsidRPr="0061729D">
        <w:rPr>
          <w:rStyle w:val="StyleUnderline"/>
          <w:b/>
          <w:bCs/>
        </w:rPr>
        <w:t xml:space="preserve"> would be </w:t>
      </w:r>
      <w:r w:rsidRPr="0061729D">
        <w:rPr>
          <w:rStyle w:val="Emphasis"/>
        </w:rPr>
        <w:t>detrimental</w:t>
      </w:r>
      <w:r w:rsidRPr="0061729D">
        <w:rPr>
          <w:rStyle w:val="StyleUnderline"/>
          <w:b/>
          <w:bCs/>
        </w:rPr>
        <w:t xml:space="preserve"> to those most at risk of prosecutorial predation</w:t>
      </w:r>
      <w:r w:rsidRPr="003F416C">
        <w:rPr>
          <w:sz w:val="14"/>
        </w:rPr>
        <w:t xml:space="preserve">. </w:t>
      </w:r>
      <w:r w:rsidRPr="003F416C">
        <w:rPr>
          <w:rStyle w:val="StyleUnderline"/>
        </w:rPr>
        <w:t>Already, those who await trial spend years in pretrial detention simply because they cannot afford bail</w:t>
      </w:r>
      <w:r w:rsidRPr="003F416C">
        <w:rPr>
          <w:sz w:val="14"/>
        </w:rPr>
        <w:t xml:space="preserve">. Studies indicate a strong correlation between race and the likelihood of flight risk designation. Thus, </w:t>
      </w:r>
      <w:r w:rsidRPr="003F416C">
        <w:rPr>
          <w:rStyle w:val="StyleUnderline"/>
          <w:b/>
          <w:bCs/>
        </w:rPr>
        <w:t>those disproportionately harmed by bail decisions tend to be people of color and the poor</w:t>
      </w:r>
      <w:r w:rsidRPr="003F416C">
        <w:rPr>
          <w:sz w:val="14"/>
        </w:rPr>
        <w:t xml:space="preserve">. </w:t>
      </w:r>
      <w:r w:rsidRPr="003F416C">
        <w:rPr>
          <w:rStyle w:val="Emphasis"/>
        </w:rPr>
        <w:t>Pretrial detention results in the same harms as incarceration</w:t>
      </w:r>
      <w:r w:rsidRPr="003F416C">
        <w:rPr>
          <w:sz w:val="14"/>
        </w:rPr>
        <w:t xml:space="preserve"> — </w:t>
      </w:r>
      <w:r w:rsidRPr="003F416C">
        <w:rPr>
          <w:rStyle w:val="StyleUnderline"/>
          <w:b/>
          <w:bCs/>
        </w:rPr>
        <w:t>family separation, job loss, drug addiction and recidivism</w:t>
      </w:r>
      <w:r w:rsidRPr="003F416C">
        <w:rPr>
          <w:sz w:val="14"/>
        </w:rPr>
        <w:t xml:space="preserve">. Additionally, </w:t>
      </w:r>
      <w:r w:rsidRPr="003F416C">
        <w:rPr>
          <w:rStyle w:val="StyleUnderline"/>
        </w:rPr>
        <w:t>lengthy pretrial detention can impair the preparation of effective defense because witnesses may forget information critical to securing a non-guilty verdict and face greater difficulty consulting legal counsel</w:t>
      </w:r>
      <w:r w:rsidRPr="003F416C">
        <w:rPr>
          <w:sz w:val="14"/>
        </w:rPr>
        <w:t xml:space="preserve">. </w:t>
      </w:r>
    </w:p>
    <w:sectPr w:rsidR="00023A98" w:rsidRPr="003F41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29934180448"/>
    <w:docVar w:name="VerbatimVersion" w:val="5.1"/>
  </w:docVars>
  <w:rsids>
    <w:rsidRoot w:val="007B2FF7"/>
    <w:rsid w:val="000139A3"/>
    <w:rsid w:val="00023A98"/>
    <w:rsid w:val="00096ADF"/>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62032"/>
    <w:rsid w:val="0038158C"/>
    <w:rsid w:val="003902BA"/>
    <w:rsid w:val="003A09E2"/>
    <w:rsid w:val="003F416C"/>
    <w:rsid w:val="00407037"/>
    <w:rsid w:val="004605D6"/>
    <w:rsid w:val="004C60E8"/>
    <w:rsid w:val="004E32B4"/>
    <w:rsid w:val="004E3579"/>
    <w:rsid w:val="004E728B"/>
    <w:rsid w:val="004F39E0"/>
    <w:rsid w:val="00537BD5"/>
    <w:rsid w:val="0057268A"/>
    <w:rsid w:val="005D2912"/>
    <w:rsid w:val="006065BD"/>
    <w:rsid w:val="0061729D"/>
    <w:rsid w:val="00631AD5"/>
    <w:rsid w:val="00645FA9"/>
    <w:rsid w:val="00647866"/>
    <w:rsid w:val="00665003"/>
    <w:rsid w:val="006A2AD0"/>
    <w:rsid w:val="006C2375"/>
    <w:rsid w:val="006D4ECC"/>
    <w:rsid w:val="00722258"/>
    <w:rsid w:val="007243E5"/>
    <w:rsid w:val="007636DD"/>
    <w:rsid w:val="00766EA0"/>
    <w:rsid w:val="007A2226"/>
    <w:rsid w:val="007B2FF7"/>
    <w:rsid w:val="007F5B66"/>
    <w:rsid w:val="007F5EE5"/>
    <w:rsid w:val="00823A1C"/>
    <w:rsid w:val="00845B9D"/>
    <w:rsid w:val="00860984"/>
    <w:rsid w:val="008B3ECB"/>
    <w:rsid w:val="008B4E85"/>
    <w:rsid w:val="008C1B2E"/>
    <w:rsid w:val="0090335A"/>
    <w:rsid w:val="0091627E"/>
    <w:rsid w:val="0097032B"/>
    <w:rsid w:val="009D2EAD"/>
    <w:rsid w:val="009D54B2"/>
    <w:rsid w:val="009E1922"/>
    <w:rsid w:val="009F7ED2"/>
    <w:rsid w:val="00A352AE"/>
    <w:rsid w:val="00A71D7B"/>
    <w:rsid w:val="00A93661"/>
    <w:rsid w:val="00A95652"/>
    <w:rsid w:val="00AC0AB8"/>
    <w:rsid w:val="00B33C6D"/>
    <w:rsid w:val="00B4508F"/>
    <w:rsid w:val="00B55AD5"/>
    <w:rsid w:val="00B8057C"/>
    <w:rsid w:val="00BD2498"/>
    <w:rsid w:val="00BD6238"/>
    <w:rsid w:val="00BF593B"/>
    <w:rsid w:val="00BF773A"/>
    <w:rsid w:val="00BF7E81"/>
    <w:rsid w:val="00C13773"/>
    <w:rsid w:val="00C17CC8"/>
    <w:rsid w:val="00C83417"/>
    <w:rsid w:val="00C9604F"/>
    <w:rsid w:val="00CA19AA"/>
    <w:rsid w:val="00CC5298"/>
    <w:rsid w:val="00CD736E"/>
    <w:rsid w:val="00CD798D"/>
    <w:rsid w:val="00CE161E"/>
    <w:rsid w:val="00CF59A8"/>
    <w:rsid w:val="00CF6E9A"/>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72D1F"/>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F5995"/>
  <w15:chartTrackingRefBased/>
  <w15:docId w15:val="{DD161E65-74B5-4F28-820E-BBEBBCCD6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D2498"/>
    <w:rPr>
      <w:rFonts w:ascii="Calibri" w:hAnsi="Calibri" w:cs="Calibri"/>
    </w:rPr>
  </w:style>
  <w:style w:type="paragraph" w:styleId="Heading1">
    <w:name w:val="heading 1"/>
    <w:aliases w:val="Pocket"/>
    <w:basedOn w:val="Normal"/>
    <w:next w:val="Normal"/>
    <w:link w:val="Heading1Char"/>
    <w:qFormat/>
    <w:rsid w:val="00BD24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D24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D24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D249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D24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2498"/>
  </w:style>
  <w:style w:type="character" w:customStyle="1" w:styleId="Heading1Char">
    <w:name w:val="Heading 1 Char"/>
    <w:aliases w:val="Pocket Char"/>
    <w:basedOn w:val="DefaultParagraphFont"/>
    <w:link w:val="Heading1"/>
    <w:rsid w:val="00BD249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D249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D249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D2498"/>
    <w:rPr>
      <w:rFonts w:ascii="Calibri" w:eastAsiaTheme="majorEastAsia" w:hAnsi="Calibri" w:cstheme="majorBidi"/>
      <w:b/>
      <w:iCs/>
      <w:sz w:val="26"/>
    </w:rPr>
  </w:style>
  <w:style w:type="character" w:styleId="Emphasis">
    <w:name w:val="Emphasis"/>
    <w:basedOn w:val="DefaultParagraphFont"/>
    <w:uiPriority w:val="7"/>
    <w:qFormat/>
    <w:rsid w:val="00BD2498"/>
    <w:rPr>
      <w:rFonts w:ascii="Calibri" w:hAnsi="Calibri" w:cs="Calibri"/>
      <w:b/>
      <w:i w:val="0"/>
      <w:iCs/>
      <w:sz w:val="22"/>
      <w:u w:val="single"/>
      <w:bdr w:val="single" w:sz="8" w:space="0" w:color="auto"/>
    </w:rPr>
  </w:style>
  <w:style w:type="character" w:customStyle="1" w:styleId="Style13ptBold">
    <w:name w:val="Style 13 pt Bold"/>
    <w:aliases w:val="Cite"/>
    <w:basedOn w:val="DefaultParagraphFont"/>
    <w:uiPriority w:val="5"/>
    <w:qFormat/>
    <w:rsid w:val="00BD2498"/>
    <w:rPr>
      <w:b/>
      <w:bCs/>
      <w:sz w:val="26"/>
      <w:u w:val="none"/>
    </w:rPr>
  </w:style>
  <w:style w:type="character" w:customStyle="1" w:styleId="StyleUnderline">
    <w:name w:val="Style Underline"/>
    <w:aliases w:val="Underline"/>
    <w:basedOn w:val="DefaultParagraphFont"/>
    <w:uiPriority w:val="6"/>
    <w:qFormat/>
    <w:rsid w:val="00BD2498"/>
    <w:rPr>
      <w:b w:val="0"/>
      <w:sz w:val="22"/>
      <w:u w:val="single"/>
    </w:rPr>
  </w:style>
  <w:style w:type="character" w:styleId="Hyperlink">
    <w:name w:val="Hyperlink"/>
    <w:basedOn w:val="DefaultParagraphFont"/>
    <w:uiPriority w:val="99"/>
    <w:semiHidden/>
    <w:unhideWhenUsed/>
    <w:rsid w:val="00BD2498"/>
    <w:rPr>
      <w:color w:val="auto"/>
      <w:u w:val="none"/>
    </w:rPr>
  </w:style>
  <w:style w:type="character" w:styleId="FollowedHyperlink">
    <w:name w:val="FollowedHyperlink"/>
    <w:basedOn w:val="DefaultParagraphFont"/>
    <w:uiPriority w:val="99"/>
    <w:semiHidden/>
    <w:unhideWhenUsed/>
    <w:rsid w:val="00BD2498"/>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53AD92-B9E5-48B1-9699-4C9D30FCF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2265</Words>
  <Characters>12912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cwalrath</dc:creator>
  <cp:keywords>5.1.1</cp:keywords>
  <dc:description/>
  <cp:lastModifiedBy>Valerie McIntosh</cp:lastModifiedBy>
  <cp:revision>2</cp:revision>
  <dcterms:created xsi:type="dcterms:W3CDTF">2020-03-22T21:00:00Z</dcterms:created>
  <dcterms:modified xsi:type="dcterms:W3CDTF">2020-03-22T21:00:00Z</dcterms:modified>
</cp:coreProperties>
</file>